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D3189DF" w14:textId="77777777" w:rsidR="002A5062" w:rsidRDefault="004E736E" w:rsidP="005D3F4E">
      <w:pPr>
        <w:pStyle w:val="BodyText"/>
        <w:spacing w:before="0" w:line="240" w:lineRule="auto"/>
      </w:pPr>
      <w:bookmarkStart w:id="0" w:name="_GoBack"/>
      <w:r>
        <w:rPr>
          <w:noProof/>
        </w:rPr>
        <w:drawing>
          <wp:anchor distT="0" distB="0" distL="114300" distR="114300" simplePos="0" relativeHeight="251658240" behindDoc="1" locked="1" layoutInCell="0" allowOverlap="1" wp14:anchorId="0AE43959" wp14:editId="5617CC4E">
            <wp:simplePos x="0" y="0"/>
            <wp:positionH relativeFrom="page">
              <wp:align>left</wp:align>
            </wp:positionH>
            <wp:positionV relativeFrom="page">
              <wp:align>top</wp:align>
            </wp:positionV>
            <wp:extent cx="7559675" cy="10691495"/>
            <wp:effectExtent l="0" t="0" r="3175" b="0"/>
            <wp:wrapNone/>
            <wp:docPr id="4" name="Picture 4" descr="The CIE Logo&#10;" title="CIE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bookmarkEnd w:id="0"/>
    </w:p>
    <w:p w14:paraId="4082ED3A" w14:textId="77777777" w:rsidR="008F1A78" w:rsidRDefault="005D3F4E" w:rsidP="00656D2E">
      <w:pPr>
        <w:rPr>
          <w:lang w:bidi="fa-IR"/>
        </w:rPr>
      </w:pPr>
      <w:r>
        <w:rPr>
          <w:noProof/>
        </w:rPr>
        <mc:AlternateContent>
          <mc:Choice Requires="wps">
            <w:drawing>
              <wp:anchor distT="45720" distB="45720" distL="114300" distR="114300" simplePos="0" relativeHeight="251663361" behindDoc="0" locked="0" layoutInCell="1" allowOverlap="1" wp14:anchorId="6159F299" wp14:editId="3A7BEF97">
                <wp:simplePos x="0" y="0"/>
                <wp:positionH relativeFrom="column">
                  <wp:posOffset>-411480</wp:posOffset>
                </wp:positionH>
                <wp:positionV relativeFrom="paragraph">
                  <wp:posOffset>7874635</wp:posOffset>
                </wp:positionV>
                <wp:extent cx="4130040" cy="1404620"/>
                <wp:effectExtent l="0" t="0" r="3810" b="0"/>
                <wp:wrapSquare wrapText="bothSides"/>
                <wp:docPr id="24" name="Text Box 2" descr="This is the title page for the Regulation Impact Statement which inlcudes the title and date and the logo of the CIE." title="THE CENTRE FOR INTERNATIONAL ECONOMICS. www.cie.com.a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404620"/>
                        </a:xfrm>
                        <a:prstGeom prst="rect">
                          <a:avLst/>
                        </a:prstGeom>
                        <a:solidFill>
                          <a:srgbClr val="FFFFFF"/>
                        </a:solidFill>
                        <a:ln w="9525">
                          <a:noFill/>
                          <a:miter lim="800000"/>
                          <a:headEnd/>
                          <a:tailEnd/>
                        </a:ln>
                      </wps:spPr>
                      <wps:txbx>
                        <w:txbxContent>
                          <w:p w14:paraId="624D7406" w14:textId="77777777" w:rsidR="003235DB" w:rsidRPr="00F062BF" w:rsidRDefault="003235DB" w:rsidP="005D3F4E">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14:paraId="5068F494" w14:textId="77777777" w:rsidR="003235DB" w:rsidRDefault="003235DB" w:rsidP="005D3F4E">
                            <w:r w:rsidRPr="00DA40B0">
                              <w:rPr>
                                <w:i/>
                                <w:color w:val="9B917E" w:themeColor="accent4"/>
                                <w:spacing w:val="10"/>
                                <w:sz w:val="25"/>
                              </w:rPr>
                              <w:t>www.TheCIE.com.au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9F299" id="_x0000_t202" coordsize="21600,21600" o:spt="202" path="m,l,21600r21600,l21600,xe">
                <v:stroke joinstyle="miter"/>
                <v:path gradientshapeok="t" o:connecttype="rect"/>
              </v:shapetype>
              <v:shape id="Text Box 2" o:spid="_x0000_s1026" type="#_x0000_t202" alt="Title: THE CENTRE FOR INTERNATIONAL ECONOMICS. www.cie.com.au - Description: This is the title page for the Regulation Impact Statement which inlcudes the title and date and the logo of the CIE." style="position:absolute;margin-left:-32.4pt;margin-top:620.05pt;width:325.2pt;height:110.6pt;z-index:2516633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" stroked="f">
                <v:textbox style="mso-fit-shape-to-text:t">
                  <w:txbxContent>
                    <w:p w14:paraId="624D7406" w14:textId="77777777" w:rsidR="003235DB" w:rsidRPr="00F062BF" w:rsidRDefault="003235DB" w:rsidP="005D3F4E">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14:paraId="5068F494" w14:textId="77777777" w:rsidR="003235DB" w:rsidRDefault="003235DB" w:rsidP="005D3F4E">
                      <w:r w:rsidRPr="00DA40B0">
                        <w:rPr>
                          <w:i/>
                          <w:color w:val="9B917E" w:themeColor="accent4"/>
                          <w:spacing w:val="10"/>
                          <w:sz w:val="25"/>
                        </w:rPr>
                        <w:t>www.TheCIE.com.au</w:t>
                      </w:r>
                    </w:p>
                  </w:txbxContent>
                </v:textbox>
                <w10:wrap type="square"/>
              </v:shape>
            </w:pict>
          </mc:Fallback>
        </mc:AlternateContent>
      </w:r>
      <w:r>
        <w:rPr>
          <w:noProof/>
        </w:rPr>
        <mc:AlternateContent>
          <mc:Choice Requires="wps">
            <w:drawing>
              <wp:anchor distT="0" distB="0" distL="114300" distR="114300" simplePos="0" relativeHeight="251661313" behindDoc="0" locked="0" layoutInCell="1" allowOverlap="1" wp14:anchorId="2C28CB52" wp14:editId="2452DF0D">
                <wp:simplePos x="0" y="0"/>
                <wp:positionH relativeFrom="column">
                  <wp:posOffset>-365760</wp:posOffset>
                </wp:positionH>
                <wp:positionV relativeFrom="paragraph">
                  <wp:posOffset>6426835</wp:posOffset>
                </wp:positionV>
                <wp:extent cx="3977640" cy="1120140"/>
                <wp:effectExtent l="0" t="0" r="3810" b="3810"/>
                <wp:wrapNone/>
                <wp:docPr id="10" name="Text Box 10" descr="This is the title page for the Regulation Impact Statement which inlcudes the title and date and the logo of the CIE." title="Prepared for the AUstralian Building Codes Board February 2021"/>
                <wp:cNvGraphicFramePr/>
                <a:graphic xmlns:a="http://schemas.openxmlformats.org/drawingml/2006/main">
                  <a:graphicData uri="http://schemas.microsoft.com/office/word/2010/wordprocessingShape">
                    <wps:wsp>
                      <wps:cNvSpPr txBox="1"/>
                      <wps:spPr>
                        <a:xfrm>
                          <a:off x="0" y="0"/>
                          <a:ext cx="3977640" cy="1120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AFA3" w14:textId="77777777" w:rsidR="003235DB" w:rsidRDefault="003235DB" w:rsidP="005D3F4E">
                            <w:pPr>
                              <w:pStyle w:val="Client"/>
                              <w:spacing w:before="280"/>
                            </w:pPr>
                            <w:r w:rsidRPr="001647E4">
                              <w:t>Prepared for</w:t>
                            </w:r>
                          </w:p>
                          <w:p w14:paraId="5F5DD482" w14:textId="77777777" w:rsidR="003235DB" w:rsidRDefault="00B12903" w:rsidP="005D3F4E">
                            <w:pPr>
                              <w:pStyle w:val="Client"/>
                            </w:pPr>
                            <w:fldSimple w:instr=" DOCPROPERTY  PreparedFor ">
                              <w:r w:rsidR="003235DB">
                                <w:t>The Australian Building Codes Board</w:t>
                              </w:r>
                            </w:fldSimple>
                            <w:r w:rsidR="003235DB">
                              <w:br/>
                            </w:r>
                            <w:r w:rsidR="003235DB">
                              <w:br/>
                            </w:r>
                            <w:r w:rsidR="003235DB" w:rsidRPr="00933130">
                              <w:rPr>
                                <w:rFonts w:asciiTheme="majorHAnsi" w:hAnsiTheme="majorHAnsi"/>
                                <w:color w:val="6F6652" w:themeColor="text2"/>
                                <w:kern w:val="28"/>
                                <w:szCs w:val="28"/>
                              </w:rPr>
                              <w:t>February 202</w:t>
                            </w:r>
                            <w:r w:rsidR="003235DB">
                              <w:rPr>
                                <w:rFonts w:asciiTheme="majorHAnsi" w:hAnsiTheme="majorHAnsi"/>
                                <w:color w:val="6F6652" w:themeColor="text2"/>
                                <w:kern w:val="28"/>
                                <w:szCs w:val="28"/>
                              </w:rPr>
                              <w:t>1</w:t>
                            </w:r>
                          </w:p>
                          <w:p w14:paraId="2DAE6654" w14:textId="77777777" w:rsidR="003235DB" w:rsidRDefault="00323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8CB52" id="Text Box 10" o:spid="_x0000_s1027" type="#_x0000_t202" alt="Title: Prepared for the AUstralian Building Codes Board February 2021 - Description: This is the title page for the Regulation Impact Statement which inlcudes the title and date and the logo of the CIE." style="position:absolute;margin-left:-28.8pt;margin-top:506.05pt;width:313.2pt;height:88.2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" fillcolor="white [3201]" stroked="f" strokeweight=".5pt">
                <v:textbox>
                  <w:txbxContent>
                    <w:p w14:paraId="540BAFA3" w14:textId="77777777" w:rsidR="003235DB" w:rsidRDefault="003235DB" w:rsidP="005D3F4E">
                      <w:pPr>
                        <w:pStyle w:val="Client"/>
                        <w:spacing w:before="280"/>
                      </w:pPr>
                      <w:r w:rsidRPr="001647E4">
                        <w:t>Prepared for</w:t>
                      </w:r>
                    </w:p>
                    <w:p w14:paraId="5F5DD482" w14:textId="77777777" w:rsidR="003235DB" w:rsidRDefault="00B12903" w:rsidP="005D3F4E">
                      <w:pPr>
                        <w:pStyle w:val="Client"/>
                      </w:pPr>
                      <w:r>
                        <w:fldChar w:fldCharType="begin"/>
                      </w:r>
                      <w:r>
                        <w:instrText xml:space="preserve"> DOCPROPERTY  PreparedFor </w:instrText>
                      </w:r>
                      <w:r>
                        <w:fldChar w:fldCharType="separate"/>
                      </w:r>
                      <w:r w:rsidR="003235DB">
                        <w:t>The Australian Building Codes Board</w:t>
                      </w:r>
                      <w:r>
                        <w:fldChar w:fldCharType="end"/>
                      </w:r>
                      <w:r w:rsidR="003235DB">
                        <w:br/>
                      </w:r>
                      <w:r w:rsidR="003235DB">
                        <w:br/>
                      </w:r>
                      <w:r w:rsidR="003235DB" w:rsidRPr="00933130">
                        <w:rPr>
                          <w:rFonts w:asciiTheme="majorHAnsi" w:hAnsiTheme="majorHAnsi"/>
                          <w:color w:val="6F6652" w:themeColor="text2"/>
                          <w:kern w:val="28"/>
                          <w:szCs w:val="28"/>
                        </w:rPr>
                        <w:t>February 202</w:t>
                      </w:r>
                      <w:r w:rsidR="003235DB">
                        <w:rPr>
                          <w:rFonts w:asciiTheme="majorHAnsi" w:hAnsiTheme="majorHAnsi"/>
                          <w:color w:val="6F6652" w:themeColor="text2"/>
                          <w:kern w:val="28"/>
                          <w:szCs w:val="28"/>
                        </w:rPr>
                        <w:t>1</w:t>
                      </w:r>
                    </w:p>
                    <w:p w14:paraId="2DAE6654" w14:textId="77777777" w:rsidR="003235DB" w:rsidRDefault="003235DB"/>
                  </w:txbxContent>
                </v:textbox>
              </v:shape>
            </w:pict>
          </mc:Fallback>
        </mc:AlternateContent>
      </w:r>
      <w:r>
        <w:rPr>
          <w:noProof/>
        </w:rPr>
        <mc:AlternateContent>
          <mc:Choice Requires="wps">
            <w:drawing>
              <wp:anchor distT="45720" distB="45720" distL="114300" distR="114300" simplePos="0" relativeHeight="251660289" behindDoc="0" locked="0" layoutInCell="1" allowOverlap="1" wp14:anchorId="6C7356C3" wp14:editId="4B3458B2">
                <wp:simplePos x="0" y="0"/>
                <wp:positionH relativeFrom="column">
                  <wp:posOffset>-441960</wp:posOffset>
                </wp:positionH>
                <wp:positionV relativeFrom="paragraph">
                  <wp:posOffset>2571115</wp:posOffset>
                </wp:positionV>
                <wp:extent cx="5303520" cy="1404620"/>
                <wp:effectExtent l="0" t="0" r="0" b="0"/>
                <wp:wrapSquare wrapText="bothSides"/>
                <wp:docPr id="217" name="Text Box 2" descr="Proposal to include minimum accessibility standards for housing in the National Construction Code&#10;Decision Regulation Impact Stat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solidFill>
                          <a:srgbClr val="FFFFFF"/>
                        </a:solidFill>
                        <a:ln w="9525">
                          <a:noFill/>
                          <a:miter lim="800000"/>
                          <a:headEnd/>
                          <a:tailEnd/>
                        </a:ln>
                      </wps:spPr>
                      <wps:txbx>
                        <w:txbxContent>
                          <w:p w14:paraId="72D83EDE" w14:textId="77777777" w:rsidR="003235DB" w:rsidRDefault="00B12903" w:rsidP="005D3F4E">
                            <w:pPr>
                              <w:pStyle w:val="Title"/>
                            </w:pPr>
                            <w:fldSimple w:instr=" DOCPROPERTY  ReportTitle ">
                              <w:r w:rsidR="003235DB">
                                <w:t>Proposal to include minimum accessibility standards for housing in the National Construction Code</w:t>
                              </w:r>
                            </w:fldSimple>
                          </w:p>
                          <w:p w14:paraId="6CF0B4D2" w14:textId="77777777" w:rsidR="003235DB" w:rsidRDefault="00B12903" w:rsidP="005D3F4E">
                            <w:fldSimple w:instr=" DOCPROPERTY  ReportSubtitle ">
                              <w:r w:rsidR="003235DB">
                                <w:t>Decision Regulation Impact Statement</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7356C3" id="_x0000_t202" coordsize="21600,21600" o:spt="202" path="m,l,21600r21600,l21600,xe">
                <v:stroke joinstyle="miter"/>
                <v:path gradientshapeok="t" o:connecttype="rect"/>
              </v:shapetype>
              <v:shape id="_x0000_s1028" type="#_x0000_t202" alt="Proposal to include minimum accessibility standards for housing in the National Construction Code&#10;Decision Regulation Impact Statement" style="position:absolute;margin-left:-34.8pt;margin-top:202.45pt;width:417.6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" stroked="f">
                <v:textbox style="mso-fit-shape-to-text:t">
                  <w:txbxContent>
                    <w:p w14:paraId="72D83EDE" w14:textId="77777777" w:rsidR="003235DB" w:rsidRDefault="00B12903" w:rsidP="005D3F4E">
                      <w:pPr>
                        <w:pStyle w:val="Title"/>
                      </w:pPr>
                      <w:fldSimple w:instr=" DOCPROPERTY  ReportTitle ">
                        <w:r w:rsidR="003235DB">
                          <w:t>Proposal to include minimum accessibility standards for housing in the National Construction Code</w:t>
                        </w:r>
                      </w:fldSimple>
                    </w:p>
                    <w:p w14:paraId="6CF0B4D2" w14:textId="77777777" w:rsidR="003235DB" w:rsidRDefault="00B12903" w:rsidP="005D3F4E">
                      <w:fldSimple w:instr=" DOCPROPERTY  ReportSubtitle ">
                        <w:r w:rsidR="003235DB">
                          <w:t>Decision Regulation Impact Statement</w:t>
                        </w:r>
                      </w:fldSimple>
                    </w:p>
                  </w:txbxContent>
                </v:textbox>
                <w10:wrap type="square"/>
              </v:shape>
            </w:pict>
          </mc:Fallback>
        </mc:AlternateContent>
      </w:r>
    </w:p>
    <w:p w14:paraId="79D3B344" w14:textId="77777777" w:rsidR="008F1A78" w:rsidRDefault="008F1A78" w:rsidP="00656D2E">
      <w:pPr>
        <w:rPr>
          <w:lang w:bidi="fa-IR"/>
        </w:rPr>
        <w:sectPr w:rsidR="008F1A78" w:rsidSect="001B3438">
          <w:headerReference w:type="default" r:id="rId12"/>
          <w:footerReference w:type="even" r:id="rId13"/>
          <w:pgSz w:w="11906" w:h="16838" w:code="9"/>
          <w:pgMar w:top="1145" w:right="1701" w:bottom="284" w:left="2268" w:header="680" w:footer="57" w:gutter="0"/>
          <w:cols w:space="708"/>
          <w:docGrid w:linePitch="360"/>
        </w:sectPr>
      </w:pPr>
    </w:p>
    <w:p w14:paraId="499138CE" w14:textId="77777777" w:rsidR="00721CE9" w:rsidRDefault="00721CE9" w:rsidP="00721CE9">
      <w:pPr>
        <w:pStyle w:val="BodyText"/>
        <w:pageBreakBefore/>
        <w:spacing w:before="0"/>
      </w:pPr>
      <w:bookmarkStart w:id="1" w:name="SummaryPage"/>
      <w:r>
        <w:lastRenderedPageBreak/>
        <w:t>The Centre for International Economics is a private economic research agency that provides professional, independent and timely analysis of international and domestic events and policies.</w:t>
      </w:r>
    </w:p>
    <w:p w14:paraId="633D0F79" w14:textId="77777777"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14:paraId="38879097" w14:textId="3B14529D" w:rsidR="00721CE9" w:rsidRPr="00A838D1" w:rsidRDefault="00721CE9" w:rsidP="0073712F">
      <w:pPr>
        <w:pStyle w:val="BodyText"/>
        <w:spacing w:before="1440"/>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EA1F73">
        <w:rPr>
          <w:noProof/>
        </w:rPr>
        <w:t>2021</w:t>
      </w:r>
      <w:r w:rsidRPr="00A838D1">
        <w:fldChar w:fldCharType="end"/>
      </w:r>
    </w:p>
    <w:p w14:paraId="43C2BF75" w14:textId="77777777" w:rsidR="00721CE9" w:rsidRPr="00511766" w:rsidRDefault="00721CE9" w:rsidP="001F4E3F">
      <w:pPr>
        <w:pStyle w:val="BodyText"/>
        <w:spacing w:before="80" w:after="240"/>
      </w:pPr>
      <w:r w:rsidRPr="00511766">
        <w:t>This work is copyright. Individuals, agencies and corporations wishing to reproduce this material should contact the Centre for International Economics at one of the following addresses.</w:t>
      </w:r>
    </w:p>
    <w:p w14:paraId="2137B3BD" w14:textId="77777777" w:rsidR="00632180" w:rsidRDefault="00632180" w:rsidP="00632180">
      <w:pPr>
        <w:pStyle w:val="SenderAddress"/>
        <w:sectPr w:rsidR="00632180" w:rsidSect="004E7620">
          <w:headerReference w:type="even" r:id="rId14"/>
          <w:headerReference w:type="default" r:id="rId15"/>
          <w:footerReference w:type="even" r:id="rId16"/>
          <w:footerReference w:type="default" r:id="rId17"/>
          <w:headerReference w:type="first" r:id="rId18"/>
          <w:pgSz w:w="11906" w:h="16838" w:code="9"/>
          <w:pgMar w:top="2268" w:right="1701" w:bottom="1418" w:left="2268" w:header="680" w:footer="680" w:gutter="0"/>
          <w:pgNumType w:fmt="lowerRoman"/>
          <w:cols w:space="708"/>
          <w:docGrid w:linePitch="360"/>
        </w:sectPr>
      </w:pPr>
    </w:p>
    <w:p w14:paraId="70F71108" w14:textId="77777777" w:rsidR="00632180" w:rsidRDefault="00632180" w:rsidP="00632180">
      <w:pPr>
        <w:pStyle w:val="SenderAddress"/>
      </w:pPr>
      <w:r>
        <w:rPr>
          <w:rFonts w:ascii="Franklin Gothic Demi" w:hAnsi="Franklin Gothic Demi"/>
          <w:caps/>
          <w:color w:val="9B917E" w:themeColor="accent4"/>
          <w:spacing w:val="44"/>
        </w:rPr>
        <w:t>Canberra</w:t>
      </w:r>
      <w:r w:rsidRPr="007248CB">
        <w:t xml:space="preserve"> </w:t>
      </w:r>
    </w:p>
    <w:p w14:paraId="515542A9" w14:textId="77777777" w:rsidR="00632180" w:rsidRDefault="00632180" w:rsidP="00632180">
      <w:pPr>
        <w:pStyle w:val="SenderAddress"/>
        <w:spacing w:after="0"/>
      </w:pPr>
      <w:r w:rsidRPr="007248CB">
        <w:t>Centre for International Economics</w:t>
      </w:r>
      <w:r>
        <w:t xml:space="preserve"> </w:t>
      </w:r>
      <w:r>
        <w:br/>
      </w:r>
      <w:r w:rsidRPr="007248CB">
        <w:t>Ground Floor, 11 Lancaster Place</w:t>
      </w:r>
      <w:r>
        <w:t xml:space="preserve"> </w:t>
      </w:r>
      <w:r>
        <w:br/>
        <w:t>Canberra Airport</w:t>
      </w:r>
      <w:r>
        <w:t> </w:t>
      </w:r>
      <w:r>
        <w:t>ACT</w:t>
      </w:r>
      <w:r>
        <w:t> </w:t>
      </w:r>
      <w:r w:rsidRPr="007248CB">
        <w:t>2609</w:t>
      </w:r>
      <w:r>
        <w:t xml:space="preserve"> </w:t>
      </w:r>
      <w:r>
        <w:br/>
        <w:t>Telephone</w:t>
      </w:r>
      <w:r>
        <w:tab/>
      </w:r>
      <w:r w:rsidRPr="007248CB">
        <w:t>+61 2 6245 7800</w:t>
      </w:r>
      <w:r>
        <w:t xml:space="preserve"> </w:t>
      </w:r>
      <w:r>
        <w:br/>
      </w:r>
      <w:r w:rsidRPr="007248CB">
        <w:t xml:space="preserve">Facsimile </w:t>
      </w:r>
      <w:r>
        <w:tab/>
      </w:r>
      <w:r w:rsidRPr="007248CB">
        <w:t>+61 2 6245 7888</w:t>
      </w:r>
      <w:r>
        <w:t xml:space="preserve"> </w:t>
      </w:r>
      <w:r>
        <w:br/>
      </w:r>
      <w:r w:rsidRPr="007248CB">
        <w:t>Ema</w:t>
      </w:r>
      <w:r>
        <w:t>il</w:t>
      </w:r>
      <w:r>
        <w:tab/>
      </w:r>
      <w:r w:rsidRPr="007248CB">
        <w:t>cie@TheCIE.com.au</w:t>
      </w:r>
      <w:r w:rsidRPr="00632180">
        <w:t xml:space="preserve"> </w:t>
      </w:r>
    </w:p>
    <w:p w14:paraId="4EEB36D1" w14:textId="77777777" w:rsidR="00632180" w:rsidRDefault="00632180" w:rsidP="00632180">
      <w:pPr>
        <w:pStyle w:val="SenderAddress"/>
      </w:pPr>
      <w:r>
        <w:rPr>
          <w:rFonts w:ascii="Franklin Gothic Demi" w:hAnsi="Franklin Gothic Demi"/>
          <w:caps/>
          <w:color w:val="9B917E" w:themeColor="accent4"/>
          <w:spacing w:val="44"/>
        </w:rPr>
        <w:t>Sydney</w:t>
      </w:r>
      <w:r w:rsidRPr="007248CB">
        <w:t xml:space="preserve"> </w:t>
      </w:r>
    </w:p>
    <w:p w14:paraId="30A2DF92" w14:textId="77777777" w:rsidR="00632180" w:rsidRDefault="00632180" w:rsidP="00632180">
      <w:pPr>
        <w:pStyle w:val="SenderAddress"/>
        <w:spacing w:after="0"/>
      </w:pPr>
      <w:r w:rsidRPr="007248CB">
        <w:t>Centre for International Economics</w:t>
      </w:r>
      <w:r>
        <w:t xml:space="preserve"> </w:t>
      </w:r>
      <w:r>
        <w:br/>
      </w:r>
      <w:r w:rsidRPr="007248CB">
        <w:t xml:space="preserve">Level </w:t>
      </w:r>
      <w:r>
        <w:t>7</w:t>
      </w:r>
      <w:r w:rsidRPr="007248CB">
        <w:t xml:space="preserve">, </w:t>
      </w:r>
      <w:r>
        <w:t>8 Spring</w:t>
      </w:r>
      <w:r w:rsidRPr="007248CB">
        <w:t xml:space="preserve"> Street</w:t>
      </w:r>
      <w:r>
        <w:t xml:space="preserve"> </w:t>
      </w:r>
      <w:r>
        <w:br/>
      </w:r>
      <w:r w:rsidRPr="007248CB">
        <w:t>Sydney</w:t>
      </w:r>
      <w:r w:rsidRPr="007248CB">
        <w:rPr>
          <w:rFonts w:cs="Book Antiqua"/>
        </w:rPr>
        <w:t> </w:t>
      </w:r>
      <w:r w:rsidRPr="007248CB">
        <w:t>NSW 2000</w:t>
      </w:r>
    </w:p>
    <w:p w14:paraId="7367B03D" w14:textId="77777777" w:rsidR="00632180" w:rsidRPr="007248CB" w:rsidRDefault="00632180" w:rsidP="00632180">
      <w:pPr>
        <w:pStyle w:val="SenderAddress"/>
        <w:spacing w:after="0"/>
      </w:pPr>
      <w:r>
        <w:t>Telephone</w:t>
      </w:r>
      <w:r>
        <w:tab/>
      </w:r>
      <w:r w:rsidRPr="007248CB">
        <w:t>+61 2 9250 0800</w:t>
      </w:r>
      <w:r>
        <w:t xml:space="preserve"> </w:t>
      </w:r>
      <w:r>
        <w:br/>
      </w:r>
      <w:r w:rsidRPr="007248CB">
        <w:t>Email</w:t>
      </w:r>
      <w:r w:rsidRPr="007248CB">
        <w:tab/>
      </w:r>
      <w:hyperlink r:id="rId19" w:history="1">
        <w:r w:rsidRPr="007248CB">
          <w:t>ciesyd@TheCIE.com.au</w:t>
        </w:r>
      </w:hyperlink>
    </w:p>
    <w:p w14:paraId="6BE109F2" w14:textId="77777777" w:rsidR="00632180" w:rsidRPr="007248CB" w:rsidRDefault="00632180" w:rsidP="00632180">
      <w:pPr>
        <w:pStyle w:val="SenderAddress"/>
        <w:spacing w:after="0"/>
      </w:pPr>
      <w:r w:rsidRPr="007248CB">
        <w:t>Website</w:t>
      </w:r>
      <w:r w:rsidRPr="007248CB">
        <w:tab/>
      </w:r>
      <w:hyperlink r:id="rId20" w:tooltip="CIE website" w:history="1">
        <w:r w:rsidRPr="007248CB">
          <w:t>www.TheCIE.com.au</w:t>
        </w:r>
      </w:hyperlink>
    </w:p>
    <w:p w14:paraId="3347776F" w14:textId="77777777" w:rsidR="00632180" w:rsidRDefault="00632180" w:rsidP="00632180">
      <w:pPr>
        <w:pStyle w:val="DisclaimerHeading"/>
        <w:spacing w:before="1920"/>
        <w:sectPr w:rsidR="00632180" w:rsidSect="00632180">
          <w:type w:val="continuous"/>
          <w:pgSz w:w="11906" w:h="16838" w:code="9"/>
          <w:pgMar w:top="2268" w:right="1701" w:bottom="1418" w:left="2268" w:header="680" w:footer="680" w:gutter="0"/>
          <w:pgNumType w:fmt="lowerRoman"/>
          <w:cols w:num="2" w:space="708"/>
          <w:docGrid w:linePitch="360"/>
        </w:sectPr>
      </w:pPr>
    </w:p>
    <w:p w14:paraId="57BDB42A" w14:textId="77777777" w:rsidR="00B70F45" w:rsidRDefault="00632180" w:rsidP="00DB24EF">
      <w:pPr>
        <w:pStyle w:val="SenderAddress"/>
        <w:spacing w:after="0"/>
      </w:pPr>
      <w:r>
        <w:t>Website</w:t>
      </w:r>
      <w:r>
        <w:tab/>
      </w:r>
      <w:r w:rsidRPr="007248CB">
        <w:t>www.TheCIE.com.au</w:t>
      </w:r>
    </w:p>
    <w:p w14:paraId="23B59D1B" w14:textId="77777777" w:rsidR="00B70F45" w:rsidRDefault="00B70F45" w:rsidP="00233C02">
      <w:pPr>
        <w:pStyle w:val="DisclaimerHeading"/>
        <w:spacing w:before="1920"/>
      </w:pPr>
    </w:p>
    <w:p w14:paraId="0958D33A" w14:textId="77777777" w:rsidR="005B1FD7" w:rsidRPr="00375BA6" w:rsidRDefault="005B1FD7" w:rsidP="001F4E3F">
      <w:pPr>
        <w:pStyle w:val="DisclaimerHeading"/>
        <w:spacing w:before="2520"/>
      </w:pPr>
      <w:r w:rsidRPr="00375BA6">
        <w:t>Disclaimer</w:t>
      </w:r>
    </w:p>
    <w:p w14:paraId="2FAC1750" w14:textId="77777777" w:rsidR="006730DA" w:rsidRDefault="001B25D3" w:rsidP="001B25D3">
      <w:pPr>
        <w:pStyle w:val="Disclaimer"/>
        <w:rPr>
          <w:lang w:bidi="fa-IR"/>
        </w:rPr>
      </w:pPr>
      <w:r>
        <w:t>While the CIE endeavours to provide reliable analysis and believes the material it presents is accurate, it will not be liable for any party acting on such information.</w:t>
      </w:r>
    </w:p>
    <w:p w14:paraId="78071739" w14:textId="77777777" w:rsidR="00650F3E" w:rsidRDefault="00650F3E" w:rsidP="004E7620">
      <w:pPr>
        <w:pStyle w:val="Contents"/>
      </w:pPr>
      <w:bookmarkStart w:id="2" w:name="DeleteTOC"/>
      <w:bookmarkEnd w:id="1"/>
      <w:r>
        <w:lastRenderedPageBreak/>
        <w:t>Contents</w:t>
      </w:r>
    </w:p>
    <w:p w14:paraId="15536D90" w14:textId="20AB7976" w:rsidR="00390CDB" w:rsidRDefault="00650F3E">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390CDB">
        <w:rPr>
          <w:noProof/>
          <w:lang w:bidi="fa-IR"/>
        </w:rPr>
        <w:t>Abbreviations</w:t>
      </w:r>
      <w:r w:rsidR="00390CDB">
        <w:rPr>
          <w:noProof/>
        </w:rPr>
        <w:tab/>
      </w:r>
      <w:r w:rsidR="00390CDB">
        <w:rPr>
          <w:noProof/>
        </w:rPr>
        <w:fldChar w:fldCharType="begin"/>
      </w:r>
      <w:r w:rsidR="00390CDB">
        <w:rPr>
          <w:noProof/>
        </w:rPr>
        <w:instrText xml:space="preserve"> PAGEREF _Toc70505076 \h </w:instrText>
      </w:r>
      <w:r w:rsidR="00390CDB">
        <w:rPr>
          <w:noProof/>
        </w:rPr>
      </w:r>
      <w:r w:rsidR="00390CDB">
        <w:rPr>
          <w:noProof/>
        </w:rPr>
        <w:fldChar w:fldCharType="separate"/>
      </w:r>
      <w:r w:rsidR="000F445C">
        <w:rPr>
          <w:noProof/>
        </w:rPr>
        <w:t>1</w:t>
      </w:r>
      <w:r w:rsidR="00390CDB">
        <w:rPr>
          <w:noProof/>
        </w:rPr>
        <w:fldChar w:fldCharType="end"/>
      </w:r>
    </w:p>
    <w:p w14:paraId="3C9EDDB7" w14:textId="7EB7B05A" w:rsidR="00390CDB" w:rsidRDefault="00390CDB">
      <w:pPr>
        <w:pStyle w:val="TOC1"/>
        <w:rPr>
          <w:rFonts w:asciiTheme="minorHAnsi" w:eastAsiaTheme="minorEastAsia" w:hAnsiTheme="minorHAnsi" w:cstheme="minorBidi"/>
          <w:noProof/>
          <w:sz w:val="22"/>
          <w:szCs w:val="22"/>
        </w:rPr>
      </w:pPr>
      <w:r>
        <w:rPr>
          <w:noProof/>
          <w:lang w:bidi="fa-IR"/>
        </w:rPr>
        <w:t>Glossary</w:t>
      </w:r>
      <w:r>
        <w:rPr>
          <w:noProof/>
        </w:rPr>
        <w:tab/>
      </w:r>
      <w:r>
        <w:rPr>
          <w:noProof/>
        </w:rPr>
        <w:fldChar w:fldCharType="begin"/>
      </w:r>
      <w:r>
        <w:rPr>
          <w:noProof/>
        </w:rPr>
        <w:instrText xml:space="preserve"> PAGEREF _Toc70505077 \h </w:instrText>
      </w:r>
      <w:r>
        <w:rPr>
          <w:noProof/>
        </w:rPr>
      </w:r>
      <w:r>
        <w:rPr>
          <w:noProof/>
        </w:rPr>
        <w:fldChar w:fldCharType="separate"/>
      </w:r>
      <w:r w:rsidR="000F445C">
        <w:rPr>
          <w:noProof/>
        </w:rPr>
        <w:t>3</w:t>
      </w:r>
      <w:r>
        <w:rPr>
          <w:noProof/>
        </w:rPr>
        <w:fldChar w:fldCharType="end"/>
      </w:r>
    </w:p>
    <w:p w14:paraId="35AC9C5C" w14:textId="4C235387" w:rsidR="00390CDB" w:rsidRDefault="00390CDB">
      <w:pPr>
        <w:pStyle w:val="TOC1"/>
        <w:rPr>
          <w:rFonts w:asciiTheme="minorHAnsi" w:eastAsiaTheme="minorEastAsia" w:hAnsiTheme="minorHAnsi" w:cstheme="minorBidi"/>
          <w:noProof/>
          <w:sz w:val="22"/>
          <w:szCs w:val="22"/>
        </w:rPr>
      </w:pPr>
      <w:r>
        <w:rPr>
          <w:noProof/>
          <w:lang w:bidi="fa-IR"/>
        </w:rPr>
        <w:t>Executive summary</w:t>
      </w:r>
      <w:r>
        <w:rPr>
          <w:noProof/>
        </w:rPr>
        <w:tab/>
      </w:r>
      <w:r>
        <w:rPr>
          <w:noProof/>
        </w:rPr>
        <w:fldChar w:fldCharType="begin"/>
      </w:r>
      <w:r>
        <w:rPr>
          <w:noProof/>
        </w:rPr>
        <w:instrText xml:space="preserve"> PAGEREF _Toc70505078 \h </w:instrText>
      </w:r>
      <w:r>
        <w:rPr>
          <w:noProof/>
        </w:rPr>
      </w:r>
      <w:r>
        <w:rPr>
          <w:noProof/>
        </w:rPr>
        <w:fldChar w:fldCharType="separate"/>
      </w:r>
      <w:r w:rsidR="000F445C">
        <w:rPr>
          <w:noProof/>
        </w:rPr>
        <w:t>7</w:t>
      </w:r>
      <w:r>
        <w:rPr>
          <w:noProof/>
        </w:rPr>
        <w:fldChar w:fldCharType="end"/>
      </w:r>
    </w:p>
    <w:p w14:paraId="39F737F5" w14:textId="2819FFAE" w:rsidR="00390CDB" w:rsidRDefault="00390CDB">
      <w:pPr>
        <w:pStyle w:val="TOC2"/>
        <w:rPr>
          <w:rFonts w:asciiTheme="minorHAnsi" w:eastAsiaTheme="minorEastAsia" w:hAnsiTheme="minorHAnsi" w:cstheme="minorBidi"/>
          <w:noProof/>
          <w:sz w:val="22"/>
          <w:szCs w:val="22"/>
        </w:rPr>
      </w:pPr>
      <w:r w:rsidRPr="0038291D">
        <w:rPr>
          <w:bCs/>
          <w:noProof/>
        </w:rPr>
        <w:t>Background</w:t>
      </w:r>
      <w:r>
        <w:rPr>
          <w:noProof/>
        </w:rPr>
        <w:tab/>
      </w:r>
      <w:r>
        <w:rPr>
          <w:noProof/>
        </w:rPr>
        <w:fldChar w:fldCharType="begin"/>
      </w:r>
      <w:r>
        <w:rPr>
          <w:noProof/>
        </w:rPr>
        <w:instrText xml:space="preserve"> PAGEREF _Toc70505079 \h </w:instrText>
      </w:r>
      <w:r>
        <w:rPr>
          <w:noProof/>
        </w:rPr>
      </w:r>
      <w:r>
        <w:rPr>
          <w:noProof/>
        </w:rPr>
        <w:fldChar w:fldCharType="separate"/>
      </w:r>
      <w:r w:rsidR="000F445C">
        <w:rPr>
          <w:noProof/>
        </w:rPr>
        <w:t>9</w:t>
      </w:r>
      <w:r>
        <w:rPr>
          <w:noProof/>
        </w:rPr>
        <w:fldChar w:fldCharType="end"/>
      </w:r>
    </w:p>
    <w:p w14:paraId="5C2A973B" w14:textId="2C8EDC99" w:rsidR="00390CDB" w:rsidRDefault="00390CDB">
      <w:pPr>
        <w:pStyle w:val="TOC2"/>
        <w:rPr>
          <w:rFonts w:asciiTheme="minorHAnsi" w:eastAsiaTheme="minorEastAsia" w:hAnsiTheme="minorHAnsi" w:cstheme="minorBidi"/>
          <w:noProof/>
          <w:sz w:val="22"/>
          <w:szCs w:val="22"/>
        </w:rPr>
      </w:pPr>
      <w:r w:rsidRPr="0038291D">
        <w:rPr>
          <w:bCs/>
          <w:noProof/>
          <w:lang w:bidi="fa-IR"/>
        </w:rPr>
        <w:t>Statement of the problem</w:t>
      </w:r>
      <w:r>
        <w:rPr>
          <w:noProof/>
        </w:rPr>
        <w:tab/>
      </w:r>
      <w:r>
        <w:rPr>
          <w:noProof/>
        </w:rPr>
        <w:fldChar w:fldCharType="begin"/>
      </w:r>
      <w:r>
        <w:rPr>
          <w:noProof/>
        </w:rPr>
        <w:instrText xml:space="preserve"> PAGEREF _Toc70505080 \h </w:instrText>
      </w:r>
      <w:r>
        <w:rPr>
          <w:noProof/>
        </w:rPr>
      </w:r>
      <w:r>
        <w:rPr>
          <w:noProof/>
        </w:rPr>
        <w:fldChar w:fldCharType="separate"/>
      </w:r>
      <w:r w:rsidR="000F445C">
        <w:rPr>
          <w:noProof/>
        </w:rPr>
        <w:t>10</w:t>
      </w:r>
      <w:r>
        <w:rPr>
          <w:noProof/>
        </w:rPr>
        <w:fldChar w:fldCharType="end"/>
      </w:r>
    </w:p>
    <w:p w14:paraId="68F89B7B" w14:textId="5F768551" w:rsidR="00390CDB" w:rsidRDefault="00390CDB">
      <w:pPr>
        <w:pStyle w:val="TOC2"/>
        <w:rPr>
          <w:rFonts w:asciiTheme="minorHAnsi" w:eastAsiaTheme="minorEastAsia" w:hAnsiTheme="minorHAnsi" w:cstheme="minorBidi"/>
          <w:noProof/>
          <w:sz w:val="22"/>
          <w:szCs w:val="22"/>
        </w:rPr>
      </w:pPr>
      <w:r w:rsidRPr="0038291D">
        <w:rPr>
          <w:bCs/>
          <w:noProof/>
          <w:lang w:bidi="fa-IR"/>
        </w:rPr>
        <w:t>Options</w:t>
      </w:r>
      <w:r>
        <w:rPr>
          <w:noProof/>
        </w:rPr>
        <w:tab/>
      </w:r>
      <w:r>
        <w:rPr>
          <w:noProof/>
        </w:rPr>
        <w:fldChar w:fldCharType="begin"/>
      </w:r>
      <w:r>
        <w:rPr>
          <w:noProof/>
        </w:rPr>
        <w:instrText xml:space="preserve"> PAGEREF _Toc70505081 \h </w:instrText>
      </w:r>
      <w:r>
        <w:rPr>
          <w:noProof/>
        </w:rPr>
      </w:r>
      <w:r>
        <w:rPr>
          <w:noProof/>
        </w:rPr>
        <w:fldChar w:fldCharType="separate"/>
      </w:r>
      <w:r w:rsidR="000F445C">
        <w:rPr>
          <w:noProof/>
        </w:rPr>
        <w:t>13</w:t>
      </w:r>
      <w:r>
        <w:rPr>
          <w:noProof/>
        </w:rPr>
        <w:fldChar w:fldCharType="end"/>
      </w:r>
    </w:p>
    <w:p w14:paraId="2471B0DA" w14:textId="5CD22081" w:rsidR="00390CDB" w:rsidRDefault="00390CDB">
      <w:pPr>
        <w:pStyle w:val="TOC2"/>
        <w:rPr>
          <w:rFonts w:asciiTheme="minorHAnsi" w:eastAsiaTheme="minorEastAsia" w:hAnsiTheme="minorHAnsi" w:cstheme="minorBidi"/>
          <w:noProof/>
          <w:sz w:val="22"/>
          <w:szCs w:val="22"/>
        </w:rPr>
      </w:pPr>
      <w:r w:rsidRPr="0038291D">
        <w:rPr>
          <w:bCs/>
          <w:noProof/>
          <w:lang w:bidi="fa-IR"/>
        </w:rPr>
        <w:t>Consultation</w:t>
      </w:r>
      <w:r>
        <w:rPr>
          <w:noProof/>
        </w:rPr>
        <w:tab/>
      </w:r>
      <w:r>
        <w:rPr>
          <w:noProof/>
        </w:rPr>
        <w:fldChar w:fldCharType="begin"/>
      </w:r>
      <w:r>
        <w:rPr>
          <w:noProof/>
        </w:rPr>
        <w:instrText xml:space="preserve"> PAGEREF _Toc70505082 \h </w:instrText>
      </w:r>
      <w:r>
        <w:rPr>
          <w:noProof/>
        </w:rPr>
      </w:r>
      <w:r>
        <w:rPr>
          <w:noProof/>
        </w:rPr>
        <w:fldChar w:fldCharType="separate"/>
      </w:r>
      <w:r w:rsidR="000F445C">
        <w:rPr>
          <w:noProof/>
        </w:rPr>
        <w:t>14</w:t>
      </w:r>
      <w:r>
        <w:rPr>
          <w:noProof/>
        </w:rPr>
        <w:fldChar w:fldCharType="end"/>
      </w:r>
    </w:p>
    <w:p w14:paraId="389A55A4" w14:textId="22A03A87" w:rsidR="00390CDB" w:rsidRDefault="00390CDB">
      <w:pPr>
        <w:pStyle w:val="TOC2"/>
        <w:rPr>
          <w:rFonts w:asciiTheme="minorHAnsi" w:eastAsiaTheme="minorEastAsia" w:hAnsiTheme="minorHAnsi" w:cstheme="minorBidi"/>
          <w:noProof/>
          <w:sz w:val="22"/>
          <w:szCs w:val="22"/>
        </w:rPr>
      </w:pPr>
      <w:r w:rsidRPr="0038291D">
        <w:rPr>
          <w:bCs/>
          <w:noProof/>
          <w:lang w:bidi="fa-IR"/>
        </w:rPr>
        <w:t>Estimated impacts – costs and benefits</w:t>
      </w:r>
      <w:r>
        <w:rPr>
          <w:noProof/>
        </w:rPr>
        <w:tab/>
      </w:r>
      <w:r>
        <w:rPr>
          <w:noProof/>
        </w:rPr>
        <w:fldChar w:fldCharType="begin"/>
      </w:r>
      <w:r>
        <w:rPr>
          <w:noProof/>
        </w:rPr>
        <w:instrText xml:space="preserve"> PAGEREF _Toc70505083 \h </w:instrText>
      </w:r>
      <w:r>
        <w:rPr>
          <w:noProof/>
        </w:rPr>
      </w:r>
      <w:r>
        <w:rPr>
          <w:noProof/>
        </w:rPr>
        <w:fldChar w:fldCharType="separate"/>
      </w:r>
      <w:r w:rsidR="000F445C">
        <w:rPr>
          <w:noProof/>
        </w:rPr>
        <w:t>15</w:t>
      </w:r>
      <w:r>
        <w:rPr>
          <w:noProof/>
        </w:rPr>
        <w:fldChar w:fldCharType="end"/>
      </w:r>
    </w:p>
    <w:p w14:paraId="13D44222" w14:textId="19E8418B" w:rsidR="00390CDB" w:rsidRDefault="00390CDB">
      <w:pPr>
        <w:pStyle w:val="TOC2"/>
        <w:rPr>
          <w:rFonts w:asciiTheme="minorHAnsi" w:eastAsiaTheme="minorEastAsia" w:hAnsiTheme="minorHAnsi" w:cstheme="minorBidi"/>
          <w:noProof/>
          <w:sz w:val="22"/>
          <w:szCs w:val="22"/>
        </w:rPr>
      </w:pPr>
      <w:r w:rsidRPr="0038291D">
        <w:rPr>
          <w:bCs/>
          <w:noProof/>
          <w:lang w:bidi="fa-IR"/>
        </w:rPr>
        <w:t>Conclusions</w:t>
      </w:r>
      <w:r>
        <w:rPr>
          <w:noProof/>
        </w:rPr>
        <w:tab/>
      </w:r>
      <w:r>
        <w:rPr>
          <w:noProof/>
        </w:rPr>
        <w:fldChar w:fldCharType="begin"/>
      </w:r>
      <w:r>
        <w:rPr>
          <w:noProof/>
        </w:rPr>
        <w:instrText xml:space="preserve"> PAGEREF _Toc70505084 \h </w:instrText>
      </w:r>
      <w:r>
        <w:rPr>
          <w:noProof/>
        </w:rPr>
      </w:r>
      <w:r>
        <w:rPr>
          <w:noProof/>
        </w:rPr>
        <w:fldChar w:fldCharType="separate"/>
      </w:r>
      <w:r w:rsidR="000F445C">
        <w:rPr>
          <w:noProof/>
        </w:rPr>
        <w:t>19</w:t>
      </w:r>
      <w:r>
        <w:rPr>
          <w:noProof/>
        </w:rPr>
        <w:fldChar w:fldCharType="end"/>
      </w:r>
    </w:p>
    <w:p w14:paraId="50F9C5C0" w14:textId="40602382" w:rsidR="00390CDB" w:rsidRDefault="00390CDB">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Background and introduction</w:t>
      </w:r>
      <w:r>
        <w:rPr>
          <w:noProof/>
        </w:rPr>
        <w:tab/>
      </w:r>
      <w:r>
        <w:rPr>
          <w:noProof/>
        </w:rPr>
        <w:fldChar w:fldCharType="begin"/>
      </w:r>
      <w:r>
        <w:rPr>
          <w:noProof/>
        </w:rPr>
        <w:instrText xml:space="preserve"> PAGEREF _Toc70505085 \h </w:instrText>
      </w:r>
      <w:r>
        <w:rPr>
          <w:noProof/>
        </w:rPr>
      </w:r>
      <w:r>
        <w:rPr>
          <w:noProof/>
        </w:rPr>
        <w:fldChar w:fldCharType="separate"/>
      </w:r>
      <w:r w:rsidR="000F445C">
        <w:rPr>
          <w:noProof/>
        </w:rPr>
        <w:t>21</w:t>
      </w:r>
      <w:r>
        <w:rPr>
          <w:noProof/>
        </w:rPr>
        <w:fldChar w:fldCharType="end"/>
      </w:r>
    </w:p>
    <w:p w14:paraId="192447D2" w14:textId="62015967" w:rsidR="00390CDB" w:rsidRDefault="00390CDB">
      <w:pPr>
        <w:pStyle w:val="TOC2"/>
        <w:rPr>
          <w:rFonts w:asciiTheme="minorHAnsi" w:eastAsiaTheme="minorEastAsia" w:hAnsiTheme="minorHAnsi" w:cstheme="minorBidi"/>
          <w:noProof/>
          <w:sz w:val="22"/>
          <w:szCs w:val="22"/>
        </w:rPr>
      </w:pPr>
      <w:r>
        <w:rPr>
          <w:noProof/>
        </w:rPr>
        <w:t>Background</w:t>
      </w:r>
      <w:r>
        <w:rPr>
          <w:noProof/>
        </w:rPr>
        <w:tab/>
      </w:r>
      <w:r>
        <w:rPr>
          <w:noProof/>
        </w:rPr>
        <w:fldChar w:fldCharType="begin"/>
      </w:r>
      <w:r>
        <w:rPr>
          <w:noProof/>
        </w:rPr>
        <w:instrText xml:space="preserve"> PAGEREF _Toc70505086 \h </w:instrText>
      </w:r>
      <w:r>
        <w:rPr>
          <w:noProof/>
        </w:rPr>
      </w:r>
      <w:r>
        <w:rPr>
          <w:noProof/>
        </w:rPr>
        <w:fldChar w:fldCharType="separate"/>
      </w:r>
      <w:r w:rsidR="000F445C">
        <w:rPr>
          <w:noProof/>
        </w:rPr>
        <w:t>21</w:t>
      </w:r>
      <w:r>
        <w:rPr>
          <w:noProof/>
        </w:rPr>
        <w:fldChar w:fldCharType="end"/>
      </w:r>
    </w:p>
    <w:p w14:paraId="1FE3FA70" w14:textId="011C4E76" w:rsidR="00390CDB" w:rsidRDefault="00390CDB">
      <w:pPr>
        <w:pStyle w:val="TOC2"/>
        <w:rPr>
          <w:rFonts w:asciiTheme="minorHAnsi" w:eastAsiaTheme="minorEastAsia" w:hAnsiTheme="minorHAnsi" w:cstheme="minorBidi"/>
          <w:noProof/>
          <w:sz w:val="22"/>
          <w:szCs w:val="22"/>
        </w:rPr>
      </w:pPr>
      <w:r>
        <w:rPr>
          <w:noProof/>
        </w:rPr>
        <w:t>The RIS process</w:t>
      </w:r>
      <w:r>
        <w:rPr>
          <w:noProof/>
        </w:rPr>
        <w:tab/>
      </w:r>
      <w:r>
        <w:rPr>
          <w:noProof/>
        </w:rPr>
        <w:fldChar w:fldCharType="begin"/>
      </w:r>
      <w:r>
        <w:rPr>
          <w:noProof/>
        </w:rPr>
        <w:instrText xml:space="preserve"> PAGEREF _Toc70505087 \h </w:instrText>
      </w:r>
      <w:r>
        <w:rPr>
          <w:noProof/>
        </w:rPr>
      </w:r>
      <w:r>
        <w:rPr>
          <w:noProof/>
        </w:rPr>
        <w:fldChar w:fldCharType="separate"/>
      </w:r>
      <w:r w:rsidR="000F445C">
        <w:rPr>
          <w:noProof/>
        </w:rPr>
        <w:t>25</w:t>
      </w:r>
      <w:r>
        <w:rPr>
          <w:noProof/>
        </w:rPr>
        <w:fldChar w:fldCharType="end"/>
      </w:r>
    </w:p>
    <w:p w14:paraId="080B688B" w14:textId="6EACD792" w:rsidR="00390CDB" w:rsidRDefault="00390CDB">
      <w:pPr>
        <w:pStyle w:val="TOC2"/>
        <w:rPr>
          <w:rFonts w:asciiTheme="minorHAnsi" w:eastAsiaTheme="minorEastAsia" w:hAnsiTheme="minorHAnsi" w:cstheme="minorBidi"/>
          <w:noProof/>
          <w:sz w:val="22"/>
          <w:szCs w:val="22"/>
        </w:rPr>
      </w:pPr>
      <w:r>
        <w:rPr>
          <w:noProof/>
          <w:lang w:bidi="fa-IR"/>
        </w:rPr>
        <w:t>Terminology</w:t>
      </w:r>
      <w:r>
        <w:rPr>
          <w:noProof/>
        </w:rPr>
        <w:tab/>
      </w:r>
      <w:r>
        <w:rPr>
          <w:noProof/>
        </w:rPr>
        <w:fldChar w:fldCharType="begin"/>
      </w:r>
      <w:r>
        <w:rPr>
          <w:noProof/>
        </w:rPr>
        <w:instrText xml:space="preserve"> PAGEREF _Toc70505088 \h </w:instrText>
      </w:r>
      <w:r>
        <w:rPr>
          <w:noProof/>
        </w:rPr>
      </w:r>
      <w:r>
        <w:rPr>
          <w:noProof/>
        </w:rPr>
        <w:fldChar w:fldCharType="separate"/>
      </w:r>
      <w:r w:rsidR="000F445C">
        <w:rPr>
          <w:noProof/>
        </w:rPr>
        <w:t>29</w:t>
      </w:r>
      <w:r>
        <w:rPr>
          <w:noProof/>
        </w:rPr>
        <w:fldChar w:fldCharType="end"/>
      </w:r>
    </w:p>
    <w:p w14:paraId="38B64568" w14:textId="0B1C64EE" w:rsidR="00390CDB" w:rsidRDefault="00390CDB">
      <w:pPr>
        <w:pStyle w:val="TOC2"/>
        <w:rPr>
          <w:rFonts w:asciiTheme="minorHAnsi" w:eastAsiaTheme="minorEastAsia" w:hAnsiTheme="minorHAnsi" w:cstheme="minorBidi"/>
          <w:noProof/>
          <w:sz w:val="22"/>
          <w:szCs w:val="22"/>
        </w:rPr>
      </w:pPr>
      <w:r>
        <w:rPr>
          <w:noProof/>
          <w:lang w:bidi="fa-IR"/>
        </w:rPr>
        <w:t>This report</w:t>
      </w:r>
      <w:r>
        <w:rPr>
          <w:noProof/>
        </w:rPr>
        <w:tab/>
      </w:r>
      <w:r>
        <w:rPr>
          <w:noProof/>
        </w:rPr>
        <w:fldChar w:fldCharType="begin"/>
      </w:r>
      <w:r>
        <w:rPr>
          <w:noProof/>
        </w:rPr>
        <w:instrText xml:space="preserve"> PAGEREF _Toc70505089 \h </w:instrText>
      </w:r>
      <w:r>
        <w:rPr>
          <w:noProof/>
        </w:rPr>
      </w:r>
      <w:r>
        <w:rPr>
          <w:noProof/>
        </w:rPr>
        <w:fldChar w:fldCharType="separate"/>
      </w:r>
      <w:r w:rsidR="000F445C">
        <w:rPr>
          <w:noProof/>
        </w:rPr>
        <w:t>29</w:t>
      </w:r>
      <w:r>
        <w:rPr>
          <w:noProof/>
        </w:rPr>
        <w:fldChar w:fldCharType="end"/>
      </w:r>
    </w:p>
    <w:p w14:paraId="4391875D" w14:textId="75390FA6" w:rsidR="00390CDB" w:rsidRDefault="00390CDB">
      <w:pPr>
        <w:pStyle w:val="TOC1"/>
        <w:rPr>
          <w:rFonts w:asciiTheme="minorHAnsi" w:eastAsiaTheme="minorEastAsia" w:hAnsiTheme="minorHAnsi" w:cstheme="minorBidi"/>
          <w:noProof/>
          <w:sz w:val="22"/>
          <w:szCs w:val="22"/>
        </w:rPr>
      </w:pPr>
      <w:r>
        <w:rPr>
          <w:noProof/>
          <w:lang w:bidi="fa-IR"/>
        </w:rPr>
        <w:t>2</w:t>
      </w:r>
      <w:r>
        <w:rPr>
          <w:rFonts w:asciiTheme="minorHAnsi" w:eastAsiaTheme="minorEastAsia" w:hAnsiTheme="minorHAnsi" w:cstheme="minorBidi"/>
          <w:noProof/>
          <w:sz w:val="22"/>
          <w:szCs w:val="22"/>
        </w:rPr>
        <w:tab/>
      </w:r>
      <w:r>
        <w:rPr>
          <w:noProof/>
          <w:lang w:bidi="fa-IR"/>
        </w:rPr>
        <w:t>Feedback on the Consultation RIS</w:t>
      </w:r>
      <w:r>
        <w:rPr>
          <w:noProof/>
        </w:rPr>
        <w:tab/>
      </w:r>
      <w:r>
        <w:rPr>
          <w:noProof/>
        </w:rPr>
        <w:fldChar w:fldCharType="begin"/>
      </w:r>
      <w:r>
        <w:rPr>
          <w:noProof/>
        </w:rPr>
        <w:instrText xml:space="preserve"> PAGEREF _Toc70505090 \h </w:instrText>
      </w:r>
      <w:r>
        <w:rPr>
          <w:noProof/>
        </w:rPr>
      </w:r>
      <w:r>
        <w:rPr>
          <w:noProof/>
        </w:rPr>
        <w:fldChar w:fldCharType="separate"/>
      </w:r>
      <w:r w:rsidR="000F445C">
        <w:rPr>
          <w:noProof/>
        </w:rPr>
        <w:t>30</w:t>
      </w:r>
      <w:r>
        <w:rPr>
          <w:noProof/>
        </w:rPr>
        <w:fldChar w:fldCharType="end"/>
      </w:r>
    </w:p>
    <w:p w14:paraId="4102D9CB" w14:textId="710B3F18" w:rsidR="00390CDB" w:rsidRDefault="00390CDB">
      <w:pPr>
        <w:pStyle w:val="TOC2"/>
        <w:rPr>
          <w:rFonts w:asciiTheme="minorHAnsi" w:eastAsiaTheme="minorEastAsia" w:hAnsiTheme="minorHAnsi" w:cstheme="minorBidi"/>
          <w:noProof/>
          <w:sz w:val="22"/>
          <w:szCs w:val="22"/>
        </w:rPr>
      </w:pPr>
      <w:r>
        <w:rPr>
          <w:noProof/>
          <w:lang w:bidi="fa-IR"/>
        </w:rPr>
        <w:t>Key issues raised in consultation</w:t>
      </w:r>
      <w:r>
        <w:rPr>
          <w:noProof/>
        </w:rPr>
        <w:tab/>
      </w:r>
      <w:r>
        <w:rPr>
          <w:noProof/>
        </w:rPr>
        <w:fldChar w:fldCharType="begin"/>
      </w:r>
      <w:r>
        <w:rPr>
          <w:noProof/>
        </w:rPr>
        <w:instrText xml:space="preserve"> PAGEREF _Toc70505091 \h </w:instrText>
      </w:r>
      <w:r>
        <w:rPr>
          <w:noProof/>
        </w:rPr>
      </w:r>
      <w:r>
        <w:rPr>
          <w:noProof/>
        </w:rPr>
        <w:fldChar w:fldCharType="separate"/>
      </w:r>
      <w:r w:rsidR="000F445C">
        <w:rPr>
          <w:noProof/>
        </w:rPr>
        <w:t>30</w:t>
      </w:r>
      <w:r>
        <w:rPr>
          <w:noProof/>
        </w:rPr>
        <w:fldChar w:fldCharType="end"/>
      </w:r>
    </w:p>
    <w:p w14:paraId="256A26E0" w14:textId="73B7E597" w:rsidR="00390CDB" w:rsidRDefault="00390CDB">
      <w:pPr>
        <w:pStyle w:val="TOC2"/>
        <w:rPr>
          <w:rFonts w:asciiTheme="minorHAnsi" w:eastAsiaTheme="minorEastAsia" w:hAnsiTheme="minorHAnsi" w:cstheme="minorBidi"/>
          <w:noProof/>
          <w:sz w:val="22"/>
          <w:szCs w:val="22"/>
        </w:rPr>
      </w:pPr>
      <w:r>
        <w:rPr>
          <w:noProof/>
          <w:lang w:bidi="fa-IR"/>
        </w:rPr>
        <w:t>Overall approach to economic analysis and CBA</w:t>
      </w:r>
      <w:r>
        <w:rPr>
          <w:noProof/>
        </w:rPr>
        <w:tab/>
      </w:r>
      <w:r>
        <w:rPr>
          <w:noProof/>
        </w:rPr>
        <w:fldChar w:fldCharType="begin"/>
      </w:r>
      <w:r>
        <w:rPr>
          <w:noProof/>
        </w:rPr>
        <w:instrText xml:space="preserve"> PAGEREF _Toc70505092 \h </w:instrText>
      </w:r>
      <w:r>
        <w:rPr>
          <w:noProof/>
        </w:rPr>
      </w:r>
      <w:r>
        <w:rPr>
          <w:noProof/>
        </w:rPr>
        <w:fldChar w:fldCharType="separate"/>
      </w:r>
      <w:r w:rsidR="000F445C">
        <w:rPr>
          <w:noProof/>
        </w:rPr>
        <w:t>39</w:t>
      </w:r>
      <w:r>
        <w:rPr>
          <w:noProof/>
        </w:rPr>
        <w:fldChar w:fldCharType="end"/>
      </w:r>
    </w:p>
    <w:p w14:paraId="746228F4" w14:textId="38B119EC" w:rsidR="00390CDB" w:rsidRDefault="00390CDB">
      <w:pPr>
        <w:pStyle w:val="TOC2"/>
        <w:rPr>
          <w:rFonts w:asciiTheme="minorHAnsi" w:eastAsiaTheme="minorEastAsia" w:hAnsiTheme="minorHAnsi" w:cstheme="minorBidi"/>
          <w:noProof/>
          <w:sz w:val="22"/>
          <w:szCs w:val="22"/>
        </w:rPr>
      </w:pPr>
      <w:r>
        <w:rPr>
          <w:noProof/>
          <w:lang w:bidi="fa-IR"/>
        </w:rPr>
        <w:t>Specific methodological issues</w:t>
      </w:r>
      <w:r>
        <w:rPr>
          <w:noProof/>
        </w:rPr>
        <w:tab/>
      </w:r>
      <w:r>
        <w:rPr>
          <w:noProof/>
        </w:rPr>
        <w:fldChar w:fldCharType="begin"/>
      </w:r>
      <w:r>
        <w:rPr>
          <w:noProof/>
        </w:rPr>
        <w:instrText xml:space="preserve"> PAGEREF _Toc70505093 \h </w:instrText>
      </w:r>
      <w:r>
        <w:rPr>
          <w:noProof/>
        </w:rPr>
      </w:r>
      <w:r>
        <w:rPr>
          <w:noProof/>
        </w:rPr>
        <w:fldChar w:fldCharType="separate"/>
      </w:r>
      <w:r w:rsidR="000F445C">
        <w:rPr>
          <w:noProof/>
        </w:rPr>
        <w:t>43</w:t>
      </w:r>
      <w:r>
        <w:rPr>
          <w:noProof/>
        </w:rPr>
        <w:fldChar w:fldCharType="end"/>
      </w:r>
    </w:p>
    <w:p w14:paraId="74CA00B7" w14:textId="0C3E817E" w:rsidR="00390CDB" w:rsidRDefault="00390CDB">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Statement of the problem</w:t>
      </w:r>
      <w:r>
        <w:rPr>
          <w:noProof/>
        </w:rPr>
        <w:tab/>
      </w:r>
      <w:r>
        <w:rPr>
          <w:noProof/>
        </w:rPr>
        <w:fldChar w:fldCharType="begin"/>
      </w:r>
      <w:r>
        <w:rPr>
          <w:noProof/>
        </w:rPr>
        <w:instrText xml:space="preserve"> PAGEREF _Toc70505094 \h </w:instrText>
      </w:r>
      <w:r>
        <w:rPr>
          <w:noProof/>
        </w:rPr>
      </w:r>
      <w:r>
        <w:rPr>
          <w:noProof/>
        </w:rPr>
        <w:fldChar w:fldCharType="separate"/>
      </w:r>
      <w:r w:rsidR="000F445C">
        <w:rPr>
          <w:noProof/>
        </w:rPr>
        <w:t>57</w:t>
      </w:r>
      <w:r>
        <w:rPr>
          <w:noProof/>
        </w:rPr>
        <w:fldChar w:fldCharType="end"/>
      </w:r>
    </w:p>
    <w:p w14:paraId="048A51DD" w14:textId="28BE3EC0" w:rsidR="00390CDB" w:rsidRDefault="00390CDB">
      <w:pPr>
        <w:pStyle w:val="TOC2"/>
        <w:rPr>
          <w:rFonts w:asciiTheme="minorHAnsi" w:eastAsiaTheme="minorEastAsia" w:hAnsiTheme="minorHAnsi" w:cstheme="minorBidi"/>
          <w:noProof/>
          <w:sz w:val="22"/>
          <w:szCs w:val="22"/>
        </w:rPr>
      </w:pPr>
      <w:r>
        <w:rPr>
          <w:noProof/>
        </w:rPr>
        <w:t>Summary</w:t>
      </w:r>
      <w:r>
        <w:rPr>
          <w:noProof/>
        </w:rPr>
        <w:tab/>
      </w:r>
      <w:r>
        <w:rPr>
          <w:noProof/>
        </w:rPr>
        <w:fldChar w:fldCharType="begin"/>
      </w:r>
      <w:r>
        <w:rPr>
          <w:noProof/>
        </w:rPr>
        <w:instrText xml:space="preserve"> PAGEREF _Toc70505095 \h </w:instrText>
      </w:r>
      <w:r>
        <w:rPr>
          <w:noProof/>
        </w:rPr>
      </w:r>
      <w:r>
        <w:rPr>
          <w:noProof/>
        </w:rPr>
        <w:fldChar w:fldCharType="separate"/>
      </w:r>
      <w:r w:rsidR="000F445C">
        <w:rPr>
          <w:noProof/>
        </w:rPr>
        <w:t>57</w:t>
      </w:r>
      <w:r>
        <w:rPr>
          <w:noProof/>
        </w:rPr>
        <w:fldChar w:fldCharType="end"/>
      </w:r>
    </w:p>
    <w:p w14:paraId="4973359F" w14:textId="5594567B" w:rsidR="00390CDB" w:rsidRDefault="00390CDB">
      <w:pPr>
        <w:pStyle w:val="TOC2"/>
        <w:rPr>
          <w:rFonts w:asciiTheme="minorHAnsi" w:eastAsiaTheme="minorEastAsia" w:hAnsiTheme="minorHAnsi" w:cstheme="minorBidi"/>
          <w:noProof/>
          <w:sz w:val="22"/>
          <w:szCs w:val="22"/>
        </w:rPr>
      </w:pPr>
      <w:r>
        <w:rPr>
          <w:noProof/>
        </w:rPr>
        <w:t>The need for accessible housing</w:t>
      </w:r>
      <w:r>
        <w:rPr>
          <w:noProof/>
        </w:rPr>
        <w:tab/>
      </w:r>
      <w:r>
        <w:rPr>
          <w:noProof/>
        </w:rPr>
        <w:fldChar w:fldCharType="begin"/>
      </w:r>
      <w:r>
        <w:rPr>
          <w:noProof/>
        </w:rPr>
        <w:instrText xml:space="preserve"> PAGEREF _Toc70505096 \h </w:instrText>
      </w:r>
      <w:r>
        <w:rPr>
          <w:noProof/>
        </w:rPr>
      </w:r>
      <w:r>
        <w:rPr>
          <w:noProof/>
        </w:rPr>
        <w:fldChar w:fldCharType="separate"/>
      </w:r>
      <w:r w:rsidR="000F445C">
        <w:rPr>
          <w:noProof/>
        </w:rPr>
        <w:t>60</w:t>
      </w:r>
      <w:r>
        <w:rPr>
          <w:noProof/>
        </w:rPr>
        <w:fldChar w:fldCharType="end"/>
      </w:r>
    </w:p>
    <w:p w14:paraId="63DCE04A" w14:textId="7AEF7FA8" w:rsidR="00390CDB" w:rsidRDefault="00390CDB">
      <w:pPr>
        <w:pStyle w:val="TOC2"/>
        <w:rPr>
          <w:rFonts w:asciiTheme="minorHAnsi" w:eastAsiaTheme="minorEastAsia" w:hAnsiTheme="minorHAnsi" w:cstheme="minorBidi"/>
          <w:noProof/>
          <w:sz w:val="22"/>
          <w:szCs w:val="22"/>
        </w:rPr>
      </w:pPr>
      <w:r>
        <w:rPr>
          <w:noProof/>
          <w:lang w:bidi="fa-IR"/>
        </w:rPr>
        <w:t>Policy context</w:t>
      </w:r>
      <w:r>
        <w:rPr>
          <w:noProof/>
        </w:rPr>
        <w:tab/>
      </w:r>
      <w:r>
        <w:rPr>
          <w:noProof/>
        </w:rPr>
        <w:fldChar w:fldCharType="begin"/>
      </w:r>
      <w:r>
        <w:rPr>
          <w:noProof/>
        </w:rPr>
        <w:instrText xml:space="preserve"> PAGEREF _Toc70505097 \h </w:instrText>
      </w:r>
      <w:r>
        <w:rPr>
          <w:noProof/>
        </w:rPr>
      </w:r>
      <w:r>
        <w:rPr>
          <w:noProof/>
        </w:rPr>
        <w:fldChar w:fldCharType="separate"/>
      </w:r>
      <w:r w:rsidR="000F445C">
        <w:rPr>
          <w:noProof/>
        </w:rPr>
        <w:t>69</w:t>
      </w:r>
      <w:r>
        <w:rPr>
          <w:noProof/>
        </w:rPr>
        <w:fldChar w:fldCharType="end"/>
      </w:r>
    </w:p>
    <w:p w14:paraId="2B955452" w14:textId="394AACBC" w:rsidR="00390CDB" w:rsidRDefault="00390CDB">
      <w:pPr>
        <w:pStyle w:val="TOC2"/>
        <w:rPr>
          <w:rFonts w:asciiTheme="minorHAnsi" w:eastAsiaTheme="minorEastAsia" w:hAnsiTheme="minorHAnsi" w:cstheme="minorBidi"/>
          <w:noProof/>
          <w:sz w:val="22"/>
          <w:szCs w:val="22"/>
        </w:rPr>
      </w:pPr>
      <w:r>
        <w:rPr>
          <w:noProof/>
          <w:lang w:bidi="fa-IR"/>
        </w:rPr>
        <w:t>Housing outcomes under current policy settings</w:t>
      </w:r>
      <w:r>
        <w:rPr>
          <w:noProof/>
        </w:rPr>
        <w:tab/>
      </w:r>
      <w:r>
        <w:rPr>
          <w:noProof/>
        </w:rPr>
        <w:fldChar w:fldCharType="begin"/>
      </w:r>
      <w:r>
        <w:rPr>
          <w:noProof/>
        </w:rPr>
        <w:instrText xml:space="preserve"> PAGEREF _Toc70505098 \h </w:instrText>
      </w:r>
      <w:r>
        <w:rPr>
          <w:noProof/>
        </w:rPr>
      </w:r>
      <w:r>
        <w:rPr>
          <w:noProof/>
        </w:rPr>
        <w:fldChar w:fldCharType="separate"/>
      </w:r>
      <w:r w:rsidR="000F445C">
        <w:rPr>
          <w:noProof/>
        </w:rPr>
        <w:t>74</w:t>
      </w:r>
      <w:r>
        <w:rPr>
          <w:noProof/>
        </w:rPr>
        <w:fldChar w:fldCharType="end"/>
      </w:r>
    </w:p>
    <w:p w14:paraId="1AD094AC" w14:textId="013521FC" w:rsidR="00390CDB" w:rsidRDefault="00390CDB">
      <w:pPr>
        <w:pStyle w:val="TOC2"/>
        <w:rPr>
          <w:rFonts w:asciiTheme="minorHAnsi" w:eastAsiaTheme="minorEastAsia" w:hAnsiTheme="minorHAnsi" w:cstheme="minorBidi"/>
          <w:noProof/>
          <w:sz w:val="22"/>
          <w:szCs w:val="22"/>
        </w:rPr>
      </w:pPr>
      <w:r>
        <w:rPr>
          <w:noProof/>
        </w:rPr>
        <w:t>Quantifying the problem</w:t>
      </w:r>
      <w:r>
        <w:rPr>
          <w:noProof/>
        </w:rPr>
        <w:tab/>
      </w:r>
      <w:r>
        <w:rPr>
          <w:noProof/>
        </w:rPr>
        <w:fldChar w:fldCharType="begin"/>
      </w:r>
      <w:r>
        <w:rPr>
          <w:noProof/>
        </w:rPr>
        <w:instrText xml:space="preserve"> PAGEREF _Toc70505099 \h </w:instrText>
      </w:r>
      <w:r>
        <w:rPr>
          <w:noProof/>
        </w:rPr>
      </w:r>
      <w:r>
        <w:rPr>
          <w:noProof/>
        </w:rPr>
        <w:fldChar w:fldCharType="separate"/>
      </w:r>
      <w:r w:rsidR="000F445C">
        <w:rPr>
          <w:noProof/>
        </w:rPr>
        <w:t>79</w:t>
      </w:r>
      <w:r>
        <w:rPr>
          <w:noProof/>
        </w:rPr>
        <w:fldChar w:fldCharType="end"/>
      </w:r>
    </w:p>
    <w:p w14:paraId="4EE45DE1" w14:textId="452986F6" w:rsidR="00390CDB" w:rsidRDefault="00390CDB">
      <w:pPr>
        <w:pStyle w:val="TOC2"/>
        <w:rPr>
          <w:rFonts w:asciiTheme="minorHAnsi" w:eastAsiaTheme="minorEastAsia" w:hAnsiTheme="minorHAnsi" w:cstheme="minorBidi"/>
          <w:noProof/>
          <w:sz w:val="22"/>
          <w:szCs w:val="22"/>
        </w:rPr>
      </w:pPr>
      <w:r>
        <w:rPr>
          <w:noProof/>
          <w:lang w:eastAsia="en-US" w:bidi="fa-IR"/>
        </w:rPr>
        <w:t>Qualitative assessment</w:t>
      </w:r>
      <w:r>
        <w:rPr>
          <w:noProof/>
        </w:rPr>
        <w:tab/>
      </w:r>
      <w:r>
        <w:rPr>
          <w:noProof/>
        </w:rPr>
        <w:fldChar w:fldCharType="begin"/>
      </w:r>
      <w:r>
        <w:rPr>
          <w:noProof/>
        </w:rPr>
        <w:instrText xml:space="preserve"> PAGEREF _Toc70505100 \h </w:instrText>
      </w:r>
      <w:r>
        <w:rPr>
          <w:noProof/>
        </w:rPr>
      </w:r>
      <w:r>
        <w:rPr>
          <w:noProof/>
        </w:rPr>
        <w:fldChar w:fldCharType="separate"/>
      </w:r>
      <w:r w:rsidR="000F445C">
        <w:rPr>
          <w:noProof/>
        </w:rPr>
        <w:t>113</w:t>
      </w:r>
      <w:r>
        <w:rPr>
          <w:noProof/>
        </w:rPr>
        <w:fldChar w:fldCharType="end"/>
      </w:r>
    </w:p>
    <w:p w14:paraId="29F260F3" w14:textId="4F6B962E" w:rsidR="00390CDB" w:rsidRDefault="00390CDB">
      <w:pPr>
        <w:pStyle w:val="TOC2"/>
        <w:rPr>
          <w:rFonts w:asciiTheme="minorHAnsi" w:eastAsiaTheme="minorEastAsia" w:hAnsiTheme="minorHAnsi" w:cstheme="minorBidi"/>
          <w:noProof/>
          <w:sz w:val="22"/>
          <w:szCs w:val="22"/>
        </w:rPr>
      </w:pPr>
      <w:r>
        <w:rPr>
          <w:noProof/>
          <w:lang w:bidi="fa-IR"/>
        </w:rPr>
        <w:t>Projections of future size of the problem</w:t>
      </w:r>
      <w:r>
        <w:rPr>
          <w:noProof/>
        </w:rPr>
        <w:tab/>
      </w:r>
      <w:r>
        <w:rPr>
          <w:noProof/>
        </w:rPr>
        <w:fldChar w:fldCharType="begin"/>
      </w:r>
      <w:r>
        <w:rPr>
          <w:noProof/>
        </w:rPr>
        <w:instrText xml:space="preserve"> PAGEREF _Toc70505101 \h </w:instrText>
      </w:r>
      <w:r>
        <w:rPr>
          <w:noProof/>
        </w:rPr>
      </w:r>
      <w:r>
        <w:rPr>
          <w:noProof/>
        </w:rPr>
        <w:fldChar w:fldCharType="separate"/>
      </w:r>
      <w:r w:rsidR="000F445C">
        <w:rPr>
          <w:noProof/>
        </w:rPr>
        <w:t>118</w:t>
      </w:r>
      <w:r>
        <w:rPr>
          <w:noProof/>
        </w:rPr>
        <w:fldChar w:fldCharType="end"/>
      </w:r>
    </w:p>
    <w:p w14:paraId="527E0672" w14:textId="1456AC46" w:rsidR="00390CDB" w:rsidRDefault="00390CDB">
      <w:pPr>
        <w:pStyle w:val="TOC2"/>
        <w:rPr>
          <w:rFonts w:asciiTheme="minorHAnsi" w:eastAsiaTheme="minorEastAsia" w:hAnsiTheme="minorHAnsi" w:cstheme="minorBidi"/>
          <w:noProof/>
          <w:sz w:val="22"/>
          <w:szCs w:val="22"/>
        </w:rPr>
      </w:pPr>
      <w:r>
        <w:rPr>
          <w:noProof/>
          <w:lang w:bidi="fa-IR"/>
        </w:rPr>
        <w:t>Underlying causes</w:t>
      </w:r>
      <w:r>
        <w:rPr>
          <w:noProof/>
        </w:rPr>
        <w:tab/>
      </w:r>
      <w:r>
        <w:rPr>
          <w:noProof/>
        </w:rPr>
        <w:fldChar w:fldCharType="begin"/>
      </w:r>
      <w:r>
        <w:rPr>
          <w:noProof/>
        </w:rPr>
        <w:instrText xml:space="preserve"> PAGEREF _Toc70505102 \h </w:instrText>
      </w:r>
      <w:r>
        <w:rPr>
          <w:noProof/>
        </w:rPr>
      </w:r>
      <w:r>
        <w:rPr>
          <w:noProof/>
        </w:rPr>
        <w:fldChar w:fldCharType="separate"/>
      </w:r>
      <w:r w:rsidR="000F445C">
        <w:rPr>
          <w:noProof/>
        </w:rPr>
        <w:t>119</w:t>
      </w:r>
      <w:r>
        <w:rPr>
          <w:noProof/>
        </w:rPr>
        <w:fldChar w:fldCharType="end"/>
      </w:r>
    </w:p>
    <w:p w14:paraId="47CA17C8" w14:textId="2FC76F4C" w:rsidR="00390CDB" w:rsidRDefault="00390CDB">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Objectives and options</w:t>
      </w:r>
      <w:r>
        <w:rPr>
          <w:noProof/>
        </w:rPr>
        <w:tab/>
      </w:r>
      <w:r>
        <w:rPr>
          <w:noProof/>
        </w:rPr>
        <w:fldChar w:fldCharType="begin"/>
      </w:r>
      <w:r>
        <w:rPr>
          <w:noProof/>
        </w:rPr>
        <w:instrText xml:space="preserve"> PAGEREF _Toc70505103 \h </w:instrText>
      </w:r>
      <w:r>
        <w:rPr>
          <w:noProof/>
        </w:rPr>
      </w:r>
      <w:r>
        <w:rPr>
          <w:noProof/>
        </w:rPr>
        <w:fldChar w:fldCharType="separate"/>
      </w:r>
      <w:r w:rsidR="000F445C">
        <w:rPr>
          <w:noProof/>
        </w:rPr>
        <w:t>124</w:t>
      </w:r>
      <w:r>
        <w:rPr>
          <w:noProof/>
        </w:rPr>
        <w:fldChar w:fldCharType="end"/>
      </w:r>
    </w:p>
    <w:p w14:paraId="2EFF41BA" w14:textId="18E8D27A" w:rsidR="00390CDB" w:rsidRDefault="00390CDB">
      <w:pPr>
        <w:pStyle w:val="TOC2"/>
        <w:rPr>
          <w:rFonts w:asciiTheme="minorHAnsi" w:eastAsiaTheme="minorEastAsia" w:hAnsiTheme="minorHAnsi" w:cstheme="minorBidi"/>
          <w:noProof/>
          <w:sz w:val="22"/>
          <w:szCs w:val="22"/>
        </w:rPr>
      </w:pPr>
      <w:r>
        <w:rPr>
          <w:noProof/>
        </w:rPr>
        <w:t>Objectives</w:t>
      </w:r>
      <w:r>
        <w:rPr>
          <w:noProof/>
        </w:rPr>
        <w:tab/>
      </w:r>
      <w:r>
        <w:rPr>
          <w:noProof/>
        </w:rPr>
        <w:fldChar w:fldCharType="begin"/>
      </w:r>
      <w:r>
        <w:rPr>
          <w:noProof/>
        </w:rPr>
        <w:instrText xml:space="preserve"> PAGEREF _Toc70505104 \h </w:instrText>
      </w:r>
      <w:r>
        <w:rPr>
          <w:noProof/>
        </w:rPr>
      </w:r>
      <w:r>
        <w:rPr>
          <w:noProof/>
        </w:rPr>
        <w:fldChar w:fldCharType="separate"/>
      </w:r>
      <w:r w:rsidR="000F445C">
        <w:rPr>
          <w:noProof/>
        </w:rPr>
        <w:t>124</w:t>
      </w:r>
      <w:r>
        <w:rPr>
          <w:noProof/>
        </w:rPr>
        <w:fldChar w:fldCharType="end"/>
      </w:r>
    </w:p>
    <w:p w14:paraId="11894FE5" w14:textId="2EB372B7" w:rsidR="00390CDB" w:rsidRDefault="00390CDB">
      <w:pPr>
        <w:pStyle w:val="TOC2"/>
        <w:rPr>
          <w:rFonts w:asciiTheme="minorHAnsi" w:eastAsiaTheme="minorEastAsia" w:hAnsiTheme="minorHAnsi" w:cstheme="minorBidi"/>
          <w:noProof/>
          <w:sz w:val="22"/>
          <w:szCs w:val="22"/>
        </w:rPr>
      </w:pPr>
      <w:r>
        <w:rPr>
          <w:noProof/>
        </w:rPr>
        <w:t>Options</w:t>
      </w:r>
      <w:r>
        <w:rPr>
          <w:noProof/>
        </w:rPr>
        <w:tab/>
      </w:r>
      <w:r>
        <w:rPr>
          <w:noProof/>
        </w:rPr>
        <w:fldChar w:fldCharType="begin"/>
      </w:r>
      <w:r>
        <w:rPr>
          <w:noProof/>
        </w:rPr>
        <w:instrText xml:space="preserve"> PAGEREF _Toc70505105 \h </w:instrText>
      </w:r>
      <w:r>
        <w:rPr>
          <w:noProof/>
        </w:rPr>
      </w:r>
      <w:r>
        <w:rPr>
          <w:noProof/>
        </w:rPr>
        <w:fldChar w:fldCharType="separate"/>
      </w:r>
      <w:r w:rsidR="000F445C">
        <w:rPr>
          <w:noProof/>
        </w:rPr>
        <w:t>126</w:t>
      </w:r>
      <w:r>
        <w:rPr>
          <w:noProof/>
        </w:rPr>
        <w:fldChar w:fldCharType="end"/>
      </w:r>
    </w:p>
    <w:p w14:paraId="5BCAB711" w14:textId="22F9FBD5" w:rsidR="00390CDB" w:rsidRDefault="00390CDB">
      <w:pPr>
        <w:pStyle w:val="TOC2"/>
        <w:rPr>
          <w:rFonts w:asciiTheme="minorHAnsi" w:eastAsiaTheme="minorEastAsia" w:hAnsiTheme="minorHAnsi" w:cstheme="minorBidi"/>
          <w:noProof/>
          <w:sz w:val="22"/>
          <w:szCs w:val="22"/>
        </w:rPr>
      </w:pPr>
      <w:r>
        <w:rPr>
          <w:noProof/>
          <w:lang w:bidi="fa-IR"/>
        </w:rPr>
        <w:t>Summary of options to be considered</w:t>
      </w:r>
      <w:r>
        <w:rPr>
          <w:noProof/>
        </w:rPr>
        <w:tab/>
      </w:r>
      <w:r>
        <w:rPr>
          <w:noProof/>
        </w:rPr>
        <w:fldChar w:fldCharType="begin"/>
      </w:r>
      <w:r>
        <w:rPr>
          <w:noProof/>
        </w:rPr>
        <w:instrText xml:space="preserve"> PAGEREF _Toc70505106 \h </w:instrText>
      </w:r>
      <w:r>
        <w:rPr>
          <w:noProof/>
        </w:rPr>
      </w:r>
      <w:r>
        <w:rPr>
          <w:noProof/>
        </w:rPr>
        <w:fldChar w:fldCharType="separate"/>
      </w:r>
      <w:r w:rsidR="000F445C">
        <w:rPr>
          <w:noProof/>
        </w:rPr>
        <w:t>132</w:t>
      </w:r>
      <w:r>
        <w:rPr>
          <w:noProof/>
        </w:rPr>
        <w:fldChar w:fldCharType="end"/>
      </w:r>
    </w:p>
    <w:p w14:paraId="0ADDEDD5" w14:textId="645D915D" w:rsidR="00390CDB" w:rsidRDefault="00390CDB">
      <w:pPr>
        <w:pStyle w:val="TOC2"/>
        <w:rPr>
          <w:rFonts w:asciiTheme="minorHAnsi" w:eastAsiaTheme="minorEastAsia" w:hAnsiTheme="minorHAnsi" w:cstheme="minorBidi"/>
          <w:noProof/>
          <w:sz w:val="22"/>
          <w:szCs w:val="22"/>
        </w:rPr>
      </w:pPr>
      <w:r>
        <w:rPr>
          <w:noProof/>
        </w:rPr>
        <w:t>Stakeholder feedback on options</w:t>
      </w:r>
      <w:r>
        <w:rPr>
          <w:noProof/>
        </w:rPr>
        <w:tab/>
      </w:r>
      <w:r>
        <w:rPr>
          <w:noProof/>
        </w:rPr>
        <w:fldChar w:fldCharType="begin"/>
      </w:r>
      <w:r>
        <w:rPr>
          <w:noProof/>
        </w:rPr>
        <w:instrText xml:space="preserve"> PAGEREF _Toc70505107 \h </w:instrText>
      </w:r>
      <w:r>
        <w:rPr>
          <w:noProof/>
        </w:rPr>
      </w:r>
      <w:r>
        <w:rPr>
          <w:noProof/>
        </w:rPr>
        <w:fldChar w:fldCharType="separate"/>
      </w:r>
      <w:r w:rsidR="000F445C">
        <w:rPr>
          <w:noProof/>
        </w:rPr>
        <w:t>133</w:t>
      </w:r>
      <w:r>
        <w:rPr>
          <w:noProof/>
        </w:rPr>
        <w:fldChar w:fldCharType="end"/>
      </w:r>
    </w:p>
    <w:p w14:paraId="7EF9B202" w14:textId="03CB69A8" w:rsidR="00390CDB" w:rsidRDefault="00390CDB">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Impacts</w:t>
      </w:r>
      <w:r>
        <w:rPr>
          <w:noProof/>
        </w:rPr>
        <w:tab/>
      </w:r>
      <w:r>
        <w:rPr>
          <w:noProof/>
        </w:rPr>
        <w:fldChar w:fldCharType="begin"/>
      </w:r>
      <w:r>
        <w:rPr>
          <w:noProof/>
        </w:rPr>
        <w:instrText xml:space="preserve"> PAGEREF _Toc70505108 \h </w:instrText>
      </w:r>
      <w:r>
        <w:rPr>
          <w:noProof/>
        </w:rPr>
      </w:r>
      <w:r>
        <w:rPr>
          <w:noProof/>
        </w:rPr>
        <w:fldChar w:fldCharType="separate"/>
      </w:r>
      <w:r w:rsidR="000F445C">
        <w:rPr>
          <w:noProof/>
        </w:rPr>
        <w:t>140</w:t>
      </w:r>
      <w:r>
        <w:rPr>
          <w:noProof/>
        </w:rPr>
        <w:fldChar w:fldCharType="end"/>
      </w:r>
    </w:p>
    <w:p w14:paraId="4C2EE851" w14:textId="13B3B10B" w:rsidR="00390CDB" w:rsidRDefault="00390CDB">
      <w:pPr>
        <w:pStyle w:val="TOC2"/>
        <w:rPr>
          <w:rFonts w:asciiTheme="minorHAnsi" w:eastAsiaTheme="minorEastAsia" w:hAnsiTheme="minorHAnsi" w:cstheme="minorBidi"/>
          <w:noProof/>
          <w:sz w:val="22"/>
          <w:szCs w:val="22"/>
        </w:rPr>
      </w:pPr>
      <w:r>
        <w:rPr>
          <w:noProof/>
        </w:rPr>
        <w:lastRenderedPageBreak/>
        <w:t>Impacts</w:t>
      </w:r>
      <w:r>
        <w:rPr>
          <w:noProof/>
        </w:rPr>
        <w:tab/>
      </w:r>
      <w:r>
        <w:rPr>
          <w:noProof/>
        </w:rPr>
        <w:fldChar w:fldCharType="begin"/>
      </w:r>
      <w:r>
        <w:rPr>
          <w:noProof/>
        </w:rPr>
        <w:instrText xml:space="preserve"> PAGEREF _Toc70505109 \h </w:instrText>
      </w:r>
      <w:r>
        <w:rPr>
          <w:noProof/>
        </w:rPr>
      </w:r>
      <w:r>
        <w:rPr>
          <w:noProof/>
        </w:rPr>
        <w:fldChar w:fldCharType="separate"/>
      </w:r>
      <w:r w:rsidR="000F445C">
        <w:rPr>
          <w:noProof/>
        </w:rPr>
        <w:t>140</w:t>
      </w:r>
      <w:r>
        <w:rPr>
          <w:noProof/>
        </w:rPr>
        <w:fldChar w:fldCharType="end"/>
      </w:r>
    </w:p>
    <w:p w14:paraId="3E93535A" w14:textId="40A78921" w:rsidR="00390CDB" w:rsidRDefault="00390CDB">
      <w:pPr>
        <w:pStyle w:val="TOC2"/>
        <w:rPr>
          <w:rFonts w:asciiTheme="minorHAnsi" w:eastAsiaTheme="minorEastAsia" w:hAnsiTheme="minorHAnsi" w:cstheme="minorBidi"/>
          <w:noProof/>
          <w:sz w:val="22"/>
          <w:szCs w:val="22"/>
        </w:rPr>
      </w:pPr>
      <w:r>
        <w:rPr>
          <w:noProof/>
        </w:rPr>
        <w:t>Unintended consequences</w:t>
      </w:r>
      <w:r>
        <w:rPr>
          <w:noProof/>
        </w:rPr>
        <w:tab/>
      </w:r>
      <w:r>
        <w:rPr>
          <w:noProof/>
        </w:rPr>
        <w:fldChar w:fldCharType="begin"/>
      </w:r>
      <w:r>
        <w:rPr>
          <w:noProof/>
        </w:rPr>
        <w:instrText xml:space="preserve"> PAGEREF _Toc70505110 \h </w:instrText>
      </w:r>
      <w:r>
        <w:rPr>
          <w:noProof/>
        </w:rPr>
      </w:r>
      <w:r>
        <w:rPr>
          <w:noProof/>
        </w:rPr>
        <w:fldChar w:fldCharType="separate"/>
      </w:r>
      <w:r w:rsidR="000F445C">
        <w:rPr>
          <w:noProof/>
        </w:rPr>
        <w:t>143</w:t>
      </w:r>
      <w:r>
        <w:rPr>
          <w:noProof/>
        </w:rPr>
        <w:fldChar w:fldCharType="end"/>
      </w:r>
    </w:p>
    <w:p w14:paraId="34F17B10" w14:textId="40B6D834" w:rsidR="00390CDB" w:rsidRDefault="00390CDB">
      <w:pPr>
        <w:pStyle w:val="TOC2"/>
        <w:rPr>
          <w:rFonts w:asciiTheme="minorHAnsi" w:eastAsiaTheme="minorEastAsia" w:hAnsiTheme="minorHAnsi" w:cstheme="minorBidi"/>
          <w:noProof/>
          <w:sz w:val="22"/>
          <w:szCs w:val="22"/>
        </w:rPr>
      </w:pPr>
      <w:r>
        <w:rPr>
          <w:noProof/>
        </w:rPr>
        <w:t>Cost-benefit analysis framework</w:t>
      </w:r>
      <w:r>
        <w:rPr>
          <w:noProof/>
        </w:rPr>
        <w:tab/>
      </w:r>
      <w:r>
        <w:rPr>
          <w:noProof/>
        </w:rPr>
        <w:fldChar w:fldCharType="begin"/>
      </w:r>
      <w:r>
        <w:rPr>
          <w:noProof/>
        </w:rPr>
        <w:instrText xml:space="preserve"> PAGEREF _Toc70505111 \h </w:instrText>
      </w:r>
      <w:r>
        <w:rPr>
          <w:noProof/>
        </w:rPr>
      </w:r>
      <w:r>
        <w:rPr>
          <w:noProof/>
        </w:rPr>
        <w:fldChar w:fldCharType="separate"/>
      </w:r>
      <w:r w:rsidR="000F445C">
        <w:rPr>
          <w:noProof/>
        </w:rPr>
        <w:t>145</w:t>
      </w:r>
      <w:r>
        <w:rPr>
          <w:noProof/>
        </w:rPr>
        <w:fldChar w:fldCharType="end"/>
      </w:r>
    </w:p>
    <w:p w14:paraId="2F0AE6B6" w14:textId="76CE8630" w:rsidR="00390CDB" w:rsidRDefault="00390CDB">
      <w:pPr>
        <w:pStyle w:val="TOC2"/>
        <w:rPr>
          <w:rFonts w:asciiTheme="minorHAnsi" w:eastAsiaTheme="minorEastAsia" w:hAnsiTheme="minorHAnsi" w:cstheme="minorBidi"/>
          <w:noProof/>
          <w:sz w:val="22"/>
          <w:szCs w:val="22"/>
        </w:rPr>
      </w:pPr>
      <w:r>
        <w:rPr>
          <w:noProof/>
          <w:lang w:bidi="fa-IR"/>
        </w:rPr>
        <w:t>Projected dwelling construction</w:t>
      </w:r>
      <w:r>
        <w:rPr>
          <w:noProof/>
        </w:rPr>
        <w:tab/>
      </w:r>
      <w:r>
        <w:rPr>
          <w:noProof/>
        </w:rPr>
        <w:fldChar w:fldCharType="begin"/>
      </w:r>
      <w:r>
        <w:rPr>
          <w:noProof/>
        </w:rPr>
        <w:instrText xml:space="preserve"> PAGEREF _Toc70505112 \h </w:instrText>
      </w:r>
      <w:r>
        <w:rPr>
          <w:noProof/>
        </w:rPr>
      </w:r>
      <w:r>
        <w:rPr>
          <w:noProof/>
        </w:rPr>
        <w:fldChar w:fldCharType="separate"/>
      </w:r>
      <w:r w:rsidR="000F445C">
        <w:rPr>
          <w:noProof/>
        </w:rPr>
        <w:t>147</w:t>
      </w:r>
      <w:r>
        <w:rPr>
          <w:noProof/>
        </w:rPr>
        <w:fldChar w:fldCharType="end"/>
      </w:r>
    </w:p>
    <w:p w14:paraId="50419C0C" w14:textId="2C9F9F46" w:rsidR="00390CDB" w:rsidRDefault="00390CDB">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Estimating costs</w:t>
      </w:r>
      <w:r>
        <w:rPr>
          <w:noProof/>
        </w:rPr>
        <w:tab/>
      </w:r>
      <w:r>
        <w:rPr>
          <w:noProof/>
        </w:rPr>
        <w:fldChar w:fldCharType="begin"/>
      </w:r>
      <w:r>
        <w:rPr>
          <w:noProof/>
        </w:rPr>
        <w:instrText xml:space="preserve"> PAGEREF _Toc70505113 \h </w:instrText>
      </w:r>
      <w:r>
        <w:rPr>
          <w:noProof/>
        </w:rPr>
      </w:r>
      <w:r>
        <w:rPr>
          <w:noProof/>
        </w:rPr>
        <w:fldChar w:fldCharType="separate"/>
      </w:r>
      <w:r w:rsidR="000F445C">
        <w:rPr>
          <w:noProof/>
        </w:rPr>
        <w:t>149</w:t>
      </w:r>
      <w:r>
        <w:rPr>
          <w:noProof/>
        </w:rPr>
        <w:fldChar w:fldCharType="end"/>
      </w:r>
    </w:p>
    <w:p w14:paraId="000C6097" w14:textId="6A32F1C2" w:rsidR="00390CDB" w:rsidRDefault="00390CDB">
      <w:pPr>
        <w:pStyle w:val="TOC2"/>
        <w:rPr>
          <w:rFonts w:asciiTheme="minorHAnsi" w:eastAsiaTheme="minorEastAsia" w:hAnsiTheme="minorHAnsi" w:cstheme="minorBidi"/>
          <w:noProof/>
          <w:sz w:val="22"/>
          <w:szCs w:val="22"/>
        </w:rPr>
      </w:pPr>
      <w:r>
        <w:rPr>
          <w:noProof/>
        </w:rPr>
        <w:t>Additional cost of complying with proposed standards</w:t>
      </w:r>
      <w:r>
        <w:rPr>
          <w:noProof/>
        </w:rPr>
        <w:tab/>
      </w:r>
      <w:r>
        <w:rPr>
          <w:noProof/>
        </w:rPr>
        <w:fldChar w:fldCharType="begin"/>
      </w:r>
      <w:r>
        <w:rPr>
          <w:noProof/>
        </w:rPr>
        <w:instrText xml:space="preserve"> PAGEREF _Toc70505114 \h </w:instrText>
      </w:r>
      <w:r>
        <w:rPr>
          <w:noProof/>
        </w:rPr>
      </w:r>
      <w:r>
        <w:rPr>
          <w:noProof/>
        </w:rPr>
        <w:fldChar w:fldCharType="separate"/>
      </w:r>
      <w:r w:rsidR="000F445C">
        <w:rPr>
          <w:noProof/>
        </w:rPr>
        <w:t>149</w:t>
      </w:r>
      <w:r>
        <w:rPr>
          <w:noProof/>
        </w:rPr>
        <w:fldChar w:fldCharType="end"/>
      </w:r>
    </w:p>
    <w:p w14:paraId="75E2275E" w14:textId="7FE8F9DB" w:rsidR="00390CDB" w:rsidRDefault="00390CDB">
      <w:pPr>
        <w:pStyle w:val="TOC2"/>
        <w:rPr>
          <w:rFonts w:asciiTheme="minorHAnsi" w:eastAsiaTheme="minorEastAsia" w:hAnsiTheme="minorHAnsi" w:cstheme="minorBidi"/>
          <w:noProof/>
          <w:sz w:val="22"/>
          <w:szCs w:val="22"/>
        </w:rPr>
      </w:pPr>
      <w:r>
        <w:rPr>
          <w:noProof/>
        </w:rPr>
        <w:t>Transition costs</w:t>
      </w:r>
      <w:r>
        <w:rPr>
          <w:noProof/>
        </w:rPr>
        <w:tab/>
      </w:r>
      <w:r>
        <w:rPr>
          <w:noProof/>
        </w:rPr>
        <w:fldChar w:fldCharType="begin"/>
      </w:r>
      <w:r>
        <w:rPr>
          <w:noProof/>
        </w:rPr>
        <w:instrText xml:space="preserve"> PAGEREF _Toc70505115 \h </w:instrText>
      </w:r>
      <w:r>
        <w:rPr>
          <w:noProof/>
        </w:rPr>
      </w:r>
      <w:r>
        <w:rPr>
          <w:noProof/>
        </w:rPr>
        <w:fldChar w:fldCharType="separate"/>
      </w:r>
      <w:r w:rsidR="000F445C">
        <w:rPr>
          <w:noProof/>
        </w:rPr>
        <w:t>162</w:t>
      </w:r>
      <w:r>
        <w:rPr>
          <w:noProof/>
        </w:rPr>
        <w:fldChar w:fldCharType="end"/>
      </w:r>
    </w:p>
    <w:p w14:paraId="000D28EE" w14:textId="7B1169F8" w:rsidR="00390CDB" w:rsidRDefault="00390CDB">
      <w:pPr>
        <w:pStyle w:val="TOC2"/>
        <w:rPr>
          <w:rFonts w:asciiTheme="minorHAnsi" w:eastAsiaTheme="minorEastAsia" w:hAnsiTheme="minorHAnsi" w:cstheme="minorBidi"/>
          <w:noProof/>
          <w:sz w:val="22"/>
          <w:szCs w:val="22"/>
        </w:rPr>
      </w:pPr>
      <w:r>
        <w:rPr>
          <w:noProof/>
        </w:rPr>
        <w:t>Subsidies</w:t>
      </w:r>
      <w:r>
        <w:rPr>
          <w:noProof/>
        </w:rPr>
        <w:tab/>
      </w:r>
      <w:r>
        <w:rPr>
          <w:noProof/>
        </w:rPr>
        <w:fldChar w:fldCharType="begin"/>
      </w:r>
      <w:r>
        <w:rPr>
          <w:noProof/>
        </w:rPr>
        <w:instrText xml:space="preserve"> PAGEREF _Toc70505116 \h </w:instrText>
      </w:r>
      <w:r>
        <w:rPr>
          <w:noProof/>
        </w:rPr>
      </w:r>
      <w:r>
        <w:rPr>
          <w:noProof/>
        </w:rPr>
        <w:fldChar w:fldCharType="separate"/>
      </w:r>
      <w:r w:rsidR="000F445C">
        <w:rPr>
          <w:noProof/>
        </w:rPr>
        <w:t>165</w:t>
      </w:r>
      <w:r>
        <w:rPr>
          <w:noProof/>
        </w:rPr>
        <w:fldChar w:fldCharType="end"/>
      </w:r>
    </w:p>
    <w:p w14:paraId="13E7E33E" w14:textId="3DCFAA30" w:rsidR="00390CDB" w:rsidRDefault="00390CDB">
      <w:pPr>
        <w:pStyle w:val="TOC2"/>
        <w:rPr>
          <w:rFonts w:asciiTheme="minorHAnsi" w:eastAsiaTheme="minorEastAsia" w:hAnsiTheme="minorHAnsi" w:cstheme="minorBidi"/>
          <w:noProof/>
          <w:sz w:val="22"/>
          <w:szCs w:val="22"/>
        </w:rPr>
      </w:pPr>
      <w:r>
        <w:rPr>
          <w:noProof/>
          <w:lang w:bidi="fa-IR"/>
        </w:rPr>
        <w:t>Flow-on impacts of higher construction costs</w:t>
      </w:r>
      <w:r>
        <w:rPr>
          <w:noProof/>
        </w:rPr>
        <w:tab/>
      </w:r>
      <w:r>
        <w:rPr>
          <w:noProof/>
        </w:rPr>
        <w:fldChar w:fldCharType="begin"/>
      </w:r>
      <w:r>
        <w:rPr>
          <w:noProof/>
        </w:rPr>
        <w:instrText xml:space="preserve"> PAGEREF _Toc70505117 \h </w:instrText>
      </w:r>
      <w:r>
        <w:rPr>
          <w:noProof/>
        </w:rPr>
      </w:r>
      <w:r>
        <w:rPr>
          <w:noProof/>
        </w:rPr>
        <w:fldChar w:fldCharType="separate"/>
      </w:r>
      <w:r w:rsidR="000F445C">
        <w:rPr>
          <w:noProof/>
        </w:rPr>
        <w:t>166</w:t>
      </w:r>
      <w:r>
        <w:rPr>
          <w:noProof/>
        </w:rPr>
        <w:fldChar w:fldCharType="end"/>
      </w:r>
    </w:p>
    <w:p w14:paraId="42057E84" w14:textId="160C36F2" w:rsidR="00390CDB" w:rsidRDefault="00390CDB">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Estimating the benefits</w:t>
      </w:r>
      <w:r>
        <w:rPr>
          <w:noProof/>
        </w:rPr>
        <w:tab/>
      </w:r>
      <w:r>
        <w:rPr>
          <w:noProof/>
        </w:rPr>
        <w:fldChar w:fldCharType="begin"/>
      </w:r>
      <w:r>
        <w:rPr>
          <w:noProof/>
        </w:rPr>
        <w:instrText xml:space="preserve"> PAGEREF _Toc70505118 \h </w:instrText>
      </w:r>
      <w:r>
        <w:rPr>
          <w:noProof/>
        </w:rPr>
      </w:r>
      <w:r>
        <w:rPr>
          <w:noProof/>
        </w:rPr>
        <w:fldChar w:fldCharType="separate"/>
      </w:r>
      <w:r w:rsidR="000F445C">
        <w:rPr>
          <w:noProof/>
        </w:rPr>
        <w:t>170</w:t>
      </w:r>
      <w:r>
        <w:rPr>
          <w:noProof/>
        </w:rPr>
        <w:fldChar w:fldCharType="end"/>
      </w:r>
    </w:p>
    <w:p w14:paraId="67D36FE7" w14:textId="6187A685" w:rsidR="00390CDB" w:rsidRDefault="00390CDB">
      <w:pPr>
        <w:pStyle w:val="TOC2"/>
        <w:rPr>
          <w:rFonts w:asciiTheme="minorHAnsi" w:eastAsiaTheme="minorEastAsia" w:hAnsiTheme="minorHAnsi" w:cstheme="minorBidi"/>
          <w:noProof/>
          <w:sz w:val="22"/>
          <w:szCs w:val="22"/>
        </w:rPr>
      </w:pPr>
      <w:r>
        <w:rPr>
          <w:noProof/>
        </w:rPr>
        <w:t>General approach to estimating the benefits</w:t>
      </w:r>
      <w:r>
        <w:rPr>
          <w:noProof/>
        </w:rPr>
        <w:tab/>
      </w:r>
      <w:r>
        <w:rPr>
          <w:noProof/>
        </w:rPr>
        <w:fldChar w:fldCharType="begin"/>
      </w:r>
      <w:r>
        <w:rPr>
          <w:noProof/>
        </w:rPr>
        <w:instrText xml:space="preserve"> PAGEREF _Toc70505119 \h </w:instrText>
      </w:r>
      <w:r>
        <w:rPr>
          <w:noProof/>
        </w:rPr>
      </w:r>
      <w:r>
        <w:rPr>
          <w:noProof/>
        </w:rPr>
        <w:fldChar w:fldCharType="separate"/>
      </w:r>
      <w:r w:rsidR="000F445C">
        <w:rPr>
          <w:noProof/>
        </w:rPr>
        <w:t>170</w:t>
      </w:r>
      <w:r>
        <w:rPr>
          <w:noProof/>
        </w:rPr>
        <w:fldChar w:fldCharType="end"/>
      </w:r>
    </w:p>
    <w:p w14:paraId="3578D267" w14:textId="68D735E3" w:rsidR="00390CDB" w:rsidRDefault="00390CDB">
      <w:pPr>
        <w:pStyle w:val="TOC2"/>
        <w:rPr>
          <w:rFonts w:asciiTheme="minorHAnsi" w:eastAsiaTheme="minorEastAsia" w:hAnsiTheme="minorHAnsi" w:cstheme="minorBidi"/>
          <w:noProof/>
          <w:sz w:val="22"/>
          <w:szCs w:val="22"/>
        </w:rPr>
      </w:pPr>
      <w:r>
        <w:rPr>
          <w:noProof/>
        </w:rPr>
        <w:t>Accessibility of the NCC options</w:t>
      </w:r>
      <w:r>
        <w:rPr>
          <w:noProof/>
        </w:rPr>
        <w:tab/>
      </w:r>
      <w:r>
        <w:rPr>
          <w:noProof/>
        </w:rPr>
        <w:fldChar w:fldCharType="begin"/>
      </w:r>
      <w:r>
        <w:rPr>
          <w:noProof/>
        </w:rPr>
        <w:instrText xml:space="preserve"> PAGEREF _Toc70505120 \h </w:instrText>
      </w:r>
      <w:r>
        <w:rPr>
          <w:noProof/>
        </w:rPr>
      </w:r>
      <w:r>
        <w:rPr>
          <w:noProof/>
        </w:rPr>
        <w:fldChar w:fldCharType="separate"/>
      </w:r>
      <w:r w:rsidR="000F445C">
        <w:rPr>
          <w:noProof/>
        </w:rPr>
        <w:t>170</w:t>
      </w:r>
      <w:r>
        <w:rPr>
          <w:noProof/>
        </w:rPr>
        <w:fldChar w:fldCharType="end"/>
      </w:r>
    </w:p>
    <w:p w14:paraId="772C78F4" w14:textId="32BBD081" w:rsidR="00390CDB" w:rsidRDefault="00390CDB">
      <w:pPr>
        <w:pStyle w:val="TOC2"/>
        <w:rPr>
          <w:rFonts w:asciiTheme="minorHAnsi" w:eastAsiaTheme="minorEastAsia" w:hAnsiTheme="minorHAnsi" w:cstheme="minorBidi"/>
          <w:noProof/>
          <w:sz w:val="22"/>
          <w:szCs w:val="22"/>
        </w:rPr>
      </w:pPr>
      <w:r>
        <w:rPr>
          <w:noProof/>
          <w:lang w:bidi="fa-IR"/>
        </w:rPr>
        <w:t>Allocation of accessible housing to people with limited mobility</w:t>
      </w:r>
      <w:r>
        <w:rPr>
          <w:noProof/>
        </w:rPr>
        <w:tab/>
      </w:r>
      <w:r>
        <w:rPr>
          <w:noProof/>
        </w:rPr>
        <w:fldChar w:fldCharType="begin"/>
      </w:r>
      <w:r>
        <w:rPr>
          <w:noProof/>
        </w:rPr>
        <w:instrText xml:space="preserve"> PAGEREF _Toc70505121 \h </w:instrText>
      </w:r>
      <w:r>
        <w:rPr>
          <w:noProof/>
        </w:rPr>
      </w:r>
      <w:r>
        <w:rPr>
          <w:noProof/>
        </w:rPr>
        <w:fldChar w:fldCharType="separate"/>
      </w:r>
      <w:r w:rsidR="000F445C">
        <w:rPr>
          <w:noProof/>
        </w:rPr>
        <w:t>182</w:t>
      </w:r>
      <w:r>
        <w:rPr>
          <w:noProof/>
        </w:rPr>
        <w:fldChar w:fldCharType="end"/>
      </w:r>
    </w:p>
    <w:p w14:paraId="00292A0C" w14:textId="671AFA72" w:rsidR="00390CDB" w:rsidRDefault="00390CDB">
      <w:pPr>
        <w:pStyle w:val="TOC2"/>
        <w:rPr>
          <w:rFonts w:asciiTheme="minorHAnsi" w:eastAsiaTheme="minorEastAsia" w:hAnsiTheme="minorHAnsi" w:cstheme="minorBidi"/>
          <w:noProof/>
          <w:sz w:val="22"/>
          <w:szCs w:val="22"/>
        </w:rPr>
      </w:pPr>
      <w:r>
        <w:rPr>
          <w:noProof/>
        </w:rPr>
        <w:t>Additionality</w:t>
      </w:r>
      <w:r>
        <w:rPr>
          <w:noProof/>
        </w:rPr>
        <w:tab/>
      </w:r>
      <w:r>
        <w:rPr>
          <w:noProof/>
        </w:rPr>
        <w:fldChar w:fldCharType="begin"/>
      </w:r>
      <w:r>
        <w:rPr>
          <w:noProof/>
        </w:rPr>
        <w:instrText xml:space="preserve"> PAGEREF _Toc70505122 \h </w:instrText>
      </w:r>
      <w:r>
        <w:rPr>
          <w:noProof/>
        </w:rPr>
      </w:r>
      <w:r>
        <w:rPr>
          <w:noProof/>
        </w:rPr>
        <w:fldChar w:fldCharType="separate"/>
      </w:r>
      <w:r w:rsidR="000F445C">
        <w:rPr>
          <w:noProof/>
        </w:rPr>
        <w:t>187</w:t>
      </w:r>
      <w:r>
        <w:rPr>
          <w:noProof/>
        </w:rPr>
        <w:fldChar w:fldCharType="end"/>
      </w:r>
    </w:p>
    <w:p w14:paraId="463EB625" w14:textId="4D47543B" w:rsidR="00390CDB" w:rsidRDefault="00390CDB">
      <w:pPr>
        <w:pStyle w:val="TOC2"/>
        <w:rPr>
          <w:rFonts w:asciiTheme="minorHAnsi" w:eastAsiaTheme="minorEastAsia" w:hAnsiTheme="minorHAnsi" w:cstheme="minorBidi"/>
          <w:noProof/>
          <w:sz w:val="22"/>
          <w:szCs w:val="22"/>
        </w:rPr>
      </w:pPr>
      <w:r>
        <w:rPr>
          <w:noProof/>
          <w:lang w:bidi="fa-IR"/>
        </w:rPr>
        <w:t>The benefits of a subsidy on accessible rental properties</w:t>
      </w:r>
      <w:r>
        <w:rPr>
          <w:noProof/>
        </w:rPr>
        <w:tab/>
      </w:r>
      <w:r>
        <w:rPr>
          <w:noProof/>
        </w:rPr>
        <w:fldChar w:fldCharType="begin"/>
      </w:r>
      <w:r>
        <w:rPr>
          <w:noProof/>
        </w:rPr>
        <w:instrText xml:space="preserve"> PAGEREF _Toc70505123 \h </w:instrText>
      </w:r>
      <w:r>
        <w:rPr>
          <w:noProof/>
        </w:rPr>
      </w:r>
      <w:r>
        <w:rPr>
          <w:noProof/>
        </w:rPr>
        <w:fldChar w:fldCharType="separate"/>
      </w:r>
      <w:r w:rsidR="000F445C">
        <w:rPr>
          <w:noProof/>
        </w:rPr>
        <w:t>188</w:t>
      </w:r>
      <w:r>
        <w:rPr>
          <w:noProof/>
        </w:rPr>
        <w:fldChar w:fldCharType="end"/>
      </w:r>
    </w:p>
    <w:p w14:paraId="6EDE9496" w14:textId="2C4F0F96" w:rsidR="00390CDB" w:rsidRDefault="00390CDB">
      <w:pPr>
        <w:pStyle w:val="TOC2"/>
        <w:rPr>
          <w:rFonts w:asciiTheme="minorHAnsi" w:eastAsiaTheme="minorEastAsia" w:hAnsiTheme="minorHAnsi" w:cstheme="minorBidi"/>
          <w:noProof/>
          <w:sz w:val="22"/>
          <w:szCs w:val="22"/>
        </w:rPr>
      </w:pPr>
      <w:r>
        <w:rPr>
          <w:noProof/>
        </w:rPr>
        <w:t>Societal benefits</w:t>
      </w:r>
      <w:r>
        <w:rPr>
          <w:noProof/>
        </w:rPr>
        <w:tab/>
      </w:r>
      <w:r>
        <w:rPr>
          <w:noProof/>
        </w:rPr>
        <w:fldChar w:fldCharType="begin"/>
      </w:r>
      <w:r>
        <w:rPr>
          <w:noProof/>
        </w:rPr>
        <w:instrText xml:space="preserve"> PAGEREF _Toc70505124 \h </w:instrText>
      </w:r>
      <w:r>
        <w:rPr>
          <w:noProof/>
        </w:rPr>
      </w:r>
      <w:r>
        <w:rPr>
          <w:noProof/>
        </w:rPr>
        <w:fldChar w:fldCharType="separate"/>
      </w:r>
      <w:r w:rsidR="000F445C">
        <w:rPr>
          <w:noProof/>
        </w:rPr>
        <w:t>190</w:t>
      </w:r>
      <w:r>
        <w:rPr>
          <w:noProof/>
        </w:rPr>
        <w:fldChar w:fldCharType="end"/>
      </w:r>
    </w:p>
    <w:p w14:paraId="6BF74356" w14:textId="0C0336C8" w:rsidR="00390CDB" w:rsidRDefault="00390CDB">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Cost-benefit analysis</w:t>
      </w:r>
      <w:r>
        <w:rPr>
          <w:noProof/>
        </w:rPr>
        <w:tab/>
      </w:r>
      <w:r>
        <w:rPr>
          <w:noProof/>
        </w:rPr>
        <w:fldChar w:fldCharType="begin"/>
      </w:r>
      <w:r>
        <w:rPr>
          <w:noProof/>
        </w:rPr>
        <w:instrText xml:space="preserve"> PAGEREF _Toc70505125 \h </w:instrText>
      </w:r>
      <w:r>
        <w:rPr>
          <w:noProof/>
        </w:rPr>
      </w:r>
      <w:r>
        <w:rPr>
          <w:noProof/>
        </w:rPr>
        <w:fldChar w:fldCharType="separate"/>
      </w:r>
      <w:r w:rsidR="000F445C">
        <w:rPr>
          <w:noProof/>
        </w:rPr>
        <w:t>192</w:t>
      </w:r>
      <w:r>
        <w:rPr>
          <w:noProof/>
        </w:rPr>
        <w:fldChar w:fldCharType="end"/>
      </w:r>
    </w:p>
    <w:p w14:paraId="07DF3C65" w14:textId="6804BA6F" w:rsidR="00390CDB" w:rsidRDefault="00390CDB">
      <w:pPr>
        <w:pStyle w:val="TOC2"/>
        <w:rPr>
          <w:rFonts w:asciiTheme="minorHAnsi" w:eastAsiaTheme="minorEastAsia" w:hAnsiTheme="minorHAnsi" w:cstheme="minorBidi"/>
          <w:noProof/>
          <w:sz w:val="22"/>
          <w:szCs w:val="22"/>
        </w:rPr>
      </w:pPr>
      <w:r>
        <w:rPr>
          <w:noProof/>
        </w:rPr>
        <w:t>Estimated net benefits and costs</w:t>
      </w:r>
      <w:r>
        <w:rPr>
          <w:noProof/>
        </w:rPr>
        <w:tab/>
      </w:r>
      <w:r>
        <w:rPr>
          <w:noProof/>
        </w:rPr>
        <w:fldChar w:fldCharType="begin"/>
      </w:r>
      <w:r>
        <w:rPr>
          <w:noProof/>
        </w:rPr>
        <w:instrText xml:space="preserve"> PAGEREF _Toc70505126 \h </w:instrText>
      </w:r>
      <w:r>
        <w:rPr>
          <w:noProof/>
        </w:rPr>
      </w:r>
      <w:r>
        <w:rPr>
          <w:noProof/>
        </w:rPr>
        <w:fldChar w:fldCharType="separate"/>
      </w:r>
      <w:r w:rsidR="000F445C">
        <w:rPr>
          <w:noProof/>
        </w:rPr>
        <w:t>192</w:t>
      </w:r>
      <w:r>
        <w:rPr>
          <w:noProof/>
        </w:rPr>
        <w:fldChar w:fldCharType="end"/>
      </w:r>
    </w:p>
    <w:p w14:paraId="1A1CB5CD" w14:textId="466C9995" w:rsidR="00390CDB" w:rsidRDefault="00390CDB">
      <w:pPr>
        <w:pStyle w:val="TOC2"/>
        <w:rPr>
          <w:rFonts w:asciiTheme="minorHAnsi" w:eastAsiaTheme="minorEastAsia" w:hAnsiTheme="minorHAnsi" w:cstheme="minorBidi"/>
          <w:noProof/>
          <w:sz w:val="22"/>
          <w:szCs w:val="22"/>
        </w:rPr>
      </w:pPr>
      <w:r>
        <w:rPr>
          <w:noProof/>
          <w:lang w:eastAsia="en-US" w:bidi="fa-IR"/>
        </w:rPr>
        <w:t>Qualitative assessment of Option 6</w:t>
      </w:r>
      <w:r>
        <w:rPr>
          <w:noProof/>
        </w:rPr>
        <w:tab/>
      </w:r>
      <w:r>
        <w:rPr>
          <w:noProof/>
        </w:rPr>
        <w:fldChar w:fldCharType="begin"/>
      </w:r>
      <w:r>
        <w:rPr>
          <w:noProof/>
        </w:rPr>
        <w:instrText xml:space="preserve"> PAGEREF _Toc70505127 \h </w:instrText>
      </w:r>
      <w:r>
        <w:rPr>
          <w:noProof/>
        </w:rPr>
      </w:r>
      <w:r>
        <w:rPr>
          <w:noProof/>
        </w:rPr>
        <w:fldChar w:fldCharType="separate"/>
      </w:r>
      <w:r w:rsidR="000F445C">
        <w:rPr>
          <w:noProof/>
        </w:rPr>
        <w:t>193</w:t>
      </w:r>
      <w:r>
        <w:rPr>
          <w:noProof/>
        </w:rPr>
        <w:fldChar w:fldCharType="end"/>
      </w:r>
    </w:p>
    <w:p w14:paraId="5A773B69" w14:textId="4E7EBA2A" w:rsidR="00390CDB" w:rsidRDefault="00390CDB">
      <w:pPr>
        <w:pStyle w:val="TOC2"/>
        <w:rPr>
          <w:rFonts w:asciiTheme="minorHAnsi" w:eastAsiaTheme="minorEastAsia" w:hAnsiTheme="minorHAnsi" w:cstheme="minorBidi"/>
          <w:noProof/>
          <w:sz w:val="22"/>
          <w:szCs w:val="22"/>
        </w:rPr>
      </w:pPr>
      <w:r>
        <w:rPr>
          <w:noProof/>
          <w:lang w:eastAsia="en-US" w:bidi="fa-IR"/>
        </w:rPr>
        <w:t>Qualitative assessment of exemptions</w:t>
      </w:r>
      <w:r>
        <w:rPr>
          <w:noProof/>
        </w:rPr>
        <w:tab/>
      </w:r>
      <w:r>
        <w:rPr>
          <w:noProof/>
        </w:rPr>
        <w:fldChar w:fldCharType="begin"/>
      </w:r>
      <w:r>
        <w:rPr>
          <w:noProof/>
        </w:rPr>
        <w:instrText xml:space="preserve"> PAGEREF _Toc70505128 \h </w:instrText>
      </w:r>
      <w:r>
        <w:rPr>
          <w:noProof/>
        </w:rPr>
      </w:r>
      <w:r>
        <w:rPr>
          <w:noProof/>
        </w:rPr>
        <w:fldChar w:fldCharType="separate"/>
      </w:r>
      <w:r w:rsidR="000F445C">
        <w:rPr>
          <w:noProof/>
        </w:rPr>
        <w:t>195</w:t>
      </w:r>
      <w:r>
        <w:rPr>
          <w:noProof/>
        </w:rPr>
        <w:fldChar w:fldCharType="end"/>
      </w:r>
    </w:p>
    <w:p w14:paraId="2B2EFEFE" w14:textId="3D44238D" w:rsidR="00390CDB" w:rsidRDefault="00390CDB">
      <w:pPr>
        <w:pStyle w:val="TOC2"/>
        <w:rPr>
          <w:rFonts w:asciiTheme="minorHAnsi" w:eastAsiaTheme="minorEastAsia" w:hAnsiTheme="minorHAnsi" w:cstheme="minorBidi"/>
          <w:noProof/>
          <w:sz w:val="22"/>
          <w:szCs w:val="22"/>
        </w:rPr>
      </w:pPr>
      <w:r>
        <w:rPr>
          <w:noProof/>
          <w:lang w:bidi="fa-IR"/>
        </w:rPr>
        <w:t>Scenario and sensitivity analysis</w:t>
      </w:r>
      <w:r>
        <w:rPr>
          <w:noProof/>
        </w:rPr>
        <w:tab/>
      </w:r>
      <w:r>
        <w:rPr>
          <w:noProof/>
        </w:rPr>
        <w:fldChar w:fldCharType="begin"/>
      </w:r>
      <w:r>
        <w:rPr>
          <w:noProof/>
        </w:rPr>
        <w:instrText xml:space="preserve"> PAGEREF _Toc70505129 \h </w:instrText>
      </w:r>
      <w:r>
        <w:rPr>
          <w:noProof/>
        </w:rPr>
      </w:r>
      <w:r>
        <w:rPr>
          <w:noProof/>
        </w:rPr>
        <w:fldChar w:fldCharType="separate"/>
      </w:r>
      <w:r w:rsidR="000F445C">
        <w:rPr>
          <w:noProof/>
        </w:rPr>
        <w:t>198</w:t>
      </w:r>
      <w:r>
        <w:rPr>
          <w:noProof/>
        </w:rPr>
        <w:fldChar w:fldCharType="end"/>
      </w:r>
    </w:p>
    <w:p w14:paraId="44F91391" w14:textId="059B7186" w:rsidR="00390CDB" w:rsidRDefault="00390CDB">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_Toc70505130 \h </w:instrText>
      </w:r>
      <w:r>
        <w:rPr>
          <w:noProof/>
        </w:rPr>
      </w:r>
      <w:r>
        <w:rPr>
          <w:noProof/>
        </w:rPr>
        <w:fldChar w:fldCharType="separate"/>
      </w:r>
      <w:r w:rsidR="000F445C">
        <w:rPr>
          <w:noProof/>
        </w:rPr>
        <w:t>207</w:t>
      </w:r>
      <w:r>
        <w:rPr>
          <w:noProof/>
        </w:rPr>
        <w:fldChar w:fldCharType="end"/>
      </w:r>
    </w:p>
    <w:p w14:paraId="22706B7B" w14:textId="4DF01C83" w:rsidR="00390CDB" w:rsidRDefault="00390CDB">
      <w:pPr>
        <w:pStyle w:val="TOC2"/>
        <w:rPr>
          <w:rFonts w:asciiTheme="minorHAnsi" w:eastAsiaTheme="minorEastAsia" w:hAnsiTheme="minorHAnsi" w:cstheme="minorBidi"/>
          <w:noProof/>
          <w:sz w:val="22"/>
          <w:szCs w:val="22"/>
        </w:rPr>
      </w:pPr>
      <w:r>
        <w:rPr>
          <w:noProof/>
        </w:rPr>
        <w:t>Inaccessible housing is a significant problem</w:t>
      </w:r>
      <w:r>
        <w:rPr>
          <w:noProof/>
        </w:rPr>
        <w:tab/>
      </w:r>
      <w:r>
        <w:rPr>
          <w:noProof/>
        </w:rPr>
        <w:fldChar w:fldCharType="begin"/>
      </w:r>
      <w:r>
        <w:rPr>
          <w:noProof/>
        </w:rPr>
        <w:instrText xml:space="preserve"> PAGEREF _Toc70505131 \h </w:instrText>
      </w:r>
      <w:r>
        <w:rPr>
          <w:noProof/>
        </w:rPr>
      </w:r>
      <w:r>
        <w:rPr>
          <w:noProof/>
        </w:rPr>
        <w:fldChar w:fldCharType="separate"/>
      </w:r>
      <w:r w:rsidR="000F445C">
        <w:rPr>
          <w:noProof/>
        </w:rPr>
        <w:t>207</w:t>
      </w:r>
      <w:r>
        <w:rPr>
          <w:noProof/>
        </w:rPr>
        <w:fldChar w:fldCharType="end"/>
      </w:r>
    </w:p>
    <w:p w14:paraId="4DD8244D" w14:textId="2138C5D4" w:rsidR="00390CDB" w:rsidRDefault="00390CDB">
      <w:pPr>
        <w:pStyle w:val="TOC2"/>
        <w:rPr>
          <w:rFonts w:asciiTheme="minorHAnsi" w:eastAsiaTheme="minorEastAsia" w:hAnsiTheme="minorHAnsi" w:cstheme="minorBidi"/>
          <w:noProof/>
          <w:sz w:val="22"/>
          <w:szCs w:val="22"/>
        </w:rPr>
      </w:pPr>
      <w:r>
        <w:rPr>
          <w:noProof/>
          <w:lang w:bidi="fa-IR"/>
        </w:rPr>
        <w:t>Discussion of results</w:t>
      </w:r>
      <w:r>
        <w:rPr>
          <w:noProof/>
        </w:rPr>
        <w:tab/>
      </w:r>
      <w:r>
        <w:rPr>
          <w:noProof/>
        </w:rPr>
        <w:fldChar w:fldCharType="begin"/>
      </w:r>
      <w:r>
        <w:rPr>
          <w:noProof/>
        </w:rPr>
        <w:instrText xml:space="preserve"> PAGEREF _Toc70505132 \h </w:instrText>
      </w:r>
      <w:r>
        <w:rPr>
          <w:noProof/>
        </w:rPr>
      </w:r>
      <w:r>
        <w:rPr>
          <w:noProof/>
        </w:rPr>
        <w:fldChar w:fldCharType="separate"/>
      </w:r>
      <w:r w:rsidR="000F445C">
        <w:rPr>
          <w:noProof/>
        </w:rPr>
        <w:t>208</w:t>
      </w:r>
      <w:r>
        <w:rPr>
          <w:noProof/>
        </w:rPr>
        <w:fldChar w:fldCharType="end"/>
      </w:r>
    </w:p>
    <w:p w14:paraId="77F576E9" w14:textId="0DCA7C12" w:rsidR="00390CDB" w:rsidRDefault="00390CDB">
      <w:pPr>
        <w:pStyle w:val="TOC2"/>
        <w:rPr>
          <w:rFonts w:asciiTheme="minorHAnsi" w:eastAsiaTheme="minorEastAsia" w:hAnsiTheme="minorHAnsi" w:cstheme="minorBidi"/>
          <w:noProof/>
          <w:sz w:val="22"/>
          <w:szCs w:val="22"/>
        </w:rPr>
      </w:pPr>
      <w:r>
        <w:rPr>
          <w:noProof/>
          <w:lang w:bidi="fa-IR"/>
        </w:rPr>
        <w:t>Findings of analysis</w:t>
      </w:r>
      <w:r>
        <w:rPr>
          <w:noProof/>
        </w:rPr>
        <w:tab/>
      </w:r>
      <w:r>
        <w:rPr>
          <w:noProof/>
        </w:rPr>
        <w:fldChar w:fldCharType="begin"/>
      </w:r>
      <w:r>
        <w:rPr>
          <w:noProof/>
        </w:rPr>
        <w:instrText xml:space="preserve"> PAGEREF _Toc70505133 \h </w:instrText>
      </w:r>
      <w:r>
        <w:rPr>
          <w:noProof/>
        </w:rPr>
      </w:r>
      <w:r>
        <w:rPr>
          <w:noProof/>
        </w:rPr>
        <w:fldChar w:fldCharType="separate"/>
      </w:r>
      <w:r w:rsidR="000F445C">
        <w:rPr>
          <w:noProof/>
        </w:rPr>
        <w:t>211</w:t>
      </w:r>
      <w:r>
        <w:rPr>
          <w:noProof/>
        </w:rPr>
        <w:fldChar w:fldCharType="end"/>
      </w:r>
    </w:p>
    <w:p w14:paraId="49B753E2" w14:textId="1EDFB9CA" w:rsidR="00650F3E" w:rsidRPr="002B76B3" w:rsidRDefault="00650F3E" w:rsidP="004E7620">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14:paraId="151524E6" w14:textId="1A506629" w:rsidR="00390CDB" w:rsidRDefault="00A21A20">
      <w:pPr>
        <w:pStyle w:val="TableofFigures"/>
        <w:rPr>
          <w:rFonts w:eastAsiaTheme="minorEastAsia" w:cstheme="minorBidi"/>
          <w:noProof/>
          <w:sz w:val="22"/>
          <w:szCs w:val="22"/>
        </w:rPr>
      </w:pPr>
      <w:r>
        <w:fldChar w:fldCharType="begin"/>
      </w:r>
      <w:r>
        <w:instrText xml:space="preserve"> TOC \t "Caption" \c </w:instrText>
      </w:r>
      <w:r>
        <w:fldChar w:fldCharType="separate"/>
      </w:r>
      <w:r w:rsidR="00390CDB">
        <w:rPr>
          <w:noProof/>
        </w:rPr>
        <w:t>1</w:t>
      </w:r>
      <w:r w:rsidR="00390CDB">
        <w:rPr>
          <w:rFonts w:eastAsiaTheme="minorEastAsia" w:cstheme="minorBidi"/>
          <w:noProof/>
          <w:sz w:val="22"/>
          <w:szCs w:val="22"/>
        </w:rPr>
        <w:tab/>
      </w:r>
      <w:r w:rsidR="00390CDB">
        <w:rPr>
          <w:noProof/>
        </w:rPr>
        <w:t xml:space="preserve">Estimated number of people affected by a </w:t>
      </w:r>
      <w:r w:rsidR="003235DB">
        <w:rPr>
          <w:noProof/>
        </w:rPr>
        <w:t xml:space="preserve">lack of accessible housing per </w:t>
      </w:r>
      <w:r w:rsidR="00390CDB">
        <w:rPr>
          <w:noProof/>
        </w:rPr>
        <w:t>year</w:t>
      </w:r>
      <w:r w:rsidR="00390CDB">
        <w:rPr>
          <w:noProof/>
        </w:rPr>
        <w:tab/>
      </w:r>
      <w:r w:rsidR="00390CDB">
        <w:rPr>
          <w:noProof/>
        </w:rPr>
        <w:fldChar w:fldCharType="begin"/>
      </w:r>
      <w:r w:rsidR="00390CDB">
        <w:rPr>
          <w:noProof/>
        </w:rPr>
        <w:instrText xml:space="preserve"> PAGEREF _Toc70505488 \h </w:instrText>
      </w:r>
      <w:r w:rsidR="00390CDB">
        <w:rPr>
          <w:noProof/>
        </w:rPr>
      </w:r>
      <w:r w:rsidR="00390CDB">
        <w:rPr>
          <w:noProof/>
        </w:rPr>
        <w:fldChar w:fldCharType="separate"/>
      </w:r>
      <w:r w:rsidR="000F445C">
        <w:rPr>
          <w:noProof/>
        </w:rPr>
        <w:t>11</w:t>
      </w:r>
      <w:r w:rsidR="00390CDB">
        <w:rPr>
          <w:noProof/>
        </w:rPr>
        <w:fldChar w:fldCharType="end"/>
      </w:r>
    </w:p>
    <w:p w14:paraId="673545C6" w14:textId="5E13F545" w:rsidR="00390CDB" w:rsidRDefault="00390CDB">
      <w:pPr>
        <w:pStyle w:val="TableofFigures"/>
        <w:rPr>
          <w:rFonts w:eastAsiaTheme="minorEastAsia" w:cstheme="minorBidi"/>
          <w:noProof/>
          <w:sz w:val="22"/>
          <w:szCs w:val="22"/>
        </w:rPr>
      </w:pPr>
      <w:r>
        <w:rPr>
          <w:noProof/>
        </w:rPr>
        <w:t>2</w:t>
      </w:r>
      <w:r>
        <w:rPr>
          <w:rFonts w:eastAsiaTheme="minorEastAsia" w:cstheme="minorBidi"/>
          <w:noProof/>
          <w:sz w:val="22"/>
          <w:szCs w:val="22"/>
        </w:rPr>
        <w:tab/>
      </w:r>
      <w:r>
        <w:rPr>
          <w:noProof/>
        </w:rPr>
        <w:t>Estimated size of the problem — quantifiable costs</w:t>
      </w:r>
      <w:r>
        <w:rPr>
          <w:noProof/>
        </w:rPr>
        <w:tab/>
      </w:r>
      <w:r>
        <w:rPr>
          <w:noProof/>
        </w:rPr>
        <w:fldChar w:fldCharType="begin"/>
      </w:r>
      <w:r>
        <w:rPr>
          <w:noProof/>
        </w:rPr>
        <w:instrText xml:space="preserve"> PAGEREF _Toc70505489 \h </w:instrText>
      </w:r>
      <w:r>
        <w:rPr>
          <w:noProof/>
        </w:rPr>
      </w:r>
      <w:r>
        <w:rPr>
          <w:noProof/>
        </w:rPr>
        <w:fldChar w:fldCharType="separate"/>
      </w:r>
      <w:r w:rsidR="000F445C">
        <w:rPr>
          <w:noProof/>
        </w:rPr>
        <w:t>12</w:t>
      </w:r>
      <w:r>
        <w:rPr>
          <w:noProof/>
        </w:rPr>
        <w:fldChar w:fldCharType="end"/>
      </w:r>
    </w:p>
    <w:p w14:paraId="01C29BF1" w14:textId="4CFFACA3" w:rsidR="00390CDB" w:rsidRDefault="00390CDB">
      <w:pPr>
        <w:pStyle w:val="TableofFigures"/>
        <w:rPr>
          <w:rFonts w:eastAsiaTheme="minorEastAsia" w:cstheme="minorBidi"/>
          <w:noProof/>
          <w:sz w:val="22"/>
          <w:szCs w:val="22"/>
        </w:rPr>
      </w:pPr>
      <w:r>
        <w:rPr>
          <w:noProof/>
        </w:rPr>
        <w:t>3</w:t>
      </w:r>
      <w:r>
        <w:rPr>
          <w:rFonts w:eastAsiaTheme="minorEastAsia" w:cstheme="minorBidi"/>
          <w:noProof/>
          <w:sz w:val="22"/>
          <w:szCs w:val="22"/>
        </w:rPr>
        <w:tab/>
      </w:r>
      <w:r>
        <w:rPr>
          <w:noProof/>
        </w:rPr>
        <w:t>Estimated net impact</w:t>
      </w:r>
      <w:r>
        <w:rPr>
          <w:noProof/>
        </w:rPr>
        <w:tab/>
      </w:r>
      <w:r>
        <w:rPr>
          <w:noProof/>
        </w:rPr>
        <w:fldChar w:fldCharType="begin"/>
      </w:r>
      <w:r>
        <w:rPr>
          <w:noProof/>
        </w:rPr>
        <w:instrText xml:space="preserve"> PAGEREF _Toc70505490 \h </w:instrText>
      </w:r>
      <w:r>
        <w:rPr>
          <w:noProof/>
        </w:rPr>
      </w:r>
      <w:r>
        <w:rPr>
          <w:noProof/>
        </w:rPr>
        <w:fldChar w:fldCharType="separate"/>
      </w:r>
      <w:r w:rsidR="000F445C">
        <w:rPr>
          <w:noProof/>
        </w:rPr>
        <w:t>16</w:t>
      </w:r>
      <w:r>
        <w:rPr>
          <w:noProof/>
        </w:rPr>
        <w:fldChar w:fldCharType="end"/>
      </w:r>
    </w:p>
    <w:p w14:paraId="21E52C51" w14:textId="0A200A4C" w:rsidR="00390CDB" w:rsidRDefault="00390CDB">
      <w:pPr>
        <w:pStyle w:val="TableofFigures"/>
        <w:rPr>
          <w:rFonts w:eastAsiaTheme="minorEastAsia" w:cstheme="minorBidi"/>
          <w:noProof/>
          <w:sz w:val="22"/>
          <w:szCs w:val="22"/>
        </w:rPr>
      </w:pPr>
      <w:r>
        <w:rPr>
          <w:noProof/>
        </w:rPr>
        <w:t>4</w:t>
      </w:r>
      <w:r>
        <w:rPr>
          <w:rFonts w:eastAsiaTheme="minorEastAsia" w:cstheme="minorBidi"/>
          <w:noProof/>
          <w:sz w:val="22"/>
          <w:szCs w:val="22"/>
        </w:rPr>
        <w:tab/>
      </w:r>
      <w:r>
        <w:rPr>
          <w:noProof/>
        </w:rPr>
        <w:t>Net benefits/costs including societal and employment-related benefits</w:t>
      </w:r>
      <w:r>
        <w:rPr>
          <w:noProof/>
        </w:rPr>
        <w:tab/>
      </w:r>
      <w:r>
        <w:rPr>
          <w:noProof/>
        </w:rPr>
        <w:fldChar w:fldCharType="begin"/>
      </w:r>
      <w:r>
        <w:rPr>
          <w:noProof/>
        </w:rPr>
        <w:instrText xml:space="preserve"> PAGEREF _Toc70505491 \h </w:instrText>
      </w:r>
      <w:r>
        <w:rPr>
          <w:noProof/>
        </w:rPr>
      </w:r>
      <w:r>
        <w:rPr>
          <w:noProof/>
        </w:rPr>
        <w:fldChar w:fldCharType="separate"/>
      </w:r>
      <w:r w:rsidR="000F445C">
        <w:rPr>
          <w:noProof/>
        </w:rPr>
        <w:t>19</w:t>
      </w:r>
      <w:r>
        <w:rPr>
          <w:noProof/>
        </w:rPr>
        <w:fldChar w:fldCharType="end"/>
      </w:r>
    </w:p>
    <w:p w14:paraId="6FE1E901" w14:textId="17374D7E" w:rsidR="00390CDB" w:rsidRDefault="00390CDB">
      <w:pPr>
        <w:pStyle w:val="TableofFigures"/>
        <w:rPr>
          <w:rFonts w:eastAsiaTheme="minorEastAsia" w:cstheme="minorBidi"/>
          <w:noProof/>
          <w:sz w:val="22"/>
          <w:szCs w:val="22"/>
        </w:rPr>
      </w:pPr>
      <w:r>
        <w:rPr>
          <w:noProof/>
        </w:rPr>
        <w:t>1.1</w:t>
      </w:r>
      <w:r>
        <w:rPr>
          <w:rFonts w:eastAsiaTheme="minorEastAsia" w:cstheme="minorBidi"/>
          <w:noProof/>
          <w:sz w:val="22"/>
          <w:szCs w:val="22"/>
        </w:rPr>
        <w:tab/>
      </w:r>
      <w:r>
        <w:rPr>
          <w:noProof/>
        </w:rPr>
        <w:t>United Nations Convention on the Rights of Persons with Disabilities (UNCRPD)</w:t>
      </w:r>
      <w:r>
        <w:rPr>
          <w:noProof/>
        </w:rPr>
        <w:tab/>
      </w:r>
      <w:r>
        <w:rPr>
          <w:noProof/>
        </w:rPr>
        <w:fldChar w:fldCharType="begin"/>
      </w:r>
      <w:r>
        <w:rPr>
          <w:noProof/>
        </w:rPr>
        <w:instrText xml:space="preserve"> PAGEREF _Toc70505492 \h </w:instrText>
      </w:r>
      <w:r>
        <w:rPr>
          <w:noProof/>
        </w:rPr>
      </w:r>
      <w:r>
        <w:rPr>
          <w:noProof/>
        </w:rPr>
        <w:fldChar w:fldCharType="separate"/>
      </w:r>
      <w:r w:rsidR="000F445C">
        <w:rPr>
          <w:noProof/>
        </w:rPr>
        <w:t>23</w:t>
      </w:r>
      <w:r>
        <w:rPr>
          <w:noProof/>
        </w:rPr>
        <w:fldChar w:fldCharType="end"/>
      </w:r>
    </w:p>
    <w:p w14:paraId="48B4CA71" w14:textId="2AEB9124" w:rsidR="00390CDB" w:rsidRDefault="00390CDB">
      <w:pPr>
        <w:pStyle w:val="TableofFigures"/>
        <w:rPr>
          <w:rFonts w:eastAsiaTheme="minorEastAsia" w:cstheme="minorBidi"/>
          <w:noProof/>
          <w:sz w:val="22"/>
          <w:szCs w:val="22"/>
        </w:rPr>
      </w:pPr>
      <w:r>
        <w:rPr>
          <w:noProof/>
        </w:rPr>
        <w:t>1.2</w:t>
      </w:r>
      <w:r>
        <w:rPr>
          <w:rFonts w:eastAsiaTheme="minorEastAsia" w:cstheme="minorBidi"/>
          <w:noProof/>
          <w:sz w:val="22"/>
          <w:szCs w:val="22"/>
        </w:rPr>
        <w:tab/>
      </w:r>
      <w:r>
        <w:rPr>
          <w:noProof/>
        </w:rPr>
        <w:t>Principles of Best Practice Regulation</w:t>
      </w:r>
      <w:r>
        <w:rPr>
          <w:noProof/>
        </w:rPr>
        <w:tab/>
      </w:r>
      <w:r>
        <w:rPr>
          <w:noProof/>
        </w:rPr>
        <w:fldChar w:fldCharType="begin"/>
      </w:r>
      <w:r>
        <w:rPr>
          <w:noProof/>
        </w:rPr>
        <w:instrText xml:space="preserve"> PAGEREF _Toc70505493 \h </w:instrText>
      </w:r>
      <w:r>
        <w:rPr>
          <w:noProof/>
        </w:rPr>
      </w:r>
      <w:r>
        <w:rPr>
          <w:noProof/>
        </w:rPr>
        <w:fldChar w:fldCharType="separate"/>
      </w:r>
      <w:r w:rsidR="000F445C">
        <w:rPr>
          <w:noProof/>
        </w:rPr>
        <w:t>25</w:t>
      </w:r>
      <w:r>
        <w:rPr>
          <w:noProof/>
        </w:rPr>
        <w:fldChar w:fldCharType="end"/>
      </w:r>
    </w:p>
    <w:p w14:paraId="5AC72D49" w14:textId="71CCEAA0" w:rsidR="00390CDB" w:rsidRDefault="00390CDB">
      <w:pPr>
        <w:pStyle w:val="TableofFigures"/>
        <w:rPr>
          <w:rFonts w:eastAsiaTheme="minorEastAsia" w:cstheme="minorBidi"/>
          <w:noProof/>
          <w:sz w:val="22"/>
          <w:szCs w:val="22"/>
        </w:rPr>
      </w:pPr>
      <w:r>
        <w:rPr>
          <w:noProof/>
        </w:rPr>
        <w:t>1.3</w:t>
      </w:r>
      <w:r>
        <w:rPr>
          <w:rFonts w:eastAsiaTheme="minorEastAsia" w:cstheme="minorBidi"/>
          <w:noProof/>
          <w:sz w:val="22"/>
          <w:szCs w:val="22"/>
        </w:rPr>
        <w:tab/>
      </w:r>
      <w:r>
        <w:rPr>
          <w:noProof/>
        </w:rPr>
        <w:t>Summary of stakeholder consultations</w:t>
      </w:r>
      <w:r>
        <w:rPr>
          <w:noProof/>
        </w:rPr>
        <w:tab/>
      </w:r>
      <w:r>
        <w:rPr>
          <w:noProof/>
        </w:rPr>
        <w:fldChar w:fldCharType="begin"/>
      </w:r>
      <w:r>
        <w:rPr>
          <w:noProof/>
        </w:rPr>
        <w:instrText xml:space="preserve"> PAGEREF _Toc70505494 \h </w:instrText>
      </w:r>
      <w:r>
        <w:rPr>
          <w:noProof/>
        </w:rPr>
      </w:r>
      <w:r>
        <w:rPr>
          <w:noProof/>
        </w:rPr>
        <w:fldChar w:fldCharType="separate"/>
      </w:r>
      <w:r w:rsidR="000F445C">
        <w:rPr>
          <w:noProof/>
        </w:rPr>
        <w:t>26</w:t>
      </w:r>
      <w:r>
        <w:rPr>
          <w:noProof/>
        </w:rPr>
        <w:fldChar w:fldCharType="end"/>
      </w:r>
    </w:p>
    <w:p w14:paraId="26213A5D" w14:textId="2E132B36" w:rsidR="00390CDB" w:rsidRDefault="00390CDB">
      <w:pPr>
        <w:pStyle w:val="TableofFigures"/>
        <w:rPr>
          <w:rFonts w:eastAsiaTheme="minorEastAsia" w:cstheme="minorBidi"/>
          <w:noProof/>
          <w:sz w:val="22"/>
          <w:szCs w:val="22"/>
        </w:rPr>
      </w:pPr>
      <w:r>
        <w:rPr>
          <w:noProof/>
        </w:rPr>
        <w:t>2.1</w:t>
      </w:r>
      <w:r>
        <w:rPr>
          <w:rFonts w:eastAsiaTheme="minorEastAsia" w:cstheme="minorBidi"/>
          <w:noProof/>
          <w:sz w:val="22"/>
          <w:szCs w:val="22"/>
        </w:rPr>
        <w:tab/>
      </w:r>
      <w:r>
        <w:rPr>
          <w:noProof/>
        </w:rPr>
        <w:t>Treatment of evidence from the Melbourne Disability Institute survey</w:t>
      </w:r>
      <w:r>
        <w:rPr>
          <w:noProof/>
        </w:rPr>
        <w:tab/>
      </w:r>
      <w:r>
        <w:rPr>
          <w:noProof/>
        </w:rPr>
        <w:fldChar w:fldCharType="begin"/>
      </w:r>
      <w:r>
        <w:rPr>
          <w:noProof/>
        </w:rPr>
        <w:instrText xml:space="preserve"> PAGEREF _Toc70505495 \h </w:instrText>
      </w:r>
      <w:r>
        <w:rPr>
          <w:noProof/>
        </w:rPr>
      </w:r>
      <w:r>
        <w:rPr>
          <w:noProof/>
        </w:rPr>
        <w:fldChar w:fldCharType="separate"/>
      </w:r>
      <w:r w:rsidR="000F445C">
        <w:rPr>
          <w:noProof/>
        </w:rPr>
        <w:t>33</w:t>
      </w:r>
      <w:r>
        <w:rPr>
          <w:noProof/>
        </w:rPr>
        <w:fldChar w:fldCharType="end"/>
      </w:r>
    </w:p>
    <w:p w14:paraId="63C8CA64" w14:textId="74492152" w:rsidR="00390CDB" w:rsidRDefault="00390CDB">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Accessibility features in respondents homes</w:t>
      </w:r>
      <w:r>
        <w:rPr>
          <w:noProof/>
        </w:rPr>
        <w:tab/>
      </w:r>
      <w:r>
        <w:rPr>
          <w:noProof/>
        </w:rPr>
        <w:fldChar w:fldCharType="begin"/>
      </w:r>
      <w:r>
        <w:rPr>
          <w:noProof/>
        </w:rPr>
        <w:instrText xml:space="preserve"> PAGEREF _Toc70505496 \h </w:instrText>
      </w:r>
      <w:r>
        <w:rPr>
          <w:noProof/>
        </w:rPr>
      </w:r>
      <w:r>
        <w:rPr>
          <w:noProof/>
        </w:rPr>
        <w:fldChar w:fldCharType="separate"/>
      </w:r>
      <w:r w:rsidR="000F445C">
        <w:rPr>
          <w:noProof/>
        </w:rPr>
        <w:t>34</w:t>
      </w:r>
      <w:r>
        <w:rPr>
          <w:noProof/>
        </w:rPr>
        <w:fldChar w:fldCharType="end"/>
      </w:r>
    </w:p>
    <w:p w14:paraId="2909388B" w14:textId="1F3F61BE" w:rsidR="00390CDB" w:rsidRDefault="00390CDB">
      <w:pPr>
        <w:pStyle w:val="TableofFigures"/>
        <w:rPr>
          <w:rFonts w:eastAsiaTheme="minorEastAsia" w:cstheme="minorBidi"/>
          <w:noProof/>
          <w:sz w:val="22"/>
          <w:szCs w:val="22"/>
        </w:rPr>
      </w:pPr>
      <w:r>
        <w:rPr>
          <w:noProof/>
        </w:rPr>
        <w:t>2.3</w:t>
      </w:r>
      <w:r>
        <w:rPr>
          <w:rFonts w:eastAsiaTheme="minorEastAsia" w:cstheme="minorBidi"/>
          <w:noProof/>
          <w:sz w:val="22"/>
          <w:szCs w:val="22"/>
        </w:rPr>
        <w:tab/>
      </w:r>
      <w:r>
        <w:rPr>
          <w:noProof/>
        </w:rPr>
        <w:t>Benefits for qualitative analysis</w:t>
      </w:r>
      <w:r>
        <w:rPr>
          <w:noProof/>
        </w:rPr>
        <w:tab/>
      </w:r>
      <w:r>
        <w:rPr>
          <w:noProof/>
        </w:rPr>
        <w:fldChar w:fldCharType="begin"/>
      </w:r>
      <w:r>
        <w:rPr>
          <w:noProof/>
        </w:rPr>
        <w:instrText xml:space="preserve"> PAGEREF _Toc70505497 \h </w:instrText>
      </w:r>
      <w:r>
        <w:rPr>
          <w:noProof/>
        </w:rPr>
      </w:r>
      <w:r>
        <w:rPr>
          <w:noProof/>
        </w:rPr>
        <w:fldChar w:fldCharType="separate"/>
      </w:r>
      <w:r w:rsidR="000F445C">
        <w:rPr>
          <w:noProof/>
        </w:rPr>
        <w:t>42</w:t>
      </w:r>
      <w:r>
        <w:rPr>
          <w:noProof/>
        </w:rPr>
        <w:fldChar w:fldCharType="end"/>
      </w:r>
    </w:p>
    <w:p w14:paraId="61CAFAA5" w14:textId="549EE116" w:rsidR="00390CDB" w:rsidRDefault="00390CDB">
      <w:pPr>
        <w:pStyle w:val="TableofFigures"/>
        <w:rPr>
          <w:rFonts w:eastAsiaTheme="minorEastAsia" w:cstheme="minorBidi"/>
          <w:noProof/>
          <w:sz w:val="22"/>
          <w:szCs w:val="22"/>
        </w:rPr>
      </w:pPr>
      <w:r>
        <w:rPr>
          <w:noProof/>
        </w:rPr>
        <w:lastRenderedPageBreak/>
        <w:t>2.4</w:t>
      </w:r>
      <w:r>
        <w:rPr>
          <w:rFonts w:eastAsiaTheme="minorEastAsia" w:cstheme="minorBidi"/>
          <w:noProof/>
          <w:sz w:val="22"/>
          <w:szCs w:val="22"/>
        </w:rPr>
        <w:tab/>
      </w:r>
      <w:r>
        <w:rPr>
          <w:noProof/>
        </w:rPr>
        <w:t>Stakeholders responses: are additional</w:t>
      </w:r>
      <w:r w:rsidR="003235DB">
        <w:rPr>
          <w:noProof/>
        </w:rPr>
        <w:t xml:space="preserve"> excavation costs likely to be </w:t>
      </w:r>
      <w:r>
        <w:rPr>
          <w:noProof/>
        </w:rPr>
        <w:t>required</w:t>
      </w:r>
      <w:r>
        <w:rPr>
          <w:noProof/>
        </w:rPr>
        <w:tab/>
      </w:r>
      <w:r>
        <w:rPr>
          <w:noProof/>
        </w:rPr>
        <w:fldChar w:fldCharType="begin"/>
      </w:r>
      <w:r>
        <w:rPr>
          <w:noProof/>
        </w:rPr>
        <w:instrText xml:space="preserve"> PAGEREF _Toc70505498 \h </w:instrText>
      </w:r>
      <w:r>
        <w:rPr>
          <w:noProof/>
        </w:rPr>
      </w:r>
      <w:r>
        <w:rPr>
          <w:noProof/>
        </w:rPr>
        <w:fldChar w:fldCharType="separate"/>
      </w:r>
      <w:r w:rsidR="000F445C">
        <w:rPr>
          <w:noProof/>
        </w:rPr>
        <w:t>46</w:t>
      </w:r>
      <w:r>
        <w:rPr>
          <w:noProof/>
        </w:rPr>
        <w:fldChar w:fldCharType="end"/>
      </w:r>
    </w:p>
    <w:p w14:paraId="42FE7717" w14:textId="2B4CE782" w:rsidR="00390CDB" w:rsidRDefault="00390CDB">
      <w:pPr>
        <w:pStyle w:val="TableofFigures"/>
        <w:rPr>
          <w:rFonts w:eastAsiaTheme="minorEastAsia" w:cstheme="minorBidi"/>
          <w:noProof/>
          <w:sz w:val="22"/>
          <w:szCs w:val="22"/>
        </w:rPr>
      </w:pPr>
      <w:r>
        <w:rPr>
          <w:noProof/>
        </w:rPr>
        <w:t>2.5</w:t>
      </w:r>
      <w:r>
        <w:rPr>
          <w:rFonts w:eastAsiaTheme="minorEastAsia" w:cstheme="minorBidi"/>
          <w:noProof/>
          <w:sz w:val="22"/>
          <w:szCs w:val="22"/>
        </w:rPr>
        <w:tab/>
      </w:r>
      <w:r>
        <w:rPr>
          <w:noProof/>
        </w:rPr>
        <w:t>List of lived experiences</w:t>
      </w:r>
      <w:r>
        <w:rPr>
          <w:noProof/>
        </w:rPr>
        <w:tab/>
      </w:r>
      <w:r>
        <w:rPr>
          <w:noProof/>
        </w:rPr>
        <w:fldChar w:fldCharType="begin"/>
      </w:r>
      <w:r>
        <w:rPr>
          <w:noProof/>
        </w:rPr>
        <w:instrText xml:space="preserve"> PAGEREF _Toc70505499 \h </w:instrText>
      </w:r>
      <w:r>
        <w:rPr>
          <w:noProof/>
        </w:rPr>
      </w:r>
      <w:r>
        <w:rPr>
          <w:noProof/>
        </w:rPr>
        <w:fldChar w:fldCharType="separate"/>
      </w:r>
      <w:r w:rsidR="000F445C">
        <w:rPr>
          <w:noProof/>
        </w:rPr>
        <w:t>48</w:t>
      </w:r>
      <w:r>
        <w:rPr>
          <w:noProof/>
        </w:rPr>
        <w:fldChar w:fldCharType="end"/>
      </w:r>
    </w:p>
    <w:p w14:paraId="372B7D74" w14:textId="5EA3DD03" w:rsidR="00390CDB" w:rsidRDefault="00390CDB">
      <w:pPr>
        <w:pStyle w:val="TableofFigures"/>
        <w:rPr>
          <w:rFonts w:eastAsiaTheme="minorEastAsia" w:cstheme="minorBidi"/>
          <w:noProof/>
          <w:sz w:val="22"/>
          <w:szCs w:val="22"/>
        </w:rPr>
      </w:pPr>
      <w:r>
        <w:rPr>
          <w:noProof/>
        </w:rPr>
        <w:t>3.1</w:t>
      </w:r>
      <w:r>
        <w:rPr>
          <w:rFonts w:eastAsiaTheme="minorEastAsia" w:cstheme="minorBidi"/>
          <w:noProof/>
          <w:sz w:val="22"/>
          <w:szCs w:val="22"/>
        </w:rPr>
        <w:tab/>
      </w:r>
      <w:r>
        <w:rPr>
          <w:noProof/>
        </w:rPr>
        <w:t>Number of people affected by a lack of accessible housing per year</w:t>
      </w:r>
      <w:r>
        <w:rPr>
          <w:noProof/>
        </w:rPr>
        <w:tab/>
      </w:r>
      <w:r>
        <w:rPr>
          <w:noProof/>
        </w:rPr>
        <w:fldChar w:fldCharType="begin"/>
      </w:r>
      <w:r>
        <w:rPr>
          <w:noProof/>
        </w:rPr>
        <w:instrText xml:space="preserve"> PAGEREF _Toc70505500 \h </w:instrText>
      </w:r>
      <w:r>
        <w:rPr>
          <w:noProof/>
        </w:rPr>
      </w:r>
      <w:r>
        <w:rPr>
          <w:noProof/>
        </w:rPr>
        <w:fldChar w:fldCharType="separate"/>
      </w:r>
      <w:r w:rsidR="000F445C">
        <w:rPr>
          <w:noProof/>
        </w:rPr>
        <w:t>58</w:t>
      </w:r>
      <w:r>
        <w:rPr>
          <w:noProof/>
        </w:rPr>
        <w:fldChar w:fldCharType="end"/>
      </w:r>
    </w:p>
    <w:p w14:paraId="1A78ABA7" w14:textId="19294311" w:rsidR="00390CDB" w:rsidRDefault="00390CDB">
      <w:pPr>
        <w:pStyle w:val="TableofFigures"/>
        <w:rPr>
          <w:rFonts w:eastAsiaTheme="minorEastAsia" w:cstheme="minorBidi"/>
          <w:noProof/>
          <w:sz w:val="22"/>
          <w:szCs w:val="22"/>
        </w:rPr>
      </w:pPr>
      <w:r>
        <w:rPr>
          <w:noProof/>
        </w:rPr>
        <w:t>3.2</w:t>
      </w:r>
      <w:r>
        <w:rPr>
          <w:rFonts w:eastAsiaTheme="minorEastAsia" w:cstheme="minorBidi"/>
          <w:noProof/>
          <w:sz w:val="22"/>
          <w:szCs w:val="22"/>
        </w:rPr>
        <w:tab/>
      </w:r>
      <w:r>
        <w:rPr>
          <w:noProof/>
        </w:rPr>
        <w:t>Estimated size of the problem — quantifiable costs</w:t>
      </w:r>
      <w:r>
        <w:rPr>
          <w:noProof/>
        </w:rPr>
        <w:tab/>
      </w:r>
      <w:r>
        <w:rPr>
          <w:noProof/>
        </w:rPr>
        <w:fldChar w:fldCharType="begin"/>
      </w:r>
      <w:r>
        <w:rPr>
          <w:noProof/>
        </w:rPr>
        <w:instrText xml:space="preserve"> PAGEREF _Toc70505501 \h </w:instrText>
      </w:r>
      <w:r>
        <w:rPr>
          <w:noProof/>
        </w:rPr>
      </w:r>
      <w:r>
        <w:rPr>
          <w:noProof/>
        </w:rPr>
        <w:fldChar w:fldCharType="separate"/>
      </w:r>
      <w:r w:rsidR="000F445C">
        <w:rPr>
          <w:noProof/>
        </w:rPr>
        <w:t>59</w:t>
      </w:r>
      <w:r>
        <w:rPr>
          <w:noProof/>
        </w:rPr>
        <w:fldChar w:fldCharType="end"/>
      </w:r>
    </w:p>
    <w:p w14:paraId="225DD759" w14:textId="6C3EC44A" w:rsidR="00390CDB" w:rsidRDefault="00390CDB">
      <w:pPr>
        <w:pStyle w:val="TableofFigures"/>
        <w:rPr>
          <w:rFonts w:eastAsiaTheme="minorEastAsia" w:cstheme="minorBidi"/>
          <w:noProof/>
          <w:sz w:val="22"/>
          <w:szCs w:val="22"/>
        </w:rPr>
      </w:pPr>
      <w:r>
        <w:rPr>
          <w:noProof/>
        </w:rPr>
        <w:t>3.3</w:t>
      </w:r>
      <w:r>
        <w:rPr>
          <w:rFonts w:eastAsiaTheme="minorEastAsia" w:cstheme="minorBidi"/>
          <w:noProof/>
          <w:sz w:val="22"/>
          <w:szCs w:val="22"/>
        </w:rPr>
        <w:tab/>
      </w:r>
      <w:r>
        <w:rPr>
          <w:noProof/>
        </w:rPr>
        <w:t>Lived experience – lack of supply of accessible housing</w:t>
      </w:r>
      <w:r>
        <w:rPr>
          <w:noProof/>
        </w:rPr>
        <w:tab/>
      </w:r>
      <w:r>
        <w:rPr>
          <w:noProof/>
        </w:rPr>
        <w:fldChar w:fldCharType="begin"/>
      </w:r>
      <w:r>
        <w:rPr>
          <w:noProof/>
        </w:rPr>
        <w:instrText xml:space="preserve"> PAGEREF _Toc70505502 \h </w:instrText>
      </w:r>
      <w:r>
        <w:rPr>
          <w:noProof/>
        </w:rPr>
      </w:r>
      <w:r>
        <w:rPr>
          <w:noProof/>
        </w:rPr>
        <w:fldChar w:fldCharType="separate"/>
      </w:r>
      <w:r w:rsidR="000F445C">
        <w:rPr>
          <w:noProof/>
        </w:rPr>
        <w:t>61</w:t>
      </w:r>
      <w:r>
        <w:rPr>
          <w:noProof/>
        </w:rPr>
        <w:fldChar w:fldCharType="end"/>
      </w:r>
    </w:p>
    <w:p w14:paraId="051B3539" w14:textId="12DAE356" w:rsidR="00390CDB" w:rsidRDefault="00390CDB">
      <w:pPr>
        <w:pStyle w:val="TableofFigures"/>
        <w:rPr>
          <w:rFonts w:eastAsiaTheme="minorEastAsia" w:cstheme="minorBidi"/>
          <w:noProof/>
          <w:sz w:val="22"/>
          <w:szCs w:val="22"/>
        </w:rPr>
      </w:pPr>
      <w:r>
        <w:rPr>
          <w:noProof/>
        </w:rPr>
        <w:t>3.4</w:t>
      </w:r>
      <w:r>
        <w:rPr>
          <w:rFonts w:eastAsiaTheme="minorEastAsia" w:cstheme="minorBidi"/>
          <w:noProof/>
          <w:sz w:val="22"/>
          <w:szCs w:val="22"/>
        </w:rPr>
        <w:tab/>
      </w:r>
      <w:r>
        <w:rPr>
          <w:noProof/>
        </w:rPr>
        <w:t>Mobility limitation by disability type</w:t>
      </w:r>
      <w:r>
        <w:rPr>
          <w:noProof/>
        </w:rPr>
        <w:tab/>
      </w:r>
      <w:r>
        <w:rPr>
          <w:noProof/>
        </w:rPr>
        <w:fldChar w:fldCharType="begin"/>
      </w:r>
      <w:r>
        <w:rPr>
          <w:noProof/>
        </w:rPr>
        <w:instrText xml:space="preserve"> PAGEREF _Toc70505503 \h </w:instrText>
      </w:r>
      <w:r>
        <w:rPr>
          <w:noProof/>
        </w:rPr>
      </w:r>
      <w:r>
        <w:rPr>
          <w:noProof/>
        </w:rPr>
        <w:fldChar w:fldCharType="separate"/>
      </w:r>
      <w:r w:rsidR="000F445C">
        <w:rPr>
          <w:noProof/>
        </w:rPr>
        <w:t>64</w:t>
      </w:r>
      <w:r>
        <w:rPr>
          <w:noProof/>
        </w:rPr>
        <w:fldChar w:fldCharType="end"/>
      </w:r>
    </w:p>
    <w:p w14:paraId="7FD56E8C" w14:textId="04C93668" w:rsidR="00390CDB" w:rsidRDefault="00390CDB">
      <w:pPr>
        <w:pStyle w:val="TableofFigures"/>
        <w:rPr>
          <w:rFonts w:eastAsiaTheme="minorEastAsia" w:cstheme="minorBidi"/>
          <w:noProof/>
          <w:sz w:val="22"/>
          <w:szCs w:val="22"/>
        </w:rPr>
      </w:pPr>
      <w:r>
        <w:rPr>
          <w:noProof/>
        </w:rPr>
        <w:t>3.5</w:t>
      </w:r>
      <w:r>
        <w:rPr>
          <w:rFonts w:eastAsiaTheme="minorEastAsia" w:cstheme="minorBidi"/>
          <w:noProof/>
          <w:sz w:val="22"/>
          <w:szCs w:val="22"/>
        </w:rPr>
        <w:tab/>
      </w:r>
      <w:r>
        <w:rPr>
          <w:noProof/>
        </w:rPr>
        <w:t>Number of people with mobility limitation and/or self</w:t>
      </w:r>
      <w:r>
        <w:rPr>
          <w:noProof/>
        </w:rPr>
        <w:noBreakHyphen/>
        <w:t>care limitation</w:t>
      </w:r>
      <w:r>
        <w:rPr>
          <w:noProof/>
        </w:rPr>
        <w:tab/>
      </w:r>
      <w:r>
        <w:rPr>
          <w:noProof/>
        </w:rPr>
        <w:fldChar w:fldCharType="begin"/>
      </w:r>
      <w:r>
        <w:rPr>
          <w:noProof/>
        </w:rPr>
        <w:instrText xml:space="preserve"> PAGEREF _Toc70505504 \h </w:instrText>
      </w:r>
      <w:r>
        <w:rPr>
          <w:noProof/>
        </w:rPr>
      </w:r>
      <w:r>
        <w:rPr>
          <w:noProof/>
        </w:rPr>
        <w:fldChar w:fldCharType="separate"/>
      </w:r>
      <w:r w:rsidR="000F445C">
        <w:rPr>
          <w:noProof/>
        </w:rPr>
        <w:t>65</w:t>
      </w:r>
      <w:r>
        <w:rPr>
          <w:noProof/>
        </w:rPr>
        <w:fldChar w:fldCharType="end"/>
      </w:r>
    </w:p>
    <w:p w14:paraId="39FEDC75" w14:textId="40855B38" w:rsidR="00390CDB" w:rsidRDefault="00390CDB">
      <w:pPr>
        <w:pStyle w:val="TableofFigures"/>
        <w:rPr>
          <w:rFonts w:eastAsiaTheme="minorEastAsia" w:cstheme="minorBidi"/>
          <w:noProof/>
          <w:sz w:val="22"/>
          <w:szCs w:val="22"/>
        </w:rPr>
      </w:pPr>
      <w:r>
        <w:rPr>
          <w:noProof/>
        </w:rPr>
        <w:t>3.6</w:t>
      </w:r>
      <w:r>
        <w:rPr>
          <w:rFonts w:eastAsiaTheme="minorEastAsia" w:cstheme="minorBidi"/>
          <w:noProof/>
          <w:sz w:val="22"/>
          <w:szCs w:val="22"/>
        </w:rPr>
        <w:tab/>
      </w:r>
      <w:r>
        <w:rPr>
          <w:noProof/>
        </w:rPr>
        <w:t>Types of mobility aids</w:t>
      </w:r>
      <w:r>
        <w:rPr>
          <w:noProof/>
        </w:rPr>
        <w:tab/>
      </w:r>
      <w:r>
        <w:rPr>
          <w:noProof/>
        </w:rPr>
        <w:fldChar w:fldCharType="begin"/>
      </w:r>
      <w:r>
        <w:rPr>
          <w:noProof/>
        </w:rPr>
        <w:instrText xml:space="preserve"> PAGEREF _Toc70505505 \h </w:instrText>
      </w:r>
      <w:r>
        <w:rPr>
          <w:noProof/>
        </w:rPr>
      </w:r>
      <w:r>
        <w:rPr>
          <w:noProof/>
        </w:rPr>
        <w:fldChar w:fldCharType="separate"/>
      </w:r>
      <w:r w:rsidR="000F445C">
        <w:rPr>
          <w:noProof/>
        </w:rPr>
        <w:t>66</w:t>
      </w:r>
      <w:r>
        <w:rPr>
          <w:noProof/>
        </w:rPr>
        <w:fldChar w:fldCharType="end"/>
      </w:r>
    </w:p>
    <w:p w14:paraId="015C480E" w14:textId="17E07868" w:rsidR="00390CDB" w:rsidRDefault="00390CDB">
      <w:pPr>
        <w:pStyle w:val="TableofFigures"/>
        <w:rPr>
          <w:rFonts w:eastAsiaTheme="minorEastAsia" w:cstheme="minorBidi"/>
          <w:noProof/>
          <w:sz w:val="22"/>
          <w:szCs w:val="22"/>
        </w:rPr>
      </w:pPr>
      <w:r>
        <w:rPr>
          <w:noProof/>
        </w:rPr>
        <w:t>3.7</w:t>
      </w:r>
      <w:r>
        <w:rPr>
          <w:rFonts w:eastAsiaTheme="minorEastAsia" w:cstheme="minorBidi"/>
          <w:noProof/>
          <w:sz w:val="22"/>
          <w:szCs w:val="22"/>
        </w:rPr>
        <w:tab/>
      </w:r>
      <w:r>
        <w:rPr>
          <w:noProof/>
        </w:rPr>
        <w:t>Population projections</w:t>
      </w:r>
      <w:r>
        <w:rPr>
          <w:noProof/>
        </w:rPr>
        <w:tab/>
      </w:r>
      <w:r>
        <w:rPr>
          <w:noProof/>
        </w:rPr>
        <w:fldChar w:fldCharType="begin"/>
      </w:r>
      <w:r>
        <w:rPr>
          <w:noProof/>
        </w:rPr>
        <w:instrText xml:space="preserve"> PAGEREF _Toc70505506 \h </w:instrText>
      </w:r>
      <w:r>
        <w:rPr>
          <w:noProof/>
        </w:rPr>
      </w:r>
      <w:r>
        <w:rPr>
          <w:noProof/>
        </w:rPr>
        <w:fldChar w:fldCharType="separate"/>
      </w:r>
      <w:r w:rsidR="000F445C">
        <w:rPr>
          <w:noProof/>
        </w:rPr>
        <w:t>67</w:t>
      </w:r>
      <w:r>
        <w:rPr>
          <w:noProof/>
        </w:rPr>
        <w:fldChar w:fldCharType="end"/>
      </w:r>
    </w:p>
    <w:p w14:paraId="4C44E281" w14:textId="2B817F2E" w:rsidR="00390CDB" w:rsidRDefault="00390CDB">
      <w:pPr>
        <w:pStyle w:val="TableofFigures"/>
        <w:rPr>
          <w:rFonts w:eastAsiaTheme="minorEastAsia" w:cstheme="minorBidi"/>
          <w:noProof/>
          <w:sz w:val="22"/>
          <w:szCs w:val="22"/>
        </w:rPr>
      </w:pPr>
      <w:r>
        <w:rPr>
          <w:noProof/>
        </w:rPr>
        <w:t>3.8</w:t>
      </w:r>
      <w:r>
        <w:rPr>
          <w:rFonts w:eastAsiaTheme="minorEastAsia" w:cstheme="minorBidi"/>
          <w:noProof/>
          <w:sz w:val="22"/>
          <w:szCs w:val="22"/>
        </w:rPr>
        <w:tab/>
      </w:r>
      <w:r>
        <w:rPr>
          <w:noProof/>
        </w:rPr>
        <w:t>Mobility limitations and wheelchair users by age — share of population</w:t>
      </w:r>
      <w:r>
        <w:rPr>
          <w:noProof/>
        </w:rPr>
        <w:tab/>
      </w:r>
      <w:r>
        <w:rPr>
          <w:noProof/>
        </w:rPr>
        <w:fldChar w:fldCharType="begin"/>
      </w:r>
      <w:r>
        <w:rPr>
          <w:noProof/>
        </w:rPr>
        <w:instrText xml:space="preserve"> PAGEREF _Toc70505507 \h </w:instrText>
      </w:r>
      <w:r>
        <w:rPr>
          <w:noProof/>
        </w:rPr>
      </w:r>
      <w:r>
        <w:rPr>
          <w:noProof/>
        </w:rPr>
        <w:fldChar w:fldCharType="separate"/>
      </w:r>
      <w:r w:rsidR="000F445C">
        <w:rPr>
          <w:noProof/>
        </w:rPr>
        <w:t>68</w:t>
      </w:r>
      <w:r>
        <w:rPr>
          <w:noProof/>
        </w:rPr>
        <w:fldChar w:fldCharType="end"/>
      </w:r>
    </w:p>
    <w:p w14:paraId="09B24928" w14:textId="5F8AE297" w:rsidR="00390CDB" w:rsidRDefault="00390CDB">
      <w:pPr>
        <w:pStyle w:val="TableofFigures"/>
        <w:rPr>
          <w:rFonts w:eastAsiaTheme="minorEastAsia" w:cstheme="minorBidi"/>
          <w:noProof/>
          <w:sz w:val="22"/>
          <w:szCs w:val="22"/>
        </w:rPr>
      </w:pPr>
      <w:r>
        <w:rPr>
          <w:noProof/>
        </w:rPr>
        <w:t>3.9</w:t>
      </w:r>
      <w:r>
        <w:rPr>
          <w:rFonts w:eastAsiaTheme="minorEastAsia" w:cstheme="minorBidi"/>
          <w:noProof/>
          <w:sz w:val="22"/>
          <w:szCs w:val="22"/>
        </w:rPr>
        <w:tab/>
      </w:r>
      <w:r>
        <w:rPr>
          <w:noProof/>
        </w:rPr>
        <w:t>Number of people with mobility limitations — projection</w:t>
      </w:r>
      <w:r>
        <w:rPr>
          <w:noProof/>
        </w:rPr>
        <w:tab/>
      </w:r>
      <w:r>
        <w:rPr>
          <w:noProof/>
        </w:rPr>
        <w:fldChar w:fldCharType="begin"/>
      </w:r>
      <w:r>
        <w:rPr>
          <w:noProof/>
        </w:rPr>
        <w:instrText xml:space="preserve"> PAGEREF _Toc70505508 \h </w:instrText>
      </w:r>
      <w:r>
        <w:rPr>
          <w:noProof/>
        </w:rPr>
      </w:r>
      <w:r>
        <w:rPr>
          <w:noProof/>
        </w:rPr>
        <w:fldChar w:fldCharType="separate"/>
      </w:r>
      <w:r w:rsidR="000F445C">
        <w:rPr>
          <w:noProof/>
        </w:rPr>
        <w:t>68</w:t>
      </w:r>
      <w:r>
        <w:rPr>
          <w:noProof/>
        </w:rPr>
        <w:fldChar w:fldCharType="end"/>
      </w:r>
    </w:p>
    <w:p w14:paraId="17AD3DC1" w14:textId="669BFBDE" w:rsidR="00390CDB" w:rsidRDefault="00390CDB">
      <w:pPr>
        <w:pStyle w:val="TableofFigures"/>
        <w:rPr>
          <w:rFonts w:eastAsiaTheme="minorEastAsia" w:cstheme="minorBidi"/>
          <w:noProof/>
          <w:sz w:val="22"/>
          <w:szCs w:val="22"/>
        </w:rPr>
      </w:pPr>
      <w:r>
        <w:rPr>
          <w:noProof/>
        </w:rPr>
        <w:t>3.10</w:t>
      </w:r>
      <w:r>
        <w:rPr>
          <w:rFonts w:eastAsiaTheme="minorEastAsia" w:cstheme="minorBidi"/>
          <w:noProof/>
          <w:sz w:val="22"/>
          <w:szCs w:val="22"/>
        </w:rPr>
        <w:tab/>
      </w:r>
      <w:r>
        <w:rPr>
          <w:noProof/>
        </w:rPr>
        <w:t>Number of wheelchair users — projections</w:t>
      </w:r>
      <w:r>
        <w:rPr>
          <w:noProof/>
        </w:rPr>
        <w:tab/>
      </w:r>
      <w:r>
        <w:rPr>
          <w:noProof/>
        </w:rPr>
        <w:fldChar w:fldCharType="begin"/>
      </w:r>
      <w:r>
        <w:rPr>
          <w:noProof/>
        </w:rPr>
        <w:instrText xml:space="preserve"> PAGEREF _Toc70505509 \h </w:instrText>
      </w:r>
      <w:r>
        <w:rPr>
          <w:noProof/>
        </w:rPr>
      </w:r>
      <w:r>
        <w:rPr>
          <w:noProof/>
        </w:rPr>
        <w:fldChar w:fldCharType="separate"/>
      </w:r>
      <w:r w:rsidR="000F445C">
        <w:rPr>
          <w:noProof/>
        </w:rPr>
        <w:t>69</w:t>
      </w:r>
      <w:r>
        <w:rPr>
          <w:noProof/>
        </w:rPr>
        <w:fldChar w:fldCharType="end"/>
      </w:r>
    </w:p>
    <w:p w14:paraId="6C26CDC2" w14:textId="54A7DD37" w:rsidR="00390CDB" w:rsidRDefault="00390CDB">
      <w:pPr>
        <w:pStyle w:val="TableofFigures"/>
        <w:rPr>
          <w:rFonts w:eastAsiaTheme="minorEastAsia" w:cstheme="minorBidi"/>
          <w:noProof/>
          <w:sz w:val="22"/>
          <w:szCs w:val="22"/>
        </w:rPr>
      </w:pPr>
      <w:r>
        <w:rPr>
          <w:noProof/>
        </w:rPr>
        <w:t>3.11</w:t>
      </w:r>
      <w:r>
        <w:rPr>
          <w:rFonts w:eastAsiaTheme="minorEastAsia" w:cstheme="minorBidi"/>
          <w:noProof/>
          <w:sz w:val="22"/>
          <w:szCs w:val="22"/>
        </w:rPr>
        <w:tab/>
      </w:r>
      <w:r>
        <w:rPr>
          <w:noProof/>
        </w:rPr>
        <w:t>Summary of state and territory government policies that aim to increase the supply of accessible housing</w:t>
      </w:r>
      <w:r>
        <w:rPr>
          <w:noProof/>
        </w:rPr>
        <w:tab/>
      </w:r>
      <w:r>
        <w:rPr>
          <w:noProof/>
        </w:rPr>
        <w:fldChar w:fldCharType="begin"/>
      </w:r>
      <w:r>
        <w:rPr>
          <w:noProof/>
        </w:rPr>
        <w:instrText xml:space="preserve"> PAGEREF _Toc70505510 \h </w:instrText>
      </w:r>
      <w:r>
        <w:rPr>
          <w:noProof/>
        </w:rPr>
      </w:r>
      <w:r>
        <w:rPr>
          <w:noProof/>
        </w:rPr>
        <w:fldChar w:fldCharType="separate"/>
      </w:r>
      <w:r w:rsidR="000F445C">
        <w:rPr>
          <w:noProof/>
        </w:rPr>
        <w:t>70</w:t>
      </w:r>
      <w:r>
        <w:rPr>
          <w:noProof/>
        </w:rPr>
        <w:fldChar w:fldCharType="end"/>
      </w:r>
    </w:p>
    <w:p w14:paraId="27B0719B" w14:textId="5C74671D" w:rsidR="00390CDB" w:rsidRDefault="00390CDB">
      <w:pPr>
        <w:pStyle w:val="TableofFigures"/>
        <w:rPr>
          <w:rFonts w:eastAsiaTheme="minorEastAsia" w:cstheme="minorBidi"/>
          <w:noProof/>
          <w:sz w:val="22"/>
          <w:szCs w:val="22"/>
        </w:rPr>
      </w:pPr>
      <w:r>
        <w:rPr>
          <w:noProof/>
        </w:rPr>
        <w:t>3.12</w:t>
      </w:r>
      <w:r>
        <w:rPr>
          <w:rFonts w:eastAsiaTheme="minorEastAsia" w:cstheme="minorBidi"/>
          <w:noProof/>
          <w:sz w:val="22"/>
          <w:szCs w:val="22"/>
        </w:rPr>
        <w:tab/>
      </w:r>
      <w:r>
        <w:rPr>
          <w:noProof/>
        </w:rPr>
        <w:t>Summary of state and territory government social housing accessibility requirements</w:t>
      </w:r>
      <w:r>
        <w:rPr>
          <w:noProof/>
        </w:rPr>
        <w:tab/>
      </w:r>
      <w:r>
        <w:rPr>
          <w:noProof/>
        </w:rPr>
        <w:fldChar w:fldCharType="begin"/>
      </w:r>
      <w:r>
        <w:rPr>
          <w:noProof/>
        </w:rPr>
        <w:instrText xml:space="preserve"> PAGEREF _Toc70505511 \h </w:instrText>
      </w:r>
      <w:r>
        <w:rPr>
          <w:noProof/>
        </w:rPr>
      </w:r>
      <w:r>
        <w:rPr>
          <w:noProof/>
        </w:rPr>
        <w:fldChar w:fldCharType="separate"/>
      </w:r>
      <w:r w:rsidR="000F445C">
        <w:rPr>
          <w:noProof/>
        </w:rPr>
        <w:t>71</w:t>
      </w:r>
      <w:r>
        <w:rPr>
          <w:noProof/>
        </w:rPr>
        <w:fldChar w:fldCharType="end"/>
      </w:r>
    </w:p>
    <w:p w14:paraId="370310F7" w14:textId="61CE1429" w:rsidR="00390CDB" w:rsidRDefault="00390CDB">
      <w:pPr>
        <w:pStyle w:val="TableofFigures"/>
        <w:rPr>
          <w:rFonts w:eastAsiaTheme="minorEastAsia" w:cstheme="minorBidi"/>
          <w:noProof/>
          <w:sz w:val="22"/>
          <w:szCs w:val="22"/>
        </w:rPr>
      </w:pPr>
      <w:r>
        <w:rPr>
          <w:noProof/>
        </w:rPr>
        <w:t>3.13</w:t>
      </w:r>
      <w:r>
        <w:rPr>
          <w:rFonts w:eastAsiaTheme="minorEastAsia" w:cstheme="minorBidi"/>
          <w:noProof/>
          <w:sz w:val="22"/>
          <w:szCs w:val="22"/>
        </w:rPr>
        <w:tab/>
      </w:r>
      <w:r>
        <w:rPr>
          <w:noProof/>
        </w:rPr>
        <w:t>Summary of other services</w:t>
      </w:r>
      <w:r>
        <w:rPr>
          <w:noProof/>
        </w:rPr>
        <w:tab/>
      </w:r>
      <w:r>
        <w:rPr>
          <w:noProof/>
        </w:rPr>
        <w:fldChar w:fldCharType="begin"/>
      </w:r>
      <w:r>
        <w:rPr>
          <w:noProof/>
        </w:rPr>
        <w:instrText xml:space="preserve"> PAGEREF _Toc70505512 \h </w:instrText>
      </w:r>
      <w:r>
        <w:rPr>
          <w:noProof/>
        </w:rPr>
      </w:r>
      <w:r>
        <w:rPr>
          <w:noProof/>
        </w:rPr>
        <w:fldChar w:fldCharType="separate"/>
      </w:r>
      <w:r w:rsidR="000F445C">
        <w:rPr>
          <w:noProof/>
        </w:rPr>
        <w:t>74</w:t>
      </w:r>
      <w:r>
        <w:rPr>
          <w:noProof/>
        </w:rPr>
        <w:fldChar w:fldCharType="end"/>
      </w:r>
    </w:p>
    <w:p w14:paraId="0BAE9C6A" w14:textId="21E14F1B" w:rsidR="00390CDB" w:rsidRDefault="00390CDB">
      <w:pPr>
        <w:pStyle w:val="TableofFigures"/>
        <w:rPr>
          <w:rFonts w:eastAsiaTheme="minorEastAsia" w:cstheme="minorBidi"/>
          <w:noProof/>
          <w:sz w:val="22"/>
          <w:szCs w:val="22"/>
        </w:rPr>
      </w:pPr>
      <w:r>
        <w:rPr>
          <w:noProof/>
        </w:rPr>
        <w:t>3.14</w:t>
      </w:r>
      <w:r>
        <w:rPr>
          <w:rFonts w:eastAsiaTheme="minorEastAsia" w:cstheme="minorBidi"/>
          <w:noProof/>
          <w:sz w:val="22"/>
          <w:szCs w:val="22"/>
        </w:rPr>
        <w:tab/>
      </w:r>
      <w:r>
        <w:rPr>
          <w:noProof/>
        </w:rPr>
        <w:t>Type of dwelling</w:t>
      </w:r>
      <w:r>
        <w:rPr>
          <w:noProof/>
        </w:rPr>
        <w:tab/>
      </w:r>
      <w:r>
        <w:rPr>
          <w:noProof/>
        </w:rPr>
        <w:fldChar w:fldCharType="begin"/>
      </w:r>
      <w:r>
        <w:rPr>
          <w:noProof/>
        </w:rPr>
        <w:instrText xml:space="preserve"> PAGEREF _Toc70505513 \h </w:instrText>
      </w:r>
      <w:r>
        <w:rPr>
          <w:noProof/>
        </w:rPr>
      </w:r>
      <w:r>
        <w:rPr>
          <w:noProof/>
        </w:rPr>
        <w:fldChar w:fldCharType="separate"/>
      </w:r>
      <w:r w:rsidR="000F445C">
        <w:rPr>
          <w:noProof/>
        </w:rPr>
        <w:t>75</w:t>
      </w:r>
      <w:r>
        <w:rPr>
          <w:noProof/>
        </w:rPr>
        <w:fldChar w:fldCharType="end"/>
      </w:r>
    </w:p>
    <w:p w14:paraId="44B34954" w14:textId="4F006958" w:rsidR="00390CDB" w:rsidRDefault="00390CDB">
      <w:pPr>
        <w:pStyle w:val="TableofFigures"/>
        <w:rPr>
          <w:rFonts w:eastAsiaTheme="minorEastAsia" w:cstheme="minorBidi"/>
          <w:noProof/>
          <w:sz w:val="22"/>
          <w:szCs w:val="22"/>
        </w:rPr>
      </w:pPr>
      <w:r>
        <w:rPr>
          <w:noProof/>
        </w:rPr>
        <w:t>3.15</w:t>
      </w:r>
      <w:r>
        <w:rPr>
          <w:rFonts w:eastAsiaTheme="minorEastAsia" w:cstheme="minorBidi"/>
          <w:noProof/>
          <w:sz w:val="22"/>
          <w:szCs w:val="22"/>
        </w:rPr>
        <w:tab/>
      </w:r>
      <w:r>
        <w:rPr>
          <w:noProof/>
        </w:rPr>
        <w:t>Retirement village dwelling and resident numbers — 2014</w:t>
      </w:r>
      <w:r>
        <w:rPr>
          <w:noProof/>
        </w:rPr>
        <w:tab/>
      </w:r>
      <w:r>
        <w:rPr>
          <w:noProof/>
        </w:rPr>
        <w:fldChar w:fldCharType="begin"/>
      </w:r>
      <w:r>
        <w:rPr>
          <w:noProof/>
        </w:rPr>
        <w:instrText xml:space="preserve"> PAGEREF _Toc70505514 \h </w:instrText>
      </w:r>
      <w:r>
        <w:rPr>
          <w:noProof/>
        </w:rPr>
      </w:r>
      <w:r>
        <w:rPr>
          <w:noProof/>
        </w:rPr>
        <w:fldChar w:fldCharType="separate"/>
      </w:r>
      <w:r w:rsidR="000F445C">
        <w:rPr>
          <w:noProof/>
        </w:rPr>
        <w:t>76</w:t>
      </w:r>
      <w:r>
        <w:rPr>
          <w:noProof/>
        </w:rPr>
        <w:fldChar w:fldCharType="end"/>
      </w:r>
    </w:p>
    <w:p w14:paraId="2D10E58C" w14:textId="0066637E" w:rsidR="00390CDB" w:rsidRDefault="00390CDB">
      <w:pPr>
        <w:pStyle w:val="TableofFigures"/>
        <w:rPr>
          <w:rFonts w:eastAsiaTheme="minorEastAsia" w:cstheme="minorBidi"/>
          <w:noProof/>
          <w:sz w:val="22"/>
          <w:szCs w:val="22"/>
        </w:rPr>
      </w:pPr>
      <w:r>
        <w:rPr>
          <w:noProof/>
        </w:rPr>
        <w:t>3.16</w:t>
      </w:r>
      <w:r>
        <w:rPr>
          <w:rFonts w:eastAsiaTheme="minorEastAsia" w:cstheme="minorBidi"/>
          <w:noProof/>
          <w:sz w:val="22"/>
          <w:szCs w:val="22"/>
        </w:rPr>
        <w:tab/>
      </w:r>
      <w:r>
        <w:rPr>
          <w:noProof/>
        </w:rPr>
        <w:t>Share of people with a mobility limitation living in modified dwellings</w:t>
      </w:r>
      <w:r>
        <w:rPr>
          <w:noProof/>
        </w:rPr>
        <w:tab/>
      </w:r>
      <w:r>
        <w:rPr>
          <w:noProof/>
        </w:rPr>
        <w:fldChar w:fldCharType="begin"/>
      </w:r>
      <w:r>
        <w:rPr>
          <w:noProof/>
        </w:rPr>
        <w:instrText xml:space="preserve"> PAGEREF _Toc70505515 \h </w:instrText>
      </w:r>
      <w:r>
        <w:rPr>
          <w:noProof/>
        </w:rPr>
      </w:r>
      <w:r>
        <w:rPr>
          <w:noProof/>
        </w:rPr>
        <w:fldChar w:fldCharType="separate"/>
      </w:r>
      <w:r w:rsidR="000F445C">
        <w:rPr>
          <w:noProof/>
        </w:rPr>
        <w:t>77</w:t>
      </w:r>
      <w:r>
        <w:rPr>
          <w:noProof/>
        </w:rPr>
        <w:fldChar w:fldCharType="end"/>
      </w:r>
    </w:p>
    <w:p w14:paraId="7C42F104" w14:textId="67EF1E87" w:rsidR="00390CDB" w:rsidRDefault="00390CDB">
      <w:pPr>
        <w:pStyle w:val="TableofFigures"/>
        <w:rPr>
          <w:rFonts w:eastAsiaTheme="minorEastAsia" w:cstheme="minorBidi"/>
          <w:noProof/>
          <w:sz w:val="22"/>
          <w:szCs w:val="22"/>
        </w:rPr>
      </w:pPr>
      <w:r>
        <w:rPr>
          <w:noProof/>
        </w:rPr>
        <w:t>3.17</w:t>
      </w:r>
      <w:r>
        <w:rPr>
          <w:rFonts w:eastAsiaTheme="minorEastAsia" w:cstheme="minorBidi"/>
          <w:noProof/>
          <w:sz w:val="22"/>
          <w:szCs w:val="22"/>
        </w:rPr>
        <w:tab/>
      </w:r>
      <w:r>
        <w:rPr>
          <w:noProof/>
        </w:rPr>
        <w:t>Types of home modifications — share of total home modifications</w:t>
      </w:r>
      <w:r>
        <w:rPr>
          <w:noProof/>
        </w:rPr>
        <w:tab/>
      </w:r>
      <w:r>
        <w:rPr>
          <w:noProof/>
        </w:rPr>
        <w:fldChar w:fldCharType="begin"/>
      </w:r>
      <w:r>
        <w:rPr>
          <w:noProof/>
        </w:rPr>
        <w:instrText xml:space="preserve"> PAGEREF _Toc70505516 \h </w:instrText>
      </w:r>
      <w:r>
        <w:rPr>
          <w:noProof/>
        </w:rPr>
      </w:r>
      <w:r>
        <w:rPr>
          <w:noProof/>
        </w:rPr>
        <w:fldChar w:fldCharType="separate"/>
      </w:r>
      <w:r w:rsidR="000F445C">
        <w:rPr>
          <w:noProof/>
        </w:rPr>
        <w:t>77</w:t>
      </w:r>
      <w:r>
        <w:rPr>
          <w:noProof/>
        </w:rPr>
        <w:fldChar w:fldCharType="end"/>
      </w:r>
    </w:p>
    <w:p w14:paraId="2F251965" w14:textId="68B2D7DF" w:rsidR="00390CDB" w:rsidRDefault="00390CDB">
      <w:pPr>
        <w:pStyle w:val="TableofFigures"/>
        <w:rPr>
          <w:rFonts w:eastAsiaTheme="minorEastAsia" w:cstheme="minorBidi"/>
          <w:noProof/>
          <w:sz w:val="22"/>
          <w:szCs w:val="22"/>
        </w:rPr>
      </w:pPr>
      <w:r>
        <w:rPr>
          <w:noProof/>
        </w:rPr>
        <w:t>3.18</w:t>
      </w:r>
      <w:r>
        <w:rPr>
          <w:rFonts w:eastAsiaTheme="minorEastAsia" w:cstheme="minorBidi"/>
          <w:noProof/>
          <w:sz w:val="22"/>
          <w:szCs w:val="22"/>
        </w:rPr>
        <w:tab/>
      </w:r>
      <w:r>
        <w:rPr>
          <w:noProof/>
        </w:rPr>
        <w:t>Moved house because of condition or age</w:t>
      </w:r>
      <w:r>
        <w:rPr>
          <w:noProof/>
        </w:rPr>
        <w:tab/>
      </w:r>
      <w:r>
        <w:rPr>
          <w:noProof/>
        </w:rPr>
        <w:fldChar w:fldCharType="begin"/>
      </w:r>
      <w:r>
        <w:rPr>
          <w:noProof/>
        </w:rPr>
        <w:instrText xml:space="preserve"> PAGEREF _Toc70505517 \h </w:instrText>
      </w:r>
      <w:r>
        <w:rPr>
          <w:noProof/>
        </w:rPr>
      </w:r>
      <w:r>
        <w:rPr>
          <w:noProof/>
        </w:rPr>
        <w:fldChar w:fldCharType="separate"/>
      </w:r>
      <w:r w:rsidR="000F445C">
        <w:rPr>
          <w:noProof/>
        </w:rPr>
        <w:t>78</w:t>
      </w:r>
      <w:r>
        <w:rPr>
          <w:noProof/>
        </w:rPr>
        <w:fldChar w:fldCharType="end"/>
      </w:r>
    </w:p>
    <w:p w14:paraId="3D4C03BE" w14:textId="004833B7" w:rsidR="00390CDB" w:rsidRDefault="00390CDB">
      <w:pPr>
        <w:pStyle w:val="TableofFigures"/>
        <w:rPr>
          <w:rFonts w:eastAsiaTheme="minorEastAsia" w:cstheme="minorBidi"/>
          <w:noProof/>
          <w:sz w:val="22"/>
          <w:szCs w:val="22"/>
        </w:rPr>
      </w:pPr>
      <w:r>
        <w:rPr>
          <w:noProof/>
        </w:rPr>
        <w:t>3.19</w:t>
      </w:r>
      <w:r>
        <w:rPr>
          <w:rFonts w:eastAsiaTheme="minorEastAsia" w:cstheme="minorBidi"/>
          <w:noProof/>
          <w:sz w:val="22"/>
          <w:szCs w:val="22"/>
        </w:rPr>
        <w:tab/>
      </w:r>
      <w:r>
        <w:rPr>
          <w:noProof/>
        </w:rPr>
        <w:t>Number of people with a mobility-related disability in social housing</w:t>
      </w:r>
      <w:r>
        <w:rPr>
          <w:noProof/>
        </w:rPr>
        <w:tab/>
      </w:r>
      <w:r>
        <w:rPr>
          <w:noProof/>
        </w:rPr>
        <w:fldChar w:fldCharType="begin"/>
      </w:r>
      <w:r>
        <w:rPr>
          <w:noProof/>
        </w:rPr>
        <w:instrText xml:space="preserve"> PAGEREF _Toc70505518 \h </w:instrText>
      </w:r>
      <w:r>
        <w:rPr>
          <w:noProof/>
        </w:rPr>
      </w:r>
      <w:r>
        <w:rPr>
          <w:noProof/>
        </w:rPr>
        <w:fldChar w:fldCharType="separate"/>
      </w:r>
      <w:r w:rsidR="000F445C">
        <w:rPr>
          <w:noProof/>
        </w:rPr>
        <w:t>78</w:t>
      </w:r>
      <w:r>
        <w:rPr>
          <w:noProof/>
        </w:rPr>
        <w:fldChar w:fldCharType="end"/>
      </w:r>
    </w:p>
    <w:p w14:paraId="283877E0" w14:textId="0014DDEC" w:rsidR="00390CDB" w:rsidRDefault="00390CDB">
      <w:pPr>
        <w:pStyle w:val="TableofFigures"/>
        <w:rPr>
          <w:rFonts w:eastAsiaTheme="minorEastAsia" w:cstheme="minorBidi"/>
          <w:noProof/>
          <w:sz w:val="22"/>
          <w:szCs w:val="22"/>
        </w:rPr>
      </w:pPr>
      <w:r>
        <w:rPr>
          <w:noProof/>
        </w:rPr>
        <w:t>3.20</w:t>
      </w:r>
      <w:r>
        <w:rPr>
          <w:rFonts w:eastAsiaTheme="minorEastAsia" w:cstheme="minorBidi"/>
          <w:noProof/>
          <w:sz w:val="22"/>
          <w:szCs w:val="22"/>
        </w:rPr>
        <w:tab/>
      </w:r>
      <w:r>
        <w:rPr>
          <w:noProof/>
        </w:rPr>
        <w:t>Summary of sub-optimal outcomes from a shortage of accessible housing</w:t>
      </w:r>
      <w:r>
        <w:rPr>
          <w:noProof/>
        </w:rPr>
        <w:tab/>
      </w:r>
      <w:r>
        <w:rPr>
          <w:noProof/>
        </w:rPr>
        <w:fldChar w:fldCharType="begin"/>
      </w:r>
      <w:r>
        <w:rPr>
          <w:noProof/>
        </w:rPr>
        <w:instrText xml:space="preserve"> PAGEREF _Toc70505519 \h </w:instrText>
      </w:r>
      <w:r>
        <w:rPr>
          <w:noProof/>
        </w:rPr>
      </w:r>
      <w:r>
        <w:rPr>
          <w:noProof/>
        </w:rPr>
        <w:fldChar w:fldCharType="separate"/>
      </w:r>
      <w:r w:rsidR="000F445C">
        <w:rPr>
          <w:noProof/>
        </w:rPr>
        <w:t>80</w:t>
      </w:r>
      <w:r>
        <w:rPr>
          <w:noProof/>
        </w:rPr>
        <w:fldChar w:fldCharType="end"/>
      </w:r>
    </w:p>
    <w:p w14:paraId="195B9CC7" w14:textId="7AC94233" w:rsidR="00390CDB" w:rsidRDefault="00390CDB">
      <w:pPr>
        <w:pStyle w:val="TableofFigures"/>
        <w:rPr>
          <w:rFonts w:eastAsiaTheme="minorEastAsia" w:cstheme="minorBidi"/>
          <w:noProof/>
          <w:sz w:val="22"/>
          <w:szCs w:val="22"/>
        </w:rPr>
      </w:pPr>
      <w:r>
        <w:rPr>
          <w:noProof/>
        </w:rPr>
        <w:t>3.21</w:t>
      </w:r>
      <w:r>
        <w:rPr>
          <w:rFonts w:eastAsiaTheme="minorEastAsia" w:cstheme="minorBidi"/>
          <w:noProof/>
          <w:sz w:val="22"/>
          <w:szCs w:val="22"/>
        </w:rPr>
        <w:tab/>
      </w:r>
      <w:r>
        <w:rPr>
          <w:noProof/>
        </w:rPr>
        <w:t>Lived experience – safety</w:t>
      </w:r>
      <w:r>
        <w:rPr>
          <w:noProof/>
        </w:rPr>
        <w:tab/>
      </w:r>
      <w:r>
        <w:rPr>
          <w:noProof/>
        </w:rPr>
        <w:fldChar w:fldCharType="begin"/>
      </w:r>
      <w:r>
        <w:rPr>
          <w:noProof/>
        </w:rPr>
        <w:instrText xml:space="preserve"> PAGEREF _Toc70505520 \h </w:instrText>
      </w:r>
      <w:r>
        <w:rPr>
          <w:noProof/>
        </w:rPr>
      </w:r>
      <w:r>
        <w:rPr>
          <w:noProof/>
        </w:rPr>
        <w:fldChar w:fldCharType="separate"/>
      </w:r>
      <w:r w:rsidR="000F445C">
        <w:rPr>
          <w:noProof/>
        </w:rPr>
        <w:t>82</w:t>
      </w:r>
      <w:r>
        <w:rPr>
          <w:noProof/>
        </w:rPr>
        <w:fldChar w:fldCharType="end"/>
      </w:r>
    </w:p>
    <w:p w14:paraId="6A9A2DF2" w14:textId="3AE51E88" w:rsidR="00390CDB" w:rsidRDefault="00390CDB">
      <w:pPr>
        <w:pStyle w:val="TableofFigures"/>
        <w:rPr>
          <w:rFonts w:eastAsiaTheme="minorEastAsia" w:cstheme="minorBidi"/>
          <w:noProof/>
          <w:sz w:val="22"/>
          <w:szCs w:val="22"/>
        </w:rPr>
      </w:pPr>
      <w:r>
        <w:rPr>
          <w:noProof/>
        </w:rPr>
        <w:t>3.22</w:t>
      </w:r>
      <w:r>
        <w:rPr>
          <w:rFonts w:eastAsiaTheme="minorEastAsia" w:cstheme="minorBidi"/>
          <w:noProof/>
          <w:sz w:val="22"/>
          <w:szCs w:val="22"/>
        </w:rPr>
        <w:tab/>
      </w:r>
      <w:r>
        <w:rPr>
          <w:noProof/>
        </w:rPr>
        <w:t>Estimated annual safety costs from inaccessible housing</w:t>
      </w:r>
      <w:r>
        <w:rPr>
          <w:noProof/>
        </w:rPr>
        <w:tab/>
      </w:r>
      <w:r>
        <w:rPr>
          <w:noProof/>
        </w:rPr>
        <w:fldChar w:fldCharType="begin"/>
      </w:r>
      <w:r>
        <w:rPr>
          <w:noProof/>
        </w:rPr>
        <w:instrText xml:space="preserve"> PAGEREF _Toc70505521 \h </w:instrText>
      </w:r>
      <w:r>
        <w:rPr>
          <w:noProof/>
        </w:rPr>
      </w:r>
      <w:r>
        <w:rPr>
          <w:noProof/>
        </w:rPr>
        <w:fldChar w:fldCharType="separate"/>
      </w:r>
      <w:r w:rsidR="000F445C">
        <w:rPr>
          <w:noProof/>
        </w:rPr>
        <w:t>84</w:t>
      </w:r>
      <w:r>
        <w:rPr>
          <w:noProof/>
        </w:rPr>
        <w:fldChar w:fldCharType="end"/>
      </w:r>
    </w:p>
    <w:p w14:paraId="37E18AD6" w14:textId="28D343A4" w:rsidR="00390CDB" w:rsidRDefault="00390CDB">
      <w:pPr>
        <w:pStyle w:val="TableofFigures"/>
        <w:rPr>
          <w:rFonts w:eastAsiaTheme="minorEastAsia" w:cstheme="minorBidi"/>
          <w:noProof/>
          <w:sz w:val="22"/>
          <w:szCs w:val="22"/>
        </w:rPr>
      </w:pPr>
      <w:r>
        <w:rPr>
          <w:noProof/>
        </w:rPr>
        <w:t>3.23</w:t>
      </w:r>
      <w:r>
        <w:rPr>
          <w:rFonts w:eastAsiaTheme="minorEastAsia" w:cstheme="minorBidi"/>
          <w:noProof/>
          <w:sz w:val="22"/>
          <w:szCs w:val="22"/>
        </w:rPr>
        <w:tab/>
      </w:r>
      <w:r>
        <w:rPr>
          <w:noProof/>
        </w:rPr>
        <w:t>Share of respondents with increasing need for paid disability support</w:t>
      </w:r>
      <w:r>
        <w:rPr>
          <w:noProof/>
        </w:rPr>
        <w:tab/>
      </w:r>
      <w:r>
        <w:rPr>
          <w:noProof/>
        </w:rPr>
        <w:fldChar w:fldCharType="begin"/>
      </w:r>
      <w:r>
        <w:rPr>
          <w:noProof/>
        </w:rPr>
        <w:instrText xml:space="preserve"> PAGEREF _Toc70505522 \h </w:instrText>
      </w:r>
      <w:r>
        <w:rPr>
          <w:noProof/>
        </w:rPr>
      </w:r>
      <w:r>
        <w:rPr>
          <w:noProof/>
        </w:rPr>
        <w:fldChar w:fldCharType="separate"/>
      </w:r>
      <w:r w:rsidR="000F445C">
        <w:rPr>
          <w:noProof/>
        </w:rPr>
        <w:t>85</w:t>
      </w:r>
      <w:r>
        <w:rPr>
          <w:noProof/>
        </w:rPr>
        <w:fldChar w:fldCharType="end"/>
      </w:r>
    </w:p>
    <w:p w14:paraId="6297F920" w14:textId="08FDC844" w:rsidR="00390CDB" w:rsidRDefault="00390CDB">
      <w:pPr>
        <w:pStyle w:val="TableofFigures"/>
        <w:rPr>
          <w:rFonts w:eastAsiaTheme="minorEastAsia" w:cstheme="minorBidi"/>
          <w:noProof/>
          <w:sz w:val="22"/>
          <w:szCs w:val="22"/>
        </w:rPr>
      </w:pPr>
      <w:r>
        <w:rPr>
          <w:noProof/>
        </w:rPr>
        <w:t>3.24</w:t>
      </w:r>
      <w:r>
        <w:rPr>
          <w:rFonts w:eastAsiaTheme="minorEastAsia" w:cstheme="minorBidi"/>
          <w:noProof/>
          <w:sz w:val="22"/>
          <w:szCs w:val="22"/>
        </w:rPr>
        <w:tab/>
      </w:r>
      <w:r>
        <w:rPr>
          <w:noProof/>
        </w:rPr>
        <w:t>Share of respondents with increasing need for informal care</w:t>
      </w:r>
      <w:r>
        <w:rPr>
          <w:noProof/>
        </w:rPr>
        <w:tab/>
      </w:r>
      <w:r>
        <w:rPr>
          <w:noProof/>
        </w:rPr>
        <w:fldChar w:fldCharType="begin"/>
      </w:r>
      <w:r>
        <w:rPr>
          <w:noProof/>
        </w:rPr>
        <w:instrText xml:space="preserve"> PAGEREF _Toc70505523 \h </w:instrText>
      </w:r>
      <w:r>
        <w:rPr>
          <w:noProof/>
        </w:rPr>
      </w:r>
      <w:r>
        <w:rPr>
          <w:noProof/>
        </w:rPr>
        <w:fldChar w:fldCharType="separate"/>
      </w:r>
      <w:r w:rsidR="000F445C">
        <w:rPr>
          <w:noProof/>
        </w:rPr>
        <w:t>85</w:t>
      </w:r>
      <w:r>
        <w:rPr>
          <w:noProof/>
        </w:rPr>
        <w:fldChar w:fldCharType="end"/>
      </w:r>
    </w:p>
    <w:p w14:paraId="7B3D221A" w14:textId="7C3211DD" w:rsidR="00390CDB" w:rsidRDefault="00390CDB">
      <w:pPr>
        <w:pStyle w:val="TableofFigures"/>
        <w:rPr>
          <w:rFonts w:eastAsiaTheme="minorEastAsia" w:cstheme="minorBidi"/>
          <w:noProof/>
          <w:sz w:val="22"/>
          <w:szCs w:val="22"/>
        </w:rPr>
      </w:pPr>
      <w:r>
        <w:rPr>
          <w:noProof/>
        </w:rPr>
        <w:t>3.25</w:t>
      </w:r>
      <w:r>
        <w:rPr>
          <w:rFonts w:eastAsiaTheme="minorEastAsia" w:cstheme="minorBidi"/>
          <w:noProof/>
          <w:sz w:val="22"/>
          <w:szCs w:val="22"/>
        </w:rPr>
        <w:tab/>
      </w:r>
      <w:r>
        <w:rPr>
          <w:noProof/>
        </w:rPr>
        <w:t>Lived experience — additional care</w:t>
      </w:r>
      <w:r>
        <w:rPr>
          <w:noProof/>
        </w:rPr>
        <w:tab/>
      </w:r>
      <w:r>
        <w:rPr>
          <w:noProof/>
        </w:rPr>
        <w:fldChar w:fldCharType="begin"/>
      </w:r>
      <w:r>
        <w:rPr>
          <w:noProof/>
        </w:rPr>
        <w:instrText xml:space="preserve"> PAGEREF _Toc70505524 \h </w:instrText>
      </w:r>
      <w:r>
        <w:rPr>
          <w:noProof/>
        </w:rPr>
      </w:r>
      <w:r>
        <w:rPr>
          <w:noProof/>
        </w:rPr>
        <w:fldChar w:fldCharType="separate"/>
      </w:r>
      <w:r w:rsidR="000F445C">
        <w:rPr>
          <w:noProof/>
        </w:rPr>
        <w:t>86</w:t>
      </w:r>
      <w:r>
        <w:rPr>
          <w:noProof/>
        </w:rPr>
        <w:fldChar w:fldCharType="end"/>
      </w:r>
    </w:p>
    <w:p w14:paraId="73524BB5" w14:textId="79A72962" w:rsidR="00390CDB" w:rsidRDefault="00390CDB">
      <w:pPr>
        <w:pStyle w:val="TableofFigures"/>
        <w:rPr>
          <w:rFonts w:eastAsiaTheme="minorEastAsia" w:cstheme="minorBidi"/>
          <w:noProof/>
          <w:sz w:val="22"/>
          <w:szCs w:val="22"/>
        </w:rPr>
      </w:pPr>
      <w:r>
        <w:rPr>
          <w:noProof/>
        </w:rPr>
        <w:t>3.26</w:t>
      </w:r>
      <w:r>
        <w:rPr>
          <w:rFonts w:eastAsiaTheme="minorEastAsia" w:cstheme="minorBidi"/>
          <w:noProof/>
          <w:sz w:val="22"/>
          <w:szCs w:val="22"/>
        </w:rPr>
        <w:tab/>
      </w:r>
      <w:r>
        <w:rPr>
          <w:noProof/>
        </w:rPr>
        <w:t>Annual additional cost of care due to inaccessible housing</w:t>
      </w:r>
      <w:r>
        <w:rPr>
          <w:noProof/>
        </w:rPr>
        <w:tab/>
      </w:r>
      <w:r>
        <w:rPr>
          <w:noProof/>
        </w:rPr>
        <w:fldChar w:fldCharType="begin"/>
      </w:r>
      <w:r>
        <w:rPr>
          <w:noProof/>
        </w:rPr>
        <w:instrText xml:space="preserve"> PAGEREF _Toc70505525 \h </w:instrText>
      </w:r>
      <w:r>
        <w:rPr>
          <w:noProof/>
        </w:rPr>
      </w:r>
      <w:r>
        <w:rPr>
          <w:noProof/>
        </w:rPr>
        <w:fldChar w:fldCharType="separate"/>
      </w:r>
      <w:r w:rsidR="000F445C">
        <w:rPr>
          <w:noProof/>
        </w:rPr>
        <w:t>87</w:t>
      </w:r>
      <w:r>
        <w:rPr>
          <w:noProof/>
        </w:rPr>
        <w:fldChar w:fldCharType="end"/>
      </w:r>
    </w:p>
    <w:p w14:paraId="372F6028" w14:textId="118AF91C" w:rsidR="00390CDB" w:rsidRDefault="00390CDB">
      <w:pPr>
        <w:pStyle w:val="TableofFigures"/>
        <w:rPr>
          <w:rFonts w:eastAsiaTheme="minorEastAsia" w:cstheme="minorBidi"/>
          <w:noProof/>
          <w:sz w:val="22"/>
          <w:szCs w:val="22"/>
        </w:rPr>
      </w:pPr>
      <w:r>
        <w:rPr>
          <w:noProof/>
        </w:rPr>
        <w:t>3.27</w:t>
      </w:r>
      <w:r>
        <w:rPr>
          <w:rFonts w:eastAsiaTheme="minorEastAsia" w:cstheme="minorBidi"/>
          <w:noProof/>
          <w:sz w:val="22"/>
          <w:szCs w:val="22"/>
        </w:rPr>
        <w:tab/>
      </w:r>
      <w:r>
        <w:rPr>
          <w:noProof/>
        </w:rPr>
        <w:t>Lived experience – quality of life impacts</w:t>
      </w:r>
      <w:r>
        <w:rPr>
          <w:noProof/>
        </w:rPr>
        <w:tab/>
      </w:r>
      <w:r>
        <w:rPr>
          <w:noProof/>
        </w:rPr>
        <w:fldChar w:fldCharType="begin"/>
      </w:r>
      <w:r>
        <w:rPr>
          <w:noProof/>
        </w:rPr>
        <w:instrText xml:space="preserve"> PAGEREF _Toc70505526 \h </w:instrText>
      </w:r>
      <w:r>
        <w:rPr>
          <w:noProof/>
        </w:rPr>
      </w:r>
      <w:r>
        <w:rPr>
          <w:noProof/>
        </w:rPr>
        <w:fldChar w:fldCharType="separate"/>
      </w:r>
      <w:r w:rsidR="000F445C">
        <w:rPr>
          <w:noProof/>
        </w:rPr>
        <w:t>89</w:t>
      </w:r>
      <w:r>
        <w:rPr>
          <w:noProof/>
        </w:rPr>
        <w:fldChar w:fldCharType="end"/>
      </w:r>
    </w:p>
    <w:p w14:paraId="2F88ACAF" w14:textId="1B756A3E" w:rsidR="00390CDB" w:rsidRDefault="00390CDB">
      <w:pPr>
        <w:pStyle w:val="TableofFigures"/>
        <w:rPr>
          <w:rFonts w:eastAsiaTheme="minorEastAsia" w:cstheme="minorBidi"/>
          <w:noProof/>
          <w:sz w:val="22"/>
          <w:szCs w:val="22"/>
        </w:rPr>
      </w:pPr>
      <w:r>
        <w:rPr>
          <w:noProof/>
        </w:rPr>
        <w:t>3.28</w:t>
      </w:r>
      <w:r>
        <w:rPr>
          <w:rFonts w:eastAsiaTheme="minorEastAsia" w:cstheme="minorBidi"/>
          <w:noProof/>
          <w:sz w:val="22"/>
          <w:szCs w:val="22"/>
        </w:rPr>
        <w:tab/>
      </w:r>
      <w:r>
        <w:rPr>
          <w:noProof/>
        </w:rPr>
        <w:t>Share of respondents indicating that the accessibility of their current home had worsened their mental health and wellbeing</w:t>
      </w:r>
      <w:r>
        <w:rPr>
          <w:noProof/>
        </w:rPr>
        <w:tab/>
      </w:r>
      <w:r>
        <w:rPr>
          <w:noProof/>
        </w:rPr>
        <w:fldChar w:fldCharType="begin"/>
      </w:r>
      <w:r>
        <w:rPr>
          <w:noProof/>
        </w:rPr>
        <w:instrText xml:space="preserve"> PAGEREF _Toc70505527 \h </w:instrText>
      </w:r>
      <w:r>
        <w:rPr>
          <w:noProof/>
        </w:rPr>
      </w:r>
      <w:r>
        <w:rPr>
          <w:noProof/>
        </w:rPr>
        <w:fldChar w:fldCharType="separate"/>
      </w:r>
      <w:r w:rsidR="000F445C">
        <w:rPr>
          <w:noProof/>
        </w:rPr>
        <w:t>91</w:t>
      </w:r>
      <w:r>
        <w:rPr>
          <w:noProof/>
        </w:rPr>
        <w:fldChar w:fldCharType="end"/>
      </w:r>
    </w:p>
    <w:p w14:paraId="29557A5C" w14:textId="0DB40932" w:rsidR="00390CDB" w:rsidRDefault="00390CDB">
      <w:pPr>
        <w:pStyle w:val="TableofFigures"/>
        <w:rPr>
          <w:rFonts w:eastAsiaTheme="minorEastAsia" w:cstheme="minorBidi"/>
          <w:noProof/>
          <w:sz w:val="22"/>
          <w:szCs w:val="22"/>
        </w:rPr>
      </w:pPr>
      <w:r>
        <w:rPr>
          <w:noProof/>
        </w:rPr>
        <w:t>3.29</w:t>
      </w:r>
      <w:r>
        <w:rPr>
          <w:rFonts w:eastAsiaTheme="minorEastAsia" w:cstheme="minorBidi"/>
          <w:noProof/>
          <w:sz w:val="22"/>
          <w:szCs w:val="22"/>
        </w:rPr>
        <w:tab/>
      </w:r>
      <w:r>
        <w:rPr>
          <w:noProof/>
        </w:rPr>
        <w:t>Willingness to pay for accessible housing</w:t>
      </w:r>
      <w:r>
        <w:rPr>
          <w:noProof/>
        </w:rPr>
        <w:tab/>
      </w:r>
      <w:r>
        <w:rPr>
          <w:noProof/>
        </w:rPr>
        <w:fldChar w:fldCharType="begin"/>
      </w:r>
      <w:r>
        <w:rPr>
          <w:noProof/>
        </w:rPr>
        <w:instrText xml:space="preserve"> PAGEREF _Toc70505528 \h </w:instrText>
      </w:r>
      <w:r>
        <w:rPr>
          <w:noProof/>
        </w:rPr>
      </w:r>
      <w:r>
        <w:rPr>
          <w:noProof/>
        </w:rPr>
        <w:fldChar w:fldCharType="separate"/>
      </w:r>
      <w:r w:rsidR="000F445C">
        <w:rPr>
          <w:noProof/>
        </w:rPr>
        <w:t>92</w:t>
      </w:r>
      <w:r>
        <w:rPr>
          <w:noProof/>
        </w:rPr>
        <w:fldChar w:fldCharType="end"/>
      </w:r>
    </w:p>
    <w:p w14:paraId="4F43EB85" w14:textId="56DAE211" w:rsidR="00390CDB" w:rsidRDefault="00390CDB">
      <w:pPr>
        <w:pStyle w:val="TableofFigures"/>
        <w:rPr>
          <w:rFonts w:eastAsiaTheme="minorEastAsia" w:cstheme="minorBidi"/>
          <w:noProof/>
          <w:sz w:val="22"/>
          <w:szCs w:val="22"/>
        </w:rPr>
      </w:pPr>
      <w:r>
        <w:rPr>
          <w:noProof/>
        </w:rPr>
        <w:t>3.30</w:t>
      </w:r>
      <w:r>
        <w:rPr>
          <w:rFonts w:eastAsiaTheme="minorEastAsia" w:cstheme="minorBidi"/>
          <w:noProof/>
          <w:sz w:val="22"/>
          <w:szCs w:val="22"/>
        </w:rPr>
        <w:tab/>
      </w:r>
      <w:r>
        <w:rPr>
          <w:noProof/>
        </w:rPr>
        <w:t>Lived experience – home modification</w:t>
      </w:r>
      <w:r>
        <w:rPr>
          <w:noProof/>
        </w:rPr>
        <w:tab/>
      </w:r>
      <w:r>
        <w:rPr>
          <w:noProof/>
        </w:rPr>
        <w:fldChar w:fldCharType="begin"/>
      </w:r>
      <w:r>
        <w:rPr>
          <w:noProof/>
        </w:rPr>
        <w:instrText xml:space="preserve"> PAGEREF _Toc70505529 \h </w:instrText>
      </w:r>
      <w:r>
        <w:rPr>
          <w:noProof/>
        </w:rPr>
      </w:r>
      <w:r>
        <w:rPr>
          <w:noProof/>
        </w:rPr>
        <w:fldChar w:fldCharType="separate"/>
      </w:r>
      <w:r w:rsidR="000F445C">
        <w:rPr>
          <w:noProof/>
        </w:rPr>
        <w:t>95</w:t>
      </w:r>
      <w:r>
        <w:rPr>
          <w:noProof/>
        </w:rPr>
        <w:fldChar w:fldCharType="end"/>
      </w:r>
    </w:p>
    <w:p w14:paraId="7BAF2DD2" w14:textId="25503F28" w:rsidR="00390CDB" w:rsidRDefault="00390CDB">
      <w:pPr>
        <w:pStyle w:val="TableofFigures"/>
        <w:rPr>
          <w:rFonts w:eastAsiaTheme="minorEastAsia" w:cstheme="minorBidi"/>
          <w:noProof/>
          <w:sz w:val="22"/>
          <w:szCs w:val="22"/>
        </w:rPr>
      </w:pPr>
      <w:r>
        <w:rPr>
          <w:noProof/>
        </w:rPr>
        <w:t>3.31</w:t>
      </w:r>
      <w:r>
        <w:rPr>
          <w:rFonts w:eastAsiaTheme="minorEastAsia" w:cstheme="minorBidi"/>
          <w:noProof/>
          <w:sz w:val="22"/>
          <w:szCs w:val="22"/>
        </w:rPr>
        <w:tab/>
      </w:r>
      <w:r>
        <w:rPr>
          <w:noProof/>
        </w:rPr>
        <w:t>Expectations of ability to afford future modifications to make home accessible/liveable</w:t>
      </w:r>
      <w:r>
        <w:rPr>
          <w:noProof/>
        </w:rPr>
        <w:tab/>
      </w:r>
      <w:r>
        <w:rPr>
          <w:noProof/>
        </w:rPr>
        <w:fldChar w:fldCharType="begin"/>
      </w:r>
      <w:r>
        <w:rPr>
          <w:noProof/>
        </w:rPr>
        <w:instrText xml:space="preserve"> PAGEREF _Toc70505530 \h </w:instrText>
      </w:r>
      <w:r>
        <w:rPr>
          <w:noProof/>
        </w:rPr>
      </w:r>
      <w:r>
        <w:rPr>
          <w:noProof/>
        </w:rPr>
        <w:fldChar w:fldCharType="separate"/>
      </w:r>
      <w:r w:rsidR="000F445C">
        <w:rPr>
          <w:noProof/>
        </w:rPr>
        <w:t>96</w:t>
      </w:r>
      <w:r>
        <w:rPr>
          <w:noProof/>
        </w:rPr>
        <w:fldChar w:fldCharType="end"/>
      </w:r>
    </w:p>
    <w:p w14:paraId="0A7DCFB2" w14:textId="4574609E" w:rsidR="00390CDB" w:rsidRDefault="00390CDB">
      <w:pPr>
        <w:pStyle w:val="TableofFigures"/>
        <w:rPr>
          <w:rFonts w:eastAsiaTheme="minorEastAsia" w:cstheme="minorBidi"/>
          <w:noProof/>
          <w:sz w:val="22"/>
          <w:szCs w:val="22"/>
        </w:rPr>
      </w:pPr>
      <w:r>
        <w:rPr>
          <w:noProof/>
        </w:rPr>
        <w:t>3.32</w:t>
      </w:r>
      <w:r>
        <w:rPr>
          <w:rFonts w:eastAsiaTheme="minorEastAsia" w:cstheme="minorBidi"/>
          <w:noProof/>
          <w:sz w:val="22"/>
          <w:szCs w:val="22"/>
        </w:rPr>
        <w:tab/>
      </w:r>
      <w:r>
        <w:rPr>
          <w:noProof/>
        </w:rPr>
        <w:t>Weighted average cost of avoided modifications per dwelling</w:t>
      </w:r>
      <w:r>
        <w:rPr>
          <w:noProof/>
        </w:rPr>
        <w:tab/>
      </w:r>
      <w:r>
        <w:rPr>
          <w:noProof/>
        </w:rPr>
        <w:fldChar w:fldCharType="begin"/>
      </w:r>
      <w:r>
        <w:rPr>
          <w:noProof/>
        </w:rPr>
        <w:instrText xml:space="preserve"> PAGEREF _Toc70505531 \h </w:instrText>
      </w:r>
      <w:r>
        <w:rPr>
          <w:noProof/>
        </w:rPr>
      </w:r>
      <w:r>
        <w:rPr>
          <w:noProof/>
        </w:rPr>
        <w:fldChar w:fldCharType="separate"/>
      </w:r>
      <w:r w:rsidR="000F445C">
        <w:rPr>
          <w:noProof/>
        </w:rPr>
        <w:t>96</w:t>
      </w:r>
      <w:r>
        <w:rPr>
          <w:noProof/>
        </w:rPr>
        <w:fldChar w:fldCharType="end"/>
      </w:r>
    </w:p>
    <w:p w14:paraId="1795A3A0" w14:textId="791144E5" w:rsidR="00390CDB" w:rsidRDefault="00390CDB">
      <w:pPr>
        <w:pStyle w:val="TableofFigures"/>
        <w:rPr>
          <w:rFonts w:eastAsiaTheme="minorEastAsia" w:cstheme="minorBidi"/>
          <w:noProof/>
          <w:sz w:val="22"/>
          <w:szCs w:val="22"/>
        </w:rPr>
      </w:pPr>
      <w:r>
        <w:rPr>
          <w:noProof/>
        </w:rPr>
        <w:t>3.33</w:t>
      </w:r>
      <w:r>
        <w:rPr>
          <w:rFonts w:eastAsiaTheme="minorEastAsia" w:cstheme="minorBidi"/>
          <w:noProof/>
          <w:sz w:val="22"/>
          <w:szCs w:val="22"/>
        </w:rPr>
        <w:tab/>
      </w:r>
      <w:r>
        <w:rPr>
          <w:noProof/>
        </w:rPr>
        <w:t>Lived experience – moving home due to inaccessibility</w:t>
      </w:r>
      <w:r>
        <w:rPr>
          <w:noProof/>
        </w:rPr>
        <w:tab/>
      </w:r>
      <w:r>
        <w:rPr>
          <w:noProof/>
        </w:rPr>
        <w:fldChar w:fldCharType="begin"/>
      </w:r>
      <w:r>
        <w:rPr>
          <w:noProof/>
        </w:rPr>
        <w:instrText xml:space="preserve"> PAGEREF _Toc70505532 \h </w:instrText>
      </w:r>
      <w:r>
        <w:rPr>
          <w:noProof/>
        </w:rPr>
      </w:r>
      <w:r>
        <w:rPr>
          <w:noProof/>
        </w:rPr>
        <w:fldChar w:fldCharType="separate"/>
      </w:r>
      <w:r w:rsidR="000F445C">
        <w:rPr>
          <w:noProof/>
        </w:rPr>
        <w:t>97</w:t>
      </w:r>
      <w:r>
        <w:rPr>
          <w:noProof/>
        </w:rPr>
        <w:fldChar w:fldCharType="end"/>
      </w:r>
    </w:p>
    <w:p w14:paraId="62B3014C" w14:textId="09D893AB" w:rsidR="00390CDB" w:rsidRDefault="00390CDB">
      <w:pPr>
        <w:pStyle w:val="TableofFigures"/>
        <w:rPr>
          <w:rFonts w:eastAsiaTheme="minorEastAsia" w:cstheme="minorBidi"/>
          <w:noProof/>
          <w:sz w:val="22"/>
          <w:szCs w:val="22"/>
        </w:rPr>
      </w:pPr>
      <w:r>
        <w:rPr>
          <w:noProof/>
        </w:rPr>
        <w:t>3.34</w:t>
      </w:r>
      <w:r>
        <w:rPr>
          <w:rFonts w:eastAsiaTheme="minorEastAsia" w:cstheme="minorBidi"/>
          <w:noProof/>
          <w:sz w:val="22"/>
          <w:szCs w:val="22"/>
        </w:rPr>
        <w:tab/>
      </w:r>
      <w:r>
        <w:rPr>
          <w:noProof/>
        </w:rPr>
        <w:t>Estimated cost of additional moves due to inaccessible housing</w:t>
      </w:r>
      <w:r>
        <w:rPr>
          <w:noProof/>
        </w:rPr>
        <w:tab/>
      </w:r>
      <w:r>
        <w:rPr>
          <w:noProof/>
        </w:rPr>
        <w:fldChar w:fldCharType="begin"/>
      </w:r>
      <w:r>
        <w:rPr>
          <w:noProof/>
        </w:rPr>
        <w:instrText xml:space="preserve"> PAGEREF _Toc70505533 \h </w:instrText>
      </w:r>
      <w:r>
        <w:rPr>
          <w:noProof/>
        </w:rPr>
      </w:r>
      <w:r>
        <w:rPr>
          <w:noProof/>
        </w:rPr>
        <w:fldChar w:fldCharType="separate"/>
      </w:r>
      <w:r w:rsidR="000F445C">
        <w:rPr>
          <w:noProof/>
        </w:rPr>
        <w:t>99</w:t>
      </w:r>
      <w:r>
        <w:rPr>
          <w:noProof/>
        </w:rPr>
        <w:fldChar w:fldCharType="end"/>
      </w:r>
    </w:p>
    <w:p w14:paraId="0845A817" w14:textId="74E03228" w:rsidR="00390CDB" w:rsidRDefault="00390CDB">
      <w:pPr>
        <w:pStyle w:val="TableofFigures"/>
        <w:rPr>
          <w:rFonts w:eastAsiaTheme="minorEastAsia" w:cstheme="minorBidi"/>
          <w:noProof/>
          <w:sz w:val="22"/>
          <w:szCs w:val="22"/>
        </w:rPr>
      </w:pPr>
      <w:r>
        <w:rPr>
          <w:noProof/>
        </w:rPr>
        <w:t>3.35</w:t>
      </w:r>
      <w:r>
        <w:rPr>
          <w:rFonts w:eastAsiaTheme="minorEastAsia" w:cstheme="minorBidi"/>
          <w:noProof/>
          <w:sz w:val="22"/>
          <w:szCs w:val="22"/>
        </w:rPr>
        <w:tab/>
      </w:r>
      <w:r>
        <w:rPr>
          <w:noProof/>
        </w:rPr>
        <w:t>Lived experience – delayed discharge due to inaccessible home</w:t>
      </w:r>
      <w:r>
        <w:rPr>
          <w:noProof/>
        </w:rPr>
        <w:tab/>
      </w:r>
      <w:r>
        <w:rPr>
          <w:noProof/>
        </w:rPr>
        <w:fldChar w:fldCharType="begin"/>
      </w:r>
      <w:r>
        <w:rPr>
          <w:noProof/>
        </w:rPr>
        <w:instrText xml:space="preserve"> PAGEREF _Toc70505534 \h </w:instrText>
      </w:r>
      <w:r>
        <w:rPr>
          <w:noProof/>
        </w:rPr>
      </w:r>
      <w:r>
        <w:rPr>
          <w:noProof/>
        </w:rPr>
        <w:fldChar w:fldCharType="separate"/>
      </w:r>
      <w:r w:rsidR="000F445C">
        <w:rPr>
          <w:noProof/>
        </w:rPr>
        <w:t>100</w:t>
      </w:r>
      <w:r>
        <w:rPr>
          <w:noProof/>
        </w:rPr>
        <w:fldChar w:fldCharType="end"/>
      </w:r>
    </w:p>
    <w:p w14:paraId="734E27E9" w14:textId="58363751" w:rsidR="00390CDB" w:rsidRDefault="00390CDB">
      <w:pPr>
        <w:pStyle w:val="TableofFigures"/>
        <w:rPr>
          <w:rFonts w:eastAsiaTheme="minorEastAsia" w:cstheme="minorBidi"/>
          <w:noProof/>
          <w:sz w:val="22"/>
          <w:szCs w:val="22"/>
        </w:rPr>
      </w:pPr>
      <w:r>
        <w:rPr>
          <w:noProof/>
        </w:rPr>
        <w:lastRenderedPageBreak/>
        <w:t>3.36</w:t>
      </w:r>
      <w:r>
        <w:rPr>
          <w:rFonts w:eastAsiaTheme="minorEastAsia" w:cstheme="minorBidi"/>
          <w:noProof/>
          <w:sz w:val="22"/>
          <w:szCs w:val="22"/>
        </w:rPr>
        <w:tab/>
      </w:r>
      <w:r>
        <w:rPr>
          <w:noProof/>
        </w:rPr>
        <w:t>Estimated cost of delayed discharge from hospital or transition care</w:t>
      </w:r>
      <w:r>
        <w:rPr>
          <w:noProof/>
        </w:rPr>
        <w:tab/>
      </w:r>
      <w:r>
        <w:rPr>
          <w:noProof/>
        </w:rPr>
        <w:fldChar w:fldCharType="begin"/>
      </w:r>
      <w:r>
        <w:rPr>
          <w:noProof/>
        </w:rPr>
        <w:instrText xml:space="preserve"> PAGEREF _Toc70505535 \h </w:instrText>
      </w:r>
      <w:r>
        <w:rPr>
          <w:noProof/>
        </w:rPr>
      </w:r>
      <w:r>
        <w:rPr>
          <w:noProof/>
        </w:rPr>
        <w:fldChar w:fldCharType="separate"/>
      </w:r>
      <w:r w:rsidR="000F445C">
        <w:rPr>
          <w:noProof/>
        </w:rPr>
        <w:t>100</w:t>
      </w:r>
      <w:r>
        <w:rPr>
          <w:noProof/>
        </w:rPr>
        <w:fldChar w:fldCharType="end"/>
      </w:r>
    </w:p>
    <w:p w14:paraId="185E0045" w14:textId="7E911015" w:rsidR="00390CDB" w:rsidRDefault="00390CDB">
      <w:pPr>
        <w:pStyle w:val="TableofFigures"/>
        <w:rPr>
          <w:rFonts w:eastAsiaTheme="minorEastAsia" w:cstheme="minorBidi"/>
          <w:noProof/>
          <w:sz w:val="22"/>
          <w:szCs w:val="22"/>
        </w:rPr>
      </w:pPr>
      <w:r>
        <w:rPr>
          <w:noProof/>
        </w:rPr>
        <w:t>3.37</w:t>
      </w:r>
      <w:r>
        <w:rPr>
          <w:rFonts w:eastAsiaTheme="minorEastAsia" w:cstheme="minorBidi"/>
          <w:noProof/>
          <w:sz w:val="22"/>
          <w:szCs w:val="22"/>
        </w:rPr>
        <w:tab/>
      </w:r>
      <w:r>
        <w:rPr>
          <w:noProof/>
        </w:rPr>
        <w:t>Inability to visit friends and relatives whose homes are inaccessible</w:t>
      </w:r>
      <w:r>
        <w:rPr>
          <w:noProof/>
        </w:rPr>
        <w:tab/>
      </w:r>
      <w:r>
        <w:rPr>
          <w:noProof/>
        </w:rPr>
        <w:fldChar w:fldCharType="begin"/>
      </w:r>
      <w:r>
        <w:rPr>
          <w:noProof/>
        </w:rPr>
        <w:instrText xml:space="preserve"> PAGEREF _Toc70505536 \h </w:instrText>
      </w:r>
      <w:r>
        <w:rPr>
          <w:noProof/>
        </w:rPr>
      </w:r>
      <w:r>
        <w:rPr>
          <w:noProof/>
        </w:rPr>
        <w:fldChar w:fldCharType="separate"/>
      </w:r>
      <w:r w:rsidR="000F445C">
        <w:rPr>
          <w:noProof/>
        </w:rPr>
        <w:t>101</w:t>
      </w:r>
      <w:r>
        <w:rPr>
          <w:noProof/>
        </w:rPr>
        <w:fldChar w:fldCharType="end"/>
      </w:r>
    </w:p>
    <w:p w14:paraId="693D1CD3" w14:textId="3D71A73C" w:rsidR="00390CDB" w:rsidRDefault="00390CDB">
      <w:pPr>
        <w:pStyle w:val="TableofFigures"/>
        <w:rPr>
          <w:rFonts w:eastAsiaTheme="minorEastAsia" w:cstheme="minorBidi"/>
          <w:noProof/>
          <w:sz w:val="22"/>
          <w:szCs w:val="22"/>
        </w:rPr>
      </w:pPr>
      <w:r>
        <w:rPr>
          <w:noProof/>
        </w:rPr>
        <w:t>3.38</w:t>
      </w:r>
      <w:r>
        <w:rPr>
          <w:rFonts w:eastAsiaTheme="minorEastAsia" w:cstheme="minorBidi"/>
          <w:noProof/>
          <w:sz w:val="22"/>
          <w:szCs w:val="22"/>
        </w:rPr>
        <w:tab/>
      </w:r>
      <w:r>
        <w:rPr>
          <w:noProof/>
        </w:rPr>
        <w:t>Lived experience – inability to visit family and friends</w:t>
      </w:r>
      <w:r>
        <w:rPr>
          <w:noProof/>
        </w:rPr>
        <w:tab/>
      </w:r>
      <w:r>
        <w:rPr>
          <w:noProof/>
        </w:rPr>
        <w:fldChar w:fldCharType="begin"/>
      </w:r>
      <w:r>
        <w:rPr>
          <w:noProof/>
        </w:rPr>
        <w:instrText xml:space="preserve"> PAGEREF _Toc70505537 \h </w:instrText>
      </w:r>
      <w:r>
        <w:rPr>
          <w:noProof/>
        </w:rPr>
      </w:r>
      <w:r>
        <w:rPr>
          <w:noProof/>
        </w:rPr>
        <w:fldChar w:fldCharType="separate"/>
      </w:r>
      <w:r w:rsidR="000F445C">
        <w:rPr>
          <w:noProof/>
        </w:rPr>
        <w:t>102</w:t>
      </w:r>
      <w:r>
        <w:rPr>
          <w:noProof/>
        </w:rPr>
        <w:fldChar w:fldCharType="end"/>
      </w:r>
    </w:p>
    <w:p w14:paraId="6887A89C" w14:textId="6D4F325D" w:rsidR="00390CDB" w:rsidRDefault="00390CDB">
      <w:pPr>
        <w:pStyle w:val="TableofFigures"/>
        <w:rPr>
          <w:rFonts w:eastAsiaTheme="minorEastAsia" w:cstheme="minorBidi"/>
          <w:noProof/>
          <w:sz w:val="22"/>
          <w:szCs w:val="22"/>
        </w:rPr>
      </w:pPr>
      <w:r>
        <w:rPr>
          <w:noProof/>
        </w:rPr>
        <w:t>3.39</w:t>
      </w:r>
      <w:r>
        <w:rPr>
          <w:rFonts w:eastAsiaTheme="minorEastAsia" w:cstheme="minorBidi"/>
          <w:noProof/>
          <w:sz w:val="22"/>
          <w:szCs w:val="22"/>
        </w:rPr>
        <w:tab/>
      </w:r>
      <w:r>
        <w:rPr>
          <w:noProof/>
        </w:rPr>
        <w:t>Ageing in place and inappropriate entry into residential aged care</w:t>
      </w:r>
      <w:r>
        <w:rPr>
          <w:noProof/>
        </w:rPr>
        <w:tab/>
      </w:r>
      <w:r>
        <w:rPr>
          <w:noProof/>
        </w:rPr>
        <w:fldChar w:fldCharType="begin"/>
      </w:r>
      <w:r>
        <w:rPr>
          <w:noProof/>
        </w:rPr>
        <w:instrText xml:space="preserve"> PAGEREF _Toc70505538 \h </w:instrText>
      </w:r>
      <w:r>
        <w:rPr>
          <w:noProof/>
        </w:rPr>
      </w:r>
      <w:r>
        <w:rPr>
          <w:noProof/>
        </w:rPr>
        <w:fldChar w:fldCharType="separate"/>
      </w:r>
      <w:r w:rsidR="000F445C">
        <w:rPr>
          <w:noProof/>
        </w:rPr>
        <w:t>104</w:t>
      </w:r>
      <w:r>
        <w:rPr>
          <w:noProof/>
        </w:rPr>
        <w:fldChar w:fldCharType="end"/>
      </w:r>
    </w:p>
    <w:p w14:paraId="375C6055" w14:textId="06724DA5" w:rsidR="00390CDB" w:rsidRDefault="00390CDB">
      <w:pPr>
        <w:pStyle w:val="TableofFigures"/>
        <w:rPr>
          <w:rFonts w:eastAsiaTheme="minorEastAsia" w:cstheme="minorBidi"/>
          <w:noProof/>
          <w:sz w:val="22"/>
          <w:szCs w:val="22"/>
        </w:rPr>
      </w:pPr>
      <w:r>
        <w:rPr>
          <w:noProof/>
        </w:rPr>
        <w:t>3.40</w:t>
      </w:r>
      <w:r>
        <w:rPr>
          <w:rFonts w:eastAsiaTheme="minorEastAsia" w:cstheme="minorBidi"/>
          <w:noProof/>
          <w:sz w:val="22"/>
          <w:szCs w:val="22"/>
        </w:rPr>
        <w:tab/>
      </w:r>
      <w:r>
        <w:rPr>
          <w:noProof/>
        </w:rPr>
        <w:t>Survey respondents concerned about being forced into residential aged care</w:t>
      </w:r>
      <w:r>
        <w:rPr>
          <w:noProof/>
        </w:rPr>
        <w:tab/>
      </w:r>
      <w:r>
        <w:rPr>
          <w:noProof/>
        </w:rPr>
        <w:fldChar w:fldCharType="begin"/>
      </w:r>
      <w:r>
        <w:rPr>
          <w:noProof/>
        </w:rPr>
        <w:instrText xml:space="preserve"> PAGEREF _Toc70505539 \h </w:instrText>
      </w:r>
      <w:r>
        <w:rPr>
          <w:noProof/>
        </w:rPr>
      </w:r>
      <w:r>
        <w:rPr>
          <w:noProof/>
        </w:rPr>
        <w:fldChar w:fldCharType="separate"/>
      </w:r>
      <w:r w:rsidR="000F445C">
        <w:rPr>
          <w:noProof/>
        </w:rPr>
        <w:t>105</w:t>
      </w:r>
      <w:r>
        <w:rPr>
          <w:noProof/>
        </w:rPr>
        <w:fldChar w:fldCharType="end"/>
      </w:r>
    </w:p>
    <w:p w14:paraId="6DE879CA" w14:textId="52D21D56" w:rsidR="00390CDB" w:rsidRDefault="00390CDB">
      <w:pPr>
        <w:pStyle w:val="TableofFigures"/>
        <w:rPr>
          <w:rFonts w:eastAsiaTheme="minorEastAsia" w:cstheme="minorBidi"/>
          <w:noProof/>
          <w:sz w:val="22"/>
          <w:szCs w:val="22"/>
        </w:rPr>
      </w:pPr>
      <w:r>
        <w:rPr>
          <w:noProof/>
        </w:rPr>
        <w:t>3.41</w:t>
      </w:r>
      <w:r>
        <w:rPr>
          <w:rFonts w:eastAsiaTheme="minorEastAsia" w:cstheme="minorBidi"/>
          <w:noProof/>
          <w:sz w:val="22"/>
          <w:szCs w:val="22"/>
        </w:rPr>
        <w:tab/>
      </w:r>
      <w:r>
        <w:rPr>
          <w:noProof/>
        </w:rPr>
        <w:t>Lived experience — inappropriate entry into residential aged care</w:t>
      </w:r>
      <w:r>
        <w:rPr>
          <w:noProof/>
        </w:rPr>
        <w:tab/>
      </w:r>
      <w:r>
        <w:rPr>
          <w:noProof/>
        </w:rPr>
        <w:fldChar w:fldCharType="begin"/>
      </w:r>
      <w:r>
        <w:rPr>
          <w:noProof/>
        </w:rPr>
        <w:instrText xml:space="preserve"> PAGEREF _Toc70505540 \h </w:instrText>
      </w:r>
      <w:r>
        <w:rPr>
          <w:noProof/>
        </w:rPr>
      </w:r>
      <w:r>
        <w:rPr>
          <w:noProof/>
        </w:rPr>
        <w:fldChar w:fldCharType="separate"/>
      </w:r>
      <w:r w:rsidR="000F445C">
        <w:rPr>
          <w:noProof/>
        </w:rPr>
        <w:t>105</w:t>
      </w:r>
      <w:r>
        <w:rPr>
          <w:noProof/>
        </w:rPr>
        <w:fldChar w:fldCharType="end"/>
      </w:r>
    </w:p>
    <w:p w14:paraId="0A951D38" w14:textId="12181FEE" w:rsidR="00390CDB" w:rsidRDefault="00390CDB">
      <w:pPr>
        <w:pStyle w:val="TableofFigures"/>
        <w:rPr>
          <w:rFonts w:eastAsiaTheme="minorEastAsia" w:cstheme="minorBidi"/>
          <w:noProof/>
          <w:sz w:val="22"/>
          <w:szCs w:val="22"/>
        </w:rPr>
      </w:pPr>
      <w:r>
        <w:rPr>
          <w:noProof/>
        </w:rPr>
        <w:t>3.42</w:t>
      </w:r>
      <w:r>
        <w:rPr>
          <w:rFonts w:eastAsiaTheme="minorEastAsia" w:cstheme="minorBidi"/>
          <w:noProof/>
          <w:sz w:val="22"/>
          <w:szCs w:val="22"/>
        </w:rPr>
        <w:tab/>
      </w:r>
      <w:r>
        <w:rPr>
          <w:noProof/>
        </w:rPr>
        <w:t>Estimate costs of inappropriate or premature entry into aged care</w:t>
      </w:r>
      <w:r>
        <w:rPr>
          <w:noProof/>
        </w:rPr>
        <w:tab/>
      </w:r>
      <w:r>
        <w:rPr>
          <w:noProof/>
        </w:rPr>
        <w:fldChar w:fldCharType="begin"/>
      </w:r>
      <w:r>
        <w:rPr>
          <w:noProof/>
        </w:rPr>
        <w:instrText xml:space="preserve"> PAGEREF _Toc70505541 \h </w:instrText>
      </w:r>
      <w:r>
        <w:rPr>
          <w:noProof/>
        </w:rPr>
      </w:r>
      <w:r>
        <w:rPr>
          <w:noProof/>
        </w:rPr>
        <w:fldChar w:fldCharType="separate"/>
      </w:r>
      <w:r w:rsidR="000F445C">
        <w:rPr>
          <w:noProof/>
        </w:rPr>
        <w:t>107</w:t>
      </w:r>
      <w:r>
        <w:rPr>
          <w:noProof/>
        </w:rPr>
        <w:fldChar w:fldCharType="end"/>
      </w:r>
    </w:p>
    <w:p w14:paraId="158E90F0" w14:textId="4E108C9C" w:rsidR="00390CDB" w:rsidRDefault="00390CDB">
      <w:pPr>
        <w:pStyle w:val="TableofFigures"/>
        <w:rPr>
          <w:rFonts w:eastAsiaTheme="minorEastAsia" w:cstheme="minorBidi"/>
          <w:noProof/>
          <w:sz w:val="22"/>
          <w:szCs w:val="22"/>
        </w:rPr>
      </w:pPr>
      <w:r>
        <w:rPr>
          <w:noProof/>
        </w:rPr>
        <w:t>3.43</w:t>
      </w:r>
      <w:r>
        <w:rPr>
          <w:rFonts w:eastAsiaTheme="minorEastAsia" w:cstheme="minorBidi"/>
          <w:noProof/>
          <w:sz w:val="22"/>
          <w:szCs w:val="22"/>
        </w:rPr>
        <w:tab/>
      </w:r>
      <w:r>
        <w:rPr>
          <w:noProof/>
        </w:rPr>
        <w:t>Lived experience – short term injury</w:t>
      </w:r>
      <w:r>
        <w:rPr>
          <w:noProof/>
        </w:rPr>
        <w:tab/>
      </w:r>
      <w:r>
        <w:rPr>
          <w:noProof/>
        </w:rPr>
        <w:fldChar w:fldCharType="begin"/>
      </w:r>
      <w:r>
        <w:rPr>
          <w:noProof/>
        </w:rPr>
        <w:instrText xml:space="preserve"> PAGEREF _Toc70505542 \h </w:instrText>
      </w:r>
      <w:r>
        <w:rPr>
          <w:noProof/>
        </w:rPr>
      </w:r>
      <w:r>
        <w:rPr>
          <w:noProof/>
        </w:rPr>
        <w:fldChar w:fldCharType="separate"/>
      </w:r>
      <w:r w:rsidR="000F445C">
        <w:rPr>
          <w:noProof/>
        </w:rPr>
        <w:t>108</w:t>
      </w:r>
      <w:r>
        <w:rPr>
          <w:noProof/>
        </w:rPr>
        <w:fldChar w:fldCharType="end"/>
      </w:r>
    </w:p>
    <w:p w14:paraId="195B0561" w14:textId="4ED7CA68" w:rsidR="00390CDB" w:rsidRDefault="00390CDB">
      <w:pPr>
        <w:pStyle w:val="TableofFigures"/>
        <w:rPr>
          <w:rFonts w:eastAsiaTheme="minorEastAsia" w:cstheme="minorBidi"/>
          <w:noProof/>
          <w:sz w:val="22"/>
          <w:szCs w:val="22"/>
        </w:rPr>
      </w:pPr>
      <w:r>
        <w:rPr>
          <w:noProof/>
        </w:rPr>
        <w:t>3.44</w:t>
      </w:r>
      <w:r>
        <w:rPr>
          <w:rFonts w:eastAsiaTheme="minorEastAsia" w:cstheme="minorBidi"/>
          <w:noProof/>
          <w:sz w:val="22"/>
          <w:szCs w:val="22"/>
        </w:rPr>
        <w:tab/>
      </w:r>
      <w:r>
        <w:rPr>
          <w:noProof/>
        </w:rPr>
        <w:t>Hospitalisation injuries impacted by inaccessible housing</w:t>
      </w:r>
      <w:r>
        <w:rPr>
          <w:noProof/>
        </w:rPr>
        <w:tab/>
      </w:r>
      <w:r>
        <w:rPr>
          <w:noProof/>
        </w:rPr>
        <w:fldChar w:fldCharType="begin"/>
      </w:r>
      <w:r>
        <w:rPr>
          <w:noProof/>
        </w:rPr>
        <w:instrText xml:space="preserve"> PAGEREF _Toc70505543 \h </w:instrText>
      </w:r>
      <w:r>
        <w:rPr>
          <w:noProof/>
        </w:rPr>
      </w:r>
      <w:r>
        <w:rPr>
          <w:noProof/>
        </w:rPr>
        <w:fldChar w:fldCharType="separate"/>
      </w:r>
      <w:r w:rsidR="000F445C">
        <w:rPr>
          <w:noProof/>
        </w:rPr>
        <w:t>109</w:t>
      </w:r>
      <w:r>
        <w:rPr>
          <w:noProof/>
        </w:rPr>
        <w:fldChar w:fldCharType="end"/>
      </w:r>
    </w:p>
    <w:p w14:paraId="53EA2AEF" w14:textId="2A376A43" w:rsidR="00390CDB" w:rsidRDefault="00390CDB">
      <w:pPr>
        <w:pStyle w:val="TableofFigures"/>
        <w:rPr>
          <w:rFonts w:eastAsiaTheme="minorEastAsia" w:cstheme="minorBidi"/>
          <w:noProof/>
          <w:sz w:val="22"/>
          <w:szCs w:val="22"/>
        </w:rPr>
      </w:pPr>
      <w:r>
        <w:rPr>
          <w:noProof/>
        </w:rPr>
        <w:t>3.45</w:t>
      </w:r>
      <w:r>
        <w:rPr>
          <w:rFonts w:eastAsiaTheme="minorEastAsia" w:cstheme="minorBidi"/>
          <w:noProof/>
          <w:sz w:val="22"/>
          <w:szCs w:val="22"/>
        </w:rPr>
        <w:tab/>
      </w:r>
      <w:r>
        <w:rPr>
          <w:noProof/>
        </w:rPr>
        <w:t>Time period over which short term inj</w:t>
      </w:r>
      <w:r w:rsidR="003235DB">
        <w:rPr>
          <w:noProof/>
        </w:rPr>
        <w:t xml:space="preserve">uries impacted by inaccessible </w:t>
      </w:r>
      <w:r>
        <w:rPr>
          <w:noProof/>
        </w:rPr>
        <w:t>housing</w:t>
      </w:r>
      <w:r>
        <w:rPr>
          <w:noProof/>
        </w:rPr>
        <w:tab/>
      </w:r>
      <w:r>
        <w:rPr>
          <w:noProof/>
        </w:rPr>
        <w:fldChar w:fldCharType="begin"/>
      </w:r>
      <w:r>
        <w:rPr>
          <w:noProof/>
        </w:rPr>
        <w:instrText xml:space="preserve"> PAGEREF _Toc70505544 \h </w:instrText>
      </w:r>
      <w:r>
        <w:rPr>
          <w:noProof/>
        </w:rPr>
      </w:r>
      <w:r>
        <w:rPr>
          <w:noProof/>
        </w:rPr>
        <w:fldChar w:fldCharType="separate"/>
      </w:r>
      <w:r w:rsidR="000F445C">
        <w:rPr>
          <w:noProof/>
        </w:rPr>
        <w:t>110</w:t>
      </w:r>
      <w:r>
        <w:rPr>
          <w:noProof/>
        </w:rPr>
        <w:fldChar w:fldCharType="end"/>
      </w:r>
    </w:p>
    <w:p w14:paraId="597E04B7" w14:textId="6EBE2A86" w:rsidR="00390CDB" w:rsidRDefault="00390CDB">
      <w:pPr>
        <w:pStyle w:val="TableofFigures"/>
        <w:rPr>
          <w:rFonts w:eastAsiaTheme="minorEastAsia" w:cstheme="minorBidi"/>
          <w:noProof/>
          <w:sz w:val="22"/>
          <w:szCs w:val="22"/>
        </w:rPr>
      </w:pPr>
      <w:r>
        <w:rPr>
          <w:noProof/>
        </w:rPr>
        <w:t>3.46</w:t>
      </w:r>
      <w:r>
        <w:rPr>
          <w:rFonts w:eastAsiaTheme="minorEastAsia" w:cstheme="minorBidi"/>
          <w:noProof/>
          <w:sz w:val="22"/>
          <w:szCs w:val="22"/>
        </w:rPr>
        <w:tab/>
      </w:r>
      <w:r>
        <w:rPr>
          <w:noProof/>
        </w:rPr>
        <w:t>Estimated cost for people with short-term hospitalised injuries due to inaccessible housing</w:t>
      </w:r>
      <w:r>
        <w:rPr>
          <w:noProof/>
        </w:rPr>
        <w:tab/>
      </w:r>
      <w:r>
        <w:rPr>
          <w:noProof/>
        </w:rPr>
        <w:fldChar w:fldCharType="begin"/>
      </w:r>
      <w:r>
        <w:rPr>
          <w:noProof/>
        </w:rPr>
        <w:instrText xml:space="preserve"> PAGEREF _Toc70505545 \h </w:instrText>
      </w:r>
      <w:r>
        <w:rPr>
          <w:noProof/>
        </w:rPr>
      </w:r>
      <w:r>
        <w:rPr>
          <w:noProof/>
        </w:rPr>
        <w:fldChar w:fldCharType="separate"/>
      </w:r>
      <w:r w:rsidR="000F445C">
        <w:rPr>
          <w:noProof/>
        </w:rPr>
        <w:t>111</w:t>
      </w:r>
      <w:r>
        <w:rPr>
          <w:noProof/>
        </w:rPr>
        <w:fldChar w:fldCharType="end"/>
      </w:r>
    </w:p>
    <w:p w14:paraId="5287BDEA" w14:textId="79073229" w:rsidR="00390CDB" w:rsidRDefault="00390CDB">
      <w:pPr>
        <w:pStyle w:val="TableofFigures"/>
        <w:rPr>
          <w:rFonts w:eastAsiaTheme="minorEastAsia" w:cstheme="minorBidi"/>
          <w:noProof/>
          <w:sz w:val="22"/>
          <w:szCs w:val="22"/>
        </w:rPr>
      </w:pPr>
      <w:r>
        <w:rPr>
          <w:noProof/>
        </w:rPr>
        <w:t>3.47</w:t>
      </w:r>
      <w:r>
        <w:rPr>
          <w:rFonts w:eastAsiaTheme="minorEastAsia" w:cstheme="minorBidi"/>
          <w:noProof/>
          <w:sz w:val="22"/>
          <w:szCs w:val="22"/>
        </w:rPr>
        <w:tab/>
      </w:r>
      <w:r>
        <w:rPr>
          <w:noProof/>
        </w:rPr>
        <w:t>Estimated cost for people with short term injuries due to inaccessible housing</w:t>
      </w:r>
      <w:r>
        <w:rPr>
          <w:noProof/>
        </w:rPr>
        <w:tab/>
      </w:r>
      <w:r>
        <w:rPr>
          <w:noProof/>
        </w:rPr>
        <w:fldChar w:fldCharType="begin"/>
      </w:r>
      <w:r>
        <w:rPr>
          <w:noProof/>
        </w:rPr>
        <w:instrText xml:space="preserve"> PAGEREF _Toc70505546 \h </w:instrText>
      </w:r>
      <w:r>
        <w:rPr>
          <w:noProof/>
        </w:rPr>
      </w:r>
      <w:r>
        <w:rPr>
          <w:noProof/>
        </w:rPr>
        <w:fldChar w:fldCharType="separate"/>
      </w:r>
      <w:r w:rsidR="000F445C">
        <w:rPr>
          <w:noProof/>
        </w:rPr>
        <w:t>111</w:t>
      </w:r>
      <w:r>
        <w:rPr>
          <w:noProof/>
        </w:rPr>
        <w:fldChar w:fldCharType="end"/>
      </w:r>
    </w:p>
    <w:p w14:paraId="3C8DA741" w14:textId="01F286A8" w:rsidR="00390CDB" w:rsidRDefault="00390CDB">
      <w:pPr>
        <w:pStyle w:val="TableofFigures"/>
        <w:rPr>
          <w:rFonts w:eastAsiaTheme="minorEastAsia" w:cstheme="minorBidi"/>
          <w:noProof/>
          <w:sz w:val="22"/>
          <w:szCs w:val="22"/>
        </w:rPr>
      </w:pPr>
      <w:r>
        <w:rPr>
          <w:noProof/>
        </w:rPr>
        <w:t>3.48</w:t>
      </w:r>
      <w:r>
        <w:rPr>
          <w:rFonts w:eastAsiaTheme="minorEastAsia" w:cstheme="minorBidi"/>
          <w:noProof/>
          <w:sz w:val="22"/>
          <w:szCs w:val="22"/>
        </w:rPr>
        <w:tab/>
      </w:r>
      <w:r>
        <w:rPr>
          <w:noProof/>
        </w:rPr>
        <w:t>Lived experience – families with young dependants</w:t>
      </w:r>
      <w:r>
        <w:rPr>
          <w:noProof/>
        </w:rPr>
        <w:tab/>
      </w:r>
      <w:r>
        <w:rPr>
          <w:noProof/>
        </w:rPr>
        <w:fldChar w:fldCharType="begin"/>
      </w:r>
      <w:r>
        <w:rPr>
          <w:noProof/>
        </w:rPr>
        <w:instrText xml:space="preserve"> PAGEREF _Toc70505547 \h </w:instrText>
      </w:r>
      <w:r>
        <w:rPr>
          <w:noProof/>
        </w:rPr>
      </w:r>
      <w:r>
        <w:rPr>
          <w:noProof/>
        </w:rPr>
        <w:fldChar w:fldCharType="separate"/>
      </w:r>
      <w:r w:rsidR="000F445C">
        <w:rPr>
          <w:noProof/>
        </w:rPr>
        <w:t>112</w:t>
      </w:r>
      <w:r>
        <w:rPr>
          <w:noProof/>
        </w:rPr>
        <w:fldChar w:fldCharType="end"/>
      </w:r>
    </w:p>
    <w:p w14:paraId="21563C03" w14:textId="23BE56F3" w:rsidR="00390CDB" w:rsidRDefault="00390CDB">
      <w:pPr>
        <w:pStyle w:val="TableofFigures"/>
        <w:rPr>
          <w:rFonts w:eastAsiaTheme="minorEastAsia" w:cstheme="minorBidi"/>
          <w:noProof/>
          <w:sz w:val="22"/>
          <w:szCs w:val="22"/>
        </w:rPr>
      </w:pPr>
      <w:r>
        <w:rPr>
          <w:noProof/>
        </w:rPr>
        <w:t>3.49</w:t>
      </w:r>
      <w:r>
        <w:rPr>
          <w:rFonts w:eastAsiaTheme="minorEastAsia" w:cstheme="minorBidi"/>
          <w:noProof/>
          <w:sz w:val="22"/>
          <w:szCs w:val="22"/>
        </w:rPr>
        <w:tab/>
      </w:r>
      <w:r>
        <w:rPr>
          <w:noProof/>
        </w:rPr>
        <w:t>Key labour force indicators</w:t>
      </w:r>
      <w:r>
        <w:rPr>
          <w:noProof/>
        </w:rPr>
        <w:tab/>
      </w:r>
      <w:r>
        <w:rPr>
          <w:noProof/>
        </w:rPr>
        <w:fldChar w:fldCharType="begin"/>
      </w:r>
      <w:r>
        <w:rPr>
          <w:noProof/>
        </w:rPr>
        <w:instrText xml:space="preserve"> PAGEREF _Toc70505548 \h </w:instrText>
      </w:r>
      <w:r>
        <w:rPr>
          <w:noProof/>
        </w:rPr>
      </w:r>
      <w:r>
        <w:rPr>
          <w:noProof/>
        </w:rPr>
        <w:fldChar w:fldCharType="separate"/>
      </w:r>
      <w:r w:rsidR="000F445C">
        <w:rPr>
          <w:noProof/>
        </w:rPr>
        <w:t>116</w:t>
      </w:r>
      <w:r>
        <w:rPr>
          <w:noProof/>
        </w:rPr>
        <w:fldChar w:fldCharType="end"/>
      </w:r>
    </w:p>
    <w:p w14:paraId="0448F8F0" w14:textId="241C4FB3" w:rsidR="00390CDB" w:rsidRDefault="00390CDB">
      <w:pPr>
        <w:pStyle w:val="TableofFigures"/>
        <w:rPr>
          <w:rFonts w:eastAsiaTheme="minorEastAsia" w:cstheme="minorBidi"/>
          <w:noProof/>
          <w:sz w:val="22"/>
          <w:szCs w:val="22"/>
        </w:rPr>
      </w:pPr>
      <w:r>
        <w:rPr>
          <w:noProof/>
        </w:rPr>
        <w:t>3.50</w:t>
      </w:r>
      <w:r>
        <w:rPr>
          <w:rFonts w:eastAsiaTheme="minorEastAsia" w:cstheme="minorBidi"/>
          <w:noProof/>
          <w:sz w:val="22"/>
          <w:szCs w:val="22"/>
        </w:rPr>
        <w:tab/>
      </w:r>
      <w:r>
        <w:rPr>
          <w:noProof/>
        </w:rPr>
        <w:t>Lived experience – potential effects of inaccessible housing on employment</w:t>
      </w:r>
      <w:r>
        <w:rPr>
          <w:noProof/>
        </w:rPr>
        <w:tab/>
      </w:r>
      <w:r>
        <w:rPr>
          <w:noProof/>
        </w:rPr>
        <w:fldChar w:fldCharType="begin"/>
      </w:r>
      <w:r>
        <w:rPr>
          <w:noProof/>
        </w:rPr>
        <w:instrText xml:space="preserve"> PAGEREF _Toc70505549 \h </w:instrText>
      </w:r>
      <w:r>
        <w:rPr>
          <w:noProof/>
        </w:rPr>
      </w:r>
      <w:r>
        <w:rPr>
          <w:noProof/>
        </w:rPr>
        <w:fldChar w:fldCharType="separate"/>
      </w:r>
      <w:r w:rsidR="000F445C">
        <w:rPr>
          <w:noProof/>
        </w:rPr>
        <w:t>116</w:t>
      </w:r>
      <w:r>
        <w:rPr>
          <w:noProof/>
        </w:rPr>
        <w:fldChar w:fldCharType="end"/>
      </w:r>
    </w:p>
    <w:p w14:paraId="7E82CB5A" w14:textId="64D1071B" w:rsidR="00390CDB" w:rsidRDefault="00390CDB">
      <w:pPr>
        <w:pStyle w:val="TableofFigures"/>
        <w:rPr>
          <w:rFonts w:eastAsiaTheme="minorEastAsia" w:cstheme="minorBidi"/>
          <w:noProof/>
          <w:sz w:val="22"/>
          <w:szCs w:val="22"/>
        </w:rPr>
      </w:pPr>
      <w:r>
        <w:rPr>
          <w:noProof/>
        </w:rPr>
        <w:t>3.51</w:t>
      </w:r>
      <w:r>
        <w:rPr>
          <w:rFonts w:eastAsiaTheme="minorEastAsia" w:cstheme="minorBidi"/>
          <w:noProof/>
          <w:sz w:val="22"/>
          <w:szCs w:val="22"/>
        </w:rPr>
        <w:tab/>
      </w:r>
      <w:r>
        <w:rPr>
          <w:noProof/>
        </w:rPr>
        <w:t>Size of the problem — projections</w:t>
      </w:r>
      <w:r>
        <w:rPr>
          <w:noProof/>
        </w:rPr>
        <w:tab/>
      </w:r>
      <w:r>
        <w:rPr>
          <w:noProof/>
        </w:rPr>
        <w:fldChar w:fldCharType="begin"/>
      </w:r>
      <w:r>
        <w:rPr>
          <w:noProof/>
        </w:rPr>
        <w:instrText xml:space="preserve"> PAGEREF _Toc70505550 \h </w:instrText>
      </w:r>
      <w:r>
        <w:rPr>
          <w:noProof/>
        </w:rPr>
      </w:r>
      <w:r>
        <w:rPr>
          <w:noProof/>
        </w:rPr>
        <w:fldChar w:fldCharType="separate"/>
      </w:r>
      <w:r w:rsidR="000F445C">
        <w:rPr>
          <w:noProof/>
        </w:rPr>
        <w:t>118</w:t>
      </w:r>
      <w:r>
        <w:rPr>
          <w:noProof/>
        </w:rPr>
        <w:fldChar w:fldCharType="end"/>
      </w:r>
    </w:p>
    <w:p w14:paraId="7AC0366D" w14:textId="58054D8D" w:rsidR="00390CDB" w:rsidRDefault="00390CDB">
      <w:pPr>
        <w:pStyle w:val="TableofFigures"/>
        <w:rPr>
          <w:rFonts w:eastAsiaTheme="minorEastAsia" w:cstheme="minorBidi"/>
          <w:noProof/>
          <w:sz w:val="22"/>
          <w:szCs w:val="22"/>
        </w:rPr>
      </w:pPr>
      <w:r>
        <w:rPr>
          <w:noProof/>
        </w:rPr>
        <w:t>3.52</w:t>
      </w:r>
      <w:r>
        <w:rPr>
          <w:rFonts w:eastAsiaTheme="minorEastAsia" w:cstheme="minorBidi"/>
          <w:noProof/>
          <w:sz w:val="22"/>
          <w:szCs w:val="22"/>
        </w:rPr>
        <w:tab/>
      </w:r>
      <w:r>
        <w:rPr>
          <w:noProof/>
        </w:rPr>
        <w:t xml:space="preserve">Proportion of people with a </w:t>
      </w:r>
      <w:r w:rsidR="003235DB">
        <w:rPr>
          <w:noProof/>
        </w:rPr>
        <w:t xml:space="preserve">mobility impairment with home </w:t>
      </w:r>
      <w:r>
        <w:rPr>
          <w:noProof/>
        </w:rPr>
        <w:t>modifications</w:t>
      </w:r>
      <w:r>
        <w:rPr>
          <w:noProof/>
        </w:rPr>
        <w:tab/>
      </w:r>
      <w:r>
        <w:rPr>
          <w:noProof/>
        </w:rPr>
        <w:fldChar w:fldCharType="begin"/>
      </w:r>
      <w:r>
        <w:rPr>
          <w:noProof/>
        </w:rPr>
        <w:instrText xml:space="preserve"> PAGEREF _Toc70505551 \h </w:instrText>
      </w:r>
      <w:r>
        <w:rPr>
          <w:noProof/>
        </w:rPr>
      </w:r>
      <w:r>
        <w:rPr>
          <w:noProof/>
        </w:rPr>
        <w:fldChar w:fldCharType="separate"/>
      </w:r>
      <w:r w:rsidR="000F445C">
        <w:rPr>
          <w:noProof/>
        </w:rPr>
        <w:t>121</w:t>
      </w:r>
      <w:r>
        <w:rPr>
          <w:noProof/>
        </w:rPr>
        <w:fldChar w:fldCharType="end"/>
      </w:r>
    </w:p>
    <w:p w14:paraId="3AF4E1D1" w14:textId="4562ABDB" w:rsidR="00390CDB" w:rsidRDefault="00390CDB">
      <w:pPr>
        <w:pStyle w:val="TableofFigures"/>
        <w:rPr>
          <w:rFonts w:eastAsiaTheme="minorEastAsia" w:cstheme="minorBidi"/>
          <w:noProof/>
          <w:sz w:val="22"/>
          <w:szCs w:val="22"/>
        </w:rPr>
      </w:pPr>
      <w:r>
        <w:rPr>
          <w:noProof/>
        </w:rPr>
        <w:t>3.53</w:t>
      </w:r>
      <w:r>
        <w:rPr>
          <w:rFonts w:eastAsiaTheme="minorEastAsia" w:cstheme="minorBidi"/>
          <w:noProof/>
          <w:sz w:val="22"/>
          <w:szCs w:val="22"/>
        </w:rPr>
        <w:tab/>
      </w:r>
      <w:r>
        <w:rPr>
          <w:noProof/>
        </w:rPr>
        <w:t>Equivalised income distribution</w:t>
      </w:r>
      <w:r>
        <w:rPr>
          <w:noProof/>
        </w:rPr>
        <w:tab/>
      </w:r>
      <w:r>
        <w:rPr>
          <w:noProof/>
        </w:rPr>
        <w:fldChar w:fldCharType="begin"/>
      </w:r>
      <w:r>
        <w:rPr>
          <w:noProof/>
        </w:rPr>
        <w:instrText xml:space="preserve"> PAGEREF _Toc70505552 \h </w:instrText>
      </w:r>
      <w:r>
        <w:rPr>
          <w:noProof/>
        </w:rPr>
      </w:r>
      <w:r>
        <w:rPr>
          <w:noProof/>
        </w:rPr>
        <w:fldChar w:fldCharType="separate"/>
      </w:r>
      <w:r w:rsidR="000F445C">
        <w:rPr>
          <w:noProof/>
        </w:rPr>
        <w:t>122</w:t>
      </w:r>
      <w:r>
        <w:rPr>
          <w:noProof/>
        </w:rPr>
        <w:fldChar w:fldCharType="end"/>
      </w:r>
    </w:p>
    <w:p w14:paraId="5F87F042" w14:textId="2B422BEA" w:rsidR="00390CDB" w:rsidRDefault="00390CDB">
      <w:pPr>
        <w:pStyle w:val="TableofFigures"/>
        <w:rPr>
          <w:rFonts w:eastAsiaTheme="minorEastAsia" w:cstheme="minorBidi"/>
          <w:noProof/>
          <w:sz w:val="22"/>
          <w:szCs w:val="22"/>
        </w:rPr>
      </w:pPr>
      <w:r>
        <w:rPr>
          <w:noProof/>
        </w:rPr>
        <w:t>3.54</w:t>
      </w:r>
      <w:r>
        <w:rPr>
          <w:rFonts w:eastAsiaTheme="minorEastAsia" w:cstheme="minorBidi"/>
          <w:noProof/>
          <w:sz w:val="22"/>
          <w:szCs w:val="22"/>
        </w:rPr>
        <w:tab/>
      </w:r>
      <w:r>
        <w:rPr>
          <w:noProof/>
        </w:rPr>
        <w:t>Other factors contributing to the lack of accessible housing</w:t>
      </w:r>
      <w:r>
        <w:rPr>
          <w:noProof/>
        </w:rPr>
        <w:tab/>
      </w:r>
      <w:r>
        <w:rPr>
          <w:noProof/>
        </w:rPr>
        <w:fldChar w:fldCharType="begin"/>
      </w:r>
      <w:r>
        <w:rPr>
          <w:noProof/>
        </w:rPr>
        <w:instrText xml:space="preserve"> PAGEREF _Toc70505553 \h </w:instrText>
      </w:r>
      <w:r>
        <w:rPr>
          <w:noProof/>
        </w:rPr>
      </w:r>
      <w:r>
        <w:rPr>
          <w:noProof/>
        </w:rPr>
        <w:fldChar w:fldCharType="separate"/>
      </w:r>
      <w:r w:rsidR="000F445C">
        <w:rPr>
          <w:noProof/>
        </w:rPr>
        <w:t>123</w:t>
      </w:r>
      <w:r>
        <w:rPr>
          <w:noProof/>
        </w:rPr>
        <w:fldChar w:fldCharType="end"/>
      </w:r>
    </w:p>
    <w:p w14:paraId="7D18EBF0" w14:textId="7E2699F3" w:rsidR="00390CDB" w:rsidRDefault="00390CDB">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Key requirements to be added to NCC</w:t>
      </w:r>
      <w:r w:rsidRPr="00274B71">
        <w:rPr>
          <w:noProof/>
          <w:color w:val="9B917E" w:themeColor="accent4"/>
          <w:position w:val="4"/>
        </w:rPr>
        <w:t xml:space="preserve"> </w:t>
      </w:r>
      <w:r>
        <w:rPr>
          <w:noProof/>
        </w:rPr>
        <w:t>under different stringency under consideration</w:t>
      </w:r>
      <w:r>
        <w:rPr>
          <w:noProof/>
        </w:rPr>
        <w:tab/>
      </w:r>
      <w:r>
        <w:rPr>
          <w:noProof/>
        </w:rPr>
        <w:fldChar w:fldCharType="begin"/>
      </w:r>
      <w:r>
        <w:rPr>
          <w:noProof/>
        </w:rPr>
        <w:instrText xml:space="preserve"> PAGEREF _Toc70505554 \h </w:instrText>
      </w:r>
      <w:r>
        <w:rPr>
          <w:noProof/>
        </w:rPr>
      </w:r>
      <w:r>
        <w:rPr>
          <w:noProof/>
        </w:rPr>
        <w:fldChar w:fldCharType="separate"/>
      </w:r>
      <w:r w:rsidR="000F445C">
        <w:rPr>
          <w:noProof/>
        </w:rPr>
        <w:t>127</w:t>
      </w:r>
      <w:r>
        <w:rPr>
          <w:noProof/>
        </w:rPr>
        <w:fldChar w:fldCharType="end"/>
      </w:r>
    </w:p>
    <w:p w14:paraId="40205FD5" w14:textId="0257375A" w:rsidR="00390CDB" w:rsidRDefault="00390CDB">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Cases where step-free access would not be required, or where exclusions apply</w:t>
      </w:r>
      <w:r>
        <w:rPr>
          <w:noProof/>
        </w:rPr>
        <w:tab/>
      </w:r>
      <w:r>
        <w:rPr>
          <w:noProof/>
        </w:rPr>
        <w:fldChar w:fldCharType="begin"/>
      </w:r>
      <w:r>
        <w:rPr>
          <w:noProof/>
        </w:rPr>
        <w:instrText xml:space="preserve"> PAGEREF _Toc70505555 \h </w:instrText>
      </w:r>
      <w:r>
        <w:rPr>
          <w:noProof/>
        </w:rPr>
      </w:r>
      <w:r>
        <w:rPr>
          <w:noProof/>
        </w:rPr>
        <w:fldChar w:fldCharType="separate"/>
      </w:r>
      <w:r w:rsidR="000F445C">
        <w:rPr>
          <w:noProof/>
        </w:rPr>
        <w:t>128</w:t>
      </w:r>
      <w:r>
        <w:rPr>
          <w:noProof/>
        </w:rPr>
        <w:fldChar w:fldCharType="end"/>
      </w:r>
    </w:p>
    <w:p w14:paraId="35093BC8" w14:textId="18257BAC" w:rsidR="00390CDB" w:rsidRDefault="00390CDB">
      <w:pPr>
        <w:pStyle w:val="TableofFigures"/>
        <w:rPr>
          <w:rFonts w:eastAsiaTheme="minorEastAsia" w:cstheme="minorBidi"/>
          <w:noProof/>
          <w:sz w:val="22"/>
          <w:szCs w:val="22"/>
        </w:rPr>
      </w:pPr>
      <w:r>
        <w:rPr>
          <w:noProof/>
        </w:rPr>
        <w:t>4.3</w:t>
      </w:r>
      <w:r>
        <w:rPr>
          <w:rFonts w:eastAsiaTheme="minorEastAsia" w:cstheme="minorBidi"/>
          <w:noProof/>
          <w:sz w:val="22"/>
          <w:szCs w:val="22"/>
        </w:rPr>
        <w:tab/>
      </w:r>
      <w:r>
        <w:rPr>
          <w:noProof/>
        </w:rPr>
        <w:t>Responses by number of feasible options</w:t>
      </w:r>
      <w:r>
        <w:rPr>
          <w:noProof/>
        </w:rPr>
        <w:tab/>
      </w:r>
      <w:r>
        <w:rPr>
          <w:noProof/>
        </w:rPr>
        <w:fldChar w:fldCharType="begin"/>
      </w:r>
      <w:r>
        <w:rPr>
          <w:noProof/>
        </w:rPr>
        <w:instrText xml:space="preserve"> PAGEREF _Toc70505556 \h </w:instrText>
      </w:r>
      <w:r>
        <w:rPr>
          <w:noProof/>
        </w:rPr>
      </w:r>
      <w:r>
        <w:rPr>
          <w:noProof/>
        </w:rPr>
        <w:fldChar w:fldCharType="separate"/>
      </w:r>
      <w:r w:rsidR="000F445C">
        <w:rPr>
          <w:noProof/>
        </w:rPr>
        <w:t>134</w:t>
      </w:r>
      <w:r>
        <w:rPr>
          <w:noProof/>
        </w:rPr>
        <w:fldChar w:fldCharType="end"/>
      </w:r>
    </w:p>
    <w:p w14:paraId="3E47337C" w14:textId="168BDDF4" w:rsidR="00390CDB" w:rsidRDefault="00390CDB">
      <w:pPr>
        <w:pStyle w:val="TableofFigures"/>
        <w:rPr>
          <w:rFonts w:eastAsiaTheme="minorEastAsia" w:cstheme="minorBidi"/>
          <w:noProof/>
          <w:sz w:val="22"/>
          <w:szCs w:val="22"/>
        </w:rPr>
      </w:pPr>
      <w:r>
        <w:rPr>
          <w:noProof/>
        </w:rPr>
        <w:t>4.4</w:t>
      </w:r>
      <w:r>
        <w:rPr>
          <w:rFonts w:eastAsiaTheme="minorEastAsia" w:cstheme="minorBidi"/>
          <w:noProof/>
          <w:sz w:val="22"/>
          <w:szCs w:val="22"/>
        </w:rPr>
        <w:tab/>
      </w:r>
      <w:r>
        <w:rPr>
          <w:noProof/>
        </w:rPr>
        <w:t>Feasible option counts</w:t>
      </w:r>
      <w:r>
        <w:rPr>
          <w:noProof/>
        </w:rPr>
        <w:tab/>
      </w:r>
      <w:r>
        <w:rPr>
          <w:noProof/>
        </w:rPr>
        <w:fldChar w:fldCharType="begin"/>
      </w:r>
      <w:r>
        <w:rPr>
          <w:noProof/>
        </w:rPr>
        <w:instrText xml:space="preserve"> PAGEREF _Toc70505557 \h </w:instrText>
      </w:r>
      <w:r>
        <w:rPr>
          <w:noProof/>
        </w:rPr>
      </w:r>
      <w:r>
        <w:rPr>
          <w:noProof/>
        </w:rPr>
        <w:fldChar w:fldCharType="separate"/>
      </w:r>
      <w:r w:rsidR="000F445C">
        <w:rPr>
          <w:noProof/>
        </w:rPr>
        <w:t>134</w:t>
      </w:r>
      <w:r>
        <w:rPr>
          <w:noProof/>
        </w:rPr>
        <w:fldChar w:fldCharType="end"/>
      </w:r>
    </w:p>
    <w:p w14:paraId="4C8EEEFE" w14:textId="25E2FFBE" w:rsidR="00390CDB" w:rsidRDefault="00390CDB">
      <w:pPr>
        <w:pStyle w:val="TableofFigures"/>
        <w:rPr>
          <w:rFonts w:eastAsiaTheme="minorEastAsia" w:cstheme="minorBidi"/>
          <w:noProof/>
          <w:sz w:val="22"/>
          <w:szCs w:val="22"/>
        </w:rPr>
      </w:pPr>
      <w:r>
        <w:rPr>
          <w:noProof/>
        </w:rPr>
        <w:t>4.5</w:t>
      </w:r>
      <w:r>
        <w:rPr>
          <w:rFonts w:eastAsiaTheme="minorEastAsia" w:cstheme="minorBidi"/>
          <w:noProof/>
          <w:sz w:val="22"/>
          <w:szCs w:val="22"/>
        </w:rPr>
        <w:tab/>
      </w:r>
      <w:r>
        <w:rPr>
          <w:noProof/>
        </w:rPr>
        <w:t>Other feasible options</w:t>
      </w:r>
      <w:r>
        <w:rPr>
          <w:noProof/>
        </w:rPr>
        <w:tab/>
      </w:r>
      <w:r>
        <w:rPr>
          <w:noProof/>
        </w:rPr>
        <w:fldChar w:fldCharType="begin"/>
      </w:r>
      <w:r>
        <w:rPr>
          <w:noProof/>
        </w:rPr>
        <w:instrText xml:space="preserve"> PAGEREF _Toc70505558 \h </w:instrText>
      </w:r>
      <w:r>
        <w:rPr>
          <w:noProof/>
        </w:rPr>
      </w:r>
      <w:r>
        <w:rPr>
          <w:noProof/>
        </w:rPr>
        <w:fldChar w:fldCharType="separate"/>
      </w:r>
      <w:r w:rsidR="000F445C">
        <w:rPr>
          <w:noProof/>
        </w:rPr>
        <w:t>135</w:t>
      </w:r>
      <w:r>
        <w:rPr>
          <w:noProof/>
        </w:rPr>
        <w:fldChar w:fldCharType="end"/>
      </w:r>
    </w:p>
    <w:p w14:paraId="22736309" w14:textId="30D73C99" w:rsidR="00390CDB" w:rsidRDefault="00390CDB">
      <w:pPr>
        <w:pStyle w:val="TableofFigures"/>
        <w:rPr>
          <w:rFonts w:eastAsiaTheme="minorEastAsia" w:cstheme="minorBidi"/>
          <w:noProof/>
          <w:sz w:val="22"/>
          <w:szCs w:val="22"/>
        </w:rPr>
      </w:pPr>
      <w:r>
        <w:rPr>
          <w:noProof/>
        </w:rPr>
        <w:t>4.6</w:t>
      </w:r>
      <w:r>
        <w:rPr>
          <w:rFonts w:eastAsiaTheme="minorEastAsia" w:cstheme="minorBidi"/>
          <w:noProof/>
          <w:sz w:val="22"/>
          <w:szCs w:val="22"/>
        </w:rPr>
        <w:tab/>
      </w:r>
      <w:r>
        <w:rPr>
          <w:noProof/>
        </w:rPr>
        <w:t>Feasible options versus options meeting the objective</w:t>
      </w:r>
      <w:r>
        <w:rPr>
          <w:noProof/>
        </w:rPr>
        <w:tab/>
      </w:r>
      <w:r>
        <w:rPr>
          <w:noProof/>
        </w:rPr>
        <w:fldChar w:fldCharType="begin"/>
      </w:r>
      <w:r>
        <w:rPr>
          <w:noProof/>
        </w:rPr>
        <w:instrText xml:space="preserve"> PAGEREF _Toc70505559 \h </w:instrText>
      </w:r>
      <w:r>
        <w:rPr>
          <w:noProof/>
        </w:rPr>
      </w:r>
      <w:r>
        <w:rPr>
          <w:noProof/>
        </w:rPr>
        <w:fldChar w:fldCharType="separate"/>
      </w:r>
      <w:r w:rsidR="000F445C">
        <w:rPr>
          <w:noProof/>
        </w:rPr>
        <w:t>137</w:t>
      </w:r>
      <w:r>
        <w:rPr>
          <w:noProof/>
        </w:rPr>
        <w:fldChar w:fldCharType="end"/>
      </w:r>
    </w:p>
    <w:p w14:paraId="3FAB252A" w14:textId="48F67EAB" w:rsidR="00390CDB" w:rsidRDefault="00390CDB">
      <w:pPr>
        <w:pStyle w:val="TableofFigures"/>
        <w:rPr>
          <w:rFonts w:eastAsiaTheme="minorEastAsia" w:cstheme="minorBidi"/>
          <w:noProof/>
          <w:sz w:val="22"/>
          <w:szCs w:val="22"/>
        </w:rPr>
      </w:pPr>
      <w:r>
        <w:rPr>
          <w:noProof/>
        </w:rPr>
        <w:t>4.7</w:t>
      </w:r>
      <w:r>
        <w:rPr>
          <w:rFonts w:eastAsiaTheme="minorEastAsia" w:cstheme="minorBidi"/>
          <w:noProof/>
          <w:sz w:val="22"/>
          <w:szCs w:val="22"/>
        </w:rPr>
        <w:tab/>
      </w:r>
      <w:r>
        <w:rPr>
          <w:noProof/>
        </w:rPr>
        <w:t>Preferred option identified through Consultation Hub questionnaire</w:t>
      </w:r>
      <w:r>
        <w:rPr>
          <w:noProof/>
        </w:rPr>
        <w:tab/>
      </w:r>
      <w:r>
        <w:rPr>
          <w:noProof/>
        </w:rPr>
        <w:fldChar w:fldCharType="begin"/>
      </w:r>
      <w:r>
        <w:rPr>
          <w:noProof/>
        </w:rPr>
        <w:instrText xml:space="preserve"> PAGEREF _Toc70505560 \h </w:instrText>
      </w:r>
      <w:r>
        <w:rPr>
          <w:noProof/>
        </w:rPr>
      </w:r>
      <w:r>
        <w:rPr>
          <w:noProof/>
        </w:rPr>
        <w:fldChar w:fldCharType="separate"/>
      </w:r>
      <w:r w:rsidR="000F445C">
        <w:rPr>
          <w:noProof/>
        </w:rPr>
        <w:t>138</w:t>
      </w:r>
      <w:r>
        <w:rPr>
          <w:noProof/>
        </w:rPr>
        <w:fldChar w:fldCharType="end"/>
      </w:r>
    </w:p>
    <w:p w14:paraId="23BD8E62" w14:textId="74155905" w:rsidR="00390CDB" w:rsidRDefault="00390CDB">
      <w:pPr>
        <w:pStyle w:val="TableofFigures"/>
        <w:rPr>
          <w:rFonts w:eastAsiaTheme="minorEastAsia" w:cstheme="minorBidi"/>
          <w:noProof/>
          <w:sz w:val="22"/>
          <w:szCs w:val="22"/>
        </w:rPr>
      </w:pPr>
      <w:r>
        <w:rPr>
          <w:noProof/>
        </w:rPr>
        <w:t>4.8</w:t>
      </w:r>
      <w:r>
        <w:rPr>
          <w:rFonts w:eastAsiaTheme="minorEastAsia" w:cstheme="minorBidi"/>
          <w:noProof/>
          <w:sz w:val="22"/>
          <w:szCs w:val="22"/>
        </w:rPr>
        <w:tab/>
      </w:r>
      <w:r>
        <w:rPr>
          <w:noProof/>
        </w:rPr>
        <w:t>Preferred option in all submissions including multiple choices</w:t>
      </w:r>
      <w:r>
        <w:rPr>
          <w:noProof/>
        </w:rPr>
        <w:tab/>
      </w:r>
      <w:r>
        <w:rPr>
          <w:noProof/>
        </w:rPr>
        <w:fldChar w:fldCharType="begin"/>
      </w:r>
      <w:r>
        <w:rPr>
          <w:noProof/>
        </w:rPr>
        <w:instrText xml:space="preserve"> PAGEREF _Toc70505561 \h </w:instrText>
      </w:r>
      <w:r>
        <w:rPr>
          <w:noProof/>
        </w:rPr>
      </w:r>
      <w:r>
        <w:rPr>
          <w:noProof/>
        </w:rPr>
        <w:fldChar w:fldCharType="separate"/>
      </w:r>
      <w:r w:rsidR="000F445C">
        <w:rPr>
          <w:noProof/>
        </w:rPr>
        <w:t>138</w:t>
      </w:r>
      <w:r>
        <w:rPr>
          <w:noProof/>
        </w:rPr>
        <w:fldChar w:fldCharType="end"/>
      </w:r>
    </w:p>
    <w:p w14:paraId="3A0BFC13" w14:textId="46CDC088" w:rsidR="00390CDB" w:rsidRDefault="00390CDB">
      <w:pPr>
        <w:pStyle w:val="TableofFigures"/>
        <w:rPr>
          <w:rFonts w:eastAsiaTheme="minorEastAsia" w:cstheme="minorBidi"/>
          <w:noProof/>
          <w:sz w:val="22"/>
          <w:szCs w:val="22"/>
        </w:rPr>
      </w:pPr>
      <w:r>
        <w:rPr>
          <w:noProof/>
        </w:rPr>
        <w:t>4.9</w:t>
      </w:r>
      <w:r>
        <w:rPr>
          <w:rFonts w:eastAsiaTheme="minorEastAsia" w:cstheme="minorBidi"/>
          <w:noProof/>
          <w:sz w:val="22"/>
          <w:szCs w:val="22"/>
        </w:rPr>
        <w:tab/>
      </w:r>
      <w:r>
        <w:rPr>
          <w:noProof/>
        </w:rPr>
        <w:t>Preferred options in all responses</w:t>
      </w:r>
      <w:r>
        <w:rPr>
          <w:noProof/>
        </w:rPr>
        <w:tab/>
      </w:r>
      <w:r>
        <w:rPr>
          <w:noProof/>
        </w:rPr>
        <w:fldChar w:fldCharType="begin"/>
      </w:r>
      <w:r>
        <w:rPr>
          <w:noProof/>
        </w:rPr>
        <w:instrText xml:space="preserve"> PAGEREF _Toc70505562 \h </w:instrText>
      </w:r>
      <w:r>
        <w:rPr>
          <w:noProof/>
        </w:rPr>
      </w:r>
      <w:r>
        <w:rPr>
          <w:noProof/>
        </w:rPr>
        <w:fldChar w:fldCharType="separate"/>
      </w:r>
      <w:r w:rsidR="000F445C">
        <w:rPr>
          <w:noProof/>
        </w:rPr>
        <w:t>139</w:t>
      </w:r>
      <w:r>
        <w:rPr>
          <w:noProof/>
        </w:rPr>
        <w:fldChar w:fldCharType="end"/>
      </w:r>
    </w:p>
    <w:p w14:paraId="78D240C3" w14:textId="21E90090" w:rsidR="00390CDB" w:rsidRDefault="00390CDB">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Assumed number of subsidised rental properties compared with the number of people living in inaccessible private rental accommodation</w:t>
      </w:r>
      <w:r>
        <w:rPr>
          <w:noProof/>
        </w:rPr>
        <w:tab/>
      </w:r>
      <w:r>
        <w:rPr>
          <w:noProof/>
        </w:rPr>
        <w:fldChar w:fldCharType="begin"/>
      </w:r>
      <w:r>
        <w:rPr>
          <w:noProof/>
        </w:rPr>
        <w:instrText xml:space="preserve"> PAGEREF _Toc70505563 \h </w:instrText>
      </w:r>
      <w:r>
        <w:rPr>
          <w:noProof/>
        </w:rPr>
      </w:r>
      <w:r>
        <w:rPr>
          <w:noProof/>
        </w:rPr>
        <w:fldChar w:fldCharType="separate"/>
      </w:r>
      <w:r w:rsidR="000F445C">
        <w:rPr>
          <w:noProof/>
        </w:rPr>
        <w:t>142</w:t>
      </w:r>
      <w:r>
        <w:rPr>
          <w:noProof/>
        </w:rPr>
        <w:fldChar w:fldCharType="end"/>
      </w:r>
    </w:p>
    <w:p w14:paraId="350B6D34" w14:textId="34AF0450" w:rsidR="00390CDB" w:rsidRDefault="00390CDB">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Projections for dwelling completions in Australia</w:t>
      </w:r>
      <w:r>
        <w:rPr>
          <w:noProof/>
        </w:rPr>
        <w:tab/>
      </w:r>
      <w:r>
        <w:rPr>
          <w:noProof/>
        </w:rPr>
        <w:fldChar w:fldCharType="begin"/>
      </w:r>
      <w:r>
        <w:rPr>
          <w:noProof/>
        </w:rPr>
        <w:instrText xml:space="preserve"> PAGEREF _Toc70505564 \h </w:instrText>
      </w:r>
      <w:r>
        <w:rPr>
          <w:noProof/>
        </w:rPr>
      </w:r>
      <w:r>
        <w:rPr>
          <w:noProof/>
        </w:rPr>
        <w:fldChar w:fldCharType="separate"/>
      </w:r>
      <w:r w:rsidR="000F445C">
        <w:rPr>
          <w:noProof/>
        </w:rPr>
        <w:t>147</w:t>
      </w:r>
      <w:r>
        <w:rPr>
          <w:noProof/>
        </w:rPr>
        <w:fldChar w:fldCharType="end"/>
      </w:r>
    </w:p>
    <w:p w14:paraId="1269412E" w14:textId="2E359830" w:rsidR="00390CDB" w:rsidRDefault="00390CDB">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Share of the dwelling stock (by type) constructed under the new Code</w:t>
      </w:r>
      <w:r>
        <w:rPr>
          <w:noProof/>
        </w:rPr>
        <w:tab/>
      </w:r>
      <w:r>
        <w:rPr>
          <w:noProof/>
        </w:rPr>
        <w:fldChar w:fldCharType="begin"/>
      </w:r>
      <w:r>
        <w:rPr>
          <w:noProof/>
        </w:rPr>
        <w:instrText xml:space="preserve"> PAGEREF _Toc70505565 \h </w:instrText>
      </w:r>
      <w:r>
        <w:rPr>
          <w:noProof/>
        </w:rPr>
      </w:r>
      <w:r>
        <w:rPr>
          <w:noProof/>
        </w:rPr>
        <w:fldChar w:fldCharType="separate"/>
      </w:r>
      <w:r w:rsidR="000F445C">
        <w:rPr>
          <w:noProof/>
        </w:rPr>
        <w:t>148</w:t>
      </w:r>
      <w:r>
        <w:rPr>
          <w:noProof/>
        </w:rPr>
        <w:fldChar w:fldCharType="end"/>
      </w:r>
    </w:p>
    <w:p w14:paraId="6AF63AA7" w14:textId="282EDBEE" w:rsidR="00390CDB" w:rsidRDefault="00390CDB">
      <w:pPr>
        <w:pStyle w:val="TableofFigures"/>
        <w:rPr>
          <w:rFonts w:eastAsiaTheme="minorEastAsia" w:cstheme="minorBidi"/>
          <w:noProof/>
          <w:sz w:val="22"/>
          <w:szCs w:val="22"/>
        </w:rPr>
      </w:pPr>
      <w:r>
        <w:rPr>
          <w:noProof/>
        </w:rPr>
        <w:t>6.1</w:t>
      </w:r>
      <w:r>
        <w:rPr>
          <w:rFonts w:eastAsiaTheme="minorEastAsia" w:cstheme="minorBidi"/>
          <w:noProof/>
          <w:sz w:val="22"/>
          <w:szCs w:val="22"/>
        </w:rPr>
        <w:tab/>
      </w:r>
      <w:r>
        <w:rPr>
          <w:noProof/>
        </w:rPr>
        <w:t>Estimated additional compliance costs</w:t>
      </w:r>
      <w:r>
        <w:rPr>
          <w:noProof/>
        </w:rPr>
        <w:tab/>
      </w:r>
      <w:r>
        <w:rPr>
          <w:noProof/>
        </w:rPr>
        <w:fldChar w:fldCharType="begin"/>
      </w:r>
      <w:r>
        <w:rPr>
          <w:noProof/>
        </w:rPr>
        <w:instrText xml:space="preserve"> PAGEREF _Toc70505566 \h </w:instrText>
      </w:r>
      <w:r>
        <w:rPr>
          <w:noProof/>
        </w:rPr>
      </w:r>
      <w:r>
        <w:rPr>
          <w:noProof/>
        </w:rPr>
        <w:fldChar w:fldCharType="separate"/>
      </w:r>
      <w:r w:rsidR="000F445C">
        <w:rPr>
          <w:noProof/>
        </w:rPr>
        <w:t>150</w:t>
      </w:r>
      <w:r>
        <w:rPr>
          <w:noProof/>
        </w:rPr>
        <w:fldChar w:fldCharType="end"/>
      </w:r>
    </w:p>
    <w:p w14:paraId="03351AAC" w14:textId="35680993" w:rsidR="00390CDB" w:rsidRDefault="00390CDB">
      <w:pPr>
        <w:pStyle w:val="TableofFigures"/>
        <w:rPr>
          <w:rFonts w:eastAsiaTheme="minorEastAsia" w:cstheme="minorBidi"/>
          <w:noProof/>
          <w:sz w:val="22"/>
          <w:szCs w:val="22"/>
        </w:rPr>
      </w:pPr>
      <w:r>
        <w:rPr>
          <w:noProof/>
        </w:rPr>
        <w:t>6.2</w:t>
      </w:r>
      <w:r>
        <w:rPr>
          <w:rFonts w:eastAsiaTheme="minorEastAsia" w:cstheme="minorBidi"/>
          <w:noProof/>
          <w:sz w:val="22"/>
          <w:szCs w:val="22"/>
        </w:rPr>
        <w:tab/>
      </w:r>
      <w:r>
        <w:rPr>
          <w:noProof/>
        </w:rPr>
        <w:t>Cost adjustment</w:t>
      </w:r>
      <w:r>
        <w:rPr>
          <w:noProof/>
        </w:rPr>
        <w:tab/>
      </w:r>
      <w:r>
        <w:rPr>
          <w:noProof/>
        </w:rPr>
        <w:fldChar w:fldCharType="begin"/>
      </w:r>
      <w:r>
        <w:rPr>
          <w:noProof/>
        </w:rPr>
        <w:instrText xml:space="preserve"> PAGEREF _Toc70505567 \h </w:instrText>
      </w:r>
      <w:r>
        <w:rPr>
          <w:noProof/>
        </w:rPr>
      </w:r>
      <w:r>
        <w:rPr>
          <w:noProof/>
        </w:rPr>
        <w:fldChar w:fldCharType="separate"/>
      </w:r>
      <w:r w:rsidR="000F445C">
        <w:rPr>
          <w:noProof/>
        </w:rPr>
        <w:t>151</w:t>
      </w:r>
      <w:r>
        <w:rPr>
          <w:noProof/>
        </w:rPr>
        <w:fldChar w:fldCharType="end"/>
      </w:r>
    </w:p>
    <w:p w14:paraId="274CF1A8" w14:textId="14967713" w:rsidR="00390CDB" w:rsidRDefault="00390CDB">
      <w:pPr>
        <w:pStyle w:val="TableofFigures"/>
        <w:rPr>
          <w:rFonts w:eastAsiaTheme="minorEastAsia" w:cstheme="minorBidi"/>
          <w:noProof/>
          <w:sz w:val="22"/>
          <w:szCs w:val="22"/>
        </w:rPr>
      </w:pPr>
      <w:r>
        <w:rPr>
          <w:noProof/>
        </w:rPr>
        <w:lastRenderedPageBreak/>
        <w:t>6.3</w:t>
      </w:r>
      <w:r>
        <w:rPr>
          <w:rFonts w:eastAsiaTheme="minorEastAsia" w:cstheme="minorBidi"/>
          <w:noProof/>
          <w:sz w:val="22"/>
          <w:szCs w:val="22"/>
        </w:rPr>
        <w:tab/>
      </w:r>
      <w:r>
        <w:rPr>
          <w:noProof/>
        </w:rPr>
        <w:t>Comparison of estimated additional construction cost to achieve relevant standard in new build</w:t>
      </w:r>
      <w:r>
        <w:rPr>
          <w:noProof/>
        </w:rPr>
        <w:tab/>
      </w:r>
      <w:r>
        <w:rPr>
          <w:noProof/>
        </w:rPr>
        <w:fldChar w:fldCharType="begin"/>
      </w:r>
      <w:r>
        <w:rPr>
          <w:noProof/>
        </w:rPr>
        <w:instrText xml:space="preserve"> PAGEREF _Toc70505568 \h </w:instrText>
      </w:r>
      <w:r>
        <w:rPr>
          <w:noProof/>
        </w:rPr>
      </w:r>
      <w:r>
        <w:rPr>
          <w:noProof/>
        </w:rPr>
        <w:fldChar w:fldCharType="separate"/>
      </w:r>
      <w:r w:rsidR="000F445C">
        <w:rPr>
          <w:noProof/>
        </w:rPr>
        <w:t>151</w:t>
      </w:r>
      <w:r>
        <w:rPr>
          <w:noProof/>
        </w:rPr>
        <w:fldChar w:fldCharType="end"/>
      </w:r>
    </w:p>
    <w:p w14:paraId="4DDF8436" w14:textId="490E9452" w:rsidR="00390CDB" w:rsidRDefault="00390CDB">
      <w:pPr>
        <w:pStyle w:val="TableofFigures"/>
        <w:rPr>
          <w:rFonts w:eastAsiaTheme="minorEastAsia" w:cstheme="minorBidi"/>
          <w:noProof/>
          <w:sz w:val="22"/>
          <w:szCs w:val="22"/>
        </w:rPr>
      </w:pPr>
      <w:r>
        <w:rPr>
          <w:noProof/>
        </w:rPr>
        <w:t>6.4</w:t>
      </w:r>
      <w:r>
        <w:rPr>
          <w:rFonts w:eastAsiaTheme="minorEastAsia" w:cstheme="minorBidi"/>
          <w:noProof/>
          <w:sz w:val="22"/>
          <w:szCs w:val="22"/>
        </w:rPr>
        <w:tab/>
      </w:r>
      <w:r>
        <w:rPr>
          <w:noProof/>
        </w:rPr>
        <w:t>Median lot size</w:t>
      </w:r>
      <w:r>
        <w:rPr>
          <w:noProof/>
        </w:rPr>
        <w:tab/>
      </w:r>
      <w:r>
        <w:rPr>
          <w:noProof/>
        </w:rPr>
        <w:fldChar w:fldCharType="begin"/>
      </w:r>
      <w:r>
        <w:rPr>
          <w:noProof/>
        </w:rPr>
        <w:instrText xml:space="preserve"> PAGEREF _Toc70505569 \h </w:instrText>
      </w:r>
      <w:r>
        <w:rPr>
          <w:noProof/>
        </w:rPr>
      </w:r>
      <w:r>
        <w:rPr>
          <w:noProof/>
        </w:rPr>
        <w:fldChar w:fldCharType="separate"/>
      </w:r>
      <w:r w:rsidR="000F445C">
        <w:rPr>
          <w:noProof/>
        </w:rPr>
        <w:t>154</w:t>
      </w:r>
      <w:r>
        <w:rPr>
          <w:noProof/>
        </w:rPr>
        <w:fldChar w:fldCharType="end"/>
      </w:r>
    </w:p>
    <w:p w14:paraId="12DFF5B8" w14:textId="3C6243D0" w:rsidR="00390CDB" w:rsidRDefault="00390CDB">
      <w:pPr>
        <w:pStyle w:val="TableofFigures"/>
        <w:rPr>
          <w:rFonts w:eastAsiaTheme="minorEastAsia" w:cstheme="minorBidi"/>
          <w:noProof/>
          <w:sz w:val="22"/>
          <w:szCs w:val="22"/>
        </w:rPr>
      </w:pPr>
      <w:r>
        <w:rPr>
          <w:noProof/>
        </w:rPr>
        <w:t>6.5</w:t>
      </w:r>
      <w:r>
        <w:rPr>
          <w:rFonts w:eastAsiaTheme="minorEastAsia" w:cstheme="minorBidi"/>
          <w:noProof/>
          <w:sz w:val="22"/>
          <w:szCs w:val="22"/>
        </w:rPr>
        <w:tab/>
      </w:r>
      <w:r>
        <w:rPr>
          <w:noProof/>
        </w:rPr>
        <w:t>Estimated space impacts of complying with proposed changes to NCC</w:t>
      </w:r>
      <w:r>
        <w:rPr>
          <w:noProof/>
        </w:rPr>
        <w:tab/>
      </w:r>
      <w:r>
        <w:rPr>
          <w:noProof/>
        </w:rPr>
        <w:fldChar w:fldCharType="begin"/>
      </w:r>
      <w:r>
        <w:rPr>
          <w:noProof/>
        </w:rPr>
        <w:instrText xml:space="preserve"> PAGEREF _Toc70505570 \h </w:instrText>
      </w:r>
      <w:r>
        <w:rPr>
          <w:noProof/>
        </w:rPr>
      </w:r>
      <w:r>
        <w:rPr>
          <w:noProof/>
        </w:rPr>
        <w:fldChar w:fldCharType="separate"/>
      </w:r>
      <w:r w:rsidR="000F445C">
        <w:rPr>
          <w:noProof/>
        </w:rPr>
        <w:t>155</w:t>
      </w:r>
      <w:r>
        <w:rPr>
          <w:noProof/>
        </w:rPr>
        <w:fldChar w:fldCharType="end"/>
      </w:r>
    </w:p>
    <w:p w14:paraId="34E24F1D" w14:textId="7413F17C" w:rsidR="00390CDB" w:rsidRDefault="00390CDB">
      <w:pPr>
        <w:pStyle w:val="TableofFigures"/>
        <w:rPr>
          <w:rFonts w:eastAsiaTheme="minorEastAsia" w:cstheme="minorBidi"/>
          <w:noProof/>
          <w:sz w:val="22"/>
          <w:szCs w:val="22"/>
        </w:rPr>
      </w:pPr>
      <w:r>
        <w:rPr>
          <w:noProof/>
        </w:rPr>
        <w:t>6.6</w:t>
      </w:r>
      <w:r>
        <w:rPr>
          <w:rFonts w:eastAsiaTheme="minorEastAsia" w:cstheme="minorBidi"/>
          <w:noProof/>
          <w:sz w:val="22"/>
          <w:szCs w:val="22"/>
        </w:rPr>
        <w:tab/>
      </w:r>
      <w:r>
        <w:rPr>
          <w:noProof/>
        </w:rPr>
        <w:t>Estimated marginal cost of land</w:t>
      </w:r>
      <w:r>
        <w:rPr>
          <w:noProof/>
        </w:rPr>
        <w:tab/>
      </w:r>
      <w:r>
        <w:rPr>
          <w:noProof/>
        </w:rPr>
        <w:fldChar w:fldCharType="begin"/>
      </w:r>
      <w:r>
        <w:rPr>
          <w:noProof/>
        </w:rPr>
        <w:instrText xml:space="preserve"> PAGEREF _Toc70505571 \h </w:instrText>
      </w:r>
      <w:r>
        <w:rPr>
          <w:noProof/>
        </w:rPr>
      </w:r>
      <w:r>
        <w:rPr>
          <w:noProof/>
        </w:rPr>
        <w:fldChar w:fldCharType="separate"/>
      </w:r>
      <w:r w:rsidR="000F445C">
        <w:rPr>
          <w:noProof/>
        </w:rPr>
        <w:t>156</w:t>
      </w:r>
      <w:r>
        <w:rPr>
          <w:noProof/>
        </w:rPr>
        <w:fldChar w:fldCharType="end"/>
      </w:r>
    </w:p>
    <w:p w14:paraId="6901D902" w14:textId="4F31DACB" w:rsidR="00390CDB" w:rsidRDefault="00390CDB">
      <w:pPr>
        <w:pStyle w:val="TableofFigures"/>
        <w:rPr>
          <w:rFonts w:eastAsiaTheme="minorEastAsia" w:cstheme="minorBidi"/>
          <w:noProof/>
          <w:sz w:val="22"/>
          <w:szCs w:val="22"/>
        </w:rPr>
      </w:pPr>
      <w:r>
        <w:rPr>
          <w:noProof/>
        </w:rPr>
        <w:t>6.7</w:t>
      </w:r>
      <w:r>
        <w:rPr>
          <w:rFonts w:eastAsiaTheme="minorEastAsia" w:cstheme="minorBidi"/>
          <w:noProof/>
          <w:sz w:val="22"/>
          <w:szCs w:val="22"/>
        </w:rPr>
        <w:tab/>
      </w:r>
      <w:r>
        <w:rPr>
          <w:noProof/>
        </w:rPr>
        <w:t xml:space="preserve">Average price per square metre </w:t>
      </w:r>
      <w:r>
        <w:rPr>
          <w:noProof/>
        </w:rPr>
        <w:noBreakHyphen/>
        <w:t xml:space="preserve"> apartments</w:t>
      </w:r>
      <w:r>
        <w:rPr>
          <w:noProof/>
        </w:rPr>
        <w:tab/>
      </w:r>
      <w:r>
        <w:rPr>
          <w:noProof/>
        </w:rPr>
        <w:fldChar w:fldCharType="begin"/>
      </w:r>
      <w:r>
        <w:rPr>
          <w:noProof/>
        </w:rPr>
        <w:instrText xml:space="preserve"> PAGEREF _Toc70505572 \h </w:instrText>
      </w:r>
      <w:r>
        <w:rPr>
          <w:noProof/>
        </w:rPr>
      </w:r>
      <w:r>
        <w:rPr>
          <w:noProof/>
        </w:rPr>
        <w:fldChar w:fldCharType="separate"/>
      </w:r>
      <w:r w:rsidR="000F445C">
        <w:rPr>
          <w:noProof/>
        </w:rPr>
        <w:t>157</w:t>
      </w:r>
      <w:r>
        <w:rPr>
          <w:noProof/>
        </w:rPr>
        <w:fldChar w:fldCharType="end"/>
      </w:r>
    </w:p>
    <w:p w14:paraId="06EF1AE4" w14:textId="07D0AB6F" w:rsidR="00390CDB" w:rsidRDefault="00390CDB">
      <w:pPr>
        <w:pStyle w:val="TableofFigures"/>
        <w:rPr>
          <w:rFonts w:eastAsiaTheme="minorEastAsia" w:cstheme="minorBidi"/>
          <w:noProof/>
          <w:sz w:val="22"/>
          <w:szCs w:val="22"/>
        </w:rPr>
      </w:pPr>
      <w:r>
        <w:rPr>
          <w:noProof/>
        </w:rPr>
        <w:t>6.8</w:t>
      </w:r>
      <w:r>
        <w:rPr>
          <w:rFonts w:eastAsiaTheme="minorEastAsia" w:cstheme="minorBidi"/>
          <w:noProof/>
          <w:sz w:val="22"/>
          <w:szCs w:val="22"/>
        </w:rPr>
        <w:tab/>
      </w:r>
      <w:r>
        <w:rPr>
          <w:noProof/>
        </w:rPr>
        <w:t>Net opportunity cost of space impacts</w:t>
      </w:r>
      <w:r>
        <w:rPr>
          <w:noProof/>
        </w:rPr>
        <w:tab/>
      </w:r>
      <w:r>
        <w:rPr>
          <w:noProof/>
        </w:rPr>
        <w:fldChar w:fldCharType="begin"/>
      </w:r>
      <w:r>
        <w:rPr>
          <w:noProof/>
        </w:rPr>
        <w:instrText xml:space="preserve"> PAGEREF _Toc70505573 \h </w:instrText>
      </w:r>
      <w:r>
        <w:rPr>
          <w:noProof/>
        </w:rPr>
      </w:r>
      <w:r>
        <w:rPr>
          <w:noProof/>
        </w:rPr>
        <w:fldChar w:fldCharType="separate"/>
      </w:r>
      <w:r w:rsidR="000F445C">
        <w:rPr>
          <w:noProof/>
        </w:rPr>
        <w:t>160</w:t>
      </w:r>
      <w:r>
        <w:rPr>
          <w:noProof/>
        </w:rPr>
        <w:fldChar w:fldCharType="end"/>
      </w:r>
    </w:p>
    <w:p w14:paraId="1DE7454B" w14:textId="18976AD7" w:rsidR="00390CDB" w:rsidRDefault="00390CDB">
      <w:pPr>
        <w:pStyle w:val="TableofFigures"/>
        <w:rPr>
          <w:rFonts w:eastAsiaTheme="minorEastAsia" w:cstheme="minorBidi"/>
          <w:noProof/>
          <w:sz w:val="22"/>
          <w:szCs w:val="22"/>
        </w:rPr>
      </w:pPr>
      <w:r>
        <w:rPr>
          <w:noProof/>
        </w:rPr>
        <w:t>6.9</w:t>
      </w:r>
      <w:r>
        <w:rPr>
          <w:rFonts w:eastAsiaTheme="minorEastAsia" w:cstheme="minorBidi"/>
          <w:noProof/>
          <w:sz w:val="22"/>
          <w:szCs w:val="22"/>
        </w:rPr>
        <w:tab/>
      </w:r>
      <w:r>
        <w:rPr>
          <w:noProof/>
        </w:rPr>
        <w:t>Additional compliance verification cost</w:t>
      </w:r>
      <w:r>
        <w:rPr>
          <w:noProof/>
        </w:rPr>
        <w:tab/>
      </w:r>
      <w:r>
        <w:rPr>
          <w:noProof/>
        </w:rPr>
        <w:fldChar w:fldCharType="begin"/>
      </w:r>
      <w:r>
        <w:rPr>
          <w:noProof/>
        </w:rPr>
        <w:instrText xml:space="preserve"> PAGEREF _Toc70505574 \h </w:instrText>
      </w:r>
      <w:r>
        <w:rPr>
          <w:noProof/>
        </w:rPr>
      </w:r>
      <w:r>
        <w:rPr>
          <w:noProof/>
        </w:rPr>
        <w:fldChar w:fldCharType="separate"/>
      </w:r>
      <w:r w:rsidR="000F445C">
        <w:rPr>
          <w:noProof/>
        </w:rPr>
        <w:t>161</w:t>
      </w:r>
      <w:r>
        <w:rPr>
          <w:noProof/>
        </w:rPr>
        <w:fldChar w:fldCharType="end"/>
      </w:r>
    </w:p>
    <w:p w14:paraId="4C5A0505" w14:textId="574C12D4" w:rsidR="00390CDB" w:rsidRDefault="00390CDB">
      <w:pPr>
        <w:pStyle w:val="TableofFigures"/>
        <w:rPr>
          <w:rFonts w:eastAsiaTheme="minorEastAsia" w:cstheme="minorBidi"/>
          <w:noProof/>
          <w:sz w:val="22"/>
          <w:szCs w:val="22"/>
        </w:rPr>
      </w:pPr>
      <w:r>
        <w:rPr>
          <w:noProof/>
        </w:rPr>
        <w:t>6.10</w:t>
      </w:r>
      <w:r>
        <w:rPr>
          <w:rFonts w:eastAsiaTheme="minorEastAsia" w:cstheme="minorBidi"/>
          <w:noProof/>
          <w:sz w:val="22"/>
          <w:szCs w:val="22"/>
        </w:rPr>
        <w:tab/>
      </w:r>
      <w:r>
        <w:rPr>
          <w:noProof/>
        </w:rPr>
        <w:t>Transitional costs to government</w:t>
      </w:r>
      <w:r>
        <w:rPr>
          <w:noProof/>
        </w:rPr>
        <w:tab/>
      </w:r>
      <w:r>
        <w:rPr>
          <w:noProof/>
        </w:rPr>
        <w:fldChar w:fldCharType="begin"/>
      </w:r>
      <w:r>
        <w:rPr>
          <w:noProof/>
        </w:rPr>
        <w:instrText xml:space="preserve"> PAGEREF _Toc70505575 \h </w:instrText>
      </w:r>
      <w:r>
        <w:rPr>
          <w:noProof/>
        </w:rPr>
      </w:r>
      <w:r>
        <w:rPr>
          <w:noProof/>
        </w:rPr>
        <w:fldChar w:fldCharType="separate"/>
      </w:r>
      <w:r w:rsidR="000F445C">
        <w:rPr>
          <w:noProof/>
        </w:rPr>
        <w:t>163</w:t>
      </w:r>
      <w:r>
        <w:rPr>
          <w:noProof/>
        </w:rPr>
        <w:fldChar w:fldCharType="end"/>
      </w:r>
    </w:p>
    <w:p w14:paraId="347F6231" w14:textId="3E874C74" w:rsidR="00390CDB" w:rsidRDefault="00390CDB">
      <w:pPr>
        <w:pStyle w:val="TableofFigures"/>
        <w:rPr>
          <w:rFonts w:eastAsiaTheme="minorEastAsia" w:cstheme="minorBidi"/>
          <w:noProof/>
          <w:sz w:val="22"/>
          <w:szCs w:val="22"/>
        </w:rPr>
      </w:pPr>
      <w:r>
        <w:rPr>
          <w:noProof/>
        </w:rPr>
        <w:t>6.11</w:t>
      </w:r>
      <w:r>
        <w:rPr>
          <w:rFonts w:eastAsiaTheme="minorEastAsia" w:cstheme="minorBidi"/>
          <w:noProof/>
          <w:sz w:val="22"/>
          <w:szCs w:val="22"/>
        </w:rPr>
        <w:tab/>
      </w:r>
      <w:r>
        <w:rPr>
          <w:noProof/>
        </w:rPr>
        <w:t>Estimated number of individuals to be retrained and retraining costs</w:t>
      </w:r>
      <w:r>
        <w:rPr>
          <w:noProof/>
        </w:rPr>
        <w:tab/>
      </w:r>
      <w:r>
        <w:rPr>
          <w:noProof/>
        </w:rPr>
        <w:fldChar w:fldCharType="begin"/>
      </w:r>
      <w:r>
        <w:rPr>
          <w:noProof/>
        </w:rPr>
        <w:instrText xml:space="preserve"> PAGEREF _Toc70505576 \h </w:instrText>
      </w:r>
      <w:r>
        <w:rPr>
          <w:noProof/>
        </w:rPr>
      </w:r>
      <w:r>
        <w:rPr>
          <w:noProof/>
        </w:rPr>
        <w:fldChar w:fldCharType="separate"/>
      </w:r>
      <w:r w:rsidR="000F445C">
        <w:rPr>
          <w:noProof/>
        </w:rPr>
        <w:t>163</w:t>
      </w:r>
      <w:r>
        <w:rPr>
          <w:noProof/>
        </w:rPr>
        <w:fldChar w:fldCharType="end"/>
      </w:r>
    </w:p>
    <w:p w14:paraId="15E6AF52" w14:textId="1DF3B023" w:rsidR="00390CDB" w:rsidRDefault="00390CDB">
      <w:pPr>
        <w:pStyle w:val="TableofFigures"/>
        <w:rPr>
          <w:rFonts w:eastAsiaTheme="minorEastAsia" w:cstheme="minorBidi"/>
          <w:noProof/>
          <w:sz w:val="22"/>
          <w:szCs w:val="22"/>
        </w:rPr>
      </w:pPr>
      <w:r>
        <w:rPr>
          <w:noProof/>
        </w:rPr>
        <w:t>6.12</w:t>
      </w:r>
      <w:r>
        <w:rPr>
          <w:rFonts w:eastAsiaTheme="minorEastAsia" w:cstheme="minorBidi"/>
          <w:noProof/>
          <w:sz w:val="22"/>
          <w:szCs w:val="22"/>
        </w:rPr>
        <w:tab/>
      </w:r>
      <w:r>
        <w:rPr>
          <w:noProof/>
        </w:rPr>
        <w:t>Construction managers</w:t>
      </w:r>
      <w:r>
        <w:rPr>
          <w:noProof/>
        </w:rPr>
        <w:tab/>
      </w:r>
      <w:r>
        <w:rPr>
          <w:noProof/>
        </w:rPr>
        <w:fldChar w:fldCharType="begin"/>
      </w:r>
      <w:r>
        <w:rPr>
          <w:noProof/>
        </w:rPr>
        <w:instrText xml:space="preserve"> PAGEREF _Toc70505577 \h </w:instrText>
      </w:r>
      <w:r>
        <w:rPr>
          <w:noProof/>
        </w:rPr>
      </w:r>
      <w:r>
        <w:rPr>
          <w:noProof/>
        </w:rPr>
        <w:fldChar w:fldCharType="separate"/>
      </w:r>
      <w:r w:rsidR="000F445C">
        <w:rPr>
          <w:noProof/>
        </w:rPr>
        <w:t>164</w:t>
      </w:r>
      <w:r>
        <w:rPr>
          <w:noProof/>
        </w:rPr>
        <w:fldChar w:fldCharType="end"/>
      </w:r>
    </w:p>
    <w:p w14:paraId="4DE09522" w14:textId="5C4DCF7B" w:rsidR="00390CDB" w:rsidRDefault="00390CDB">
      <w:pPr>
        <w:pStyle w:val="TableofFigures"/>
        <w:rPr>
          <w:rFonts w:eastAsiaTheme="minorEastAsia" w:cstheme="minorBidi"/>
          <w:noProof/>
          <w:sz w:val="22"/>
          <w:szCs w:val="22"/>
        </w:rPr>
      </w:pPr>
      <w:r>
        <w:rPr>
          <w:noProof/>
        </w:rPr>
        <w:t>6.13</w:t>
      </w:r>
      <w:r>
        <w:rPr>
          <w:rFonts w:eastAsiaTheme="minorEastAsia" w:cstheme="minorBidi"/>
          <w:noProof/>
          <w:sz w:val="22"/>
          <w:szCs w:val="22"/>
        </w:rPr>
        <w:tab/>
      </w:r>
      <w:r>
        <w:rPr>
          <w:noProof/>
        </w:rPr>
        <w:t>Assumptions for hourly earnings in relevant occupations</w:t>
      </w:r>
      <w:r>
        <w:rPr>
          <w:noProof/>
        </w:rPr>
        <w:tab/>
      </w:r>
      <w:r>
        <w:rPr>
          <w:noProof/>
        </w:rPr>
        <w:fldChar w:fldCharType="begin"/>
      </w:r>
      <w:r>
        <w:rPr>
          <w:noProof/>
        </w:rPr>
        <w:instrText xml:space="preserve"> PAGEREF _Toc70505578 \h </w:instrText>
      </w:r>
      <w:r>
        <w:rPr>
          <w:noProof/>
        </w:rPr>
      </w:r>
      <w:r>
        <w:rPr>
          <w:noProof/>
        </w:rPr>
        <w:fldChar w:fldCharType="separate"/>
      </w:r>
      <w:r w:rsidR="000F445C">
        <w:rPr>
          <w:noProof/>
        </w:rPr>
        <w:t>165</w:t>
      </w:r>
      <w:r>
        <w:rPr>
          <w:noProof/>
        </w:rPr>
        <w:fldChar w:fldCharType="end"/>
      </w:r>
    </w:p>
    <w:p w14:paraId="3BC629F8" w14:textId="7AB8E011" w:rsidR="00390CDB" w:rsidRDefault="00390CDB">
      <w:pPr>
        <w:pStyle w:val="TableofFigures"/>
        <w:rPr>
          <w:rFonts w:eastAsiaTheme="minorEastAsia" w:cstheme="minorBidi"/>
          <w:noProof/>
          <w:sz w:val="22"/>
          <w:szCs w:val="22"/>
        </w:rPr>
      </w:pPr>
      <w:r>
        <w:rPr>
          <w:noProof/>
        </w:rPr>
        <w:t>6.14</w:t>
      </w:r>
      <w:r>
        <w:rPr>
          <w:rFonts w:eastAsiaTheme="minorEastAsia" w:cstheme="minorBidi"/>
          <w:noProof/>
          <w:sz w:val="22"/>
          <w:szCs w:val="22"/>
        </w:rPr>
        <w:tab/>
      </w:r>
      <w:r>
        <w:rPr>
          <w:noProof/>
        </w:rPr>
        <w:t>Estimated subsidy</w:t>
      </w:r>
      <w:r>
        <w:rPr>
          <w:noProof/>
        </w:rPr>
        <w:tab/>
      </w:r>
      <w:r>
        <w:rPr>
          <w:noProof/>
        </w:rPr>
        <w:fldChar w:fldCharType="begin"/>
      </w:r>
      <w:r>
        <w:rPr>
          <w:noProof/>
        </w:rPr>
        <w:instrText xml:space="preserve"> PAGEREF _Toc70505579 \h </w:instrText>
      </w:r>
      <w:r>
        <w:rPr>
          <w:noProof/>
        </w:rPr>
      </w:r>
      <w:r>
        <w:rPr>
          <w:noProof/>
        </w:rPr>
        <w:fldChar w:fldCharType="separate"/>
      </w:r>
      <w:r w:rsidR="000F445C">
        <w:rPr>
          <w:noProof/>
        </w:rPr>
        <w:t>166</w:t>
      </w:r>
      <w:r>
        <w:rPr>
          <w:noProof/>
        </w:rPr>
        <w:fldChar w:fldCharType="end"/>
      </w:r>
    </w:p>
    <w:p w14:paraId="3C44E928" w14:textId="358468D5" w:rsidR="00390CDB" w:rsidRDefault="00390CDB">
      <w:pPr>
        <w:pStyle w:val="TableofFigures"/>
        <w:rPr>
          <w:rFonts w:eastAsiaTheme="minorEastAsia" w:cstheme="minorBidi"/>
          <w:noProof/>
          <w:sz w:val="22"/>
          <w:szCs w:val="22"/>
        </w:rPr>
      </w:pPr>
      <w:r>
        <w:rPr>
          <w:noProof/>
        </w:rPr>
        <w:t>6.15</w:t>
      </w:r>
      <w:r>
        <w:rPr>
          <w:rFonts w:eastAsiaTheme="minorEastAsia" w:cstheme="minorBidi"/>
          <w:noProof/>
          <w:sz w:val="22"/>
          <w:szCs w:val="22"/>
        </w:rPr>
        <w:tab/>
      </w:r>
      <w:r>
        <w:rPr>
          <w:noProof/>
        </w:rPr>
        <w:t>Additional construction cost as percentage of average housing price</w:t>
      </w:r>
      <w:r>
        <w:rPr>
          <w:noProof/>
        </w:rPr>
        <w:tab/>
      </w:r>
      <w:r>
        <w:rPr>
          <w:noProof/>
        </w:rPr>
        <w:fldChar w:fldCharType="begin"/>
      </w:r>
      <w:r>
        <w:rPr>
          <w:noProof/>
        </w:rPr>
        <w:instrText xml:space="preserve"> PAGEREF _Toc70505580 \h </w:instrText>
      </w:r>
      <w:r>
        <w:rPr>
          <w:noProof/>
        </w:rPr>
      </w:r>
      <w:r>
        <w:rPr>
          <w:noProof/>
        </w:rPr>
        <w:fldChar w:fldCharType="separate"/>
      </w:r>
      <w:r w:rsidR="000F445C">
        <w:rPr>
          <w:noProof/>
        </w:rPr>
        <w:t>166</w:t>
      </w:r>
      <w:r>
        <w:rPr>
          <w:noProof/>
        </w:rPr>
        <w:fldChar w:fldCharType="end"/>
      </w:r>
    </w:p>
    <w:p w14:paraId="3AB18A1C" w14:textId="7D4BCF66" w:rsidR="00390CDB" w:rsidRDefault="00390CDB">
      <w:pPr>
        <w:pStyle w:val="TableofFigures"/>
        <w:rPr>
          <w:rFonts w:eastAsiaTheme="minorEastAsia" w:cstheme="minorBidi"/>
          <w:noProof/>
          <w:sz w:val="22"/>
          <w:szCs w:val="22"/>
        </w:rPr>
      </w:pPr>
      <w:r>
        <w:rPr>
          <w:noProof/>
        </w:rPr>
        <w:t>6.16</w:t>
      </w:r>
      <w:r>
        <w:rPr>
          <w:rFonts w:eastAsiaTheme="minorEastAsia" w:cstheme="minorBidi"/>
          <w:noProof/>
          <w:sz w:val="22"/>
          <w:szCs w:val="22"/>
        </w:rPr>
        <w:tab/>
      </w:r>
      <w:r>
        <w:rPr>
          <w:noProof/>
        </w:rPr>
        <w:t>Illustration: price impact of increased supply cost</w:t>
      </w:r>
      <w:r>
        <w:rPr>
          <w:noProof/>
        </w:rPr>
        <w:tab/>
      </w:r>
      <w:r>
        <w:rPr>
          <w:noProof/>
        </w:rPr>
        <w:fldChar w:fldCharType="begin"/>
      </w:r>
      <w:r>
        <w:rPr>
          <w:noProof/>
        </w:rPr>
        <w:instrText xml:space="preserve"> PAGEREF _Toc70505581 \h </w:instrText>
      </w:r>
      <w:r>
        <w:rPr>
          <w:noProof/>
        </w:rPr>
      </w:r>
      <w:r>
        <w:rPr>
          <w:noProof/>
        </w:rPr>
        <w:fldChar w:fldCharType="separate"/>
      </w:r>
      <w:r w:rsidR="000F445C">
        <w:rPr>
          <w:noProof/>
        </w:rPr>
        <w:t>167</w:t>
      </w:r>
      <w:r>
        <w:rPr>
          <w:noProof/>
        </w:rPr>
        <w:fldChar w:fldCharType="end"/>
      </w:r>
    </w:p>
    <w:p w14:paraId="480C2133" w14:textId="7254CD3C" w:rsidR="00390CDB" w:rsidRDefault="00390CDB">
      <w:pPr>
        <w:pStyle w:val="TableofFigures"/>
        <w:rPr>
          <w:rFonts w:eastAsiaTheme="minorEastAsia" w:cstheme="minorBidi"/>
          <w:noProof/>
          <w:sz w:val="22"/>
          <w:szCs w:val="22"/>
        </w:rPr>
      </w:pPr>
      <w:r>
        <w:rPr>
          <w:noProof/>
        </w:rPr>
        <w:t>7.1</w:t>
      </w:r>
      <w:r>
        <w:rPr>
          <w:rFonts w:eastAsiaTheme="minorEastAsia" w:cstheme="minorBidi"/>
          <w:noProof/>
          <w:sz w:val="22"/>
          <w:szCs w:val="22"/>
        </w:rPr>
        <w:tab/>
      </w:r>
      <w:r>
        <w:rPr>
          <w:noProof/>
        </w:rPr>
        <w:t>Prevalence of modifications, by selected mobility aids</w:t>
      </w:r>
      <w:r>
        <w:rPr>
          <w:noProof/>
        </w:rPr>
        <w:tab/>
      </w:r>
      <w:r>
        <w:rPr>
          <w:noProof/>
        </w:rPr>
        <w:fldChar w:fldCharType="begin"/>
      </w:r>
      <w:r>
        <w:rPr>
          <w:noProof/>
        </w:rPr>
        <w:instrText xml:space="preserve"> PAGEREF _Toc70505582 \h </w:instrText>
      </w:r>
      <w:r>
        <w:rPr>
          <w:noProof/>
        </w:rPr>
      </w:r>
      <w:r>
        <w:rPr>
          <w:noProof/>
        </w:rPr>
        <w:fldChar w:fldCharType="separate"/>
      </w:r>
      <w:r w:rsidR="000F445C">
        <w:rPr>
          <w:noProof/>
        </w:rPr>
        <w:t>172</w:t>
      </w:r>
      <w:r>
        <w:rPr>
          <w:noProof/>
        </w:rPr>
        <w:fldChar w:fldCharType="end"/>
      </w:r>
    </w:p>
    <w:p w14:paraId="146270E1" w14:textId="047BDD10" w:rsidR="00390CDB" w:rsidRDefault="00390CDB">
      <w:pPr>
        <w:pStyle w:val="TableofFigures"/>
        <w:rPr>
          <w:rFonts w:eastAsiaTheme="minorEastAsia" w:cstheme="minorBidi"/>
          <w:noProof/>
          <w:sz w:val="22"/>
          <w:szCs w:val="22"/>
        </w:rPr>
      </w:pPr>
      <w:r>
        <w:rPr>
          <w:noProof/>
        </w:rPr>
        <w:t>7.2</w:t>
      </w:r>
      <w:r>
        <w:rPr>
          <w:rFonts w:eastAsiaTheme="minorEastAsia" w:cstheme="minorBidi"/>
          <w:noProof/>
          <w:sz w:val="22"/>
          <w:szCs w:val="22"/>
        </w:rPr>
        <w:tab/>
      </w:r>
      <w:r>
        <w:rPr>
          <w:noProof/>
        </w:rPr>
        <w:t>Key points</w:t>
      </w:r>
      <w:r>
        <w:rPr>
          <w:noProof/>
        </w:rPr>
        <w:tab/>
      </w:r>
      <w:r>
        <w:rPr>
          <w:noProof/>
        </w:rPr>
        <w:fldChar w:fldCharType="begin"/>
      </w:r>
      <w:r>
        <w:rPr>
          <w:noProof/>
        </w:rPr>
        <w:instrText xml:space="preserve"> PAGEREF _Toc70505583 \h </w:instrText>
      </w:r>
      <w:r>
        <w:rPr>
          <w:noProof/>
        </w:rPr>
      </w:r>
      <w:r>
        <w:rPr>
          <w:noProof/>
        </w:rPr>
        <w:fldChar w:fldCharType="separate"/>
      </w:r>
      <w:r w:rsidR="000F445C">
        <w:rPr>
          <w:noProof/>
        </w:rPr>
        <w:t>176</w:t>
      </w:r>
      <w:r>
        <w:rPr>
          <w:noProof/>
        </w:rPr>
        <w:fldChar w:fldCharType="end"/>
      </w:r>
    </w:p>
    <w:p w14:paraId="1F9128EE" w14:textId="0A1D86C1" w:rsidR="00390CDB" w:rsidRDefault="00390CDB">
      <w:pPr>
        <w:pStyle w:val="TableofFigures"/>
        <w:rPr>
          <w:rFonts w:eastAsiaTheme="minorEastAsia" w:cstheme="minorBidi"/>
          <w:noProof/>
          <w:sz w:val="22"/>
          <w:szCs w:val="22"/>
        </w:rPr>
      </w:pPr>
      <w:r>
        <w:rPr>
          <w:noProof/>
        </w:rPr>
        <w:t>7.3</w:t>
      </w:r>
      <w:r>
        <w:rPr>
          <w:rFonts w:eastAsiaTheme="minorEastAsia" w:cstheme="minorBidi"/>
          <w:noProof/>
          <w:sz w:val="22"/>
          <w:szCs w:val="22"/>
        </w:rPr>
        <w:tab/>
      </w:r>
      <w:r>
        <w:rPr>
          <w:noProof/>
        </w:rPr>
        <w:t>Adjusted size of the problem</w:t>
      </w:r>
      <w:r>
        <w:rPr>
          <w:noProof/>
        </w:rPr>
        <w:tab/>
      </w:r>
      <w:r>
        <w:rPr>
          <w:noProof/>
        </w:rPr>
        <w:fldChar w:fldCharType="begin"/>
      </w:r>
      <w:r>
        <w:rPr>
          <w:noProof/>
        </w:rPr>
        <w:instrText xml:space="preserve"> PAGEREF _Toc70505584 \h </w:instrText>
      </w:r>
      <w:r>
        <w:rPr>
          <w:noProof/>
        </w:rPr>
      </w:r>
      <w:r>
        <w:rPr>
          <w:noProof/>
        </w:rPr>
        <w:fldChar w:fldCharType="separate"/>
      </w:r>
      <w:r w:rsidR="000F445C">
        <w:rPr>
          <w:noProof/>
        </w:rPr>
        <w:t>179</w:t>
      </w:r>
      <w:r>
        <w:rPr>
          <w:noProof/>
        </w:rPr>
        <w:fldChar w:fldCharType="end"/>
      </w:r>
    </w:p>
    <w:p w14:paraId="1EDBE6FD" w14:textId="5D5A52A4" w:rsidR="00390CDB" w:rsidRDefault="00390CDB">
      <w:pPr>
        <w:pStyle w:val="TableofFigures"/>
        <w:rPr>
          <w:rFonts w:eastAsiaTheme="minorEastAsia" w:cstheme="minorBidi"/>
          <w:noProof/>
          <w:sz w:val="22"/>
          <w:szCs w:val="22"/>
        </w:rPr>
      </w:pPr>
      <w:r>
        <w:rPr>
          <w:noProof/>
        </w:rPr>
        <w:t>7.4</w:t>
      </w:r>
      <w:r>
        <w:rPr>
          <w:rFonts w:eastAsiaTheme="minorEastAsia" w:cstheme="minorBidi"/>
          <w:noProof/>
          <w:sz w:val="22"/>
          <w:szCs w:val="22"/>
        </w:rPr>
        <w:tab/>
      </w:r>
      <w:r>
        <w:rPr>
          <w:noProof/>
        </w:rPr>
        <w:t>Share of new apartments in buildings 3-storeys or less</w:t>
      </w:r>
      <w:r>
        <w:rPr>
          <w:noProof/>
        </w:rPr>
        <w:tab/>
      </w:r>
      <w:r>
        <w:rPr>
          <w:noProof/>
        </w:rPr>
        <w:fldChar w:fldCharType="begin"/>
      </w:r>
      <w:r>
        <w:rPr>
          <w:noProof/>
        </w:rPr>
        <w:instrText xml:space="preserve"> PAGEREF _Toc70505585 \h </w:instrText>
      </w:r>
      <w:r>
        <w:rPr>
          <w:noProof/>
        </w:rPr>
      </w:r>
      <w:r>
        <w:rPr>
          <w:noProof/>
        </w:rPr>
        <w:fldChar w:fldCharType="separate"/>
      </w:r>
      <w:r w:rsidR="000F445C">
        <w:rPr>
          <w:noProof/>
        </w:rPr>
        <w:t>180</w:t>
      </w:r>
      <w:r>
        <w:rPr>
          <w:noProof/>
        </w:rPr>
        <w:fldChar w:fldCharType="end"/>
      </w:r>
    </w:p>
    <w:p w14:paraId="7539380C" w14:textId="2DBF7C66" w:rsidR="00390CDB" w:rsidRDefault="00390CDB">
      <w:pPr>
        <w:pStyle w:val="TableofFigures"/>
        <w:rPr>
          <w:rFonts w:eastAsiaTheme="minorEastAsia" w:cstheme="minorBidi"/>
          <w:noProof/>
          <w:sz w:val="22"/>
          <w:szCs w:val="22"/>
        </w:rPr>
      </w:pPr>
      <w:r>
        <w:rPr>
          <w:noProof/>
        </w:rPr>
        <w:t>7.5</w:t>
      </w:r>
      <w:r>
        <w:rPr>
          <w:rFonts w:eastAsiaTheme="minorEastAsia" w:cstheme="minorBidi"/>
          <w:noProof/>
          <w:sz w:val="22"/>
          <w:szCs w:val="22"/>
        </w:rPr>
        <w:tab/>
      </w:r>
      <w:r>
        <w:rPr>
          <w:noProof/>
        </w:rPr>
        <w:t>Accessible dwellings as a share of the dwelling stock</w:t>
      </w:r>
      <w:r>
        <w:rPr>
          <w:noProof/>
        </w:rPr>
        <w:tab/>
      </w:r>
      <w:r>
        <w:rPr>
          <w:noProof/>
        </w:rPr>
        <w:fldChar w:fldCharType="begin"/>
      </w:r>
      <w:r>
        <w:rPr>
          <w:noProof/>
        </w:rPr>
        <w:instrText xml:space="preserve"> PAGEREF _Toc70505586 \h </w:instrText>
      </w:r>
      <w:r>
        <w:rPr>
          <w:noProof/>
        </w:rPr>
      </w:r>
      <w:r>
        <w:rPr>
          <w:noProof/>
        </w:rPr>
        <w:fldChar w:fldCharType="separate"/>
      </w:r>
      <w:r w:rsidR="000F445C">
        <w:rPr>
          <w:noProof/>
        </w:rPr>
        <w:t>181</w:t>
      </w:r>
      <w:r>
        <w:rPr>
          <w:noProof/>
        </w:rPr>
        <w:fldChar w:fldCharType="end"/>
      </w:r>
    </w:p>
    <w:p w14:paraId="2F2810C8" w14:textId="6D862DD0" w:rsidR="00390CDB" w:rsidRDefault="00390CDB">
      <w:pPr>
        <w:pStyle w:val="TableofFigures"/>
        <w:rPr>
          <w:rFonts w:eastAsiaTheme="minorEastAsia" w:cstheme="minorBidi"/>
          <w:noProof/>
          <w:sz w:val="22"/>
          <w:szCs w:val="22"/>
        </w:rPr>
      </w:pPr>
      <w:r>
        <w:rPr>
          <w:noProof/>
        </w:rPr>
        <w:t>7.6</w:t>
      </w:r>
      <w:r>
        <w:rPr>
          <w:rFonts w:eastAsiaTheme="minorEastAsia" w:cstheme="minorBidi"/>
          <w:noProof/>
          <w:sz w:val="22"/>
          <w:szCs w:val="22"/>
        </w:rPr>
        <w:tab/>
      </w:r>
      <w:r>
        <w:rPr>
          <w:noProof/>
        </w:rPr>
        <w:t>New accessible dwellings by tenure</w:t>
      </w:r>
      <w:r>
        <w:rPr>
          <w:noProof/>
        </w:rPr>
        <w:tab/>
      </w:r>
      <w:r>
        <w:rPr>
          <w:noProof/>
        </w:rPr>
        <w:fldChar w:fldCharType="begin"/>
      </w:r>
      <w:r>
        <w:rPr>
          <w:noProof/>
        </w:rPr>
        <w:instrText xml:space="preserve"> PAGEREF _Toc70505587 \h </w:instrText>
      </w:r>
      <w:r>
        <w:rPr>
          <w:noProof/>
        </w:rPr>
      </w:r>
      <w:r>
        <w:rPr>
          <w:noProof/>
        </w:rPr>
        <w:fldChar w:fldCharType="separate"/>
      </w:r>
      <w:r w:rsidR="000F445C">
        <w:rPr>
          <w:noProof/>
        </w:rPr>
        <w:t>182</w:t>
      </w:r>
      <w:r>
        <w:rPr>
          <w:noProof/>
        </w:rPr>
        <w:fldChar w:fldCharType="end"/>
      </w:r>
    </w:p>
    <w:p w14:paraId="2F189C34" w14:textId="25A94D4D" w:rsidR="00390CDB" w:rsidRDefault="00390CDB">
      <w:pPr>
        <w:pStyle w:val="TableofFigures"/>
        <w:rPr>
          <w:rFonts w:eastAsiaTheme="minorEastAsia" w:cstheme="minorBidi"/>
          <w:noProof/>
          <w:sz w:val="22"/>
          <w:szCs w:val="22"/>
        </w:rPr>
      </w:pPr>
      <w:r>
        <w:rPr>
          <w:noProof/>
        </w:rPr>
        <w:t>7.7</w:t>
      </w:r>
      <w:r>
        <w:rPr>
          <w:rFonts w:eastAsiaTheme="minorEastAsia" w:cstheme="minorBidi"/>
          <w:noProof/>
          <w:sz w:val="22"/>
          <w:szCs w:val="22"/>
        </w:rPr>
        <w:tab/>
      </w:r>
      <w:r>
        <w:rPr>
          <w:noProof/>
        </w:rPr>
        <w:t>Share of the problem addressed through a subsidy scheme</w:t>
      </w:r>
      <w:r>
        <w:rPr>
          <w:noProof/>
        </w:rPr>
        <w:tab/>
      </w:r>
      <w:r>
        <w:rPr>
          <w:noProof/>
        </w:rPr>
        <w:fldChar w:fldCharType="begin"/>
      </w:r>
      <w:r>
        <w:rPr>
          <w:noProof/>
        </w:rPr>
        <w:instrText xml:space="preserve"> PAGEREF _Toc70505588 \h </w:instrText>
      </w:r>
      <w:r>
        <w:rPr>
          <w:noProof/>
        </w:rPr>
      </w:r>
      <w:r>
        <w:rPr>
          <w:noProof/>
        </w:rPr>
        <w:fldChar w:fldCharType="separate"/>
      </w:r>
      <w:r w:rsidR="000F445C">
        <w:rPr>
          <w:noProof/>
        </w:rPr>
        <w:t>189</w:t>
      </w:r>
      <w:r>
        <w:rPr>
          <w:noProof/>
        </w:rPr>
        <w:fldChar w:fldCharType="end"/>
      </w:r>
    </w:p>
    <w:p w14:paraId="5E2D3EAC" w14:textId="12B19E0F" w:rsidR="00390CDB" w:rsidRDefault="00390CDB">
      <w:pPr>
        <w:pStyle w:val="TableofFigures"/>
        <w:rPr>
          <w:rFonts w:eastAsiaTheme="minorEastAsia" w:cstheme="minorBidi"/>
          <w:noProof/>
          <w:sz w:val="22"/>
          <w:szCs w:val="22"/>
        </w:rPr>
      </w:pPr>
      <w:r>
        <w:rPr>
          <w:noProof/>
        </w:rPr>
        <w:t>8.1</w:t>
      </w:r>
      <w:r>
        <w:rPr>
          <w:rFonts w:eastAsiaTheme="minorEastAsia" w:cstheme="minorBidi"/>
          <w:noProof/>
          <w:sz w:val="22"/>
          <w:szCs w:val="22"/>
        </w:rPr>
        <w:tab/>
      </w:r>
      <w:r>
        <w:rPr>
          <w:noProof/>
        </w:rPr>
        <w:t>Estimated net benefits/costs</w:t>
      </w:r>
      <w:r>
        <w:rPr>
          <w:noProof/>
        </w:rPr>
        <w:tab/>
      </w:r>
      <w:r>
        <w:rPr>
          <w:noProof/>
        </w:rPr>
        <w:fldChar w:fldCharType="begin"/>
      </w:r>
      <w:r>
        <w:rPr>
          <w:noProof/>
        </w:rPr>
        <w:instrText xml:space="preserve"> PAGEREF _Toc70505589 \h </w:instrText>
      </w:r>
      <w:r>
        <w:rPr>
          <w:noProof/>
        </w:rPr>
      </w:r>
      <w:r>
        <w:rPr>
          <w:noProof/>
        </w:rPr>
        <w:fldChar w:fldCharType="separate"/>
      </w:r>
      <w:r w:rsidR="000F445C">
        <w:rPr>
          <w:noProof/>
        </w:rPr>
        <w:t>192</w:t>
      </w:r>
      <w:r>
        <w:rPr>
          <w:noProof/>
        </w:rPr>
        <w:fldChar w:fldCharType="end"/>
      </w:r>
    </w:p>
    <w:p w14:paraId="08CA26C7" w14:textId="5A48FAE3" w:rsidR="00390CDB" w:rsidRDefault="00390CDB">
      <w:pPr>
        <w:pStyle w:val="TableofFigures"/>
        <w:rPr>
          <w:rFonts w:eastAsiaTheme="minorEastAsia" w:cstheme="minorBidi"/>
          <w:noProof/>
          <w:sz w:val="22"/>
          <w:szCs w:val="22"/>
        </w:rPr>
      </w:pPr>
      <w:r>
        <w:rPr>
          <w:noProof/>
        </w:rPr>
        <w:t>8.2</w:t>
      </w:r>
      <w:r>
        <w:rPr>
          <w:rFonts w:eastAsiaTheme="minorEastAsia" w:cstheme="minorBidi"/>
          <w:noProof/>
          <w:sz w:val="22"/>
          <w:szCs w:val="22"/>
        </w:rPr>
        <w:tab/>
      </w:r>
      <w:r>
        <w:rPr>
          <w:noProof/>
        </w:rPr>
        <w:t>Net benefits/costs including societal benefits</w:t>
      </w:r>
      <w:r>
        <w:rPr>
          <w:noProof/>
        </w:rPr>
        <w:tab/>
      </w:r>
      <w:r>
        <w:rPr>
          <w:noProof/>
        </w:rPr>
        <w:fldChar w:fldCharType="begin"/>
      </w:r>
      <w:r>
        <w:rPr>
          <w:noProof/>
        </w:rPr>
        <w:instrText xml:space="preserve"> PAGEREF _Toc70505590 \h </w:instrText>
      </w:r>
      <w:r>
        <w:rPr>
          <w:noProof/>
        </w:rPr>
      </w:r>
      <w:r>
        <w:rPr>
          <w:noProof/>
        </w:rPr>
        <w:fldChar w:fldCharType="separate"/>
      </w:r>
      <w:r w:rsidR="000F445C">
        <w:rPr>
          <w:noProof/>
        </w:rPr>
        <w:t>199</w:t>
      </w:r>
      <w:r>
        <w:rPr>
          <w:noProof/>
        </w:rPr>
        <w:fldChar w:fldCharType="end"/>
      </w:r>
    </w:p>
    <w:p w14:paraId="4E3E4F0C" w14:textId="3BB1DDD5" w:rsidR="00390CDB" w:rsidRDefault="00390CDB">
      <w:pPr>
        <w:pStyle w:val="TableofFigures"/>
        <w:rPr>
          <w:rFonts w:eastAsiaTheme="minorEastAsia" w:cstheme="minorBidi"/>
          <w:noProof/>
          <w:sz w:val="22"/>
          <w:szCs w:val="22"/>
        </w:rPr>
      </w:pPr>
      <w:r>
        <w:rPr>
          <w:noProof/>
        </w:rPr>
        <w:t>8.3</w:t>
      </w:r>
      <w:r>
        <w:rPr>
          <w:rFonts w:eastAsiaTheme="minorEastAsia" w:cstheme="minorBidi"/>
          <w:noProof/>
          <w:sz w:val="22"/>
          <w:szCs w:val="22"/>
        </w:rPr>
        <w:tab/>
      </w:r>
      <w:r>
        <w:rPr>
          <w:noProof/>
        </w:rPr>
        <w:t>Net benefits/costs including employment-related benefits</w:t>
      </w:r>
      <w:r>
        <w:rPr>
          <w:noProof/>
        </w:rPr>
        <w:tab/>
      </w:r>
      <w:r>
        <w:rPr>
          <w:noProof/>
        </w:rPr>
        <w:fldChar w:fldCharType="begin"/>
      </w:r>
      <w:r>
        <w:rPr>
          <w:noProof/>
        </w:rPr>
        <w:instrText xml:space="preserve"> PAGEREF _Toc70505591 \h </w:instrText>
      </w:r>
      <w:r>
        <w:rPr>
          <w:noProof/>
        </w:rPr>
      </w:r>
      <w:r>
        <w:rPr>
          <w:noProof/>
        </w:rPr>
        <w:fldChar w:fldCharType="separate"/>
      </w:r>
      <w:r w:rsidR="000F445C">
        <w:rPr>
          <w:noProof/>
        </w:rPr>
        <w:t>199</w:t>
      </w:r>
      <w:r>
        <w:rPr>
          <w:noProof/>
        </w:rPr>
        <w:fldChar w:fldCharType="end"/>
      </w:r>
    </w:p>
    <w:p w14:paraId="476B6663" w14:textId="32B97CC2" w:rsidR="00390CDB" w:rsidRDefault="00390CDB">
      <w:pPr>
        <w:pStyle w:val="TableofFigures"/>
        <w:rPr>
          <w:rFonts w:eastAsiaTheme="minorEastAsia" w:cstheme="minorBidi"/>
          <w:noProof/>
          <w:sz w:val="22"/>
          <w:szCs w:val="22"/>
        </w:rPr>
      </w:pPr>
      <w:r>
        <w:rPr>
          <w:noProof/>
        </w:rPr>
        <w:t>8.4</w:t>
      </w:r>
      <w:r>
        <w:rPr>
          <w:rFonts w:eastAsiaTheme="minorEastAsia" w:cstheme="minorBidi"/>
          <w:noProof/>
          <w:sz w:val="22"/>
          <w:szCs w:val="22"/>
        </w:rPr>
        <w:tab/>
      </w:r>
      <w:r>
        <w:rPr>
          <w:noProof/>
        </w:rPr>
        <w:t>Net benefits/costs including societal and employment-related benefits</w:t>
      </w:r>
      <w:r>
        <w:rPr>
          <w:noProof/>
        </w:rPr>
        <w:tab/>
      </w:r>
      <w:r>
        <w:rPr>
          <w:noProof/>
        </w:rPr>
        <w:fldChar w:fldCharType="begin"/>
      </w:r>
      <w:r>
        <w:rPr>
          <w:noProof/>
        </w:rPr>
        <w:instrText xml:space="preserve"> PAGEREF _Toc70505592 \h </w:instrText>
      </w:r>
      <w:r>
        <w:rPr>
          <w:noProof/>
        </w:rPr>
      </w:r>
      <w:r>
        <w:rPr>
          <w:noProof/>
        </w:rPr>
        <w:fldChar w:fldCharType="separate"/>
      </w:r>
      <w:r w:rsidR="000F445C">
        <w:rPr>
          <w:noProof/>
        </w:rPr>
        <w:t>200</w:t>
      </w:r>
      <w:r>
        <w:rPr>
          <w:noProof/>
        </w:rPr>
        <w:fldChar w:fldCharType="end"/>
      </w:r>
    </w:p>
    <w:p w14:paraId="7E43B46F" w14:textId="76963A9E" w:rsidR="00390CDB" w:rsidRDefault="00390CDB">
      <w:pPr>
        <w:pStyle w:val="TableofFigures"/>
        <w:rPr>
          <w:rFonts w:eastAsiaTheme="minorEastAsia" w:cstheme="minorBidi"/>
          <w:noProof/>
          <w:sz w:val="22"/>
          <w:szCs w:val="22"/>
        </w:rPr>
      </w:pPr>
      <w:r>
        <w:rPr>
          <w:noProof/>
        </w:rPr>
        <w:t>8.5</w:t>
      </w:r>
      <w:r>
        <w:rPr>
          <w:rFonts w:eastAsiaTheme="minorEastAsia" w:cstheme="minorBidi"/>
          <w:noProof/>
          <w:sz w:val="22"/>
          <w:szCs w:val="22"/>
        </w:rPr>
        <w:tab/>
      </w:r>
      <w:r>
        <w:rPr>
          <w:noProof/>
        </w:rPr>
        <w:t>Sensitivity and break-even analysis — benefit-cost ratio under alternative assumptions</w:t>
      </w:r>
      <w:r>
        <w:rPr>
          <w:noProof/>
        </w:rPr>
        <w:tab/>
      </w:r>
      <w:r>
        <w:rPr>
          <w:noProof/>
        </w:rPr>
        <w:fldChar w:fldCharType="begin"/>
      </w:r>
      <w:r>
        <w:rPr>
          <w:noProof/>
        </w:rPr>
        <w:instrText xml:space="preserve"> PAGEREF _Toc70505593 \h </w:instrText>
      </w:r>
      <w:r>
        <w:rPr>
          <w:noProof/>
        </w:rPr>
      </w:r>
      <w:r>
        <w:rPr>
          <w:noProof/>
        </w:rPr>
        <w:fldChar w:fldCharType="separate"/>
      </w:r>
      <w:r w:rsidR="000F445C">
        <w:rPr>
          <w:noProof/>
        </w:rPr>
        <w:t>204</w:t>
      </w:r>
      <w:r>
        <w:rPr>
          <w:noProof/>
        </w:rPr>
        <w:fldChar w:fldCharType="end"/>
      </w:r>
    </w:p>
    <w:p w14:paraId="066E09AD" w14:textId="32C515E2" w:rsidR="00390CDB" w:rsidRDefault="00390CDB">
      <w:pPr>
        <w:pStyle w:val="TableofFigures"/>
        <w:rPr>
          <w:rFonts w:eastAsiaTheme="minorEastAsia" w:cstheme="minorBidi"/>
          <w:noProof/>
          <w:sz w:val="22"/>
          <w:szCs w:val="22"/>
        </w:rPr>
      </w:pPr>
      <w:r>
        <w:rPr>
          <w:noProof/>
        </w:rPr>
        <w:t>8.6</w:t>
      </w:r>
      <w:r>
        <w:rPr>
          <w:rFonts w:eastAsiaTheme="minorEastAsia" w:cstheme="minorBidi"/>
          <w:noProof/>
          <w:sz w:val="22"/>
          <w:szCs w:val="22"/>
        </w:rPr>
        <w:tab/>
      </w:r>
      <w:r>
        <w:rPr>
          <w:noProof/>
        </w:rPr>
        <w:t>Sensitivity and break-even analysis with societal and employment benefits being included in the central case — benefit-cost ratio under alternative assumptions</w:t>
      </w:r>
      <w:r>
        <w:rPr>
          <w:noProof/>
        </w:rPr>
        <w:tab/>
      </w:r>
      <w:r>
        <w:rPr>
          <w:noProof/>
        </w:rPr>
        <w:fldChar w:fldCharType="begin"/>
      </w:r>
      <w:r>
        <w:rPr>
          <w:noProof/>
        </w:rPr>
        <w:instrText xml:space="preserve"> PAGEREF _Toc70505594 \h </w:instrText>
      </w:r>
      <w:r>
        <w:rPr>
          <w:noProof/>
        </w:rPr>
      </w:r>
      <w:r>
        <w:rPr>
          <w:noProof/>
        </w:rPr>
        <w:fldChar w:fldCharType="separate"/>
      </w:r>
      <w:r w:rsidR="000F445C">
        <w:rPr>
          <w:noProof/>
        </w:rPr>
        <w:t>204</w:t>
      </w:r>
      <w:r>
        <w:rPr>
          <w:noProof/>
        </w:rPr>
        <w:fldChar w:fldCharType="end"/>
      </w:r>
    </w:p>
    <w:p w14:paraId="4675F55C" w14:textId="734F9EAF" w:rsidR="00390CDB" w:rsidRDefault="00390CDB">
      <w:pPr>
        <w:pStyle w:val="TableofFigures"/>
        <w:rPr>
          <w:rFonts w:eastAsiaTheme="minorEastAsia" w:cstheme="minorBidi"/>
          <w:noProof/>
          <w:sz w:val="22"/>
          <w:szCs w:val="22"/>
        </w:rPr>
      </w:pPr>
      <w:r>
        <w:rPr>
          <w:noProof/>
        </w:rPr>
        <w:t>9.1</w:t>
      </w:r>
      <w:r>
        <w:rPr>
          <w:rFonts w:eastAsiaTheme="minorEastAsia" w:cstheme="minorBidi"/>
          <w:noProof/>
          <w:sz w:val="22"/>
          <w:szCs w:val="22"/>
        </w:rPr>
        <w:tab/>
      </w:r>
      <w:r>
        <w:rPr>
          <w:noProof/>
        </w:rPr>
        <w:t>Number of people affected by lack of accessible housing per year</w:t>
      </w:r>
      <w:r>
        <w:rPr>
          <w:noProof/>
        </w:rPr>
        <w:tab/>
      </w:r>
      <w:r>
        <w:rPr>
          <w:noProof/>
        </w:rPr>
        <w:fldChar w:fldCharType="begin"/>
      </w:r>
      <w:r>
        <w:rPr>
          <w:noProof/>
        </w:rPr>
        <w:instrText xml:space="preserve"> PAGEREF _Toc70505595 \h </w:instrText>
      </w:r>
      <w:r>
        <w:rPr>
          <w:noProof/>
        </w:rPr>
      </w:r>
      <w:r>
        <w:rPr>
          <w:noProof/>
        </w:rPr>
        <w:fldChar w:fldCharType="separate"/>
      </w:r>
      <w:r w:rsidR="000F445C">
        <w:rPr>
          <w:noProof/>
        </w:rPr>
        <w:t>207</w:t>
      </w:r>
      <w:r>
        <w:rPr>
          <w:noProof/>
        </w:rPr>
        <w:fldChar w:fldCharType="end"/>
      </w:r>
    </w:p>
    <w:p w14:paraId="36529726" w14:textId="7D73EDC3" w:rsidR="00390CDB" w:rsidRDefault="00390CDB">
      <w:pPr>
        <w:pStyle w:val="TableofFigures"/>
        <w:rPr>
          <w:rFonts w:eastAsiaTheme="minorEastAsia" w:cstheme="minorBidi"/>
          <w:noProof/>
          <w:sz w:val="22"/>
          <w:szCs w:val="22"/>
        </w:rPr>
      </w:pPr>
      <w:r>
        <w:rPr>
          <w:noProof/>
        </w:rPr>
        <w:t>A.1</w:t>
      </w:r>
      <w:r>
        <w:rPr>
          <w:rFonts w:eastAsiaTheme="minorEastAsia" w:cstheme="minorBidi"/>
          <w:noProof/>
          <w:sz w:val="22"/>
          <w:szCs w:val="22"/>
        </w:rPr>
        <w:tab/>
      </w:r>
      <w:r>
        <w:rPr>
          <w:noProof/>
        </w:rPr>
        <w:t>Problem established and the extent of the problem</w:t>
      </w:r>
      <w:r>
        <w:rPr>
          <w:noProof/>
        </w:rPr>
        <w:tab/>
      </w:r>
      <w:r>
        <w:rPr>
          <w:noProof/>
        </w:rPr>
        <w:fldChar w:fldCharType="begin"/>
      </w:r>
      <w:r>
        <w:rPr>
          <w:noProof/>
        </w:rPr>
        <w:instrText xml:space="preserve"> PAGEREF _Toc70505596 \h </w:instrText>
      </w:r>
      <w:r>
        <w:rPr>
          <w:noProof/>
        </w:rPr>
      </w:r>
      <w:r>
        <w:rPr>
          <w:noProof/>
        </w:rPr>
        <w:fldChar w:fldCharType="separate"/>
      </w:r>
      <w:r w:rsidR="000F445C">
        <w:rPr>
          <w:noProof/>
        </w:rPr>
        <w:t>214</w:t>
      </w:r>
      <w:r>
        <w:rPr>
          <w:noProof/>
        </w:rPr>
        <w:fldChar w:fldCharType="end"/>
      </w:r>
    </w:p>
    <w:p w14:paraId="197D66A5" w14:textId="2571F1FC" w:rsidR="00390CDB" w:rsidRDefault="00390CDB">
      <w:pPr>
        <w:pStyle w:val="TableofFigures"/>
        <w:rPr>
          <w:rFonts w:eastAsiaTheme="minorEastAsia" w:cstheme="minorBidi"/>
          <w:noProof/>
          <w:sz w:val="22"/>
          <w:szCs w:val="22"/>
        </w:rPr>
      </w:pPr>
      <w:r>
        <w:rPr>
          <w:noProof/>
        </w:rPr>
        <w:t>A.2</w:t>
      </w:r>
      <w:r>
        <w:rPr>
          <w:rFonts w:eastAsiaTheme="minorEastAsia" w:cstheme="minorBidi"/>
          <w:noProof/>
          <w:sz w:val="22"/>
          <w:szCs w:val="22"/>
        </w:rPr>
        <w:tab/>
      </w:r>
      <w:r>
        <w:rPr>
          <w:noProof/>
        </w:rPr>
        <w:t>Main contributor to a lack of uptake of universal design principles in new dwellings</w:t>
      </w:r>
      <w:r>
        <w:rPr>
          <w:noProof/>
        </w:rPr>
        <w:tab/>
      </w:r>
      <w:r>
        <w:rPr>
          <w:noProof/>
        </w:rPr>
        <w:fldChar w:fldCharType="begin"/>
      </w:r>
      <w:r>
        <w:rPr>
          <w:noProof/>
        </w:rPr>
        <w:instrText xml:space="preserve"> PAGEREF _Toc70505597 \h </w:instrText>
      </w:r>
      <w:r>
        <w:rPr>
          <w:noProof/>
        </w:rPr>
      </w:r>
      <w:r>
        <w:rPr>
          <w:noProof/>
        </w:rPr>
        <w:fldChar w:fldCharType="separate"/>
      </w:r>
      <w:r w:rsidR="000F445C">
        <w:rPr>
          <w:noProof/>
        </w:rPr>
        <w:t>229</w:t>
      </w:r>
      <w:r>
        <w:rPr>
          <w:noProof/>
        </w:rPr>
        <w:fldChar w:fldCharType="end"/>
      </w:r>
    </w:p>
    <w:p w14:paraId="7AD7999C" w14:textId="52EB1840" w:rsidR="00390CDB" w:rsidRDefault="00390CDB">
      <w:pPr>
        <w:pStyle w:val="TableofFigures"/>
        <w:rPr>
          <w:rFonts w:eastAsiaTheme="minorEastAsia" w:cstheme="minorBidi"/>
          <w:noProof/>
          <w:sz w:val="22"/>
          <w:szCs w:val="22"/>
        </w:rPr>
      </w:pPr>
      <w:r>
        <w:rPr>
          <w:noProof/>
        </w:rPr>
        <w:t>A.3</w:t>
      </w:r>
      <w:r>
        <w:rPr>
          <w:rFonts w:eastAsiaTheme="minorEastAsia" w:cstheme="minorBidi"/>
          <w:noProof/>
          <w:sz w:val="22"/>
          <w:szCs w:val="22"/>
        </w:rPr>
        <w:tab/>
      </w:r>
      <w:r>
        <w:rPr>
          <w:noProof/>
        </w:rPr>
        <w:t>Other factors contributing to the lack of accessible housing</w:t>
      </w:r>
      <w:r>
        <w:rPr>
          <w:noProof/>
        </w:rPr>
        <w:tab/>
      </w:r>
      <w:r>
        <w:rPr>
          <w:noProof/>
        </w:rPr>
        <w:fldChar w:fldCharType="begin"/>
      </w:r>
      <w:r>
        <w:rPr>
          <w:noProof/>
        </w:rPr>
        <w:instrText xml:space="preserve"> PAGEREF _Toc70505598 \h </w:instrText>
      </w:r>
      <w:r>
        <w:rPr>
          <w:noProof/>
        </w:rPr>
      </w:r>
      <w:r>
        <w:rPr>
          <w:noProof/>
        </w:rPr>
        <w:fldChar w:fldCharType="separate"/>
      </w:r>
      <w:r w:rsidR="000F445C">
        <w:rPr>
          <w:noProof/>
        </w:rPr>
        <w:t>229</w:t>
      </w:r>
      <w:r>
        <w:rPr>
          <w:noProof/>
        </w:rPr>
        <w:fldChar w:fldCharType="end"/>
      </w:r>
    </w:p>
    <w:p w14:paraId="3C2CF56D" w14:textId="5B06009F" w:rsidR="00390CDB" w:rsidRDefault="00390CDB">
      <w:pPr>
        <w:pStyle w:val="TableofFigures"/>
        <w:rPr>
          <w:rFonts w:eastAsiaTheme="minorEastAsia" w:cstheme="minorBidi"/>
          <w:noProof/>
          <w:sz w:val="22"/>
          <w:szCs w:val="22"/>
        </w:rPr>
      </w:pPr>
      <w:r>
        <w:rPr>
          <w:noProof/>
        </w:rPr>
        <w:t>A.4</w:t>
      </w:r>
      <w:r>
        <w:rPr>
          <w:rFonts w:eastAsiaTheme="minorEastAsia" w:cstheme="minorBidi"/>
          <w:noProof/>
          <w:sz w:val="22"/>
          <w:szCs w:val="22"/>
        </w:rPr>
        <w:tab/>
      </w:r>
      <w:r>
        <w:rPr>
          <w:noProof/>
        </w:rPr>
        <w:t>Responses by number of feasible options</w:t>
      </w:r>
      <w:r>
        <w:rPr>
          <w:noProof/>
        </w:rPr>
        <w:tab/>
      </w:r>
      <w:r>
        <w:rPr>
          <w:noProof/>
        </w:rPr>
        <w:fldChar w:fldCharType="begin"/>
      </w:r>
      <w:r>
        <w:rPr>
          <w:noProof/>
        </w:rPr>
        <w:instrText xml:space="preserve"> PAGEREF _Toc70505599 \h </w:instrText>
      </w:r>
      <w:r>
        <w:rPr>
          <w:noProof/>
        </w:rPr>
      </w:r>
      <w:r>
        <w:rPr>
          <w:noProof/>
        </w:rPr>
        <w:fldChar w:fldCharType="separate"/>
      </w:r>
      <w:r w:rsidR="000F445C">
        <w:rPr>
          <w:noProof/>
        </w:rPr>
        <w:t>236</w:t>
      </w:r>
      <w:r>
        <w:rPr>
          <w:noProof/>
        </w:rPr>
        <w:fldChar w:fldCharType="end"/>
      </w:r>
    </w:p>
    <w:p w14:paraId="23D024E6" w14:textId="4EE35E3B" w:rsidR="00390CDB" w:rsidRDefault="00390CDB">
      <w:pPr>
        <w:pStyle w:val="TableofFigures"/>
        <w:rPr>
          <w:rFonts w:eastAsiaTheme="minorEastAsia" w:cstheme="minorBidi"/>
          <w:noProof/>
          <w:sz w:val="22"/>
          <w:szCs w:val="22"/>
        </w:rPr>
      </w:pPr>
      <w:r>
        <w:rPr>
          <w:noProof/>
        </w:rPr>
        <w:t>A.5</w:t>
      </w:r>
      <w:r>
        <w:rPr>
          <w:rFonts w:eastAsiaTheme="minorEastAsia" w:cstheme="minorBidi"/>
          <w:noProof/>
          <w:sz w:val="22"/>
          <w:szCs w:val="22"/>
        </w:rPr>
        <w:tab/>
      </w:r>
      <w:r>
        <w:rPr>
          <w:noProof/>
        </w:rPr>
        <w:t>Feasible option counts</w:t>
      </w:r>
      <w:r>
        <w:rPr>
          <w:noProof/>
        </w:rPr>
        <w:tab/>
      </w:r>
      <w:r>
        <w:rPr>
          <w:noProof/>
        </w:rPr>
        <w:fldChar w:fldCharType="begin"/>
      </w:r>
      <w:r>
        <w:rPr>
          <w:noProof/>
        </w:rPr>
        <w:instrText xml:space="preserve"> PAGEREF _Toc70505600 \h </w:instrText>
      </w:r>
      <w:r>
        <w:rPr>
          <w:noProof/>
        </w:rPr>
      </w:r>
      <w:r>
        <w:rPr>
          <w:noProof/>
        </w:rPr>
        <w:fldChar w:fldCharType="separate"/>
      </w:r>
      <w:r w:rsidR="000F445C">
        <w:rPr>
          <w:noProof/>
        </w:rPr>
        <w:t>236</w:t>
      </w:r>
      <w:r>
        <w:rPr>
          <w:noProof/>
        </w:rPr>
        <w:fldChar w:fldCharType="end"/>
      </w:r>
    </w:p>
    <w:p w14:paraId="03245E48" w14:textId="173DE038" w:rsidR="00390CDB" w:rsidRDefault="00390CDB">
      <w:pPr>
        <w:pStyle w:val="TableofFigures"/>
        <w:rPr>
          <w:rFonts w:eastAsiaTheme="minorEastAsia" w:cstheme="minorBidi"/>
          <w:noProof/>
          <w:sz w:val="22"/>
          <w:szCs w:val="22"/>
        </w:rPr>
      </w:pPr>
      <w:r>
        <w:rPr>
          <w:noProof/>
        </w:rPr>
        <w:t>A.6</w:t>
      </w:r>
      <w:r>
        <w:rPr>
          <w:rFonts w:eastAsiaTheme="minorEastAsia" w:cstheme="minorBidi"/>
          <w:noProof/>
          <w:sz w:val="22"/>
          <w:szCs w:val="22"/>
        </w:rPr>
        <w:tab/>
      </w:r>
      <w:r>
        <w:rPr>
          <w:noProof/>
        </w:rPr>
        <w:t>Other feasible options</w:t>
      </w:r>
      <w:r>
        <w:rPr>
          <w:noProof/>
        </w:rPr>
        <w:tab/>
      </w:r>
      <w:r>
        <w:rPr>
          <w:noProof/>
        </w:rPr>
        <w:fldChar w:fldCharType="begin"/>
      </w:r>
      <w:r>
        <w:rPr>
          <w:noProof/>
        </w:rPr>
        <w:instrText xml:space="preserve"> PAGEREF _Toc70505601 \h </w:instrText>
      </w:r>
      <w:r>
        <w:rPr>
          <w:noProof/>
        </w:rPr>
      </w:r>
      <w:r>
        <w:rPr>
          <w:noProof/>
        </w:rPr>
        <w:fldChar w:fldCharType="separate"/>
      </w:r>
      <w:r w:rsidR="000F445C">
        <w:rPr>
          <w:noProof/>
        </w:rPr>
        <w:t>237</w:t>
      </w:r>
      <w:r>
        <w:rPr>
          <w:noProof/>
        </w:rPr>
        <w:fldChar w:fldCharType="end"/>
      </w:r>
    </w:p>
    <w:p w14:paraId="254191A7" w14:textId="23428D4C" w:rsidR="00390CDB" w:rsidRDefault="00390CDB">
      <w:pPr>
        <w:pStyle w:val="TableofFigures"/>
        <w:rPr>
          <w:rFonts w:eastAsiaTheme="minorEastAsia" w:cstheme="minorBidi"/>
          <w:noProof/>
          <w:sz w:val="22"/>
          <w:szCs w:val="22"/>
        </w:rPr>
      </w:pPr>
      <w:r>
        <w:rPr>
          <w:noProof/>
        </w:rPr>
        <w:t>A.7</w:t>
      </w:r>
      <w:r>
        <w:rPr>
          <w:rFonts w:eastAsiaTheme="minorEastAsia" w:cstheme="minorBidi"/>
          <w:noProof/>
          <w:sz w:val="22"/>
          <w:szCs w:val="22"/>
        </w:rPr>
        <w:tab/>
      </w:r>
      <w:r>
        <w:rPr>
          <w:noProof/>
        </w:rPr>
        <w:t>Feasible options versus options meeting the objective</w:t>
      </w:r>
      <w:r>
        <w:rPr>
          <w:noProof/>
        </w:rPr>
        <w:tab/>
      </w:r>
      <w:r>
        <w:rPr>
          <w:noProof/>
        </w:rPr>
        <w:fldChar w:fldCharType="begin"/>
      </w:r>
      <w:r>
        <w:rPr>
          <w:noProof/>
        </w:rPr>
        <w:instrText xml:space="preserve"> PAGEREF _Toc70505602 \h </w:instrText>
      </w:r>
      <w:r>
        <w:rPr>
          <w:noProof/>
        </w:rPr>
      </w:r>
      <w:r>
        <w:rPr>
          <w:noProof/>
        </w:rPr>
        <w:fldChar w:fldCharType="separate"/>
      </w:r>
      <w:r w:rsidR="000F445C">
        <w:rPr>
          <w:noProof/>
        </w:rPr>
        <w:t>239</w:t>
      </w:r>
      <w:r>
        <w:rPr>
          <w:noProof/>
        </w:rPr>
        <w:fldChar w:fldCharType="end"/>
      </w:r>
    </w:p>
    <w:p w14:paraId="5F7D6E90" w14:textId="0C79F7D0" w:rsidR="00390CDB" w:rsidRDefault="00390CDB">
      <w:pPr>
        <w:pStyle w:val="TableofFigures"/>
        <w:rPr>
          <w:rFonts w:eastAsiaTheme="minorEastAsia" w:cstheme="minorBidi"/>
          <w:noProof/>
          <w:sz w:val="22"/>
          <w:szCs w:val="22"/>
        </w:rPr>
      </w:pPr>
      <w:r>
        <w:rPr>
          <w:noProof/>
        </w:rPr>
        <w:t>A.8</w:t>
      </w:r>
      <w:r>
        <w:rPr>
          <w:rFonts w:eastAsiaTheme="minorEastAsia" w:cstheme="minorBidi"/>
          <w:noProof/>
          <w:sz w:val="22"/>
          <w:szCs w:val="22"/>
        </w:rPr>
        <w:tab/>
      </w:r>
      <w:r>
        <w:rPr>
          <w:noProof/>
        </w:rPr>
        <w:t>Effectiveness of non-regulatory option</w:t>
      </w:r>
      <w:r>
        <w:rPr>
          <w:noProof/>
        </w:rPr>
        <w:tab/>
      </w:r>
      <w:r>
        <w:rPr>
          <w:noProof/>
        </w:rPr>
        <w:fldChar w:fldCharType="begin"/>
      </w:r>
      <w:r>
        <w:rPr>
          <w:noProof/>
        </w:rPr>
        <w:instrText xml:space="preserve"> PAGEREF _Toc70505603 \h </w:instrText>
      </w:r>
      <w:r>
        <w:rPr>
          <w:noProof/>
        </w:rPr>
      </w:r>
      <w:r>
        <w:rPr>
          <w:noProof/>
        </w:rPr>
        <w:fldChar w:fldCharType="separate"/>
      </w:r>
      <w:r w:rsidR="000F445C">
        <w:rPr>
          <w:noProof/>
        </w:rPr>
        <w:t>240</w:t>
      </w:r>
      <w:r>
        <w:rPr>
          <w:noProof/>
        </w:rPr>
        <w:fldChar w:fldCharType="end"/>
      </w:r>
    </w:p>
    <w:p w14:paraId="6A077250" w14:textId="1C41EE4D" w:rsidR="00390CDB" w:rsidRDefault="00390CDB">
      <w:pPr>
        <w:pStyle w:val="TableofFigures"/>
        <w:rPr>
          <w:rFonts w:eastAsiaTheme="minorEastAsia" w:cstheme="minorBidi"/>
          <w:noProof/>
          <w:sz w:val="22"/>
          <w:szCs w:val="22"/>
        </w:rPr>
      </w:pPr>
      <w:r>
        <w:rPr>
          <w:noProof/>
        </w:rPr>
        <w:t>A.9</w:t>
      </w:r>
      <w:r>
        <w:rPr>
          <w:rFonts w:eastAsiaTheme="minorEastAsia" w:cstheme="minorBidi"/>
          <w:noProof/>
          <w:sz w:val="22"/>
          <w:szCs w:val="22"/>
        </w:rPr>
        <w:tab/>
      </w:r>
      <w:r>
        <w:rPr>
          <w:noProof/>
        </w:rPr>
        <w:t>Preferred option (feedback through Consultation Hub)</w:t>
      </w:r>
      <w:r>
        <w:rPr>
          <w:noProof/>
        </w:rPr>
        <w:tab/>
      </w:r>
      <w:r>
        <w:rPr>
          <w:noProof/>
        </w:rPr>
        <w:fldChar w:fldCharType="begin"/>
      </w:r>
      <w:r>
        <w:rPr>
          <w:noProof/>
        </w:rPr>
        <w:instrText xml:space="preserve"> PAGEREF _Toc70505604 \h </w:instrText>
      </w:r>
      <w:r>
        <w:rPr>
          <w:noProof/>
        </w:rPr>
      </w:r>
      <w:r>
        <w:rPr>
          <w:noProof/>
        </w:rPr>
        <w:fldChar w:fldCharType="separate"/>
      </w:r>
      <w:r w:rsidR="000F445C">
        <w:rPr>
          <w:noProof/>
        </w:rPr>
        <w:t>243</w:t>
      </w:r>
      <w:r>
        <w:rPr>
          <w:noProof/>
        </w:rPr>
        <w:fldChar w:fldCharType="end"/>
      </w:r>
    </w:p>
    <w:p w14:paraId="3AB94566" w14:textId="7B236C8F" w:rsidR="00390CDB" w:rsidRDefault="00390CDB">
      <w:pPr>
        <w:pStyle w:val="TableofFigures"/>
        <w:rPr>
          <w:rFonts w:eastAsiaTheme="minorEastAsia" w:cstheme="minorBidi"/>
          <w:noProof/>
          <w:sz w:val="22"/>
          <w:szCs w:val="22"/>
        </w:rPr>
      </w:pPr>
      <w:r>
        <w:rPr>
          <w:noProof/>
        </w:rPr>
        <w:lastRenderedPageBreak/>
        <w:t>A.10</w:t>
      </w:r>
      <w:r>
        <w:rPr>
          <w:rFonts w:eastAsiaTheme="minorEastAsia" w:cstheme="minorBidi"/>
          <w:noProof/>
          <w:sz w:val="22"/>
          <w:szCs w:val="22"/>
        </w:rPr>
        <w:tab/>
      </w:r>
      <w:r>
        <w:rPr>
          <w:noProof/>
        </w:rPr>
        <w:t>Preferred option in all submissions including multiple choices</w:t>
      </w:r>
      <w:r>
        <w:rPr>
          <w:noProof/>
        </w:rPr>
        <w:tab/>
      </w:r>
      <w:r>
        <w:rPr>
          <w:noProof/>
        </w:rPr>
        <w:fldChar w:fldCharType="begin"/>
      </w:r>
      <w:r>
        <w:rPr>
          <w:noProof/>
        </w:rPr>
        <w:instrText xml:space="preserve"> PAGEREF _Toc70505605 \h </w:instrText>
      </w:r>
      <w:r>
        <w:rPr>
          <w:noProof/>
        </w:rPr>
      </w:r>
      <w:r>
        <w:rPr>
          <w:noProof/>
        </w:rPr>
        <w:fldChar w:fldCharType="separate"/>
      </w:r>
      <w:r w:rsidR="000F445C">
        <w:rPr>
          <w:noProof/>
        </w:rPr>
        <w:t>244</w:t>
      </w:r>
      <w:r>
        <w:rPr>
          <w:noProof/>
        </w:rPr>
        <w:fldChar w:fldCharType="end"/>
      </w:r>
    </w:p>
    <w:p w14:paraId="70A827D4" w14:textId="7935B15D" w:rsidR="00390CDB" w:rsidRDefault="00390CDB">
      <w:pPr>
        <w:pStyle w:val="TableofFigures"/>
        <w:rPr>
          <w:rFonts w:eastAsiaTheme="minorEastAsia" w:cstheme="minorBidi"/>
          <w:noProof/>
          <w:sz w:val="22"/>
          <w:szCs w:val="22"/>
        </w:rPr>
      </w:pPr>
      <w:r>
        <w:rPr>
          <w:noProof/>
        </w:rPr>
        <w:t>A.11</w:t>
      </w:r>
      <w:r>
        <w:rPr>
          <w:rFonts w:eastAsiaTheme="minorEastAsia" w:cstheme="minorBidi"/>
          <w:noProof/>
          <w:sz w:val="22"/>
          <w:szCs w:val="22"/>
        </w:rPr>
        <w:tab/>
      </w:r>
      <w:r>
        <w:rPr>
          <w:noProof/>
        </w:rPr>
        <w:t>Preferred options in all submissions</w:t>
      </w:r>
      <w:r>
        <w:rPr>
          <w:noProof/>
        </w:rPr>
        <w:tab/>
      </w:r>
      <w:r>
        <w:rPr>
          <w:noProof/>
        </w:rPr>
        <w:fldChar w:fldCharType="begin"/>
      </w:r>
      <w:r>
        <w:rPr>
          <w:noProof/>
        </w:rPr>
        <w:instrText xml:space="preserve"> PAGEREF _Toc70505606 \h </w:instrText>
      </w:r>
      <w:r>
        <w:rPr>
          <w:noProof/>
        </w:rPr>
      </w:r>
      <w:r>
        <w:rPr>
          <w:noProof/>
        </w:rPr>
        <w:fldChar w:fldCharType="separate"/>
      </w:r>
      <w:r w:rsidR="000F445C">
        <w:rPr>
          <w:noProof/>
        </w:rPr>
        <w:t>244</w:t>
      </w:r>
      <w:r>
        <w:rPr>
          <w:noProof/>
        </w:rPr>
        <w:fldChar w:fldCharType="end"/>
      </w:r>
    </w:p>
    <w:p w14:paraId="7E0CDEAE" w14:textId="4DD24FB1" w:rsidR="00390CDB" w:rsidRDefault="00390CDB">
      <w:pPr>
        <w:pStyle w:val="TableofFigures"/>
        <w:rPr>
          <w:rFonts w:eastAsiaTheme="minorEastAsia" w:cstheme="minorBidi"/>
          <w:noProof/>
          <w:sz w:val="22"/>
          <w:szCs w:val="22"/>
        </w:rPr>
      </w:pPr>
      <w:r>
        <w:rPr>
          <w:noProof/>
        </w:rPr>
        <w:t>A.12</w:t>
      </w:r>
      <w:r>
        <w:rPr>
          <w:rFonts w:eastAsiaTheme="minorEastAsia" w:cstheme="minorBidi"/>
          <w:noProof/>
          <w:sz w:val="22"/>
          <w:szCs w:val="22"/>
        </w:rPr>
        <w:tab/>
      </w:r>
      <w:r>
        <w:rPr>
          <w:noProof/>
        </w:rPr>
        <w:t>Views on the costing scenarios and approach</w:t>
      </w:r>
      <w:r>
        <w:rPr>
          <w:noProof/>
        </w:rPr>
        <w:tab/>
      </w:r>
      <w:r>
        <w:rPr>
          <w:noProof/>
        </w:rPr>
        <w:fldChar w:fldCharType="begin"/>
      </w:r>
      <w:r>
        <w:rPr>
          <w:noProof/>
        </w:rPr>
        <w:instrText xml:space="preserve"> PAGEREF _Toc70505607 \h </w:instrText>
      </w:r>
      <w:r>
        <w:rPr>
          <w:noProof/>
        </w:rPr>
      </w:r>
      <w:r>
        <w:rPr>
          <w:noProof/>
        </w:rPr>
        <w:fldChar w:fldCharType="separate"/>
      </w:r>
      <w:r w:rsidR="000F445C">
        <w:rPr>
          <w:noProof/>
        </w:rPr>
        <w:t>248</w:t>
      </w:r>
      <w:r>
        <w:rPr>
          <w:noProof/>
        </w:rPr>
        <w:fldChar w:fldCharType="end"/>
      </w:r>
    </w:p>
    <w:p w14:paraId="4EC7C45A" w14:textId="233519AC" w:rsidR="00390CDB" w:rsidRDefault="00390CDB">
      <w:pPr>
        <w:pStyle w:val="TableofFigures"/>
        <w:rPr>
          <w:rFonts w:eastAsiaTheme="minorEastAsia" w:cstheme="minorBidi"/>
          <w:noProof/>
          <w:sz w:val="22"/>
          <w:szCs w:val="22"/>
        </w:rPr>
      </w:pPr>
      <w:r>
        <w:rPr>
          <w:noProof/>
        </w:rPr>
        <w:t>A.13</w:t>
      </w:r>
      <w:r>
        <w:rPr>
          <w:rFonts w:eastAsiaTheme="minorEastAsia" w:cstheme="minorBidi"/>
          <w:noProof/>
          <w:sz w:val="22"/>
          <w:szCs w:val="22"/>
        </w:rPr>
        <w:tab/>
      </w:r>
      <w:r>
        <w:rPr>
          <w:noProof/>
        </w:rPr>
        <w:t>Do you agree with the approach of valuing the opportunity cost of additional space requirement</w:t>
      </w:r>
      <w:r>
        <w:rPr>
          <w:noProof/>
        </w:rPr>
        <w:tab/>
      </w:r>
      <w:r>
        <w:rPr>
          <w:noProof/>
        </w:rPr>
        <w:fldChar w:fldCharType="begin"/>
      </w:r>
      <w:r>
        <w:rPr>
          <w:noProof/>
        </w:rPr>
        <w:instrText xml:space="preserve"> PAGEREF _Toc70505608 \h </w:instrText>
      </w:r>
      <w:r>
        <w:rPr>
          <w:noProof/>
        </w:rPr>
      </w:r>
      <w:r>
        <w:rPr>
          <w:noProof/>
        </w:rPr>
        <w:fldChar w:fldCharType="separate"/>
      </w:r>
      <w:r w:rsidR="000F445C">
        <w:rPr>
          <w:noProof/>
        </w:rPr>
        <w:t>249</w:t>
      </w:r>
      <w:r>
        <w:rPr>
          <w:noProof/>
        </w:rPr>
        <w:fldChar w:fldCharType="end"/>
      </w:r>
    </w:p>
    <w:p w14:paraId="60C4965F" w14:textId="2D6123E0" w:rsidR="00390CDB" w:rsidRDefault="00390CDB">
      <w:pPr>
        <w:pStyle w:val="TableofFigures"/>
        <w:rPr>
          <w:rFonts w:eastAsiaTheme="minorEastAsia" w:cstheme="minorBidi"/>
          <w:noProof/>
          <w:sz w:val="22"/>
          <w:szCs w:val="22"/>
        </w:rPr>
      </w:pPr>
      <w:r>
        <w:rPr>
          <w:noProof/>
        </w:rPr>
        <w:t>A.14</w:t>
      </w:r>
      <w:r>
        <w:rPr>
          <w:rFonts w:eastAsiaTheme="minorEastAsia" w:cstheme="minorBidi"/>
          <w:noProof/>
          <w:sz w:val="22"/>
          <w:szCs w:val="22"/>
        </w:rPr>
        <w:tab/>
      </w:r>
      <w:r>
        <w:rPr>
          <w:noProof/>
        </w:rPr>
        <w:t>Likelihood of additional excavation costs</w:t>
      </w:r>
      <w:r>
        <w:rPr>
          <w:noProof/>
        </w:rPr>
        <w:tab/>
      </w:r>
      <w:r>
        <w:rPr>
          <w:noProof/>
        </w:rPr>
        <w:fldChar w:fldCharType="begin"/>
      </w:r>
      <w:r>
        <w:rPr>
          <w:noProof/>
        </w:rPr>
        <w:instrText xml:space="preserve"> PAGEREF _Toc70505609 \h </w:instrText>
      </w:r>
      <w:r>
        <w:rPr>
          <w:noProof/>
        </w:rPr>
      </w:r>
      <w:r>
        <w:rPr>
          <w:noProof/>
        </w:rPr>
        <w:fldChar w:fldCharType="separate"/>
      </w:r>
      <w:r w:rsidR="000F445C">
        <w:rPr>
          <w:noProof/>
        </w:rPr>
        <w:t>252</w:t>
      </w:r>
      <w:r>
        <w:rPr>
          <w:noProof/>
        </w:rPr>
        <w:fldChar w:fldCharType="end"/>
      </w:r>
    </w:p>
    <w:p w14:paraId="70C9A701" w14:textId="540F083B" w:rsidR="00390CDB" w:rsidRDefault="00390CDB">
      <w:pPr>
        <w:pStyle w:val="TableofFigures"/>
        <w:rPr>
          <w:rFonts w:eastAsiaTheme="minorEastAsia" w:cstheme="minorBidi"/>
          <w:noProof/>
          <w:sz w:val="22"/>
          <w:szCs w:val="22"/>
        </w:rPr>
      </w:pPr>
      <w:r>
        <w:rPr>
          <w:noProof/>
        </w:rPr>
        <w:t>A.15</w:t>
      </w:r>
      <w:r>
        <w:rPr>
          <w:rFonts w:eastAsiaTheme="minorEastAsia" w:cstheme="minorBidi"/>
          <w:noProof/>
          <w:sz w:val="22"/>
          <w:szCs w:val="22"/>
        </w:rPr>
        <w:tab/>
      </w:r>
      <w:r>
        <w:rPr>
          <w:noProof/>
        </w:rPr>
        <w:t>Count of responses to Q24 breakdown by answer to Q23</w:t>
      </w:r>
      <w:r>
        <w:rPr>
          <w:noProof/>
        </w:rPr>
        <w:tab/>
      </w:r>
      <w:r>
        <w:rPr>
          <w:noProof/>
        </w:rPr>
        <w:fldChar w:fldCharType="begin"/>
      </w:r>
      <w:r>
        <w:rPr>
          <w:noProof/>
        </w:rPr>
        <w:instrText xml:space="preserve"> PAGEREF _Toc70505610 \h </w:instrText>
      </w:r>
      <w:r>
        <w:rPr>
          <w:noProof/>
        </w:rPr>
      </w:r>
      <w:r>
        <w:rPr>
          <w:noProof/>
        </w:rPr>
        <w:fldChar w:fldCharType="separate"/>
      </w:r>
      <w:r w:rsidR="000F445C">
        <w:rPr>
          <w:noProof/>
        </w:rPr>
        <w:t>253</w:t>
      </w:r>
      <w:r>
        <w:rPr>
          <w:noProof/>
        </w:rPr>
        <w:fldChar w:fldCharType="end"/>
      </w:r>
    </w:p>
    <w:p w14:paraId="0318D22B" w14:textId="39D767E9" w:rsidR="00390CDB" w:rsidRDefault="00390CDB">
      <w:pPr>
        <w:pStyle w:val="TableofFigures"/>
        <w:rPr>
          <w:rFonts w:eastAsiaTheme="minorEastAsia" w:cstheme="minorBidi"/>
          <w:noProof/>
          <w:sz w:val="22"/>
          <w:szCs w:val="22"/>
        </w:rPr>
      </w:pPr>
      <w:r>
        <w:rPr>
          <w:noProof/>
        </w:rPr>
        <w:t>A.16</w:t>
      </w:r>
      <w:r>
        <w:rPr>
          <w:rFonts w:eastAsiaTheme="minorEastAsia" w:cstheme="minorBidi"/>
          <w:noProof/>
          <w:sz w:val="22"/>
          <w:szCs w:val="22"/>
        </w:rPr>
        <w:tab/>
      </w:r>
      <w:r>
        <w:rPr>
          <w:noProof/>
        </w:rPr>
        <w:t xml:space="preserve">Reasons for disagreeing with the excavation cost estimates in </w:t>
      </w:r>
      <w:r>
        <w:rPr>
          <w:noProof/>
          <w:lang w:bidi="fa-IR"/>
        </w:rPr>
        <w:t xml:space="preserve">Consultation </w:t>
      </w:r>
      <w:r>
        <w:rPr>
          <w:noProof/>
        </w:rPr>
        <w:t>RIS</w:t>
      </w:r>
      <w:r>
        <w:rPr>
          <w:noProof/>
        </w:rPr>
        <w:tab/>
      </w:r>
      <w:r>
        <w:rPr>
          <w:noProof/>
        </w:rPr>
        <w:fldChar w:fldCharType="begin"/>
      </w:r>
      <w:r>
        <w:rPr>
          <w:noProof/>
        </w:rPr>
        <w:instrText xml:space="preserve"> PAGEREF _Toc70505611 \h </w:instrText>
      </w:r>
      <w:r>
        <w:rPr>
          <w:noProof/>
        </w:rPr>
      </w:r>
      <w:r>
        <w:rPr>
          <w:noProof/>
        </w:rPr>
        <w:fldChar w:fldCharType="separate"/>
      </w:r>
      <w:r w:rsidR="000F445C">
        <w:rPr>
          <w:noProof/>
        </w:rPr>
        <w:t>254</w:t>
      </w:r>
      <w:r>
        <w:rPr>
          <w:noProof/>
        </w:rPr>
        <w:fldChar w:fldCharType="end"/>
      </w:r>
    </w:p>
    <w:p w14:paraId="6A437863" w14:textId="5935E253" w:rsidR="00390CDB" w:rsidRDefault="00390CDB">
      <w:pPr>
        <w:pStyle w:val="TableofFigures"/>
        <w:rPr>
          <w:rFonts w:eastAsiaTheme="minorEastAsia" w:cstheme="minorBidi"/>
          <w:noProof/>
          <w:sz w:val="22"/>
          <w:szCs w:val="22"/>
        </w:rPr>
      </w:pPr>
      <w:r>
        <w:rPr>
          <w:noProof/>
        </w:rPr>
        <w:t>A.17</w:t>
      </w:r>
      <w:r>
        <w:rPr>
          <w:rFonts w:eastAsiaTheme="minorEastAsia" w:cstheme="minorBidi"/>
          <w:noProof/>
          <w:sz w:val="22"/>
          <w:szCs w:val="22"/>
        </w:rPr>
        <w:tab/>
      </w:r>
      <w:r>
        <w:rPr>
          <w:noProof/>
        </w:rPr>
        <w:t>Cost estimates provided by one submission</w:t>
      </w:r>
      <w:r>
        <w:rPr>
          <w:noProof/>
        </w:rPr>
        <w:tab/>
      </w:r>
      <w:r>
        <w:rPr>
          <w:noProof/>
        </w:rPr>
        <w:fldChar w:fldCharType="begin"/>
      </w:r>
      <w:r>
        <w:rPr>
          <w:noProof/>
        </w:rPr>
        <w:instrText xml:space="preserve"> PAGEREF _Toc70505612 \h </w:instrText>
      </w:r>
      <w:r>
        <w:rPr>
          <w:noProof/>
        </w:rPr>
      </w:r>
      <w:r>
        <w:rPr>
          <w:noProof/>
        </w:rPr>
        <w:fldChar w:fldCharType="separate"/>
      </w:r>
      <w:r w:rsidR="000F445C">
        <w:rPr>
          <w:noProof/>
        </w:rPr>
        <w:t>259</w:t>
      </w:r>
      <w:r>
        <w:rPr>
          <w:noProof/>
        </w:rPr>
        <w:fldChar w:fldCharType="end"/>
      </w:r>
    </w:p>
    <w:p w14:paraId="396E53B8" w14:textId="2982A95B" w:rsidR="00390CDB" w:rsidRDefault="00390CDB">
      <w:pPr>
        <w:pStyle w:val="TableofFigures"/>
        <w:rPr>
          <w:rFonts w:eastAsiaTheme="minorEastAsia" w:cstheme="minorBidi"/>
          <w:noProof/>
          <w:sz w:val="22"/>
          <w:szCs w:val="22"/>
        </w:rPr>
      </w:pPr>
      <w:r>
        <w:rPr>
          <w:noProof/>
        </w:rPr>
        <w:t>A.18</w:t>
      </w:r>
      <w:r>
        <w:rPr>
          <w:rFonts w:eastAsiaTheme="minorEastAsia" w:cstheme="minorBidi"/>
          <w:noProof/>
          <w:sz w:val="22"/>
          <w:szCs w:val="22"/>
        </w:rPr>
        <w:tab/>
      </w:r>
      <w:r>
        <w:rPr>
          <w:noProof/>
        </w:rPr>
        <w:t>Cost estimates by MBA to achieve accessibility standards</w:t>
      </w:r>
      <w:r>
        <w:rPr>
          <w:noProof/>
        </w:rPr>
        <w:tab/>
      </w:r>
      <w:r>
        <w:rPr>
          <w:noProof/>
        </w:rPr>
        <w:fldChar w:fldCharType="begin"/>
      </w:r>
      <w:r>
        <w:rPr>
          <w:noProof/>
        </w:rPr>
        <w:instrText xml:space="preserve"> PAGEREF _Toc70505613 \h </w:instrText>
      </w:r>
      <w:r>
        <w:rPr>
          <w:noProof/>
        </w:rPr>
      </w:r>
      <w:r>
        <w:rPr>
          <w:noProof/>
        </w:rPr>
        <w:fldChar w:fldCharType="separate"/>
      </w:r>
      <w:r w:rsidR="000F445C">
        <w:rPr>
          <w:noProof/>
        </w:rPr>
        <w:t>261</w:t>
      </w:r>
      <w:r>
        <w:rPr>
          <w:noProof/>
        </w:rPr>
        <w:fldChar w:fldCharType="end"/>
      </w:r>
    </w:p>
    <w:p w14:paraId="588E9DF2" w14:textId="04730130" w:rsidR="00390CDB" w:rsidRDefault="00390CDB">
      <w:pPr>
        <w:pStyle w:val="TableofFigures"/>
        <w:rPr>
          <w:rFonts w:eastAsiaTheme="minorEastAsia" w:cstheme="minorBidi"/>
          <w:noProof/>
          <w:sz w:val="22"/>
          <w:szCs w:val="22"/>
        </w:rPr>
      </w:pPr>
      <w:r>
        <w:rPr>
          <w:noProof/>
        </w:rPr>
        <w:t>A.19</w:t>
      </w:r>
      <w:r>
        <w:rPr>
          <w:rFonts w:eastAsiaTheme="minorEastAsia" w:cstheme="minorBidi"/>
          <w:noProof/>
          <w:sz w:val="22"/>
          <w:szCs w:val="22"/>
        </w:rPr>
        <w:tab/>
      </w:r>
      <w:r>
        <w:rPr>
          <w:noProof/>
        </w:rPr>
        <w:t>Views on the assumptions and approaches to estimate benefits</w:t>
      </w:r>
      <w:r>
        <w:rPr>
          <w:noProof/>
        </w:rPr>
        <w:tab/>
      </w:r>
      <w:r>
        <w:rPr>
          <w:noProof/>
        </w:rPr>
        <w:fldChar w:fldCharType="begin"/>
      </w:r>
      <w:r>
        <w:rPr>
          <w:noProof/>
        </w:rPr>
        <w:instrText xml:space="preserve"> PAGEREF _Toc70505614 \h </w:instrText>
      </w:r>
      <w:r>
        <w:rPr>
          <w:noProof/>
        </w:rPr>
      </w:r>
      <w:r>
        <w:rPr>
          <w:noProof/>
        </w:rPr>
        <w:fldChar w:fldCharType="separate"/>
      </w:r>
      <w:r w:rsidR="000F445C">
        <w:rPr>
          <w:noProof/>
        </w:rPr>
        <w:t>264</w:t>
      </w:r>
      <w:r>
        <w:rPr>
          <w:noProof/>
        </w:rPr>
        <w:fldChar w:fldCharType="end"/>
      </w:r>
    </w:p>
    <w:p w14:paraId="724E4087" w14:textId="08143929" w:rsidR="00390CDB" w:rsidRDefault="00390CDB">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Assistance required moving around residence</w:t>
      </w:r>
      <w:r>
        <w:rPr>
          <w:noProof/>
        </w:rPr>
        <w:tab/>
      </w:r>
      <w:r>
        <w:rPr>
          <w:noProof/>
        </w:rPr>
        <w:fldChar w:fldCharType="begin"/>
      </w:r>
      <w:r>
        <w:rPr>
          <w:noProof/>
        </w:rPr>
        <w:instrText xml:space="preserve"> PAGEREF _Toc70505615 \h </w:instrText>
      </w:r>
      <w:r>
        <w:rPr>
          <w:noProof/>
        </w:rPr>
      </w:r>
      <w:r>
        <w:rPr>
          <w:noProof/>
        </w:rPr>
        <w:fldChar w:fldCharType="separate"/>
      </w:r>
      <w:r w:rsidR="000F445C">
        <w:rPr>
          <w:noProof/>
        </w:rPr>
        <w:t>275</w:t>
      </w:r>
      <w:r>
        <w:rPr>
          <w:noProof/>
        </w:rPr>
        <w:fldChar w:fldCharType="end"/>
      </w:r>
    </w:p>
    <w:p w14:paraId="3F0E5F4C" w14:textId="0AD69D3B" w:rsidR="00390CDB" w:rsidRDefault="00390CDB">
      <w:pPr>
        <w:pStyle w:val="TableofFigures"/>
        <w:rPr>
          <w:rFonts w:eastAsiaTheme="minorEastAsia" w:cstheme="minorBidi"/>
          <w:noProof/>
          <w:sz w:val="22"/>
          <w:szCs w:val="22"/>
        </w:rPr>
      </w:pPr>
      <w:r>
        <w:rPr>
          <w:noProof/>
        </w:rPr>
        <w:t>B.2</w:t>
      </w:r>
      <w:r>
        <w:rPr>
          <w:rFonts w:eastAsiaTheme="minorEastAsia" w:cstheme="minorBidi"/>
          <w:noProof/>
          <w:sz w:val="22"/>
          <w:szCs w:val="22"/>
        </w:rPr>
        <w:tab/>
      </w:r>
      <w:r>
        <w:rPr>
          <w:noProof/>
        </w:rPr>
        <w:t>Key results of randomised controlled trials that establish that home modifications and other factors reduce falls</w:t>
      </w:r>
      <w:r>
        <w:rPr>
          <w:noProof/>
        </w:rPr>
        <w:tab/>
      </w:r>
      <w:r>
        <w:rPr>
          <w:noProof/>
        </w:rPr>
        <w:fldChar w:fldCharType="begin"/>
      </w:r>
      <w:r>
        <w:rPr>
          <w:noProof/>
        </w:rPr>
        <w:instrText xml:space="preserve"> PAGEREF _Toc70505616 \h </w:instrText>
      </w:r>
      <w:r>
        <w:rPr>
          <w:noProof/>
        </w:rPr>
      </w:r>
      <w:r>
        <w:rPr>
          <w:noProof/>
        </w:rPr>
        <w:fldChar w:fldCharType="separate"/>
      </w:r>
      <w:r w:rsidR="000F445C">
        <w:rPr>
          <w:noProof/>
        </w:rPr>
        <w:t>279</w:t>
      </w:r>
      <w:r>
        <w:rPr>
          <w:noProof/>
        </w:rPr>
        <w:fldChar w:fldCharType="end"/>
      </w:r>
    </w:p>
    <w:p w14:paraId="256AC1F3" w14:textId="3A485612" w:rsidR="00390CDB" w:rsidRDefault="00390CDB">
      <w:pPr>
        <w:pStyle w:val="TableofFigures"/>
        <w:rPr>
          <w:rFonts w:eastAsiaTheme="minorEastAsia" w:cstheme="minorBidi"/>
          <w:noProof/>
          <w:sz w:val="22"/>
          <w:szCs w:val="22"/>
        </w:rPr>
      </w:pPr>
      <w:r>
        <w:rPr>
          <w:noProof/>
        </w:rPr>
        <w:t>B.3</w:t>
      </w:r>
      <w:r>
        <w:rPr>
          <w:rFonts w:eastAsiaTheme="minorEastAsia" w:cstheme="minorBidi"/>
          <w:noProof/>
          <w:sz w:val="22"/>
          <w:szCs w:val="22"/>
        </w:rPr>
        <w:tab/>
      </w:r>
      <w:r>
        <w:rPr>
          <w:noProof/>
        </w:rPr>
        <w:t>Hospitalisation rates from falls for older Australians</w:t>
      </w:r>
      <w:r>
        <w:rPr>
          <w:noProof/>
        </w:rPr>
        <w:tab/>
      </w:r>
      <w:r>
        <w:rPr>
          <w:noProof/>
        </w:rPr>
        <w:fldChar w:fldCharType="begin"/>
      </w:r>
      <w:r>
        <w:rPr>
          <w:noProof/>
        </w:rPr>
        <w:instrText xml:space="preserve"> PAGEREF _Toc70505617 \h </w:instrText>
      </w:r>
      <w:r>
        <w:rPr>
          <w:noProof/>
        </w:rPr>
      </w:r>
      <w:r>
        <w:rPr>
          <w:noProof/>
        </w:rPr>
        <w:fldChar w:fldCharType="separate"/>
      </w:r>
      <w:r w:rsidR="000F445C">
        <w:rPr>
          <w:noProof/>
        </w:rPr>
        <w:t>281</w:t>
      </w:r>
      <w:r>
        <w:rPr>
          <w:noProof/>
        </w:rPr>
        <w:fldChar w:fldCharType="end"/>
      </w:r>
    </w:p>
    <w:p w14:paraId="0B9F4ADE" w14:textId="1051B9C1" w:rsidR="00390CDB" w:rsidRDefault="00390CDB">
      <w:pPr>
        <w:pStyle w:val="TableofFigures"/>
        <w:rPr>
          <w:rFonts w:eastAsiaTheme="minorEastAsia" w:cstheme="minorBidi"/>
          <w:noProof/>
          <w:sz w:val="22"/>
          <w:szCs w:val="22"/>
        </w:rPr>
      </w:pPr>
      <w:r>
        <w:rPr>
          <w:noProof/>
        </w:rPr>
        <w:t>B.4</w:t>
      </w:r>
      <w:r>
        <w:rPr>
          <w:rFonts w:eastAsiaTheme="minorEastAsia" w:cstheme="minorBidi"/>
          <w:noProof/>
          <w:sz w:val="22"/>
          <w:szCs w:val="22"/>
        </w:rPr>
        <w:tab/>
      </w:r>
      <w:r>
        <w:rPr>
          <w:noProof/>
        </w:rPr>
        <w:t>Additional deaths from falls due to inaccessible housing</w:t>
      </w:r>
      <w:r>
        <w:rPr>
          <w:noProof/>
        </w:rPr>
        <w:tab/>
      </w:r>
      <w:r>
        <w:rPr>
          <w:noProof/>
        </w:rPr>
        <w:fldChar w:fldCharType="begin"/>
      </w:r>
      <w:r>
        <w:rPr>
          <w:noProof/>
        </w:rPr>
        <w:instrText xml:space="preserve"> PAGEREF _Toc70505618 \h </w:instrText>
      </w:r>
      <w:r>
        <w:rPr>
          <w:noProof/>
        </w:rPr>
      </w:r>
      <w:r>
        <w:rPr>
          <w:noProof/>
        </w:rPr>
        <w:fldChar w:fldCharType="separate"/>
      </w:r>
      <w:r w:rsidR="000F445C">
        <w:rPr>
          <w:noProof/>
        </w:rPr>
        <w:t>282</w:t>
      </w:r>
      <w:r>
        <w:rPr>
          <w:noProof/>
        </w:rPr>
        <w:fldChar w:fldCharType="end"/>
      </w:r>
    </w:p>
    <w:p w14:paraId="7907D3FA" w14:textId="53481A47" w:rsidR="00390CDB" w:rsidRDefault="00390CDB">
      <w:pPr>
        <w:pStyle w:val="TableofFigures"/>
        <w:rPr>
          <w:rFonts w:eastAsiaTheme="minorEastAsia" w:cstheme="minorBidi"/>
          <w:noProof/>
          <w:sz w:val="22"/>
          <w:szCs w:val="22"/>
        </w:rPr>
      </w:pPr>
      <w:r>
        <w:rPr>
          <w:noProof/>
        </w:rPr>
        <w:t>B.5</w:t>
      </w:r>
      <w:r>
        <w:rPr>
          <w:rFonts w:eastAsiaTheme="minorEastAsia" w:cstheme="minorBidi"/>
          <w:noProof/>
          <w:sz w:val="22"/>
          <w:szCs w:val="22"/>
        </w:rPr>
        <w:tab/>
      </w:r>
      <w:r>
        <w:rPr>
          <w:noProof/>
        </w:rPr>
        <w:t>Valuing human health outcomes</w:t>
      </w:r>
      <w:r>
        <w:rPr>
          <w:noProof/>
        </w:rPr>
        <w:tab/>
      </w:r>
      <w:r>
        <w:rPr>
          <w:noProof/>
        </w:rPr>
        <w:fldChar w:fldCharType="begin"/>
      </w:r>
      <w:r>
        <w:rPr>
          <w:noProof/>
        </w:rPr>
        <w:instrText xml:space="preserve"> PAGEREF _Toc70505619 \h </w:instrText>
      </w:r>
      <w:r>
        <w:rPr>
          <w:noProof/>
        </w:rPr>
      </w:r>
      <w:r>
        <w:rPr>
          <w:noProof/>
        </w:rPr>
        <w:fldChar w:fldCharType="separate"/>
      </w:r>
      <w:r w:rsidR="000F445C">
        <w:rPr>
          <w:noProof/>
        </w:rPr>
        <w:t>283</w:t>
      </w:r>
      <w:r>
        <w:rPr>
          <w:noProof/>
        </w:rPr>
        <w:fldChar w:fldCharType="end"/>
      </w:r>
    </w:p>
    <w:p w14:paraId="3C5C19E7" w14:textId="74A244AB" w:rsidR="00390CDB" w:rsidRDefault="00390CDB">
      <w:pPr>
        <w:pStyle w:val="TableofFigures"/>
        <w:rPr>
          <w:rFonts w:eastAsiaTheme="minorEastAsia" w:cstheme="minorBidi"/>
          <w:noProof/>
          <w:sz w:val="22"/>
          <w:szCs w:val="22"/>
        </w:rPr>
      </w:pPr>
      <w:r>
        <w:rPr>
          <w:noProof/>
        </w:rPr>
        <w:t>B.6</w:t>
      </w:r>
      <w:r>
        <w:rPr>
          <w:rFonts w:eastAsiaTheme="minorEastAsia" w:cstheme="minorBidi"/>
          <w:noProof/>
          <w:sz w:val="22"/>
          <w:szCs w:val="22"/>
        </w:rPr>
        <w:tab/>
      </w:r>
      <w:r>
        <w:rPr>
          <w:noProof/>
        </w:rPr>
        <w:t>Estimated value of a statistical life for Australians by age group</w:t>
      </w:r>
      <w:r>
        <w:rPr>
          <w:noProof/>
        </w:rPr>
        <w:tab/>
      </w:r>
      <w:r>
        <w:rPr>
          <w:noProof/>
        </w:rPr>
        <w:fldChar w:fldCharType="begin"/>
      </w:r>
      <w:r>
        <w:rPr>
          <w:noProof/>
        </w:rPr>
        <w:instrText xml:space="preserve"> PAGEREF _Toc70505620 \h </w:instrText>
      </w:r>
      <w:r>
        <w:rPr>
          <w:noProof/>
        </w:rPr>
      </w:r>
      <w:r>
        <w:rPr>
          <w:noProof/>
        </w:rPr>
        <w:fldChar w:fldCharType="separate"/>
      </w:r>
      <w:r w:rsidR="000F445C">
        <w:rPr>
          <w:noProof/>
        </w:rPr>
        <w:t>284</w:t>
      </w:r>
      <w:r>
        <w:rPr>
          <w:noProof/>
        </w:rPr>
        <w:fldChar w:fldCharType="end"/>
      </w:r>
    </w:p>
    <w:p w14:paraId="345A84F7" w14:textId="4B6F14A9" w:rsidR="00390CDB" w:rsidRDefault="00390CDB">
      <w:pPr>
        <w:pStyle w:val="TableofFigures"/>
        <w:rPr>
          <w:rFonts w:eastAsiaTheme="minorEastAsia" w:cstheme="minorBidi"/>
          <w:noProof/>
          <w:sz w:val="22"/>
          <w:szCs w:val="22"/>
        </w:rPr>
      </w:pPr>
      <w:r>
        <w:rPr>
          <w:noProof/>
        </w:rPr>
        <w:t>B.7</w:t>
      </w:r>
      <w:r>
        <w:rPr>
          <w:rFonts w:eastAsiaTheme="minorEastAsia" w:cstheme="minorBidi"/>
          <w:noProof/>
          <w:sz w:val="22"/>
          <w:szCs w:val="22"/>
        </w:rPr>
        <w:tab/>
      </w:r>
      <w:r>
        <w:rPr>
          <w:noProof/>
        </w:rPr>
        <w:t>Estimate cost to the community from additional fall</w:t>
      </w:r>
      <w:r>
        <w:rPr>
          <w:noProof/>
        </w:rPr>
        <w:noBreakHyphen/>
        <w:t>related deaths</w:t>
      </w:r>
      <w:r>
        <w:rPr>
          <w:noProof/>
        </w:rPr>
        <w:tab/>
      </w:r>
      <w:r>
        <w:rPr>
          <w:noProof/>
        </w:rPr>
        <w:fldChar w:fldCharType="begin"/>
      </w:r>
      <w:r>
        <w:rPr>
          <w:noProof/>
        </w:rPr>
        <w:instrText xml:space="preserve"> PAGEREF _Toc70505621 \h </w:instrText>
      </w:r>
      <w:r>
        <w:rPr>
          <w:noProof/>
        </w:rPr>
      </w:r>
      <w:r>
        <w:rPr>
          <w:noProof/>
        </w:rPr>
        <w:fldChar w:fldCharType="separate"/>
      </w:r>
      <w:r w:rsidR="000F445C">
        <w:rPr>
          <w:noProof/>
        </w:rPr>
        <w:t>284</w:t>
      </w:r>
      <w:r>
        <w:rPr>
          <w:noProof/>
        </w:rPr>
        <w:fldChar w:fldCharType="end"/>
      </w:r>
    </w:p>
    <w:p w14:paraId="0FABCD9A" w14:textId="4B5D73CE" w:rsidR="00390CDB" w:rsidRDefault="00390CDB">
      <w:pPr>
        <w:pStyle w:val="TableofFigures"/>
        <w:rPr>
          <w:rFonts w:eastAsiaTheme="minorEastAsia" w:cstheme="minorBidi"/>
          <w:noProof/>
          <w:sz w:val="22"/>
          <w:szCs w:val="22"/>
        </w:rPr>
      </w:pPr>
      <w:r>
        <w:rPr>
          <w:noProof/>
        </w:rPr>
        <w:t>B.8</w:t>
      </w:r>
      <w:r>
        <w:rPr>
          <w:rFonts w:eastAsiaTheme="minorEastAsia" w:cstheme="minorBidi"/>
          <w:noProof/>
          <w:sz w:val="22"/>
          <w:szCs w:val="22"/>
        </w:rPr>
        <w:tab/>
      </w:r>
      <w:r>
        <w:rPr>
          <w:noProof/>
        </w:rPr>
        <w:t>Estimated number of additional hospital admissions due to inaccessible housing</w:t>
      </w:r>
      <w:r>
        <w:rPr>
          <w:noProof/>
        </w:rPr>
        <w:tab/>
      </w:r>
      <w:r>
        <w:rPr>
          <w:noProof/>
        </w:rPr>
        <w:fldChar w:fldCharType="begin"/>
      </w:r>
      <w:r>
        <w:rPr>
          <w:noProof/>
        </w:rPr>
        <w:instrText xml:space="preserve"> PAGEREF _Toc70505622 \h </w:instrText>
      </w:r>
      <w:r>
        <w:rPr>
          <w:noProof/>
        </w:rPr>
      </w:r>
      <w:r>
        <w:rPr>
          <w:noProof/>
        </w:rPr>
        <w:fldChar w:fldCharType="separate"/>
      </w:r>
      <w:r w:rsidR="000F445C">
        <w:rPr>
          <w:noProof/>
        </w:rPr>
        <w:t>286</w:t>
      </w:r>
      <w:r>
        <w:rPr>
          <w:noProof/>
        </w:rPr>
        <w:fldChar w:fldCharType="end"/>
      </w:r>
    </w:p>
    <w:p w14:paraId="4CFB4691" w14:textId="196BE613" w:rsidR="00390CDB" w:rsidRDefault="00390CDB">
      <w:pPr>
        <w:pStyle w:val="TableofFigures"/>
        <w:rPr>
          <w:rFonts w:eastAsiaTheme="minorEastAsia" w:cstheme="minorBidi"/>
          <w:noProof/>
          <w:sz w:val="22"/>
          <w:szCs w:val="22"/>
        </w:rPr>
      </w:pPr>
      <w:r>
        <w:rPr>
          <w:noProof/>
        </w:rPr>
        <w:t>B.9</w:t>
      </w:r>
      <w:r>
        <w:rPr>
          <w:rFonts w:eastAsiaTheme="minorEastAsia" w:cstheme="minorBidi"/>
          <w:noProof/>
          <w:sz w:val="22"/>
          <w:szCs w:val="22"/>
        </w:rPr>
        <w:tab/>
      </w:r>
      <w:r>
        <w:rPr>
          <w:noProof/>
        </w:rPr>
        <w:t>Estimated cost of additional hospital admissions due to inaccessible housing</w:t>
      </w:r>
      <w:r>
        <w:rPr>
          <w:noProof/>
        </w:rPr>
        <w:tab/>
      </w:r>
      <w:r>
        <w:rPr>
          <w:noProof/>
        </w:rPr>
        <w:fldChar w:fldCharType="begin"/>
      </w:r>
      <w:r>
        <w:rPr>
          <w:noProof/>
        </w:rPr>
        <w:instrText xml:space="preserve"> PAGEREF _Toc70505623 \h </w:instrText>
      </w:r>
      <w:r>
        <w:rPr>
          <w:noProof/>
        </w:rPr>
      </w:r>
      <w:r>
        <w:rPr>
          <w:noProof/>
        </w:rPr>
        <w:fldChar w:fldCharType="separate"/>
      </w:r>
      <w:r w:rsidR="000F445C">
        <w:rPr>
          <w:noProof/>
        </w:rPr>
        <w:t>287</w:t>
      </w:r>
      <w:r>
        <w:rPr>
          <w:noProof/>
        </w:rPr>
        <w:fldChar w:fldCharType="end"/>
      </w:r>
    </w:p>
    <w:p w14:paraId="5ECEF64D" w14:textId="7BDCAC8F" w:rsidR="00390CDB" w:rsidRDefault="00390CDB">
      <w:pPr>
        <w:pStyle w:val="TableofFigures"/>
        <w:rPr>
          <w:rFonts w:eastAsiaTheme="minorEastAsia" w:cstheme="minorBidi"/>
          <w:noProof/>
          <w:sz w:val="22"/>
          <w:szCs w:val="22"/>
        </w:rPr>
      </w:pPr>
      <w:r>
        <w:rPr>
          <w:noProof/>
        </w:rPr>
        <w:t>B.10</w:t>
      </w:r>
      <w:r>
        <w:rPr>
          <w:rFonts w:eastAsiaTheme="minorEastAsia" w:cstheme="minorBidi"/>
          <w:noProof/>
          <w:sz w:val="22"/>
          <w:szCs w:val="22"/>
        </w:rPr>
        <w:tab/>
      </w:r>
      <w:r>
        <w:rPr>
          <w:noProof/>
        </w:rPr>
        <w:t>Estimated number of additional emergency department attendances due to inaccessible housing</w:t>
      </w:r>
      <w:r>
        <w:rPr>
          <w:noProof/>
        </w:rPr>
        <w:tab/>
      </w:r>
      <w:r>
        <w:rPr>
          <w:noProof/>
        </w:rPr>
        <w:fldChar w:fldCharType="begin"/>
      </w:r>
      <w:r>
        <w:rPr>
          <w:noProof/>
        </w:rPr>
        <w:instrText xml:space="preserve"> PAGEREF _Toc70505624 \h </w:instrText>
      </w:r>
      <w:r>
        <w:rPr>
          <w:noProof/>
        </w:rPr>
      </w:r>
      <w:r>
        <w:rPr>
          <w:noProof/>
        </w:rPr>
        <w:fldChar w:fldCharType="separate"/>
      </w:r>
      <w:r w:rsidR="000F445C">
        <w:rPr>
          <w:noProof/>
        </w:rPr>
        <w:t>288</w:t>
      </w:r>
      <w:r>
        <w:rPr>
          <w:noProof/>
        </w:rPr>
        <w:fldChar w:fldCharType="end"/>
      </w:r>
    </w:p>
    <w:p w14:paraId="44CBC8B5" w14:textId="0F89EA20" w:rsidR="00390CDB" w:rsidRDefault="00390CDB">
      <w:pPr>
        <w:pStyle w:val="TableofFigures"/>
        <w:rPr>
          <w:rFonts w:eastAsiaTheme="minorEastAsia" w:cstheme="minorBidi"/>
          <w:noProof/>
          <w:sz w:val="22"/>
          <w:szCs w:val="22"/>
        </w:rPr>
      </w:pPr>
      <w:r>
        <w:rPr>
          <w:noProof/>
        </w:rPr>
        <w:t>B.11</w:t>
      </w:r>
      <w:r>
        <w:rPr>
          <w:rFonts w:eastAsiaTheme="minorEastAsia" w:cstheme="minorBidi"/>
          <w:noProof/>
          <w:sz w:val="22"/>
          <w:szCs w:val="22"/>
        </w:rPr>
        <w:tab/>
      </w:r>
      <w:r>
        <w:rPr>
          <w:noProof/>
        </w:rPr>
        <w:t>Estimated cost of additional emergency department attendances due to inaccessible housing</w:t>
      </w:r>
      <w:r>
        <w:rPr>
          <w:noProof/>
        </w:rPr>
        <w:tab/>
      </w:r>
      <w:r>
        <w:rPr>
          <w:noProof/>
        </w:rPr>
        <w:fldChar w:fldCharType="begin"/>
      </w:r>
      <w:r>
        <w:rPr>
          <w:noProof/>
        </w:rPr>
        <w:instrText xml:space="preserve"> PAGEREF _Toc70505625 \h </w:instrText>
      </w:r>
      <w:r>
        <w:rPr>
          <w:noProof/>
        </w:rPr>
      </w:r>
      <w:r>
        <w:rPr>
          <w:noProof/>
        </w:rPr>
        <w:fldChar w:fldCharType="separate"/>
      </w:r>
      <w:r w:rsidR="000F445C">
        <w:rPr>
          <w:noProof/>
        </w:rPr>
        <w:t>290</w:t>
      </w:r>
      <w:r>
        <w:rPr>
          <w:noProof/>
        </w:rPr>
        <w:fldChar w:fldCharType="end"/>
      </w:r>
    </w:p>
    <w:p w14:paraId="58DF8E56" w14:textId="26811AE7" w:rsidR="00390CDB" w:rsidRDefault="00390CDB">
      <w:pPr>
        <w:pStyle w:val="TableofFigures"/>
        <w:rPr>
          <w:rFonts w:eastAsiaTheme="minorEastAsia" w:cstheme="minorBidi"/>
          <w:noProof/>
          <w:sz w:val="22"/>
          <w:szCs w:val="22"/>
        </w:rPr>
      </w:pPr>
      <w:r>
        <w:rPr>
          <w:noProof/>
        </w:rPr>
        <w:t>B.12</w:t>
      </w:r>
      <w:r>
        <w:rPr>
          <w:rFonts w:eastAsiaTheme="minorEastAsia" w:cstheme="minorBidi"/>
          <w:noProof/>
          <w:sz w:val="22"/>
          <w:szCs w:val="22"/>
        </w:rPr>
        <w:tab/>
      </w:r>
      <w:r>
        <w:rPr>
          <w:noProof/>
        </w:rPr>
        <w:t>Estimated number of additional non-hospital treatments due to inaccessible housing</w:t>
      </w:r>
      <w:r>
        <w:rPr>
          <w:noProof/>
        </w:rPr>
        <w:tab/>
      </w:r>
      <w:r>
        <w:rPr>
          <w:noProof/>
        </w:rPr>
        <w:fldChar w:fldCharType="begin"/>
      </w:r>
      <w:r>
        <w:rPr>
          <w:noProof/>
        </w:rPr>
        <w:instrText xml:space="preserve"> PAGEREF _Toc70505626 \h </w:instrText>
      </w:r>
      <w:r>
        <w:rPr>
          <w:noProof/>
        </w:rPr>
      </w:r>
      <w:r>
        <w:rPr>
          <w:noProof/>
        </w:rPr>
        <w:fldChar w:fldCharType="separate"/>
      </w:r>
      <w:r w:rsidR="000F445C">
        <w:rPr>
          <w:noProof/>
        </w:rPr>
        <w:t>291</w:t>
      </w:r>
      <w:r>
        <w:rPr>
          <w:noProof/>
        </w:rPr>
        <w:fldChar w:fldCharType="end"/>
      </w:r>
    </w:p>
    <w:p w14:paraId="13645721" w14:textId="731E28A5" w:rsidR="00390CDB" w:rsidRDefault="00390CDB">
      <w:pPr>
        <w:pStyle w:val="TableofFigures"/>
        <w:rPr>
          <w:rFonts w:eastAsiaTheme="minorEastAsia" w:cstheme="minorBidi"/>
          <w:noProof/>
          <w:sz w:val="22"/>
          <w:szCs w:val="22"/>
        </w:rPr>
      </w:pPr>
      <w:r>
        <w:rPr>
          <w:noProof/>
        </w:rPr>
        <w:t>B.13</w:t>
      </w:r>
      <w:r>
        <w:rPr>
          <w:rFonts w:eastAsiaTheme="minorEastAsia" w:cstheme="minorBidi"/>
          <w:noProof/>
          <w:sz w:val="22"/>
          <w:szCs w:val="22"/>
        </w:rPr>
        <w:tab/>
      </w:r>
      <w:r>
        <w:rPr>
          <w:noProof/>
        </w:rPr>
        <w:t>Estimated cost of additional non</w:t>
      </w:r>
      <w:r>
        <w:rPr>
          <w:noProof/>
        </w:rPr>
        <w:noBreakHyphen/>
        <w:t>hospital treatments due to inaccessible housing</w:t>
      </w:r>
      <w:r>
        <w:rPr>
          <w:noProof/>
        </w:rPr>
        <w:tab/>
      </w:r>
      <w:r>
        <w:rPr>
          <w:noProof/>
        </w:rPr>
        <w:fldChar w:fldCharType="begin"/>
      </w:r>
      <w:r>
        <w:rPr>
          <w:noProof/>
        </w:rPr>
        <w:instrText xml:space="preserve"> PAGEREF _Toc70505627 \h </w:instrText>
      </w:r>
      <w:r>
        <w:rPr>
          <w:noProof/>
        </w:rPr>
      </w:r>
      <w:r>
        <w:rPr>
          <w:noProof/>
        </w:rPr>
        <w:fldChar w:fldCharType="separate"/>
      </w:r>
      <w:r w:rsidR="000F445C">
        <w:rPr>
          <w:noProof/>
        </w:rPr>
        <w:t>293</w:t>
      </w:r>
      <w:r>
        <w:rPr>
          <w:noProof/>
        </w:rPr>
        <w:fldChar w:fldCharType="end"/>
      </w:r>
    </w:p>
    <w:p w14:paraId="0B6F5752" w14:textId="0E0E88FC" w:rsidR="00390CDB" w:rsidRDefault="00390CDB">
      <w:pPr>
        <w:pStyle w:val="TableofFigures"/>
        <w:rPr>
          <w:rFonts w:eastAsiaTheme="minorEastAsia" w:cstheme="minorBidi"/>
          <w:noProof/>
          <w:sz w:val="22"/>
          <w:szCs w:val="22"/>
        </w:rPr>
      </w:pPr>
      <w:r>
        <w:rPr>
          <w:noProof/>
        </w:rPr>
        <w:t>B.14</w:t>
      </w:r>
      <w:r>
        <w:rPr>
          <w:rFonts w:eastAsiaTheme="minorEastAsia" w:cstheme="minorBidi"/>
          <w:noProof/>
          <w:sz w:val="22"/>
          <w:szCs w:val="22"/>
        </w:rPr>
        <w:tab/>
      </w:r>
      <w:r>
        <w:rPr>
          <w:noProof/>
        </w:rPr>
        <w:t>Morbidity costs for fall</w:t>
      </w:r>
      <w:r>
        <w:rPr>
          <w:noProof/>
        </w:rPr>
        <w:noBreakHyphen/>
        <w:t>related injuries</w:t>
      </w:r>
      <w:r>
        <w:rPr>
          <w:noProof/>
        </w:rPr>
        <w:tab/>
      </w:r>
      <w:r>
        <w:rPr>
          <w:noProof/>
        </w:rPr>
        <w:fldChar w:fldCharType="begin"/>
      </w:r>
      <w:r>
        <w:rPr>
          <w:noProof/>
        </w:rPr>
        <w:instrText xml:space="preserve"> PAGEREF _Toc70505628 \h </w:instrText>
      </w:r>
      <w:r>
        <w:rPr>
          <w:noProof/>
        </w:rPr>
      </w:r>
      <w:r>
        <w:rPr>
          <w:noProof/>
        </w:rPr>
        <w:fldChar w:fldCharType="separate"/>
      </w:r>
      <w:r w:rsidR="000F445C">
        <w:rPr>
          <w:noProof/>
        </w:rPr>
        <w:t>294</w:t>
      </w:r>
      <w:r>
        <w:rPr>
          <w:noProof/>
        </w:rPr>
        <w:fldChar w:fldCharType="end"/>
      </w:r>
    </w:p>
    <w:p w14:paraId="49759F75" w14:textId="36425653" w:rsidR="00390CDB" w:rsidRDefault="00390CDB">
      <w:pPr>
        <w:pStyle w:val="TableofFigures"/>
        <w:rPr>
          <w:rFonts w:eastAsiaTheme="minorEastAsia" w:cstheme="minorBidi"/>
          <w:noProof/>
          <w:sz w:val="22"/>
          <w:szCs w:val="22"/>
        </w:rPr>
      </w:pPr>
      <w:r>
        <w:rPr>
          <w:noProof/>
        </w:rPr>
        <w:t>B.15</w:t>
      </w:r>
      <w:r>
        <w:rPr>
          <w:rFonts w:eastAsiaTheme="minorEastAsia" w:cstheme="minorBidi"/>
          <w:noProof/>
          <w:sz w:val="22"/>
          <w:szCs w:val="22"/>
        </w:rPr>
        <w:tab/>
      </w:r>
      <w:r>
        <w:rPr>
          <w:noProof/>
        </w:rPr>
        <w:t>Estimated lifetime morbidity cost by age cohort</w:t>
      </w:r>
      <w:r>
        <w:rPr>
          <w:noProof/>
        </w:rPr>
        <w:tab/>
      </w:r>
      <w:r>
        <w:rPr>
          <w:noProof/>
        </w:rPr>
        <w:fldChar w:fldCharType="begin"/>
      </w:r>
      <w:r>
        <w:rPr>
          <w:noProof/>
        </w:rPr>
        <w:instrText xml:space="preserve"> PAGEREF _Toc70505629 \h </w:instrText>
      </w:r>
      <w:r>
        <w:rPr>
          <w:noProof/>
        </w:rPr>
      </w:r>
      <w:r>
        <w:rPr>
          <w:noProof/>
        </w:rPr>
        <w:fldChar w:fldCharType="separate"/>
      </w:r>
      <w:r w:rsidR="000F445C">
        <w:rPr>
          <w:noProof/>
        </w:rPr>
        <w:t>295</w:t>
      </w:r>
      <w:r>
        <w:rPr>
          <w:noProof/>
        </w:rPr>
        <w:fldChar w:fldCharType="end"/>
      </w:r>
    </w:p>
    <w:p w14:paraId="40732DF6" w14:textId="731C3DD0" w:rsidR="00390CDB" w:rsidRDefault="00390CDB">
      <w:pPr>
        <w:pStyle w:val="TableofFigures"/>
        <w:rPr>
          <w:rFonts w:eastAsiaTheme="minorEastAsia" w:cstheme="minorBidi"/>
          <w:noProof/>
          <w:sz w:val="22"/>
          <w:szCs w:val="22"/>
        </w:rPr>
      </w:pPr>
      <w:r>
        <w:rPr>
          <w:noProof/>
        </w:rPr>
        <w:t>B.16</w:t>
      </w:r>
      <w:r>
        <w:rPr>
          <w:rFonts w:eastAsiaTheme="minorEastAsia" w:cstheme="minorBidi"/>
          <w:noProof/>
          <w:sz w:val="22"/>
          <w:szCs w:val="22"/>
        </w:rPr>
        <w:tab/>
      </w:r>
      <w:r>
        <w:rPr>
          <w:noProof/>
        </w:rPr>
        <w:t>Estimated lifetime morbidity cost from falls</w:t>
      </w:r>
      <w:r>
        <w:rPr>
          <w:noProof/>
        </w:rPr>
        <w:tab/>
      </w:r>
      <w:r>
        <w:rPr>
          <w:noProof/>
        </w:rPr>
        <w:fldChar w:fldCharType="begin"/>
      </w:r>
      <w:r>
        <w:rPr>
          <w:noProof/>
        </w:rPr>
        <w:instrText xml:space="preserve"> PAGEREF _Toc70505630 \h </w:instrText>
      </w:r>
      <w:r>
        <w:rPr>
          <w:noProof/>
        </w:rPr>
      </w:r>
      <w:r>
        <w:rPr>
          <w:noProof/>
        </w:rPr>
        <w:fldChar w:fldCharType="separate"/>
      </w:r>
      <w:r w:rsidR="000F445C">
        <w:rPr>
          <w:noProof/>
        </w:rPr>
        <w:t>296</w:t>
      </w:r>
      <w:r>
        <w:rPr>
          <w:noProof/>
        </w:rPr>
        <w:fldChar w:fldCharType="end"/>
      </w:r>
    </w:p>
    <w:p w14:paraId="1DB703C5" w14:textId="4276FB6F" w:rsidR="00390CDB" w:rsidRDefault="00390CDB">
      <w:pPr>
        <w:pStyle w:val="TableofFigures"/>
        <w:rPr>
          <w:rFonts w:eastAsiaTheme="minorEastAsia" w:cstheme="minorBidi"/>
          <w:noProof/>
          <w:sz w:val="22"/>
          <w:szCs w:val="22"/>
        </w:rPr>
      </w:pPr>
      <w:r>
        <w:rPr>
          <w:noProof/>
        </w:rPr>
        <w:t>C.1</w:t>
      </w:r>
      <w:r>
        <w:rPr>
          <w:rFonts w:eastAsiaTheme="minorEastAsia" w:cstheme="minorBidi"/>
          <w:noProof/>
          <w:sz w:val="22"/>
          <w:szCs w:val="22"/>
        </w:rPr>
        <w:tab/>
      </w:r>
      <w:r>
        <w:rPr>
          <w:noProof/>
        </w:rPr>
        <w:t>Type of modifications</w:t>
      </w:r>
      <w:r>
        <w:rPr>
          <w:noProof/>
        </w:rPr>
        <w:tab/>
      </w:r>
      <w:r>
        <w:rPr>
          <w:noProof/>
        </w:rPr>
        <w:fldChar w:fldCharType="begin"/>
      </w:r>
      <w:r>
        <w:rPr>
          <w:noProof/>
        </w:rPr>
        <w:instrText xml:space="preserve"> PAGEREF _Toc70505631 \h </w:instrText>
      </w:r>
      <w:r>
        <w:rPr>
          <w:noProof/>
        </w:rPr>
      </w:r>
      <w:r>
        <w:rPr>
          <w:noProof/>
        </w:rPr>
        <w:fldChar w:fldCharType="separate"/>
      </w:r>
      <w:r w:rsidR="000F445C">
        <w:rPr>
          <w:noProof/>
        </w:rPr>
        <w:t>299</w:t>
      </w:r>
      <w:r>
        <w:rPr>
          <w:noProof/>
        </w:rPr>
        <w:fldChar w:fldCharType="end"/>
      </w:r>
    </w:p>
    <w:p w14:paraId="11186866" w14:textId="2263CAFD" w:rsidR="00390CDB" w:rsidRDefault="00390CDB">
      <w:pPr>
        <w:pStyle w:val="TableofFigures"/>
        <w:rPr>
          <w:rFonts w:eastAsiaTheme="minorEastAsia" w:cstheme="minorBidi"/>
          <w:noProof/>
          <w:sz w:val="22"/>
          <w:szCs w:val="22"/>
        </w:rPr>
      </w:pPr>
      <w:r>
        <w:rPr>
          <w:noProof/>
        </w:rPr>
        <w:t>C.2</w:t>
      </w:r>
      <w:r>
        <w:rPr>
          <w:rFonts w:eastAsiaTheme="minorEastAsia" w:cstheme="minorBidi"/>
          <w:noProof/>
          <w:sz w:val="22"/>
          <w:szCs w:val="22"/>
        </w:rPr>
        <w:tab/>
      </w:r>
      <w:r>
        <w:rPr>
          <w:noProof/>
        </w:rPr>
        <w:t>Additional formal care needs due to inaccessible housing</w:t>
      </w:r>
      <w:r>
        <w:rPr>
          <w:noProof/>
        </w:rPr>
        <w:tab/>
      </w:r>
      <w:r>
        <w:rPr>
          <w:noProof/>
        </w:rPr>
        <w:fldChar w:fldCharType="begin"/>
      </w:r>
      <w:r>
        <w:rPr>
          <w:noProof/>
        </w:rPr>
        <w:instrText xml:space="preserve"> PAGEREF _Toc70505632 \h </w:instrText>
      </w:r>
      <w:r>
        <w:rPr>
          <w:noProof/>
        </w:rPr>
      </w:r>
      <w:r>
        <w:rPr>
          <w:noProof/>
        </w:rPr>
        <w:fldChar w:fldCharType="separate"/>
      </w:r>
      <w:r w:rsidR="000F445C">
        <w:rPr>
          <w:noProof/>
        </w:rPr>
        <w:t>299</w:t>
      </w:r>
      <w:r>
        <w:rPr>
          <w:noProof/>
        </w:rPr>
        <w:fldChar w:fldCharType="end"/>
      </w:r>
    </w:p>
    <w:p w14:paraId="7069BDA2" w14:textId="678C6DFB" w:rsidR="00390CDB" w:rsidRDefault="00390CDB">
      <w:pPr>
        <w:pStyle w:val="TableofFigures"/>
        <w:rPr>
          <w:rFonts w:eastAsiaTheme="minorEastAsia" w:cstheme="minorBidi"/>
          <w:noProof/>
          <w:sz w:val="22"/>
          <w:szCs w:val="22"/>
        </w:rPr>
      </w:pPr>
      <w:r>
        <w:rPr>
          <w:noProof/>
        </w:rPr>
        <w:t>C.3</w:t>
      </w:r>
      <w:r>
        <w:rPr>
          <w:rFonts w:eastAsiaTheme="minorEastAsia" w:cstheme="minorBidi"/>
          <w:noProof/>
          <w:sz w:val="22"/>
          <w:szCs w:val="22"/>
        </w:rPr>
        <w:tab/>
      </w:r>
      <w:r>
        <w:rPr>
          <w:noProof/>
        </w:rPr>
        <w:t>Additional informal care needs due to inaccessible housing</w:t>
      </w:r>
      <w:r>
        <w:rPr>
          <w:noProof/>
        </w:rPr>
        <w:tab/>
      </w:r>
      <w:r>
        <w:rPr>
          <w:noProof/>
        </w:rPr>
        <w:fldChar w:fldCharType="begin"/>
      </w:r>
      <w:r>
        <w:rPr>
          <w:noProof/>
        </w:rPr>
        <w:instrText xml:space="preserve"> PAGEREF _Toc70505633 \h </w:instrText>
      </w:r>
      <w:r>
        <w:rPr>
          <w:noProof/>
        </w:rPr>
      </w:r>
      <w:r>
        <w:rPr>
          <w:noProof/>
        </w:rPr>
        <w:fldChar w:fldCharType="separate"/>
      </w:r>
      <w:r w:rsidR="000F445C">
        <w:rPr>
          <w:noProof/>
        </w:rPr>
        <w:t>302</w:t>
      </w:r>
      <w:r>
        <w:rPr>
          <w:noProof/>
        </w:rPr>
        <w:fldChar w:fldCharType="end"/>
      </w:r>
    </w:p>
    <w:p w14:paraId="239CF2FA" w14:textId="4A457FA2" w:rsidR="00390CDB" w:rsidRDefault="00390CDB">
      <w:pPr>
        <w:pStyle w:val="TableofFigures"/>
        <w:rPr>
          <w:rFonts w:eastAsiaTheme="minorEastAsia" w:cstheme="minorBidi"/>
          <w:noProof/>
          <w:sz w:val="22"/>
          <w:szCs w:val="22"/>
        </w:rPr>
      </w:pPr>
      <w:r>
        <w:rPr>
          <w:noProof/>
        </w:rPr>
        <w:t>C.4</w:t>
      </w:r>
      <w:r>
        <w:rPr>
          <w:rFonts w:eastAsiaTheme="minorEastAsia" w:cstheme="minorBidi"/>
          <w:noProof/>
          <w:sz w:val="22"/>
          <w:szCs w:val="22"/>
        </w:rPr>
        <w:tab/>
      </w:r>
      <w:r>
        <w:rPr>
          <w:noProof/>
        </w:rPr>
        <w:t>Estimating the number of people affected</w:t>
      </w:r>
      <w:r>
        <w:rPr>
          <w:noProof/>
        </w:rPr>
        <w:tab/>
      </w:r>
      <w:r>
        <w:rPr>
          <w:noProof/>
        </w:rPr>
        <w:fldChar w:fldCharType="begin"/>
      </w:r>
      <w:r>
        <w:rPr>
          <w:noProof/>
        </w:rPr>
        <w:instrText xml:space="preserve"> PAGEREF _Toc70505634 \h </w:instrText>
      </w:r>
      <w:r>
        <w:rPr>
          <w:noProof/>
        </w:rPr>
      </w:r>
      <w:r>
        <w:rPr>
          <w:noProof/>
        </w:rPr>
        <w:fldChar w:fldCharType="separate"/>
      </w:r>
      <w:r w:rsidR="000F445C">
        <w:rPr>
          <w:noProof/>
        </w:rPr>
        <w:t>303</w:t>
      </w:r>
      <w:r>
        <w:rPr>
          <w:noProof/>
        </w:rPr>
        <w:fldChar w:fldCharType="end"/>
      </w:r>
    </w:p>
    <w:p w14:paraId="572235DD" w14:textId="584DAAC7" w:rsidR="00390CDB" w:rsidRDefault="00390CDB">
      <w:pPr>
        <w:pStyle w:val="TableofFigures"/>
        <w:rPr>
          <w:rFonts w:eastAsiaTheme="minorEastAsia" w:cstheme="minorBidi"/>
          <w:noProof/>
          <w:sz w:val="22"/>
          <w:szCs w:val="22"/>
        </w:rPr>
      </w:pPr>
      <w:r>
        <w:rPr>
          <w:noProof/>
        </w:rPr>
        <w:t>C.5</w:t>
      </w:r>
      <w:r>
        <w:rPr>
          <w:rFonts w:eastAsiaTheme="minorEastAsia" w:cstheme="minorBidi"/>
          <w:noProof/>
          <w:sz w:val="22"/>
          <w:szCs w:val="22"/>
        </w:rPr>
        <w:tab/>
      </w:r>
      <w:r>
        <w:rPr>
          <w:noProof/>
        </w:rPr>
        <w:t>Number of people receiving care</w:t>
      </w:r>
      <w:r>
        <w:rPr>
          <w:noProof/>
        </w:rPr>
        <w:tab/>
      </w:r>
      <w:r>
        <w:rPr>
          <w:noProof/>
        </w:rPr>
        <w:fldChar w:fldCharType="begin"/>
      </w:r>
      <w:r>
        <w:rPr>
          <w:noProof/>
        </w:rPr>
        <w:instrText xml:space="preserve"> PAGEREF _Toc70505635 \h </w:instrText>
      </w:r>
      <w:r>
        <w:rPr>
          <w:noProof/>
        </w:rPr>
      </w:r>
      <w:r>
        <w:rPr>
          <w:noProof/>
        </w:rPr>
        <w:fldChar w:fldCharType="separate"/>
      </w:r>
      <w:r w:rsidR="000F445C">
        <w:rPr>
          <w:noProof/>
        </w:rPr>
        <w:t>304</w:t>
      </w:r>
      <w:r>
        <w:rPr>
          <w:noProof/>
        </w:rPr>
        <w:fldChar w:fldCharType="end"/>
      </w:r>
    </w:p>
    <w:p w14:paraId="56793F58" w14:textId="51127A76" w:rsidR="00390CDB" w:rsidRDefault="00390CDB">
      <w:pPr>
        <w:pStyle w:val="TableofFigures"/>
        <w:rPr>
          <w:rFonts w:eastAsiaTheme="minorEastAsia" w:cstheme="minorBidi"/>
          <w:noProof/>
          <w:sz w:val="22"/>
          <w:szCs w:val="22"/>
        </w:rPr>
      </w:pPr>
      <w:r>
        <w:rPr>
          <w:noProof/>
        </w:rPr>
        <w:t>D.1</w:t>
      </w:r>
      <w:r>
        <w:rPr>
          <w:rFonts w:eastAsiaTheme="minorEastAsia" w:cstheme="minorBidi"/>
          <w:noProof/>
          <w:sz w:val="22"/>
          <w:szCs w:val="22"/>
        </w:rPr>
        <w:tab/>
      </w:r>
      <w:r>
        <w:rPr>
          <w:noProof/>
        </w:rPr>
        <w:t>Avoidable modifications</w:t>
      </w:r>
      <w:r>
        <w:rPr>
          <w:noProof/>
        </w:rPr>
        <w:tab/>
      </w:r>
      <w:r>
        <w:rPr>
          <w:noProof/>
        </w:rPr>
        <w:fldChar w:fldCharType="begin"/>
      </w:r>
      <w:r>
        <w:rPr>
          <w:noProof/>
        </w:rPr>
        <w:instrText xml:space="preserve"> PAGEREF _Toc70505636 \h </w:instrText>
      </w:r>
      <w:r>
        <w:rPr>
          <w:noProof/>
        </w:rPr>
      </w:r>
      <w:r>
        <w:rPr>
          <w:noProof/>
        </w:rPr>
        <w:fldChar w:fldCharType="separate"/>
      </w:r>
      <w:r w:rsidR="000F445C">
        <w:rPr>
          <w:noProof/>
        </w:rPr>
        <w:t>305</w:t>
      </w:r>
      <w:r>
        <w:rPr>
          <w:noProof/>
        </w:rPr>
        <w:fldChar w:fldCharType="end"/>
      </w:r>
    </w:p>
    <w:p w14:paraId="047FE791" w14:textId="51226AFC" w:rsidR="00390CDB" w:rsidRDefault="00390CDB">
      <w:pPr>
        <w:pStyle w:val="TableofFigures"/>
        <w:rPr>
          <w:rFonts w:eastAsiaTheme="minorEastAsia" w:cstheme="minorBidi"/>
          <w:noProof/>
          <w:sz w:val="22"/>
          <w:szCs w:val="22"/>
        </w:rPr>
      </w:pPr>
      <w:r>
        <w:rPr>
          <w:noProof/>
        </w:rPr>
        <w:t>D.2</w:t>
      </w:r>
      <w:r>
        <w:rPr>
          <w:rFonts w:eastAsiaTheme="minorEastAsia" w:cstheme="minorBidi"/>
          <w:noProof/>
          <w:sz w:val="22"/>
          <w:szCs w:val="22"/>
        </w:rPr>
        <w:tab/>
      </w:r>
      <w:r>
        <w:rPr>
          <w:noProof/>
        </w:rPr>
        <w:t>Number of dwellings modified</w:t>
      </w:r>
      <w:r>
        <w:rPr>
          <w:noProof/>
        </w:rPr>
        <w:tab/>
      </w:r>
      <w:r>
        <w:rPr>
          <w:noProof/>
        </w:rPr>
        <w:fldChar w:fldCharType="begin"/>
      </w:r>
      <w:r>
        <w:rPr>
          <w:noProof/>
        </w:rPr>
        <w:instrText xml:space="preserve"> PAGEREF _Toc70505637 \h </w:instrText>
      </w:r>
      <w:r>
        <w:rPr>
          <w:noProof/>
        </w:rPr>
      </w:r>
      <w:r>
        <w:rPr>
          <w:noProof/>
        </w:rPr>
        <w:fldChar w:fldCharType="separate"/>
      </w:r>
      <w:r w:rsidR="000F445C">
        <w:rPr>
          <w:noProof/>
        </w:rPr>
        <w:t>306</w:t>
      </w:r>
      <w:r>
        <w:rPr>
          <w:noProof/>
        </w:rPr>
        <w:fldChar w:fldCharType="end"/>
      </w:r>
    </w:p>
    <w:p w14:paraId="39E35BED" w14:textId="30451F76" w:rsidR="00390CDB" w:rsidRDefault="00390CDB">
      <w:pPr>
        <w:pStyle w:val="TableofFigures"/>
        <w:rPr>
          <w:rFonts w:eastAsiaTheme="minorEastAsia" w:cstheme="minorBidi"/>
          <w:noProof/>
          <w:sz w:val="22"/>
          <w:szCs w:val="22"/>
        </w:rPr>
      </w:pPr>
      <w:r>
        <w:rPr>
          <w:noProof/>
        </w:rPr>
        <w:lastRenderedPageBreak/>
        <w:t>D.3</w:t>
      </w:r>
      <w:r>
        <w:rPr>
          <w:rFonts w:eastAsiaTheme="minorEastAsia" w:cstheme="minorBidi"/>
          <w:noProof/>
          <w:sz w:val="22"/>
          <w:szCs w:val="22"/>
        </w:rPr>
        <w:tab/>
      </w:r>
      <w:r>
        <w:rPr>
          <w:noProof/>
        </w:rPr>
        <w:t>Weighted average cost of modifications for Class 1a dwellings</w:t>
      </w:r>
      <w:r>
        <w:rPr>
          <w:noProof/>
        </w:rPr>
        <w:tab/>
      </w:r>
      <w:r>
        <w:rPr>
          <w:noProof/>
        </w:rPr>
        <w:fldChar w:fldCharType="begin"/>
      </w:r>
      <w:r>
        <w:rPr>
          <w:noProof/>
        </w:rPr>
        <w:instrText xml:space="preserve"> PAGEREF _Toc70505638 \h </w:instrText>
      </w:r>
      <w:r>
        <w:rPr>
          <w:noProof/>
        </w:rPr>
      </w:r>
      <w:r>
        <w:rPr>
          <w:noProof/>
        </w:rPr>
        <w:fldChar w:fldCharType="separate"/>
      </w:r>
      <w:r w:rsidR="000F445C">
        <w:rPr>
          <w:noProof/>
        </w:rPr>
        <w:t>307</w:t>
      </w:r>
      <w:r>
        <w:rPr>
          <w:noProof/>
        </w:rPr>
        <w:fldChar w:fldCharType="end"/>
      </w:r>
    </w:p>
    <w:p w14:paraId="624A5A0E" w14:textId="0878BFE4" w:rsidR="00390CDB" w:rsidRDefault="00390CDB">
      <w:pPr>
        <w:pStyle w:val="TableofFigures"/>
        <w:rPr>
          <w:rFonts w:eastAsiaTheme="minorEastAsia" w:cstheme="minorBidi"/>
          <w:noProof/>
          <w:sz w:val="22"/>
          <w:szCs w:val="22"/>
        </w:rPr>
      </w:pPr>
      <w:r>
        <w:rPr>
          <w:noProof/>
        </w:rPr>
        <w:t>D.4</w:t>
      </w:r>
      <w:r>
        <w:rPr>
          <w:rFonts w:eastAsiaTheme="minorEastAsia" w:cstheme="minorBidi"/>
          <w:noProof/>
          <w:sz w:val="22"/>
          <w:szCs w:val="22"/>
        </w:rPr>
        <w:tab/>
      </w:r>
      <w:r>
        <w:rPr>
          <w:noProof/>
        </w:rPr>
        <w:t>Weighted average cost of modifications for Class 2 dwellings</w:t>
      </w:r>
      <w:r>
        <w:rPr>
          <w:noProof/>
        </w:rPr>
        <w:tab/>
      </w:r>
      <w:r>
        <w:rPr>
          <w:noProof/>
        </w:rPr>
        <w:fldChar w:fldCharType="begin"/>
      </w:r>
      <w:r>
        <w:rPr>
          <w:noProof/>
        </w:rPr>
        <w:instrText xml:space="preserve"> PAGEREF _Toc70505639 \h </w:instrText>
      </w:r>
      <w:r>
        <w:rPr>
          <w:noProof/>
        </w:rPr>
      </w:r>
      <w:r>
        <w:rPr>
          <w:noProof/>
        </w:rPr>
        <w:fldChar w:fldCharType="separate"/>
      </w:r>
      <w:r w:rsidR="000F445C">
        <w:rPr>
          <w:noProof/>
        </w:rPr>
        <w:t>307</w:t>
      </w:r>
      <w:r>
        <w:rPr>
          <w:noProof/>
        </w:rPr>
        <w:fldChar w:fldCharType="end"/>
      </w:r>
    </w:p>
    <w:p w14:paraId="596DA573" w14:textId="3F42A3B8" w:rsidR="00390CDB" w:rsidRDefault="00390CDB">
      <w:pPr>
        <w:pStyle w:val="TableofFigures"/>
        <w:rPr>
          <w:rFonts w:eastAsiaTheme="minorEastAsia" w:cstheme="minorBidi"/>
          <w:noProof/>
          <w:sz w:val="22"/>
          <w:szCs w:val="22"/>
        </w:rPr>
      </w:pPr>
      <w:r>
        <w:rPr>
          <w:noProof/>
        </w:rPr>
        <w:t>E.1</w:t>
      </w:r>
      <w:r>
        <w:rPr>
          <w:rFonts w:eastAsiaTheme="minorEastAsia" w:cstheme="minorBidi"/>
          <w:noProof/>
          <w:sz w:val="22"/>
          <w:szCs w:val="22"/>
        </w:rPr>
        <w:tab/>
      </w:r>
      <w:r>
        <w:rPr>
          <w:noProof/>
        </w:rPr>
        <w:t>Cost of each additional move</w:t>
      </w:r>
      <w:r>
        <w:rPr>
          <w:noProof/>
        </w:rPr>
        <w:tab/>
      </w:r>
      <w:r>
        <w:rPr>
          <w:noProof/>
        </w:rPr>
        <w:fldChar w:fldCharType="begin"/>
      </w:r>
      <w:r>
        <w:rPr>
          <w:noProof/>
        </w:rPr>
        <w:instrText xml:space="preserve"> PAGEREF _Toc70505640 \h </w:instrText>
      </w:r>
      <w:r>
        <w:rPr>
          <w:noProof/>
        </w:rPr>
      </w:r>
      <w:r>
        <w:rPr>
          <w:noProof/>
        </w:rPr>
        <w:fldChar w:fldCharType="separate"/>
      </w:r>
      <w:r w:rsidR="000F445C">
        <w:rPr>
          <w:noProof/>
        </w:rPr>
        <w:t>309</w:t>
      </w:r>
      <w:r>
        <w:rPr>
          <w:noProof/>
        </w:rPr>
        <w:fldChar w:fldCharType="end"/>
      </w:r>
    </w:p>
    <w:p w14:paraId="5E7108DD" w14:textId="75618CE8" w:rsidR="00390CDB" w:rsidRDefault="00390CDB">
      <w:pPr>
        <w:pStyle w:val="TableofFigures"/>
        <w:rPr>
          <w:rFonts w:eastAsiaTheme="minorEastAsia" w:cstheme="minorBidi"/>
          <w:noProof/>
          <w:sz w:val="22"/>
          <w:szCs w:val="22"/>
        </w:rPr>
      </w:pPr>
      <w:r>
        <w:rPr>
          <w:noProof/>
        </w:rPr>
        <w:t>E.2</w:t>
      </w:r>
      <w:r>
        <w:rPr>
          <w:rFonts w:eastAsiaTheme="minorEastAsia" w:cstheme="minorBidi"/>
          <w:noProof/>
          <w:sz w:val="22"/>
          <w:szCs w:val="22"/>
        </w:rPr>
        <w:tab/>
      </w:r>
      <w:r>
        <w:rPr>
          <w:noProof/>
        </w:rPr>
        <w:t>Weighted average price</w:t>
      </w:r>
      <w:r>
        <w:rPr>
          <w:noProof/>
        </w:rPr>
        <w:tab/>
      </w:r>
      <w:r>
        <w:rPr>
          <w:noProof/>
        </w:rPr>
        <w:fldChar w:fldCharType="begin"/>
      </w:r>
      <w:r>
        <w:rPr>
          <w:noProof/>
        </w:rPr>
        <w:instrText xml:space="preserve"> PAGEREF _Toc70505641 \h </w:instrText>
      </w:r>
      <w:r>
        <w:rPr>
          <w:noProof/>
        </w:rPr>
      </w:r>
      <w:r>
        <w:rPr>
          <w:noProof/>
        </w:rPr>
        <w:fldChar w:fldCharType="separate"/>
      </w:r>
      <w:r w:rsidR="000F445C">
        <w:rPr>
          <w:noProof/>
        </w:rPr>
        <w:t>310</w:t>
      </w:r>
      <w:r>
        <w:rPr>
          <w:noProof/>
        </w:rPr>
        <w:fldChar w:fldCharType="end"/>
      </w:r>
    </w:p>
    <w:p w14:paraId="316DE931" w14:textId="304BB76C" w:rsidR="00390CDB" w:rsidRDefault="00390CDB">
      <w:pPr>
        <w:pStyle w:val="TableofFigures"/>
        <w:rPr>
          <w:rFonts w:eastAsiaTheme="minorEastAsia" w:cstheme="minorBidi"/>
          <w:noProof/>
          <w:sz w:val="22"/>
          <w:szCs w:val="22"/>
        </w:rPr>
      </w:pPr>
      <w:r>
        <w:rPr>
          <w:noProof/>
        </w:rPr>
        <w:t>E.3</w:t>
      </w:r>
      <w:r>
        <w:rPr>
          <w:rFonts w:eastAsiaTheme="minorEastAsia" w:cstheme="minorBidi"/>
          <w:noProof/>
          <w:sz w:val="22"/>
          <w:szCs w:val="22"/>
        </w:rPr>
        <w:tab/>
      </w:r>
      <w:r>
        <w:rPr>
          <w:noProof/>
        </w:rPr>
        <w:t>Main reasons for moving</w:t>
      </w:r>
      <w:r>
        <w:rPr>
          <w:noProof/>
        </w:rPr>
        <w:tab/>
      </w:r>
      <w:r>
        <w:rPr>
          <w:noProof/>
        </w:rPr>
        <w:fldChar w:fldCharType="begin"/>
      </w:r>
      <w:r>
        <w:rPr>
          <w:noProof/>
        </w:rPr>
        <w:instrText xml:space="preserve"> PAGEREF _Toc70505642 \h </w:instrText>
      </w:r>
      <w:r>
        <w:rPr>
          <w:noProof/>
        </w:rPr>
      </w:r>
      <w:r>
        <w:rPr>
          <w:noProof/>
        </w:rPr>
        <w:fldChar w:fldCharType="separate"/>
      </w:r>
      <w:r w:rsidR="000F445C">
        <w:rPr>
          <w:noProof/>
        </w:rPr>
        <w:t>311</w:t>
      </w:r>
      <w:r>
        <w:rPr>
          <w:noProof/>
        </w:rPr>
        <w:fldChar w:fldCharType="end"/>
      </w:r>
    </w:p>
    <w:p w14:paraId="6097CDA6" w14:textId="1BF8DBAD" w:rsidR="00390CDB" w:rsidRDefault="00390CDB">
      <w:pPr>
        <w:pStyle w:val="TableofFigures"/>
        <w:rPr>
          <w:rFonts w:eastAsiaTheme="minorEastAsia" w:cstheme="minorBidi"/>
          <w:noProof/>
          <w:sz w:val="22"/>
          <w:szCs w:val="22"/>
        </w:rPr>
      </w:pPr>
      <w:r>
        <w:rPr>
          <w:noProof/>
        </w:rPr>
        <w:t>E.4</w:t>
      </w:r>
      <w:r>
        <w:rPr>
          <w:rFonts w:eastAsiaTheme="minorEastAsia" w:cstheme="minorBidi"/>
          <w:noProof/>
          <w:sz w:val="22"/>
          <w:szCs w:val="22"/>
        </w:rPr>
        <w:tab/>
      </w:r>
      <w:r>
        <w:rPr>
          <w:noProof/>
        </w:rPr>
        <w:t>Number of years since accident happened or main condition occurred</w:t>
      </w:r>
      <w:r>
        <w:rPr>
          <w:noProof/>
        </w:rPr>
        <w:tab/>
      </w:r>
      <w:r>
        <w:rPr>
          <w:noProof/>
        </w:rPr>
        <w:fldChar w:fldCharType="begin"/>
      </w:r>
      <w:r>
        <w:rPr>
          <w:noProof/>
        </w:rPr>
        <w:instrText xml:space="preserve"> PAGEREF _Toc70505643 \h </w:instrText>
      </w:r>
      <w:r>
        <w:rPr>
          <w:noProof/>
        </w:rPr>
      </w:r>
      <w:r>
        <w:rPr>
          <w:noProof/>
        </w:rPr>
        <w:fldChar w:fldCharType="separate"/>
      </w:r>
      <w:r w:rsidR="000F445C">
        <w:rPr>
          <w:noProof/>
        </w:rPr>
        <w:t>312</w:t>
      </w:r>
      <w:r>
        <w:rPr>
          <w:noProof/>
        </w:rPr>
        <w:fldChar w:fldCharType="end"/>
      </w:r>
    </w:p>
    <w:p w14:paraId="3AB932C5" w14:textId="49DD2A59" w:rsidR="00390CDB" w:rsidRDefault="00390CDB">
      <w:pPr>
        <w:pStyle w:val="TableofFigures"/>
        <w:rPr>
          <w:rFonts w:eastAsiaTheme="minorEastAsia" w:cstheme="minorBidi"/>
          <w:noProof/>
          <w:sz w:val="22"/>
          <w:szCs w:val="22"/>
        </w:rPr>
      </w:pPr>
      <w:r>
        <w:rPr>
          <w:noProof/>
        </w:rPr>
        <w:t>E.5</w:t>
      </w:r>
      <w:r>
        <w:rPr>
          <w:rFonts w:eastAsiaTheme="minorEastAsia" w:cstheme="minorBidi"/>
          <w:noProof/>
          <w:sz w:val="22"/>
          <w:szCs w:val="22"/>
        </w:rPr>
        <w:tab/>
      </w:r>
      <w:r>
        <w:rPr>
          <w:noProof/>
        </w:rPr>
        <w:t>Estimated number of additional moves per year — lower bound estimate</w:t>
      </w:r>
      <w:r>
        <w:rPr>
          <w:noProof/>
        </w:rPr>
        <w:tab/>
      </w:r>
      <w:r>
        <w:rPr>
          <w:noProof/>
        </w:rPr>
        <w:fldChar w:fldCharType="begin"/>
      </w:r>
      <w:r>
        <w:rPr>
          <w:noProof/>
        </w:rPr>
        <w:instrText xml:space="preserve"> PAGEREF _Toc70505644 \h </w:instrText>
      </w:r>
      <w:r>
        <w:rPr>
          <w:noProof/>
        </w:rPr>
      </w:r>
      <w:r>
        <w:rPr>
          <w:noProof/>
        </w:rPr>
        <w:fldChar w:fldCharType="separate"/>
      </w:r>
      <w:r w:rsidR="000F445C">
        <w:rPr>
          <w:noProof/>
        </w:rPr>
        <w:t>313</w:t>
      </w:r>
      <w:r>
        <w:rPr>
          <w:noProof/>
        </w:rPr>
        <w:fldChar w:fldCharType="end"/>
      </w:r>
    </w:p>
    <w:p w14:paraId="6DDD84C2" w14:textId="750560A4" w:rsidR="00390CDB" w:rsidRDefault="00390CDB">
      <w:pPr>
        <w:pStyle w:val="TableofFigures"/>
        <w:rPr>
          <w:rFonts w:eastAsiaTheme="minorEastAsia" w:cstheme="minorBidi"/>
          <w:noProof/>
          <w:sz w:val="22"/>
          <w:szCs w:val="22"/>
        </w:rPr>
      </w:pPr>
      <w:r>
        <w:rPr>
          <w:noProof/>
        </w:rPr>
        <w:t>E.6</w:t>
      </w:r>
      <w:r>
        <w:rPr>
          <w:rFonts w:eastAsiaTheme="minorEastAsia" w:cstheme="minorBidi"/>
          <w:noProof/>
          <w:sz w:val="22"/>
          <w:szCs w:val="22"/>
        </w:rPr>
        <w:tab/>
      </w:r>
      <w:r>
        <w:rPr>
          <w:noProof/>
        </w:rPr>
        <w:t>Estimated number of additional moves per year — upper bound estimate</w:t>
      </w:r>
      <w:r>
        <w:rPr>
          <w:noProof/>
        </w:rPr>
        <w:tab/>
      </w:r>
      <w:r>
        <w:rPr>
          <w:noProof/>
        </w:rPr>
        <w:fldChar w:fldCharType="begin"/>
      </w:r>
      <w:r>
        <w:rPr>
          <w:noProof/>
        </w:rPr>
        <w:instrText xml:space="preserve"> PAGEREF _Toc70505645 \h </w:instrText>
      </w:r>
      <w:r>
        <w:rPr>
          <w:noProof/>
        </w:rPr>
      </w:r>
      <w:r>
        <w:rPr>
          <w:noProof/>
        </w:rPr>
        <w:fldChar w:fldCharType="separate"/>
      </w:r>
      <w:r w:rsidR="000F445C">
        <w:rPr>
          <w:noProof/>
        </w:rPr>
        <w:t>313</w:t>
      </w:r>
      <w:r>
        <w:rPr>
          <w:noProof/>
        </w:rPr>
        <w:fldChar w:fldCharType="end"/>
      </w:r>
    </w:p>
    <w:p w14:paraId="663AF478" w14:textId="05DDE445" w:rsidR="00390CDB" w:rsidRDefault="00390CDB">
      <w:pPr>
        <w:pStyle w:val="TableofFigures"/>
        <w:rPr>
          <w:rFonts w:eastAsiaTheme="minorEastAsia" w:cstheme="minorBidi"/>
          <w:noProof/>
          <w:sz w:val="22"/>
          <w:szCs w:val="22"/>
        </w:rPr>
      </w:pPr>
      <w:r>
        <w:rPr>
          <w:noProof/>
        </w:rPr>
        <w:t>F.1</w:t>
      </w:r>
      <w:r>
        <w:rPr>
          <w:rFonts w:eastAsiaTheme="minorEastAsia" w:cstheme="minorBidi"/>
          <w:noProof/>
          <w:sz w:val="22"/>
          <w:szCs w:val="22"/>
        </w:rPr>
        <w:tab/>
      </w:r>
      <w:r>
        <w:rPr>
          <w:noProof/>
        </w:rPr>
        <w:t>Summary of Australian literature on the causes of delayed discharge</w:t>
      </w:r>
      <w:r>
        <w:rPr>
          <w:noProof/>
        </w:rPr>
        <w:tab/>
      </w:r>
      <w:r>
        <w:rPr>
          <w:noProof/>
        </w:rPr>
        <w:fldChar w:fldCharType="begin"/>
      </w:r>
      <w:r>
        <w:rPr>
          <w:noProof/>
        </w:rPr>
        <w:instrText xml:space="preserve"> PAGEREF _Toc70505646 \h </w:instrText>
      </w:r>
      <w:r>
        <w:rPr>
          <w:noProof/>
        </w:rPr>
      </w:r>
      <w:r>
        <w:rPr>
          <w:noProof/>
        </w:rPr>
        <w:fldChar w:fldCharType="separate"/>
      </w:r>
      <w:r w:rsidR="000F445C">
        <w:rPr>
          <w:noProof/>
        </w:rPr>
        <w:t>314</w:t>
      </w:r>
      <w:r>
        <w:rPr>
          <w:noProof/>
        </w:rPr>
        <w:fldChar w:fldCharType="end"/>
      </w:r>
    </w:p>
    <w:p w14:paraId="7EC1924E" w14:textId="675462FC" w:rsidR="00390CDB" w:rsidRDefault="00390CDB">
      <w:pPr>
        <w:pStyle w:val="TableofFigures"/>
        <w:rPr>
          <w:rFonts w:eastAsiaTheme="minorEastAsia" w:cstheme="minorBidi"/>
          <w:noProof/>
          <w:sz w:val="22"/>
          <w:szCs w:val="22"/>
        </w:rPr>
      </w:pPr>
      <w:r>
        <w:rPr>
          <w:noProof/>
        </w:rPr>
        <w:t>F.2</w:t>
      </w:r>
      <w:r>
        <w:rPr>
          <w:rFonts w:eastAsiaTheme="minorEastAsia" w:cstheme="minorBidi"/>
          <w:noProof/>
          <w:sz w:val="22"/>
          <w:szCs w:val="22"/>
        </w:rPr>
        <w:tab/>
      </w:r>
      <w:r>
        <w:rPr>
          <w:noProof/>
        </w:rPr>
        <w:t>Relevant types of care</w:t>
      </w:r>
      <w:r>
        <w:rPr>
          <w:noProof/>
        </w:rPr>
        <w:tab/>
      </w:r>
      <w:r>
        <w:rPr>
          <w:noProof/>
        </w:rPr>
        <w:fldChar w:fldCharType="begin"/>
      </w:r>
      <w:r>
        <w:rPr>
          <w:noProof/>
        </w:rPr>
        <w:instrText xml:space="preserve"> PAGEREF _Toc70505647 \h </w:instrText>
      </w:r>
      <w:r>
        <w:rPr>
          <w:noProof/>
        </w:rPr>
      </w:r>
      <w:r>
        <w:rPr>
          <w:noProof/>
        </w:rPr>
        <w:fldChar w:fldCharType="separate"/>
      </w:r>
      <w:r w:rsidR="000F445C">
        <w:rPr>
          <w:noProof/>
        </w:rPr>
        <w:t>316</w:t>
      </w:r>
      <w:r>
        <w:rPr>
          <w:noProof/>
        </w:rPr>
        <w:fldChar w:fldCharType="end"/>
      </w:r>
    </w:p>
    <w:p w14:paraId="6316BE0F" w14:textId="0D7B6AB7" w:rsidR="00390CDB" w:rsidRDefault="00390CDB">
      <w:pPr>
        <w:pStyle w:val="TableofFigures"/>
        <w:rPr>
          <w:rFonts w:eastAsiaTheme="minorEastAsia" w:cstheme="minorBidi"/>
          <w:noProof/>
          <w:sz w:val="22"/>
          <w:szCs w:val="22"/>
        </w:rPr>
      </w:pPr>
      <w:r>
        <w:rPr>
          <w:noProof/>
        </w:rPr>
        <w:t>G.1</w:t>
      </w:r>
      <w:r>
        <w:rPr>
          <w:rFonts w:eastAsiaTheme="minorEastAsia" w:cstheme="minorBidi"/>
          <w:noProof/>
          <w:sz w:val="22"/>
          <w:szCs w:val="22"/>
        </w:rPr>
        <w:tab/>
      </w:r>
      <w:r>
        <w:rPr>
          <w:noProof/>
        </w:rPr>
        <w:t>Frequency of contact with family or friends</w:t>
      </w:r>
      <w:r>
        <w:rPr>
          <w:noProof/>
        </w:rPr>
        <w:tab/>
      </w:r>
      <w:r>
        <w:rPr>
          <w:noProof/>
        </w:rPr>
        <w:fldChar w:fldCharType="begin"/>
      </w:r>
      <w:r>
        <w:rPr>
          <w:noProof/>
        </w:rPr>
        <w:instrText xml:space="preserve"> PAGEREF _Toc70505648 \h </w:instrText>
      </w:r>
      <w:r>
        <w:rPr>
          <w:noProof/>
        </w:rPr>
      </w:r>
      <w:r>
        <w:rPr>
          <w:noProof/>
        </w:rPr>
        <w:fldChar w:fldCharType="separate"/>
      </w:r>
      <w:r w:rsidR="000F445C">
        <w:rPr>
          <w:noProof/>
        </w:rPr>
        <w:t>319</w:t>
      </w:r>
      <w:r>
        <w:rPr>
          <w:noProof/>
        </w:rPr>
        <w:fldChar w:fldCharType="end"/>
      </w:r>
    </w:p>
    <w:p w14:paraId="7A862BDF" w14:textId="685EB2A4" w:rsidR="00390CDB" w:rsidRDefault="00390CDB">
      <w:pPr>
        <w:pStyle w:val="TableofFigures"/>
        <w:rPr>
          <w:rFonts w:eastAsiaTheme="minorEastAsia" w:cstheme="minorBidi"/>
          <w:noProof/>
          <w:sz w:val="22"/>
          <w:szCs w:val="22"/>
        </w:rPr>
      </w:pPr>
      <w:r>
        <w:rPr>
          <w:noProof/>
        </w:rPr>
        <w:t>G.2</w:t>
      </w:r>
      <w:r>
        <w:rPr>
          <w:rFonts w:eastAsiaTheme="minorEastAsia" w:cstheme="minorBidi"/>
          <w:noProof/>
          <w:sz w:val="22"/>
          <w:szCs w:val="22"/>
        </w:rPr>
        <w:tab/>
      </w:r>
      <w:r>
        <w:rPr>
          <w:noProof/>
        </w:rPr>
        <w:t>Share of identified population who would like to see family and friends more often</w:t>
      </w:r>
      <w:r>
        <w:rPr>
          <w:noProof/>
        </w:rPr>
        <w:tab/>
      </w:r>
      <w:r>
        <w:rPr>
          <w:noProof/>
        </w:rPr>
        <w:fldChar w:fldCharType="begin"/>
      </w:r>
      <w:r>
        <w:rPr>
          <w:noProof/>
        </w:rPr>
        <w:instrText xml:space="preserve"> PAGEREF _Toc70505649 \h </w:instrText>
      </w:r>
      <w:r>
        <w:rPr>
          <w:noProof/>
        </w:rPr>
      </w:r>
      <w:r>
        <w:rPr>
          <w:noProof/>
        </w:rPr>
        <w:fldChar w:fldCharType="separate"/>
      </w:r>
      <w:r w:rsidR="000F445C">
        <w:rPr>
          <w:noProof/>
        </w:rPr>
        <w:t>319</w:t>
      </w:r>
      <w:r>
        <w:rPr>
          <w:noProof/>
        </w:rPr>
        <w:fldChar w:fldCharType="end"/>
      </w:r>
    </w:p>
    <w:p w14:paraId="084E15D5" w14:textId="35DA4959" w:rsidR="00390CDB" w:rsidRDefault="00390CDB">
      <w:pPr>
        <w:pStyle w:val="TableofFigures"/>
        <w:rPr>
          <w:rFonts w:eastAsiaTheme="minorEastAsia" w:cstheme="minorBidi"/>
          <w:noProof/>
          <w:sz w:val="22"/>
          <w:szCs w:val="22"/>
        </w:rPr>
      </w:pPr>
      <w:r>
        <w:rPr>
          <w:noProof/>
        </w:rPr>
        <w:t>G.3</w:t>
      </w:r>
      <w:r>
        <w:rPr>
          <w:rFonts w:eastAsiaTheme="minorEastAsia" w:cstheme="minorBidi"/>
          <w:noProof/>
          <w:sz w:val="22"/>
          <w:szCs w:val="22"/>
        </w:rPr>
        <w:tab/>
      </w:r>
      <w:r>
        <w:rPr>
          <w:noProof/>
        </w:rPr>
        <w:t>Share of people with a mobility limitation that want more contact with family/friends</w:t>
      </w:r>
      <w:r>
        <w:rPr>
          <w:noProof/>
        </w:rPr>
        <w:tab/>
      </w:r>
      <w:r>
        <w:rPr>
          <w:noProof/>
        </w:rPr>
        <w:fldChar w:fldCharType="begin"/>
      </w:r>
      <w:r>
        <w:rPr>
          <w:noProof/>
        </w:rPr>
        <w:instrText xml:space="preserve"> PAGEREF _Toc70505650 \h </w:instrText>
      </w:r>
      <w:r>
        <w:rPr>
          <w:noProof/>
        </w:rPr>
      </w:r>
      <w:r>
        <w:rPr>
          <w:noProof/>
        </w:rPr>
        <w:fldChar w:fldCharType="separate"/>
      </w:r>
      <w:r w:rsidR="000F445C">
        <w:rPr>
          <w:noProof/>
        </w:rPr>
        <w:t>320</w:t>
      </w:r>
      <w:r>
        <w:rPr>
          <w:noProof/>
        </w:rPr>
        <w:fldChar w:fldCharType="end"/>
      </w:r>
    </w:p>
    <w:p w14:paraId="36A83DC2" w14:textId="3F3E3C4D" w:rsidR="00390CDB" w:rsidRDefault="00390CDB">
      <w:pPr>
        <w:pStyle w:val="TableofFigures"/>
        <w:rPr>
          <w:rFonts w:eastAsiaTheme="minorEastAsia" w:cstheme="minorBidi"/>
          <w:noProof/>
          <w:sz w:val="22"/>
          <w:szCs w:val="22"/>
        </w:rPr>
      </w:pPr>
      <w:r>
        <w:rPr>
          <w:noProof/>
        </w:rPr>
        <w:t>G.4</w:t>
      </w:r>
      <w:r>
        <w:rPr>
          <w:rFonts w:eastAsiaTheme="minorEastAsia" w:cstheme="minorBidi"/>
          <w:noProof/>
          <w:sz w:val="22"/>
          <w:szCs w:val="22"/>
        </w:rPr>
        <w:tab/>
      </w:r>
      <w:r>
        <w:rPr>
          <w:noProof/>
        </w:rPr>
        <w:t>Estimated cost of loneliness due to a lack of accessible housing</w:t>
      </w:r>
      <w:r>
        <w:rPr>
          <w:noProof/>
        </w:rPr>
        <w:tab/>
      </w:r>
      <w:r>
        <w:rPr>
          <w:noProof/>
        </w:rPr>
        <w:fldChar w:fldCharType="begin"/>
      </w:r>
      <w:r>
        <w:rPr>
          <w:noProof/>
        </w:rPr>
        <w:instrText xml:space="preserve"> PAGEREF _Toc70505651 \h </w:instrText>
      </w:r>
      <w:r>
        <w:rPr>
          <w:noProof/>
        </w:rPr>
      </w:r>
      <w:r>
        <w:rPr>
          <w:noProof/>
        </w:rPr>
        <w:fldChar w:fldCharType="separate"/>
      </w:r>
      <w:r w:rsidR="000F445C">
        <w:rPr>
          <w:noProof/>
        </w:rPr>
        <w:t>320</w:t>
      </w:r>
      <w:r>
        <w:rPr>
          <w:noProof/>
        </w:rPr>
        <w:fldChar w:fldCharType="end"/>
      </w:r>
    </w:p>
    <w:p w14:paraId="6F5609D9" w14:textId="5B661CB3" w:rsidR="00390CDB" w:rsidRDefault="00390CDB">
      <w:pPr>
        <w:pStyle w:val="TableofFigures"/>
        <w:rPr>
          <w:rFonts w:eastAsiaTheme="minorEastAsia" w:cstheme="minorBidi"/>
          <w:noProof/>
          <w:sz w:val="22"/>
          <w:szCs w:val="22"/>
        </w:rPr>
      </w:pPr>
      <w:r>
        <w:rPr>
          <w:noProof/>
        </w:rPr>
        <w:t>H.1</w:t>
      </w:r>
      <w:r>
        <w:rPr>
          <w:rFonts w:eastAsiaTheme="minorEastAsia" w:cstheme="minorBidi"/>
          <w:noProof/>
          <w:sz w:val="22"/>
          <w:szCs w:val="22"/>
        </w:rPr>
        <w:tab/>
      </w:r>
      <w:r>
        <w:rPr>
          <w:noProof/>
        </w:rPr>
        <w:t>Additional people in residential aged care due to a lack of accessible housing</w:t>
      </w:r>
      <w:r>
        <w:rPr>
          <w:noProof/>
        </w:rPr>
        <w:tab/>
      </w:r>
      <w:r>
        <w:rPr>
          <w:noProof/>
        </w:rPr>
        <w:fldChar w:fldCharType="begin"/>
      </w:r>
      <w:r>
        <w:rPr>
          <w:noProof/>
        </w:rPr>
        <w:instrText xml:space="preserve"> PAGEREF _Toc70505652 \h </w:instrText>
      </w:r>
      <w:r>
        <w:rPr>
          <w:noProof/>
        </w:rPr>
      </w:r>
      <w:r>
        <w:rPr>
          <w:noProof/>
        </w:rPr>
        <w:fldChar w:fldCharType="separate"/>
      </w:r>
      <w:r w:rsidR="000F445C">
        <w:rPr>
          <w:noProof/>
        </w:rPr>
        <w:t>322</w:t>
      </w:r>
      <w:r>
        <w:rPr>
          <w:noProof/>
        </w:rPr>
        <w:fldChar w:fldCharType="end"/>
      </w:r>
    </w:p>
    <w:p w14:paraId="52C4C9E2" w14:textId="08DB0182" w:rsidR="00390CDB" w:rsidRDefault="00390CDB">
      <w:pPr>
        <w:pStyle w:val="TableofFigures"/>
        <w:rPr>
          <w:rFonts w:eastAsiaTheme="minorEastAsia" w:cstheme="minorBidi"/>
          <w:noProof/>
          <w:sz w:val="22"/>
          <w:szCs w:val="22"/>
        </w:rPr>
      </w:pPr>
      <w:r>
        <w:rPr>
          <w:noProof/>
        </w:rPr>
        <w:t>H.2</w:t>
      </w:r>
      <w:r>
        <w:rPr>
          <w:rFonts w:eastAsiaTheme="minorEastAsia" w:cstheme="minorBidi"/>
          <w:noProof/>
          <w:sz w:val="22"/>
          <w:szCs w:val="22"/>
        </w:rPr>
        <w:tab/>
      </w:r>
      <w:r>
        <w:rPr>
          <w:noProof/>
        </w:rPr>
        <w:t>Recommended long-term living arrangement from aged care assessments</w:t>
      </w:r>
      <w:r>
        <w:rPr>
          <w:noProof/>
        </w:rPr>
        <w:tab/>
      </w:r>
      <w:r>
        <w:rPr>
          <w:noProof/>
        </w:rPr>
        <w:fldChar w:fldCharType="begin"/>
      </w:r>
      <w:r>
        <w:rPr>
          <w:noProof/>
        </w:rPr>
        <w:instrText xml:space="preserve"> PAGEREF _Toc70505653 \h </w:instrText>
      </w:r>
      <w:r>
        <w:rPr>
          <w:noProof/>
        </w:rPr>
      </w:r>
      <w:r>
        <w:rPr>
          <w:noProof/>
        </w:rPr>
        <w:fldChar w:fldCharType="separate"/>
      </w:r>
      <w:r w:rsidR="000F445C">
        <w:rPr>
          <w:noProof/>
        </w:rPr>
        <w:t>324</w:t>
      </w:r>
      <w:r>
        <w:rPr>
          <w:noProof/>
        </w:rPr>
        <w:fldChar w:fldCharType="end"/>
      </w:r>
    </w:p>
    <w:p w14:paraId="6281CD46" w14:textId="1F2C6C43" w:rsidR="00390CDB" w:rsidRDefault="00390CDB">
      <w:pPr>
        <w:pStyle w:val="TableofFigures"/>
        <w:rPr>
          <w:rFonts w:eastAsiaTheme="minorEastAsia" w:cstheme="minorBidi"/>
          <w:noProof/>
          <w:sz w:val="22"/>
          <w:szCs w:val="22"/>
        </w:rPr>
      </w:pPr>
      <w:r>
        <w:rPr>
          <w:noProof/>
        </w:rPr>
        <w:t>H.3</w:t>
      </w:r>
      <w:r>
        <w:rPr>
          <w:rFonts w:eastAsiaTheme="minorEastAsia" w:cstheme="minorBidi"/>
          <w:noProof/>
          <w:sz w:val="22"/>
          <w:szCs w:val="22"/>
        </w:rPr>
        <w:tab/>
      </w:r>
      <w:r>
        <w:rPr>
          <w:noProof/>
        </w:rPr>
        <w:t>Operational number of residential aged care places, Australia-wide</w:t>
      </w:r>
      <w:r>
        <w:rPr>
          <w:noProof/>
        </w:rPr>
        <w:tab/>
      </w:r>
      <w:r>
        <w:rPr>
          <w:noProof/>
        </w:rPr>
        <w:fldChar w:fldCharType="begin"/>
      </w:r>
      <w:r>
        <w:rPr>
          <w:noProof/>
        </w:rPr>
        <w:instrText xml:space="preserve"> PAGEREF _Toc70505654 \h </w:instrText>
      </w:r>
      <w:r>
        <w:rPr>
          <w:noProof/>
        </w:rPr>
      </w:r>
      <w:r>
        <w:rPr>
          <w:noProof/>
        </w:rPr>
        <w:fldChar w:fldCharType="separate"/>
      </w:r>
      <w:r w:rsidR="000F445C">
        <w:rPr>
          <w:noProof/>
        </w:rPr>
        <w:t>324</w:t>
      </w:r>
      <w:r>
        <w:rPr>
          <w:noProof/>
        </w:rPr>
        <w:fldChar w:fldCharType="end"/>
      </w:r>
    </w:p>
    <w:p w14:paraId="28ACDF08" w14:textId="30C842AC" w:rsidR="00390CDB" w:rsidRDefault="00390CDB">
      <w:pPr>
        <w:pStyle w:val="TableofFigures"/>
        <w:rPr>
          <w:rFonts w:eastAsiaTheme="minorEastAsia" w:cstheme="minorBidi"/>
          <w:noProof/>
          <w:sz w:val="22"/>
          <w:szCs w:val="22"/>
        </w:rPr>
      </w:pPr>
      <w:r>
        <w:rPr>
          <w:noProof/>
        </w:rPr>
        <w:t>H.4</w:t>
      </w:r>
      <w:r>
        <w:rPr>
          <w:rFonts w:eastAsiaTheme="minorEastAsia" w:cstheme="minorBidi"/>
          <w:noProof/>
          <w:sz w:val="22"/>
          <w:szCs w:val="22"/>
        </w:rPr>
        <w:tab/>
      </w:r>
      <w:r>
        <w:rPr>
          <w:noProof/>
        </w:rPr>
        <w:t>Logistic model of probability of being in aged care — 2012</w:t>
      </w:r>
      <w:r>
        <w:rPr>
          <w:noProof/>
        </w:rPr>
        <w:tab/>
      </w:r>
      <w:r>
        <w:rPr>
          <w:noProof/>
        </w:rPr>
        <w:fldChar w:fldCharType="begin"/>
      </w:r>
      <w:r>
        <w:rPr>
          <w:noProof/>
        </w:rPr>
        <w:instrText xml:space="preserve"> PAGEREF _Toc70505655 \h </w:instrText>
      </w:r>
      <w:r>
        <w:rPr>
          <w:noProof/>
        </w:rPr>
      </w:r>
      <w:r>
        <w:rPr>
          <w:noProof/>
        </w:rPr>
        <w:fldChar w:fldCharType="separate"/>
      </w:r>
      <w:r w:rsidR="000F445C">
        <w:rPr>
          <w:noProof/>
        </w:rPr>
        <w:t>325</w:t>
      </w:r>
      <w:r>
        <w:rPr>
          <w:noProof/>
        </w:rPr>
        <w:fldChar w:fldCharType="end"/>
      </w:r>
    </w:p>
    <w:p w14:paraId="0AF4FF44" w14:textId="1334093D" w:rsidR="00390CDB" w:rsidRDefault="00390CDB">
      <w:pPr>
        <w:pStyle w:val="TableofFigures"/>
        <w:rPr>
          <w:rFonts w:eastAsiaTheme="minorEastAsia" w:cstheme="minorBidi"/>
          <w:noProof/>
          <w:sz w:val="22"/>
          <w:szCs w:val="22"/>
        </w:rPr>
      </w:pPr>
      <w:r>
        <w:rPr>
          <w:noProof/>
        </w:rPr>
        <w:t>H.5</w:t>
      </w:r>
      <w:r>
        <w:rPr>
          <w:rFonts w:eastAsiaTheme="minorEastAsia" w:cstheme="minorBidi"/>
          <w:noProof/>
          <w:sz w:val="22"/>
          <w:szCs w:val="22"/>
        </w:rPr>
        <w:tab/>
      </w:r>
      <w:r>
        <w:rPr>
          <w:noProof/>
        </w:rPr>
        <w:t>Probability/odds of being in residential aged care — 2018</w:t>
      </w:r>
      <w:r>
        <w:rPr>
          <w:noProof/>
        </w:rPr>
        <w:tab/>
      </w:r>
      <w:r>
        <w:rPr>
          <w:noProof/>
        </w:rPr>
        <w:fldChar w:fldCharType="begin"/>
      </w:r>
      <w:r>
        <w:rPr>
          <w:noProof/>
        </w:rPr>
        <w:instrText xml:space="preserve"> PAGEREF _Toc70505656 \h </w:instrText>
      </w:r>
      <w:r>
        <w:rPr>
          <w:noProof/>
        </w:rPr>
      </w:r>
      <w:r>
        <w:rPr>
          <w:noProof/>
        </w:rPr>
        <w:fldChar w:fldCharType="separate"/>
      </w:r>
      <w:r w:rsidR="000F445C">
        <w:rPr>
          <w:noProof/>
        </w:rPr>
        <w:t>326</w:t>
      </w:r>
      <w:r>
        <w:rPr>
          <w:noProof/>
        </w:rPr>
        <w:fldChar w:fldCharType="end"/>
      </w:r>
    </w:p>
    <w:p w14:paraId="73F18082" w14:textId="6786B37A" w:rsidR="00390CDB" w:rsidRDefault="00390CDB">
      <w:pPr>
        <w:pStyle w:val="TableofFigures"/>
        <w:rPr>
          <w:rFonts w:eastAsiaTheme="minorEastAsia" w:cstheme="minorBidi"/>
          <w:noProof/>
          <w:sz w:val="22"/>
          <w:szCs w:val="22"/>
        </w:rPr>
      </w:pPr>
      <w:r>
        <w:rPr>
          <w:noProof/>
        </w:rPr>
        <w:t>H.6</w:t>
      </w:r>
      <w:r>
        <w:rPr>
          <w:rFonts w:eastAsiaTheme="minorEastAsia" w:cstheme="minorBidi"/>
          <w:noProof/>
          <w:sz w:val="22"/>
          <w:szCs w:val="22"/>
        </w:rPr>
        <w:tab/>
      </w:r>
      <w:r>
        <w:rPr>
          <w:noProof/>
        </w:rPr>
        <w:t>Estimated number of people in residential aged care due to needing help with mobility</w:t>
      </w:r>
      <w:r>
        <w:rPr>
          <w:noProof/>
        </w:rPr>
        <w:tab/>
      </w:r>
      <w:r>
        <w:rPr>
          <w:noProof/>
        </w:rPr>
        <w:fldChar w:fldCharType="begin"/>
      </w:r>
      <w:r>
        <w:rPr>
          <w:noProof/>
        </w:rPr>
        <w:instrText xml:space="preserve"> PAGEREF _Toc70505657 \h </w:instrText>
      </w:r>
      <w:r>
        <w:rPr>
          <w:noProof/>
        </w:rPr>
      </w:r>
      <w:r>
        <w:rPr>
          <w:noProof/>
        </w:rPr>
        <w:fldChar w:fldCharType="separate"/>
      </w:r>
      <w:r w:rsidR="000F445C">
        <w:rPr>
          <w:noProof/>
        </w:rPr>
        <w:t>327</w:t>
      </w:r>
      <w:r>
        <w:rPr>
          <w:noProof/>
        </w:rPr>
        <w:fldChar w:fldCharType="end"/>
      </w:r>
    </w:p>
    <w:p w14:paraId="12DBECE5" w14:textId="5F79D77C" w:rsidR="00390CDB" w:rsidRDefault="00390CDB">
      <w:pPr>
        <w:pStyle w:val="TableofFigures"/>
        <w:rPr>
          <w:rFonts w:eastAsiaTheme="minorEastAsia" w:cstheme="minorBidi"/>
          <w:noProof/>
          <w:sz w:val="22"/>
          <w:szCs w:val="22"/>
        </w:rPr>
      </w:pPr>
      <w:r>
        <w:rPr>
          <w:noProof/>
        </w:rPr>
        <w:t>H.7</w:t>
      </w:r>
      <w:r>
        <w:rPr>
          <w:rFonts w:eastAsiaTheme="minorEastAsia" w:cstheme="minorBidi"/>
          <w:noProof/>
          <w:sz w:val="22"/>
          <w:szCs w:val="22"/>
        </w:rPr>
        <w:tab/>
      </w:r>
      <w:r>
        <w:rPr>
          <w:noProof/>
        </w:rPr>
        <w:t>Number of people under the age of 65 in residential aged care</w:t>
      </w:r>
      <w:r>
        <w:rPr>
          <w:noProof/>
        </w:rPr>
        <w:tab/>
      </w:r>
      <w:r>
        <w:rPr>
          <w:noProof/>
        </w:rPr>
        <w:fldChar w:fldCharType="begin"/>
      </w:r>
      <w:r>
        <w:rPr>
          <w:noProof/>
        </w:rPr>
        <w:instrText xml:space="preserve"> PAGEREF _Toc70505658 \h </w:instrText>
      </w:r>
      <w:r>
        <w:rPr>
          <w:noProof/>
        </w:rPr>
      </w:r>
      <w:r>
        <w:rPr>
          <w:noProof/>
        </w:rPr>
        <w:fldChar w:fldCharType="separate"/>
      </w:r>
      <w:r w:rsidR="000F445C">
        <w:rPr>
          <w:noProof/>
        </w:rPr>
        <w:t>329</w:t>
      </w:r>
      <w:r>
        <w:rPr>
          <w:noProof/>
        </w:rPr>
        <w:fldChar w:fldCharType="end"/>
      </w:r>
    </w:p>
    <w:p w14:paraId="1A1BD5CD" w14:textId="736C79F8" w:rsidR="00390CDB" w:rsidRDefault="00390CDB">
      <w:pPr>
        <w:pStyle w:val="TableofFigures"/>
        <w:rPr>
          <w:rFonts w:eastAsiaTheme="minorEastAsia" w:cstheme="minorBidi"/>
          <w:noProof/>
          <w:sz w:val="22"/>
          <w:szCs w:val="22"/>
        </w:rPr>
      </w:pPr>
      <w:r>
        <w:rPr>
          <w:noProof/>
        </w:rPr>
        <w:t>H.8</w:t>
      </w:r>
      <w:r>
        <w:rPr>
          <w:rFonts w:eastAsiaTheme="minorEastAsia" w:cstheme="minorBidi"/>
          <w:noProof/>
          <w:sz w:val="22"/>
          <w:szCs w:val="22"/>
        </w:rPr>
        <w:tab/>
      </w:r>
      <w:r>
        <w:rPr>
          <w:noProof/>
        </w:rPr>
        <w:t>Royal Commission into Aged Care Quality and Safety</w:t>
      </w:r>
      <w:r>
        <w:rPr>
          <w:noProof/>
        </w:rPr>
        <w:tab/>
      </w:r>
      <w:r>
        <w:rPr>
          <w:noProof/>
        </w:rPr>
        <w:fldChar w:fldCharType="begin"/>
      </w:r>
      <w:r>
        <w:rPr>
          <w:noProof/>
        </w:rPr>
        <w:instrText xml:space="preserve"> PAGEREF _Toc70505659 \h </w:instrText>
      </w:r>
      <w:r>
        <w:rPr>
          <w:noProof/>
        </w:rPr>
      </w:r>
      <w:r>
        <w:rPr>
          <w:noProof/>
        </w:rPr>
        <w:fldChar w:fldCharType="separate"/>
      </w:r>
      <w:r w:rsidR="000F445C">
        <w:rPr>
          <w:noProof/>
        </w:rPr>
        <w:t>330</w:t>
      </w:r>
      <w:r>
        <w:rPr>
          <w:noProof/>
        </w:rPr>
        <w:fldChar w:fldCharType="end"/>
      </w:r>
    </w:p>
    <w:p w14:paraId="38E5CD53" w14:textId="6B2D1702" w:rsidR="00390CDB" w:rsidRDefault="00390CDB">
      <w:pPr>
        <w:pStyle w:val="TableofFigures"/>
        <w:rPr>
          <w:rFonts w:eastAsiaTheme="minorEastAsia" w:cstheme="minorBidi"/>
          <w:noProof/>
          <w:sz w:val="22"/>
          <w:szCs w:val="22"/>
        </w:rPr>
      </w:pPr>
      <w:r>
        <w:rPr>
          <w:noProof/>
        </w:rPr>
        <w:t>H.9</w:t>
      </w:r>
      <w:r>
        <w:rPr>
          <w:rFonts w:eastAsiaTheme="minorEastAsia" w:cstheme="minorBidi"/>
          <w:noProof/>
          <w:sz w:val="22"/>
          <w:szCs w:val="22"/>
        </w:rPr>
        <w:tab/>
      </w:r>
      <w:r>
        <w:rPr>
          <w:noProof/>
        </w:rPr>
        <w:t>Estimated additional financial cost of residential aged care per person</w:t>
      </w:r>
      <w:r>
        <w:rPr>
          <w:noProof/>
        </w:rPr>
        <w:tab/>
      </w:r>
      <w:r>
        <w:rPr>
          <w:noProof/>
        </w:rPr>
        <w:fldChar w:fldCharType="begin"/>
      </w:r>
      <w:r>
        <w:rPr>
          <w:noProof/>
        </w:rPr>
        <w:instrText xml:space="preserve"> PAGEREF _Toc70505660 \h </w:instrText>
      </w:r>
      <w:r>
        <w:rPr>
          <w:noProof/>
        </w:rPr>
      </w:r>
      <w:r>
        <w:rPr>
          <w:noProof/>
        </w:rPr>
        <w:fldChar w:fldCharType="separate"/>
      </w:r>
      <w:r w:rsidR="000F445C">
        <w:rPr>
          <w:noProof/>
        </w:rPr>
        <w:t>333</w:t>
      </w:r>
      <w:r>
        <w:rPr>
          <w:noProof/>
        </w:rPr>
        <w:fldChar w:fldCharType="end"/>
      </w:r>
    </w:p>
    <w:p w14:paraId="6302B74D" w14:textId="7CE97E3E" w:rsidR="00390CDB" w:rsidRDefault="00390CDB">
      <w:pPr>
        <w:pStyle w:val="TableofFigures"/>
        <w:rPr>
          <w:rFonts w:eastAsiaTheme="minorEastAsia" w:cstheme="minorBidi"/>
          <w:noProof/>
          <w:sz w:val="22"/>
          <w:szCs w:val="22"/>
        </w:rPr>
      </w:pPr>
      <w:r>
        <w:rPr>
          <w:noProof/>
        </w:rPr>
        <w:t>H.10</w:t>
      </w:r>
      <w:r>
        <w:rPr>
          <w:rFonts w:eastAsiaTheme="minorEastAsia" w:cstheme="minorBidi"/>
          <w:noProof/>
          <w:sz w:val="22"/>
          <w:szCs w:val="22"/>
        </w:rPr>
        <w:tab/>
      </w:r>
      <w:r>
        <w:rPr>
          <w:noProof/>
        </w:rPr>
        <w:t>Efficient costs of residential aged care by level of quality</w:t>
      </w:r>
      <w:r>
        <w:rPr>
          <w:noProof/>
        </w:rPr>
        <w:tab/>
      </w:r>
      <w:r>
        <w:rPr>
          <w:noProof/>
        </w:rPr>
        <w:fldChar w:fldCharType="begin"/>
      </w:r>
      <w:r>
        <w:rPr>
          <w:noProof/>
        </w:rPr>
        <w:instrText xml:space="preserve"> PAGEREF _Toc70505661 \h </w:instrText>
      </w:r>
      <w:r>
        <w:rPr>
          <w:noProof/>
        </w:rPr>
      </w:r>
      <w:r>
        <w:rPr>
          <w:noProof/>
        </w:rPr>
        <w:fldChar w:fldCharType="separate"/>
      </w:r>
      <w:r w:rsidR="000F445C">
        <w:rPr>
          <w:noProof/>
        </w:rPr>
        <w:t>334</w:t>
      </w:r>
      <w:r>
        <w:rPr>
          <w:noProof/>
        </w:rPr>
        <w:fldChar w:fldCharType="end"/>
      </w:r>
    </w:p>
    <w:p w14:paraId="7A3EF01E" w14:textId="38A02101" w:rsidR="00390CDB" w:rsidRDefault="00390CDB">
      <w:pPr>
        <w:pStyle w:val="TableofFigures"/>
        <w:rPr>
          <w:rFonts w:eastAsiaTheme="minorEastAsia" w:cstheme="minorBidi"/>
          <w:noProof/>
          <w:sz w:val="22"/>
          <w:szCs w:val="22"/>
        </w:rPr>
      </w:pPr>
      <w:r>
        <w:rPr>
          <w:noProof/>
        </w:rPr>
        <w:t>H.11</w:t>
      </w:r>
      <w:r>
        <w:rPr>
          <w:rFonts w:eastAsiaTheme="minorEastAsia" w:cstheme="minorBidi"/>
          <w:noProof/>
          <w:sz w:val="22"/>
          <w:szCs w:val="22"/>
        </w:rPr>
        <w:tab/>
      </w:r>
      <w:r>
        <w:rPr>
          <w:noProof/>
        </w:rPr>
        <w:t>Estimated annual expenses</w:t>
      </w:r>
      <w:r>
        <w:rPr>
          <w:noProof/>
        </w:rPr>
        <w:tab/>
      </w:r>
      <w:r>
        <w:rPr>
          <w:noProof/>
        </w:rPr>
        <w:fldChar w:fldCharType="begin"/>
      </w:r>
      <w:r>
        <w:rPr>
          <w:noProof/>
        </w:rPr>
        <w:instrText xml:space="preserve"> PAGEREF _Toc70505662 \h </w:instrText>
      </w:r>
      <w:r>
        <w:rPr>
          <w:noProof/>
        </w:rPr>
      </w:r>
      <w:r>
        <w:rPr>
          <w:noProof/>
        </w:rPr>
        <w:fldChar w:fldCharType="separate"/>
      </w:r>
      <w:r w:rsidR="000F445C">
        <w:rPr>
          <w:noProof/>
        </w:rPr>
        <w:t>335</w:t>
      </w:r>
      <w:r>
        <w:rPr>
          <w:noProof/>
        </w:rPr>
        <w:fldChar w:fldCharType="end"/>
      </w:r>
    </w:p>
    <w:p w14:paraId="5B8EA55C" w14:textId="2A0FA3A0" w:rsidR="00390CDB" w:rsidRDefault="00390CDB">
      <w:pPr>
        <w:pStyle w:val="TableofFigures"/>
        <w:rPr>
          <w:rFonts w:eastAsiaTheme="minorEastAsia" w:cstheme="minorBidi"/>
          <w:noProof/>
          <w:sz w:val="22"/>
          <w:szCs w:val="22"/>
        </w:rPr>
      </w:pPr>
      <w:r>
        <w:rPr>
          <w:noProof/>
        </w:rPr>
        <w:t>I.1</w:t>
      </w:r>
      <w:r>
        <w:rPr>
          <w:rFonts w:eastAsiaTheme="minorEastAsia" w:cstheme="minorBidi"/>
          <w:noProof/>
          <w:sz w:val="22"/>
          <w:szCs w:val="22"/>
        </w:rPr>
        <w:tab/>
      </w:r>
      <w:r>
        <w:rPr>
          <w:noProof/>
        </w:rPr>
        <w:t>Average WTP for accessibility features</w:t>
      </w:r>
      <w:r>
        <w:rPr>
          <w:noProof/>
        </w:rPr>
        <w:tab/>
      </w:r>
      <w:r>
        <w:rPr>
          <w:noProof/>
        </w:rPr>
        <w:fldChar w:fldCharType="begin"/>
      </w:r>
      <w:r>
        <w:rPr>
          <w:noProof/>
        </w:rPr>
        <w:instrText xml:space="preserve"> PAGEREF _Toc70505663 \h </w:instrText>
      </w:r>
      <w:r>
        <w:rPr>
          <w:noProof/>
        </w:rPr>
      </w:r>
      <w:r>
        <w:rPr>
          <w:noProof/>
        </w:rPr>
        <w:fldChar w:fldCharType="separate"/>
      </w:r>
      <w:r w:rsidR="000F445C">
        <w:rPr>
          <w:noProof/>
        </w:rPr>
        <w:t>337</w:t>
      </w:r>
      <w:r>
        <w:rPr>
          <w:noProof/>
        </w:rPr>
        <w:fldChar w:fldCharType="end"/>
      </w:r>
    </w:p>
    <w:p w14:paraId="0A6A9B02" w14:textId="19F06088" w:rsidR="00390CDB" w:rsidRDefault="00390CDB">
      <w:pPr>
        <w:pStyle w:val="TableofFigures"/>
        <w:rPr>
          <w:rFonts w:eastAsiaTheme="minorEastAsia" w:cstheme="minorBidi"/>
          <w:noProof/>
          <w:sz w:val="22"/>
          <w:szCs w:val="22"/>
        </w:rPr>
      </w:pPr>
      <w:r>
        <w:rPr>
          <w:noProof/>
        </w:rPr>
        <w:t>I.2</w:t>
      </w:r>
      <w:r>
        <w:rPr>
          <w:rFonts w:eastAsiaTheme="minorEastAsia" w:cstheme="minorBidi"/>
          <w:noProof/>
          <w:sz w:val="22"/>
          <w:szCs w:val="22"/>
        </w:rPr>
        <w:tab/>
      </w:r>
      <w:r>
        <w:rPr>
          <w:noProof/>
        </w:rPr>
        <w:t>Estimated number of people experiencing reduced quality of life</w:t>
      </w:r>
      <w:r>
        <w:rPr>
          <w:noProof/>
        </w:rPr>
        <w:tab/>
      </w:r>
      <w:r>
        <w:rPr>
          <w:noProof/>
        </w:rPr>
        <w:fldChar w:fldCharType="begin"/>
      </w:r>
      <w:r>
        <w:rPr>
          <w:noProof/>
        </w:rPr>
        <w:instrText xml:space="preserve"> PAGEREF _Toc70505664 \h </w:instrText>
      </w:r>
      <w:r>
        <w:rPr>
          <w:noProof/>
        </w:rPr>
      </w:r>
      <w:r>
        <w:rPr>
          <w:noProof/>
        </w:rPr>
        <w:fldChar w:fldCharType="separate"/>
      </w:r>
      <w:r w:rsidR="000F445C">
        <w:rPr>
          <w:noProof/>
        </w:rPr>
        <w:t>338</w:t>
      </w:r>
      <w:r>
        <w:rPr>
          <w:noProof/>
        </w:rPr>
        <w:fldChar w:fldCharType="end"/>
      </w:r>
    </w:p>
    <w:p w14:paraId="36C95460" w14:textId="54A0C9F2" w:rsidR="00390CDB" w:rsidRDefault="00390CDB">
      <w:pPr>
        <w:pStyle w:val="TableofFigures"/>
        <w:rPr>
          <w:rFonts w:eastAsiaTheme="minorEastAsia" w:cstheme="minorBidi"/>
          <w:noProof/>
          <w:sz w:val="22"/>
          <w:szCs w:val="22"/>
        </w:rPr>
      </w:pPr>
      <w:r>
        <w:rPr>
          <w:noProof/>
        </w:rPr>
        <w:t>I.3</w:t>
      </w:r>
      <w:r>
        <w:rPr>
          <w:rFonts w:eastAsiaTheme="minorEastAsia" w:cstheme="minorBidi"/>
          <w:noProof/>
          <w:sz w:val="22"/>
          <w:szCs w:val="22"/>
        </w:rPr>
        <w:tab/>
      </w:r>
      <w:r>
        <w:rPr>
          <w:noProof/>
        </w:rPr>
        <w:t>Willingness to pay for accessible housing</w:t>
      </w:r>
      <w:r>
        <w:rPr>
          <w:noProof/>
        </w:rPr>
        <w:tab/>
      </w:r>
      <w:r>
        <w:rPr>
          <w:noProof/>
        </w:rPr>
        <w:fldChar w:fldCharType="begin"/>
      </w:r>
      <w:r>
        <w:rPr>
          <w:noProof/>
        </w:rPr>
        <w:instrText xml:space="preserve"> PAGEREF _Toc70505665 \h </w:instrText>
      </w:r>
      <w:r>
        <w:rPr>
          <w:noProof/>
        </w:rPr>
      </w:r>
      <w:r>
        <w:rPr>
          <w:noProof/>
        </w:rPr>
        <w:fldChar w:fldCharType="separate"/>
      </w:r>
      <w:r w:rsidR="000F445C">
        <w:rPr>
          <w:noProof/>
        </w:rPr>
        <w:t>338</w:t>
      </w:r>
      <w:r>
        <w:rPr>
          <w:noProof/>
        </w:rPr>
        <w:fldChar w:fldCharType="end"/>
      </w:r>
    </w:p>
    <w:p w14:paraId="64B6A6A3" w14:textId="62EF636C" w:rsidR="00390CDB" w:rsidRDefault="00390CDB">
      <w:pPr>
        <w:pStyle w:val="TableofFigures"/>
        <w:rPr>
          <w:rFonts w:eastAsiaTheme="minorEastAsia" w:cstheme="minorBidi"/>
          <w:noProof/>
          <w:sz w:val="22"/>
          <w:szCs w:val="22"/>
        </w:rPr>
      </w:pPr>
      <w:r>
        <w:rPr>
          <w:noProof/>
        </w:rPr>
        <w:t>I.4</w:t>
      </w:r>
      <w:r>
        <w:rPr>
          <w:rFonts w:eastAsiaTheme="minorEastAsia" w:cstheme="minorBidi"/>
          <w:noProof/>
          <w:sz w:val="22"/>
          <w:szCs w:val="22"/>
        </w:rPr>
        <w:tab/>
      </w:r>
      <w:r>
        <w:rPr>
          <w:noProof/>
        </w:rPr>
        <w:t>Private cost due to inaccessibility</w:t>
      </w:r>
      <w:r>
        <w:rPr>
          <w:noProof/>
        </w:rPr>
        <w:tab/>
      </w:r>
      <w:r>
        <w:rPr>
          <w:noProof/>
        </w:rPr>
        <w:fldChar w:fldCharType="begin"/>
      </w:r>
      <w:r>
        <w:rPr>
          <w:noProof/>
        </w:rPr>
        <w:instrText xml:space="preserve"> PAGEREF _Toc70505666 \h </w:instrText>
      </w:r>
      <w:r>
        <w:rPr>
          <w:noProof/>
        </w:rPr>
      </w:r>
      <w:r>
        <w:rPr>
          <w:noProof/>
        </w:rPr>
        <w:fldChar w:fldCharType="separate"/>
      </w:r>
      <w:r w:rsidR="000F445C">
        <w:rPr>
          <w:noProof/>
        </w:rPr>
        <w:t>339</w:t>
      </w:r>
      <w:r>
        <w:rPr>
          <w:noProof/>
        </w:rPr>
        <w:fldChar w:fldCharType="end"/>
      </w:r>
    </w:p>
    <w:p w14:paraId="4E23AB28" w14:textId="0EC37F20" w:rsidR="00390CDB" w:rsidRDefault="00390CDB">
      <w:pPr>
        <w:pStyle w:val="TableofFigures"/>
        <w:rPr>
          <w:rFonts w:eastAsiaTheme="minorEastAsia" w:cstheme="minorBidi"/>
          <w:noProof/>
          <w:sz w:val="22"/>
          <w:szCs w:val="22"/>
        </w:rPr>
      </w:pPr>
      <w:r>
        <w:rPr>
          <w:noProof/>
        </w:rPr>
        <w:t>I.5</w:t>
      </w:r>
      <w:r>
        <w:rPr>
          <w:rFonts w:eastAsiaTheme="minorEastAsia" w:cstheme="minorBidi"/>
          <w:noProof/>
          <w:sz w:val="22"/>
          <w:szCs w:val="22"/>
        </w:rPr>
        <w:tab/>
      </w:r>
      <w:r>
        <w:rPr>
          <w:noProof/>
        </w:rPr>
        <w:t>Estimated number of people experiencing reduced quality of life</w:t>
      </w:r>
      <w:r>
        <w:rPr>
          <w:noProof/>
        </w:rPr>
        <w:tab/>
      </w:r>
      <w:r>
        <w:rPr>
          <w:noProof/>
        </w:rPr>
        <w:fldChar w:fldCharType="begin"/>
      </w:r>
      <w:r>
        <w:rPr>
          <w:noProof/>
        </w:rPr>
        <w:instrText xml:space="preserve"> PAGEREF _Toc70505667 \h </w:instrText>
      </w:r>
      <w:r>
        <w:rPr>
          <w:noProof/>
        </w:rPr>
      </w:r>
      <w:r>
        <w:rPr>
          <w:noProof/>
        </w:rPr>
        <w:fldChar w:fldCharType="separate"/>
      </w:r>
      <w:r w:rsidR="000F445C">
        <w:rPr>
          <w:noProof/>
        </w:rPr>
        <w:t>342</w:t>
      </w:r>
      <w:r>
        <w:rPr>
          <w:noProof/>
        </w:rPr>
        <w:fldChar w:fldCharType="end"/>
      </w:r>
    </w:p>
    <w:p w14:paraId="496A059B" w14:textId="35EC581A" w:rsidR="00390CDB" w:rsidRDefault="00390CDB">
      <w:pPr>
        <w:pStyle w:val="TableofFigures"/>
        <w:rPr>
          <w:rFonts w:eastAsiaTheme="minorEastAsia" w:cstheme="minorBidi"/>
          <w:noProof/>
          <w:sz w:val="22"/>
          <w:szCs w:val="22"/>
        </w:rPr>
      </w:pPr>
      <w:r>
        <w:rPr>
          <w:noProof/>
        </w:rPr>
        <w:t>I.6</w:t>
      </w:r>
      <w:r>
        <w:rPr>
          <w:rFonts w:eastAsiaTheme="minorEastAsia" w:cstheme="minorBidi"/>
          <w:noProof/>
          <w:sz w:val="22"/>
          <w:szCs w:val="22"/>
        </w:rPr>
        <w:tab/>
      </w:r>
      <w:r>
        <w:rPr>
          <w:noProof/>
        </w:rPr>
        <w:t>Mental health and wellbeing impacts of accessibility</w:t>
      </w:r>
      <w:r>
        <w:rPr>
          <w:noProof/>
        </w:rPr>
        <w:tab/>
      </w:r>
      <w:r>
        <w:rPr>
          <w:noProof/>
        </w:rPr>
        <w:fldChar w:fldCharType="begin"/>
      </w:r>
      <w:r>
        <w:rPr>
          <w:noProof/>
        </w:rPr>
        <w:instrText xml:space="preserve"> PAGEREF _Toc70505668 \h </w:instrText>
      </w:r>
      <w:r>
        <w:rPr>
          <w:noProof/>
        </w:rPr>
      </w:r>
      <w:r>
        <w:rPr>
          <w:noProof/>
        </w:rPr>
        <w:fldChar w:fldCharType="separate"/>
      </w:r>
      <w:r w:rsidR="000F445C">
        <w:rPr>
          <w:noProof/>
        </w:rPr>
        <w:t>342</w:t>
      </w:r>
      <w:r>
        <w:rPr>
          <w:noProof/>
        </w:rPr>
        <w:fldChar w:fldCharType="end"/>
      </w:r>
    </w:p>
    <w:p w14:paraId="0365F09E" w14:textId="66D9CB28" w:rsidR="00390CDB" w:rsidRDefault="00390CDB">
      <w:pPr>
        <w:pStyle w:val="TableofFigures"/>
        <w:rPr>
          <w:rFonts w:eastAsiaTheme="minorEastAsia" w:cstheme="minorBidi"/>
          <w:noProof/>
          <w:sz w:val="22"/>
          <w:szCs w:val="22"/>
        </w:rPr>
      </w:pPr>
      <w:r>
        <w:rPr>
          <w:noProof/>
        </w:rPr>
        <w:t>1.7</w:t>
      </w:r>
      <w:r>
        <w:rPr>
          <w:rFonts w:eastAsiaTheme="minorEastAsia" w:cstheme="minorBidi"/>
          <w:noProof/>
          <w:sz w:val="22"/>
          <w:szCs w:val="22"/>
        </w:rPr>
        <w:tab/>
      </w:r>
      <w:r>
        <w:rPr>
          <w:noProof/>
        </w:rPr>
        <w:t>Annual mental health cost for different conditions</w:t>
      </w:r>
      <w:r>
        <w:rPr>
          <w:noProof/>
        </w:rPr>
        <w:tab/>
      </w:r>
      <w:r>
        <w:rPr>
          <w:noProof/>
        </w:rPr>
        <w:fldChar w:fldCharType="begin"/>
      </w:r>
      <w:r>
        <w:rPr>
          <w:noProof/>
        </w:rPr>
        <w:instrText xml:space="preserve"> PAGEREF _Toc70505669 \h </w:instrText>
      </w:r>
      <w:r>
        <w:rPr>
          <w:noProof/>
        </w:rPr>
      </w:r>
      <w:r>
        <w:rPr>
          <w:noProof/>
        </w:rPr>
        <w:fldChar w:fldCharType="separate"/>
      </w:r>
      <w:r w:rsidR="000F445C">
        <w:rPr>
          <w:noProof/>
        </w:rPr>
        <w:t>345</w:t>
      </w:r>
      <w:r>
        <w:rPr>
          <w:noProof/>
        </w:rPr>
        <w:fldChar w:fldCharType="end"/>
      </w:r>
    </w:p>
    <w:p w14:paraId="78CC80B0" w14:textId="41470221" w:rsidR="00390CDB" w:rsidRDefault="00390CDB">
      <w:pPr>
        <w:pStyle w:val="TableofFigures"/>
        <w:rPr>
          <w:rFonts w:eastAsiaTheme="minorEastAsia" w:cstheme="minorBidi"/>
          <w:noProof/>
          <w:sz w:val="22"/>
          <w:szCs w:val="22"/>
        </w:rPr>
      </w:pPr>
      <w:r>
        <w:rPr>
          <w:noProof/>
        </w:rPr>
        <w:t>I.8</w:t>
      </w:r>
      <w:r>
        <w:rPr>
          <w:rFonts w:eastAsiaTheme="minorEastAsia" w:cstheme="minorBidi"/>
          <w:noProof/>
          <w:sz w:val="22"/>
          <w:szCs w:val="22"/>
        </w:rPr>
        <w:tab/>
      </w:r>
      <w:r>
        <w:rPr>
          <w:noProof/>
        </w:rPr>
        <w:t>Estimated mental health impact of accessible housing</w:t>
      </w:r>
      <w:r>
        <w:rPr>
          <w:noProof/>
        </w:rPr>
        <w:tab/>
      </w:r>
      <w:r>
        <w:rPr>
          <w:noProof/>
        </w:rPr>
        <w:fldChar w:fldCharType="begin"/>
      </w:r>
      <w:r>
        <w:rPr>
          <w:noProof/>
        </w:rPr>
        <w:instrText xml:space="preserve"> PAGEREF _Toc70505670 \h </w:instrText>
      </w:r>
      <w:r>
        <w:rPr>
          <w:noProof/>
        </w:rPr>
      </w:r>
      <w:r>
        <w:rPr>
          <w:noProof/>
        </w:rPr>
        <w:fldChar w:fldCharType="separate"/>
      </w:r>
      <w:r w:rsidR="000F445C">
        <w:rPr>
          <w:noProof/>
        </w:rPr>
        <w:t>346</w:t>
      </w:r>
      <w:r>
        <w:rPr>
          <w:noProof/>
        </w:rPr>
        <w:fldChar w:fldCharType="end"/>
      </w:r>
    </w:p>
    <w:p w14:paraId="5871CEFB" w14:textId="3D6505B1" w:rsidR="00390CDB" w:rsidRDefault="00390CDB">
      <w:pPr>
        <w:pStyle w:val="TableofFigures"/>
        <w:rPr>
          <w:rFonts w:eastAsiaTheme="minorEastAsia" w:cstheme="minorBidi"/>
          <w:noProof/>
          <w:sz w:val="22"/>
          <w:szCs w:val="22"/>
        </w:rPr>
      </w:pPr>
      <w:r>
        <w:rPr>
          <w:noProof/>
        </w:rPr>
        <w:t>J.1</w:t>
      </w:r>
      <w:r>
        <w:rPr>
          <w:rFonts w:eastAsiaTheme="minorEastAsia" w:cstheme="minorBidi"/>
          <w:noProof/>
          <w:sz w:val="22"/>
          <w:szCs w:val="22"/>
        </w:rPr>
        <w:tab/>
      </w:r>
      <w:r>
        <w:rPr>
          <w:noProof/>
        </w:rPr>
        <w:t>Potential increase in employment</w:t>
      </w:r>
      <w:r>
        <w:rPr>
          <w:noProof/>
        </w:rPr>
        <w:tab/>
      </w:r>
      <w:r>
        <w:rPr>
          <w:noProof/>
        </w:rPr>
        <w:fldChar w:fldCharType="begin"/>
      </w:r>
      <w:r>
        <w:rPr>
          <w:noProof/>
        </w:rPr>
        <w:instrText xml:space="preserve"> PAGEREF _Toc70505671 \h </w:instrText>
      </w:r>
      <w:r>
        <w:rPr>
          <w:noProof/>
        </w:rPr>
      </w:r>
      <w:r>
        <w:rPr>
          <w:noProof/>
        </w:rPr>
        <w:fldChar w:fldCharType="separate"/>
      </w:r>
      <w:r w:rsidR="000F445C">
        <w:rPr>
          <w:noProof/>
        </w:rPr>
        <w:t>347</w:t>
      </w:r>
      <w:r>
        <w:rPr>
          <w:noProof/>
        </w:rPr>
        <w:fldChar w:fldCharType="end"/>
      </w:r>
    </w:p>
    <w:p w14:paraId="211E5485" w14:textId="541DC9B3" w:rsidR="00390CDB" w:rsidRDefault="00390CDB">
      <w:pPr>
        <w:pStyle w:val="TableofFigures"/>
        <w:rPr>
          <w:rFonts w:eastAsiaTheme="minorEastAsia" w:cstheme="minorBidi"/>
          <w:noProof/>
          <w:sz w:val="22"/>
          <w:szCs w:val="22"/>
        </w:rPr>
      </w:pPr>
      <w:r>
        <w:rPr>
          <w:noProof/>
        </w:rPr>
        <w:t>J.2</w:t>
      </w:r>
      <w:r>
        <w:rPr>
          <w:rFonts w:eastAsiaTheme="minorEastAsia" w:cstheme="minorBidi"/>
          <w:noProof/>
          <w:sz w:val="22"/>
          <w:szCs w:val="22"/>
        </w:rPr>
        <w:tab/>
      </w:r>
      <w:r>
        <w:rPr>
          <w:noProof/>
        </w:rPr>
        <w:t>Net cost of lost employment opportunities for people with mobility limitations</w:t>
      </w:r>
      <w:r>
        <w:rPr>
          <w:noProof/>
        </w:rPr>
        <w:tab/>
      </w:r>
      <w:r>
        <w:rPr>
          <w:noProof/>
        </w:rPr>
        <w:fldChar w:fldCharType="begin"/>
      </w:r>
      <w:r>
        <w:rPr>
          <w:noProof/>
        </w:rPr>
        <w:instrText xml:space="preserve"> PAGEREF _Toc70505672 \h </w:instrText>
      </w:r>
      <w:r>
        <w:rPr>
          <w:noProof/>
        </w:rPr>
      </w:r>
      <w:r>
        <w:rPr>
          <w:noProof/>
        </w:rPr>
        <w:fldChar w:fldCharType="separate"/>
      </w:r>
      <w:r w:rsidR="000F445C">
        <w:rPr>
          <w:noProof/>
        </w:rPr>
        <w:t>348</w:t>
      </w:r>
      <w:r>
        <w:rPr>
          <w:noProof/>
        </w:rPr>
        <w:fldChar w:fldCharType="end"/>
      </w:r>
    </w:p>
    <w:p w14:paraId="239D23EC" w14:textId="5B7FE7FA" w:rsidR="00390CDB" w:rsidRDefault="00390CDB">
      <w:pPr>
        <w:pStyle w:val="TableofFigures"/>
        <w:rPr>
          <w:rFonts w:eastAsiaTheme="minorEastAsia" w:cstheme="minorBidi"/>
          <w:noProof/>
          <w:sz w:val="22"/>
          <w:szCs w:val="22"/>
        </w:rPr>
      </w:pPr>
      <w:r>
        <w:rPr>
          <w:noProof/>
        </w:rPr>
        <w:t>J.3</w:t>
      </w:r>
      <w:r>
        <w:rPr>
          <w:rFonts w:eastAsiaTheme="minorEastAsia" w:cstheme="minorBidi"/>
          <w:noProof/>
          <w:sz w:val="22"/>
          <w:szCs w:val="22"/>
        </w:rPr>
        <w:tab/>
      </w:r>
      <w:r>
        <w:rPr>
          <w:noProof/>
        </w:rPr>
        <w:t>Indicative benefits</w:t>
      </w:r>
      <w:r>
        <w:rPr>
          <w:noProof/>
        </w:rPr>
        <w:tab/>
      </w:r>
      <w:r>
        <w:rPr>
          <w:noProof/>
        </w:rPr>
        <w:fldChar w:fldCharType="begin"/>
      </w:r>
      <w:r>
        <w:rPr>
          <w:noProof/>
        </w:rPr>
        <w:instrText xml:space="preserve"> PAGEREF _Toc70505673 \h </w:instrText>
      </w:r>
      <w:r>
        <w:rPr>
          <w:noProof/>
        </w:rPr>
      </w:r>
      <w:r>
        <w:rPr>
          <w:noProof/>
        </w:rPr>
        <w:fldChar w:fldCharType="separate"/>
      </w:r>
      <w:r w:rsidR="000F445C">
        <w:rPr>
          <w:noProof/>
        </w:rPr>
        <w:t>348</w:t>
      </w:r>
      <w:r>
        <w:rPr>
          <w:noProof/>
        </w:rPr>
        <w:fldChar w:fldCharType="end"/>
      </w:r>
    </w:p>
    <w:p w14:paraId="5E77D1A6" w14:textId="116FDDA4" w:rsidR="00390CDB" w:rsidRDefault="00390CDB">
      <w:pPr>
        <w:pStyle w:val="TableofFigures"/>
        <w:rPr>
          <w:rFonts w:eastAsiaTheme="minorEastAsia" w:cstheme="minorBidi"/>
          <w:noProof/>
          <w:sz w:val="22"/>
          <w:szCs w:val="22"/>
        </w:rPr>
      </w:pPr>
      <w:r>
        <w:rPr>
          <w:noProof/>
        </w:rPr>
        <w:lastRenderedPageBreak/>
        <w:t>J.4</w:t>
      </w:r>
      <w:r>
        <w:rPr>
          <w:rFonts w:eastAsiaTheme="minorEastAsia" w:cstheme="minorBidi"/>
          <w:noProof/>
          <w:sz w:val="22"/>
          <w:szCs w:val="22"/>
        </w:rPr>
        <w:tab/>
      </w:r>
      <w:r>
        <w:rPr>
          <w:noProof/>
        </w:rPr>
        <w:t>Share of respondents indicating design of home limits ability to study and work</w:t>
      </w:r>
      <w:r>
        <w:rPr>
          <w:noProof/>
        </w:rPr>
        <w:tab/>
      </w:r>
      <w:r>
        <w:rPr>
          <w:noProof/>
        </w:rPr>
        <w:fldChar w:fldCharType="begin"/>
      </w:r>
      <w:r>
        <w:rPr>
          <w:noProof/>
        </w:rPr>
        <w:instrText xml:space="preserve"> PAGEREF _Toc70505674 \h </w:instrText>
      </w:r>
      <w:r>
        <w:rPr>
          <w:noProof/>
        </w:rPr>
      </w:r>
      <w:r>
        <w:rPr>
          <w:noProof/>
        </w:rPr>
        <w:fldChar w:fldCharType="separate"/>
      </w:r>
      <w:r w:rsidR="000F445C">
        <w:rPr>
          <w:noProof/>
        </w:rPr>
        <w:t>350</w:t>
      </w:r>
      <w:r>
        <w:rPr>
          <w:noProof/>
        </w:rPr>
        <w:fldChar w:fldCharType="end"/>
      </w:r>
    </w:p>
    <w:p w14:paraId="35B2C0FF" w14:textId="29C53EE6" w:rsidR="00390CDB" w:rsidRDefault="00390CDB">
      <w:pPr>
        <w:pStyle w:val="TableofFigures"/>
        <w:rPr>
          <w:rFonts w:eastAsiaTheme="minorEastAsia" w:cstheme="minorBidi"/>
          <w:noProof/>
          <w:sz w:val="22"/>
          <w:szCs w:val="22"/>
        </w:rPr>
      </w:pPr>
      <w:r>
        <w:rPr>
          <w:noProof/>
        </w:rPr>
        <w:t>J.5</w:t>
      </w:r>
      <w:r>
        <w:rPr>
          <w:rFonts w:eastAsiaTheme="minorEastAsia" w:cstheme="minorBidi"/>
          <w:noProof/>
          <w:sz w:val="22"/>
          <w:szCs w:val="22"/>
        </w:rPr>
        <w:tab/>
      </w:r>
      <w:r>
        <w:rPr>
          <w:noProof/>
        </w:rPr>
        <w:t>Accessible housing and employment outcomes</w:t>
      </w:r>
      <w:r>
        <w:rPr>
          <w:noProof/>
        </w:rPr>
        <w:tab/>
      </w:r>
      <w:r>
        <w:rPr>
          <w:noProof/>
        </w:rPr>
        <w:fldChar w:fldCharType="begin"/>
      </w:r>
      <w:r>
        <w:rPr>
          <w:noProof/>
        </w:rPr>
        <w:instrText xml:space="preserve"> PAGEREF _Toc70505675 \h </w:instrText>
      </w:r>
      <w:r>
        <w:rPr>
          <w:noProof/>
        </w:rPr>
      </w:r>
      <w:r>
        <w:rPr>
          <w:noProof/>
        </w:rPr>
        <w:fldChar w:fldCharType="separate"/>
      </w:r>
      <w:r w:rsidR="000F445C">
        <w:rPr>
          <w:noProof/>
        </w:rPr>
        <w:t>350</w:t>
      </w:r>
      <w:r>
        <w:rPr>
          <w:noProof/>
        </w:rPr>
        <w:fldChar w:fldCharType="end"/>
      </w:r>
    </w:p>
    <w:p w14:paraId="25A2BB7F" w14:textId="2AA8F563" w:rsidR="00390CDB" w:rsidRDefault="00390CDB">
      <w:pPr>
        <w:pStyle w:val="TableofFigures"/>
        <w:rPr>
          <w:rFonts w:eastAsiaTheme="minorEastAsia" w:cstheme="minorBidi"/>
          <w:noProof/>
          <w:sz w:val="22"/>
          <w:szCs w:val="22"/>
        </w:rPr>
      </w:pPr>
      <w:r>
        <w:rPr>
          <w:noProof/>
        </w:rPr>
        <w:t>J.6</w:t>
      </w:r>
      <w:r>
        <w:rPr>
          <w:rFonts w:eastAsiaTheme="minorEastAsia" w:cstheme="minorBidi"/>
          <w:noProof/>
          <w:sz w:val="22"/>
          <w:szCs w:val="22"/>
        </w:rPr>
        <w:tab/>
      </w:r>
      <w:r>
        <w:rPr>
          <w:noProof/>
        </w:rPr>
        <w:t>Extent to which housing design limits ability to work from home</w:t>
      </w:r>
      <w:r>
        <w:rPr>
          <w:noProof/>
        </w:rPr>
        <w:tab/>
      </w:r>
      <w:r>
        <w:rPr>
          <w:noProof/>
        </w:rPr>
        <w:fldChar w:fldCharType="begin"/>
      </w:r>
      <w:r>
        <w:rPr>
          <w:noProof/>
        </w:rPr>
        <w:instrText xml:space="preserve"> PAGEREF _Toc70505676 \h </w:instrText>
      </w:r>
      <w:r>
        <w:rPr>
          <w:noProof/>
        </w:rPr>
      </w:r>
      <w:r>
        <w:rPr>
          <w:noProof/>
        </w:rPr>
        <w:fldChar w:fldCharType="separate"/>
      </w:r>
      <w:r w:rsidR="000F445C">
        <w:rPr>
          <w:noProof/>
        </w:rPr>
        <w:t>351</w:t>
      </w:r>
      <w:r>
        <w:rPr>
          <w:noProof/>
        </w:rPr>
        <w:fldChar w:fldCharType="end"/>
      </w:r>
    </w:p>
    <w:p w14:paraId="6EFFCE33" w14:textId="14453CF6" w:rsidR="00390CDB" w:rsidRDefault="00390CDB">
      <w:pPr>
        <w:pStyle w:val="TableofFigures"/>
        <w:rPr>
          <w:rFonts w:eastAsiaTheme="minorEastAsia" w:cstheme="minorBidi"/>
          <w:noProof/>
          <w:sz w:val="22"/>
          <w:szCs w:val="22"/>
        </w:rPr>
      </w:pPr>
      <w:r>
        <w:rPr>
          <w:noProof/>
        </w:rPr>
        <w:t>J.7</w:t>
      </w:r>
      <w:r>
        <w:rPr>
          <w:rFonts w:eastAsiaTheme="minorEastAsia" w:cstheme="minorBidi"/>
          <w:noProof/>
          <w:sz w:val="22"/>
          <w:szCs w:val="22"/>
        </w:rPr>
        <w:tab/>
      </w:r>
      <w:r>
        <w:rPr>
          <w:noProof/>
        </w:rPr>
        <w:t>Lived experiences — ability to work from home</w:t>
      </w:r>
      <w:r>
        <w:rPr>
          <w:noProof/>
        </w:rPr>
        <w:tab/>
      </w:r>
      <w:r>
        <w:rPr>
          <w:noProof/>
        </w:rPr>
        <w:fldChar w:fldCharType="begin"/>
      </w:r>
      <w:r>
        <w:rPr>
          <w:noProof/>
        </w:rPr>
        <w:instrText xml:space="preserve"> PAGEREF _Toc70505677 \h </w:instrText>
      </w:r>
      <w:r>
        <w:rPr>
          <w:noProof/>
        </w:rPr>
      </w:r>
      <w:r>
        <w:rPr>
          <w:noProof/>
        </w:rPr>
        <w:fldChar w:fldCharType="separate"/>
      </w:r>
      <w:r w:rsidR="000F445C">
        <w:rPr>
          <w:noProof/>
        </w:rPr>
        <w:t>352</w:t>
      </w:r>
      <w:r>
        <w:rPr>
          <w:noProof/>
        </w:rPr>
        <w:fldChar w:fldCharType="end"/>
      </w:r>
    </w:p>
    <w:p w14:paraId="66967D46" w14:textId="26C8B304" w:rsidR="00390CDB" w:rsidRDefault="00390CDB">
      <w:pPr>
        <w:pStyle w:val="TableofFigures"/>
        <w:rPr>
          <w:rFonts w:eastAsiaTheme="minorEastAsia" w:cstheme="minorBidi"/>
          <w:noProof/>
          <w:sz w:val="22"/>
          <w:szCs w:val="22"/>
        </w:rPr>
      </w:pPr>
      <w:r>
        <w:rPr>
          <w:noProof/>
        </w:rPr>
        <w:t>J.8</w:t>
      </w:r>
      <w:r>
        <w:rPr>
          <w:rFonts w:eastAsiaTheme="minorEastAsia" w:cstheme="minorBidi"/>
          <w:noProof/>
          <w:sz w:val="22"/>
          <w:szCs w:val="22"/>
        </w:rPr>
        <w:tab/>
      </w:r>
      <w:r>
        <w:rPr>
          <w:noProof/>
        </w:rPr>
        <w:t>Lived experiences — accessible housing close to work</w:t>
      </w:r>
      <w:r>
        <w:rPr>
          <w:noProof/>
        </w:rPr>
        <w:tab/>
      </w:r>
      <w:r>
        <w:rPr>
          <w:noProof/>
        </w:rPr>
        <w:fldChar w:fldCharType="begin"/>
      </w:r>
      <w:r>
        <w:rPr>
          <w:noProof/>
        </w:rPr>
        <w:instrText xml:space="preserve"> PAGEREF _Toc70505678 \h </w:instrText>
      </w:r>
      <w:r>
        <w:rPr>
          <w:noProof/>
        </w:rPr>
      </w:r>
      <w:r>
        <w:rPr>
          <w:noProof/>
        </w:rPr>
        <w:fldChar w:fldCharType="separate"/>
      </w:r>
      <w:r w:rsidR="000F445C">
        <w:rPr>
          <w:noProof/>
        </w:rPr>
        <w:t>353</w:t>
      </w:r>
      <w:r>
        <w:rPr>
          <w:noProof/>
        </w:rPr>
        <w:fldChar w:fldCharType="end"/>
      </w:r>
    </w:p>
    <w:p w14:paraId="3650E549" w14:textId="19CB6C4D" w:rsidR="00390CDB" w:rsidRDefault="00390CDB">
      <w:pPr>
        <w:pStyle w:val="TableofFigures"/>
        <w:rPr>
          <w:rFonts w:eastAsiaTheme="minorEastAsia" w:cstheme="minorBidi"/>
          <w:noProof/>
          <w:sz w:val="22"/>
          <w:szCs w:val="22"/>
        </w:rPr>
      </w:pPr>
      <w:r>
        <w:rPr>
          <w:noProof/>
        </w:rPr>
        <w:t>J.9</w:t>
      </w:r>
      <w:r>
        <w:rPr>
          <w:rFonts w:eastAsiaTheme="minorEastAsia" w:cstheme="minorBidi"/>
          <w:noProof/>
          <w:sz w:val="22"/>
          <w:szCs w:val="22"/>
        </w:rPr>
        <w:tab/>
      </w:r>
      <w:r>
        <w:rPr>
          <w:noProof/>
        </w:rPr>
        <w:t>Impact of unmet needs</w:t>
      </w:r>
      <w:r>
        <w:rPr>
          <w:noProof/>
        </w:rPr>
        <w:tab/>
      </w:r>
      <w:r>
        <w:rPr>
          <w:noProof/>
        </w:rPr>
        <w:fldChar w:fldCharType="begin"/>
      </w:r>
      <w:r>
        <w:rPr>
          <w:noProof/>
        </w:rPr>
        <w:instrText xml:space="preserve"> PAGEREF _Toc70505679 \h </w:instrText>
      </w:r>
      <w:r>
        <w:rPr>
          <w:noProof/>
        </w:rPr>
      </w:r>
      <w:r>
        <w:rPr>
          <w:noProof/>
        </w:rPr>
        <w:fldChar w:fldCharType="separate"/>
      </w:r>
      <w:r w:rsidR="000F445C">
        <w:rPr>
          <w:noProof/>
        </w:rPr>
        <w:t>354</w:t>
      </w:r>
      <w:r>
        <w:rPr>
          <w:noProof/>
        </w:rPr>
        <w:fldChar w:fldCharType="end"/>
      </w:r>
    </w:p>
    <w:p w14:paraId="5878E8DA" w14:textId="13F83DC9" w:rsidR="00390CDB" w:rsidRDefault="00390CDB">
      <w:pPr>
        <w:pStyle w:val="TableofFigures"/>
        <w:rPr>
          <w:rFonts w:eastAsiaTheme="minorEastAsia" w:cstheme="minorBidi"/>
          <w:noProof/>
          <w:sz w:val="22"/>
          <w:szCs w:val="22"/>
        </w:rPr>
      </w:pPr>
      <w:r>
        <w:rPr>
          <w:noProof/>
        </w:rPr>
        <w:t>J.10</w:t>
      </w:r>
      <w:r>
        <w:rPr>
          <w:rFonts w:eastAsiaTheme="minorEastAsia" w:cstheme="minorBidi"/>
          <w:noProof/>
          <w:sz w:val="22"/>
          <w:szCs w:val="22"/>
        </w:rPr>
        <w:tab/>
      </w:r>
      <w:r>
        <w:rPr>
          <w:noProof/>
        </w:rPr>
        <w:t>Upper bound estimate of the loss of employment opportunities due to a lack of accessible housing close to employment opportunities</w:t>
      </w:r>
      <w:r>
        <w:rPr>
          <w:noProof/>
        </w:rPr>
        <w:tab/>
      </w:r>
      <w:r>
        <w:rPr>
          <w:noProof/>
        </w:rPr>
        <w:fldChar w:fldCharType="begin"/>
      </w:r>
      <w:r>
        <w:rPr>
          <w:noProof/>
        </w:rPr>
        <w:instrText xml:space="preserve"> PAGEREF _Toc70505680 \h </w:instrText>
      </w:r>
      <w:r>
        <w:rPr>
          <w:noProof/>
        </w:rPr>
      </w:r>
      <w:r>
        <w:rPr>
          <w:noProof/>
        </w:rPr>
        <w:fldChar w:fldCharType="separate"/>
      </w:r>
      <w:r w:rsidR="000F445C">
        <w:rPr>
          <w:noProof/>
        </w:rPr>
        <w:t>356</w:t>
      </w:r>
      <w:r>
        <w:rPr>
          <w:noProof/>
        </w:rPr>
        <w:fldChar w:fldCharType="end"/>
      </w:r>
    </w:p>
    <w:p w14:paraId="3189CA0A" w14:textId="6D7C073C" w:rsidR="00390CDB" w:rsidRDefault="00390CDB">
      <w:pPr>
        <w:pStyle w:val="TableofFigures"/>
        <w:rPr>
          <w:rFonts w:eastAsiaTheme="minorEastAsia" w:cstheme="minorBidi"/>
          <w:noProof/>
          <w:sz w:val="22"/>
          <w:szCs w:val="22"/>
        </w:rPr>
      </w:pPr>
      <w:r>
        <w:rPr>
          <w:noProof/>
        </w:rPr>
        <w:t>J.11</w:t>
      </w:r>
      <w:r>
        <w:rPr>
          <w:rFonts w:eastAsiaTheme="minorEastAsia" w:cstheme="minorBidi"/>
          <w:noProof/>
          <w:sz w:val="22"/>
          <w:szCs w:val="22"/>
        </w:rPr>
        <w:tab/>
      </w:r>
      <w:r>
        <w:rPr>
          <w:noProof/>
        </w:rPr>
        <w:t>Lived experiences — limitations on abi</w:t>
      </w:r>
      <w:r w:rsidR="003235DB">
        <w:rPr>
          <w:noProof/>
        </w:rPr>
        <w:t xml:space="preserve">lity to work from inaccessible </w:t>
      </w:r>
      <w:r>
        <w:rPr>
          <w:noProof/>
        </w:rPr>
        <w:t>housing</w:t>
      </w:r>
      <w:r>
        <w:rPr>
          <w:noProof/>
        </w:rPr>
        <w:tab/>
      </w:r>
      <w:r>
        <w:rPr>
          <w:noProof/>
        </w:rPr>
        <w:fldChar w:fldCharType="begin"/>
      </w:r>
      <w:r>
        <w:rPr>
          <w:noProof/>
        </w:rPr>
        <w:instrText xml:space="preserve"> PAGEREF _Toc70505681 \h </w:instrText>
      </w:r>
      <w:r>
        <w:rPr>
          <w:noProof/>
        </w:rPr>
      </w:r>
      <w:r>
        <w:rPr>
          <w:noProof/>
        </w:rPr>
        <w:fldChar w:fldCharType="separate"/>
      </w:r>
      <w:r w:rsidR="000F445C">
        <w:rPr>
          <w:noProof/>
        </w:rPr>
        <w:t>357</w:t>
      </w:r>
      <w:r>
        <w:rPr>
          <w:noProof/>
        </w:rPr>
        <w:fldChar w:fldCharType="end"/>
      </w:r>
    </w:p>
    <w:p w14:paraId="0E18A91E" w14:textId="1AC86F24" w:rsidR="00390CDB" w:rsidRDefault="00390CDB">
      <w:pPr>
        <w:pStyle w:val="TableofFigures"/>
        <w:rPr>
          <w:rFonts w:eastAsiaTheme="minorEastAsia" w:cstheme="minorBidi"/>
          <w:noProof/>
          <w:sz w:val="22"/>
          <w:szCs w:val="22"/>
        </w:rPr>
      </w:pPr>
      <w:r>
        <w:rPr>
          <w:noProof/>
        </w:rPr>
        <w:t>J.12</w:t>
      </w:r>
      <w:r>
        <w:rPr>
          <w:rFonts w:eastAsiaTheme="minorEastAsia" w:cstheme="minorBidi"/>
          <w:noProof/>
          <w:sz w:val="22"/>
          <w:szCs w:val="22"/>
        </w:rPr>
        <w:tab/>
      </w:r>
      <w:r>
        <w:rPr>
          <w:noProof/>
        </w:rPr>
        <w:t>Additional people that could potentially work full-time</w:t>
      </w:r>
      <w:r>
        <w:rPr>
          <w:noProof/>
        </w:rPr>
        <w:tab/>
      </w:r>
      <w:r>
        <w:rPr>
          <w:noProof/>
        </w:rPr>
        <w:fldChar w:fldCharType="begin"/>
      </w:r>
      <w:r>
        <w:rPr>
          <w:noProof/>
        </w:rPr>
        <w:instrText xml:space="preserve"> PAGEREF _Toc70505682 \h </w:instrText>
      </w:r>
      <w:r>
        <w:rPr>
          <w:noProof/>
        </w:rPr>
      </w:r>
      <w:r>
        <w:rPr>
          <w:noProof/>
        </w:rPr>
        <w:fldChar w:fldCharType="separate"/>
      </w:r>
      <w:r w:rsidR="000F445C">
        <w:rPr>
          <w:noProof/>
        </w:rPr>
        <w:t>359</w:t>
      </w:r>
      <w:r>
        <w:rPr>
          <w:noProof/>
        </w:rPr>
        <w:fldChar w:fldCharType="end"/>
      </w:r>
    </w:p>
    <w:p w14:paraId="631CA250" w14:textId="3566F354" w:rsidR="00390CDB" w:rsidRDefault="00390CDB">
      <w:pPr>
        <w:pStyle w:val="TableofFigures"/>
        <w:rPr>
          <w:rFonts w:eastAsiaTheme="minorEastAsia" w:cstheme="minorBidi"/>
          <w:noProof/>
          <w:sz w:val="22"/>
          <w:szCs w:val="22"/>
        </w:rPr>
      </w:pPr>
      <w:r>
        <w:rPr>
          <w:noProof/>
        </w:rPr>
        <w:t>J.13</w:t>
      </w:r>
      <w:r>
        <w:rPr>
          <w:rFonts w:eastAsiaTheme="minorEastAsia" w:cstheme="minorBidi"/>
          <w:noProof/>
          <w:sz w:val="22"/>
          <w:szCs w:val="22"/>
        </w:rPr>
        <w:tab/>
      </w:r>
      <w:r>
        <w:rPr>
          <w:noProof/>
        </w:rPr>
        <w:t>Indicative estimate of the impact of a 10 per cent productivity improvement</w:t>
      </w:r>
      <w:r>
        <w:rPr>
          <w:noProof/>
        </w:rPr>
        <w:tab/>
      </w:r>
      <w:r>
        <w:rPr>
          <w:noProof/>
        </w:rPr>
        <w:fldChar w:fldCharType="begin"/>
      </w:r>
      <w:r>
        <w:rPr>
          <w:noProof/>
        </w:rPr>
        <w:instrText xml:space="preserve"> PAGEREF _Toc70505683 \h </w:instrText>
      </w:r>
      <w:r>
        <w:rPr>
          <w:noProof/>
        </w:rPr>
      </w:r>
      <w:r>
        <w:rPr>
          <w:noProof/>
        </w:rPr>
        <w:fldChar w:fldCharType="separate"/>
      </w:r>
      <w:r w:rsidR="000F445C">
        <w:rPr>
          <w:noProof/>
        </w:rPr>
        <w:t>361</w:t>
      </w:r>
      <w:r>
        <w:rPr>
          <w:noProof/>
        </w:rPr>
        <w:fldChar w:fldCharType="end"/>
      </w:r>
    </w:p>
    <w:p w14:paraId="5C8BBCAA" w14:textId="5E57064C" w:rsidR="00390CDB" w:rsidRDefault="00390CDB">
      <w:pPr>
        <w:pStyle w:val="TableofFigures"/>
        <w:rPr>
          <w:rFonts w:eastAsiaTheme="minorEastAsia" w:cstheme="minorBidi"/>
          <w:noProof/>
          <w:sz w:val="22"/>
          <w:szCs w:val="22"/>
        </w:rPr>
      </w:pPr>
      <w:r>
        <w:rPr>
          <w:noProof/>
        </w:rPr>
        <w:t>K.1</w:t>
      </w:r>
      <w:r>
        <w:rPr>
          <w:rFonts w:eastAsiaTheme="minorEastAsia" w:cstheme="minorBidi"/>
          <w:noProof/>
          <w:sz w:val="22"/>
          <w:szCs w:val="22"/>
        </w:rPr>
        <w:tab/>
      </w:r>
      <w:r>
        <w:rPr>
          <w:noProof/>
        </w:rPr>
        <w:t>Attribute levels used in discrete choice experiment</w:t>
      </w:r>
      <w:r>
        <w:rPr>
          <w:noProof/>
        </w:rPr>
        <w:tab/>
      </w:r>
      <w:r>
        <w:rPr>
          <w:noProof/>
        </w:rPr>
        <w:fldChar w:fldCharType="begin"/>
      </w:r>
      <w:r>
        <w:rPr>
          <w:noProof/>
        </w:rPr>
        <w:instrText xml:space="preserve"> PAGEREF _Toc70505684 \h </w:instrText>
      </w:r>
      <w:r>
        <w:rPr>
          <w:noProof/>
        </w:rPr>
      </w:r>
      <w:r>
        <w:rPr>
          <w:noProof/>
        </w:rPr>
        <w:fldChar w:fldCharType="separate"/>
      </w:r>
      <w:r w:rsidR="000F445C">
        <w:rPr>
          <w:noProof/>
        </w:rPr>
        <w:t>366</w:t>
      </w:r>
      <w:r>
        <w:rPr>
          <w:noProof/>
        </w:rPr>
        <w:fldChar w:fldCharType="end"/>
      </w:r>
    </w:p>
    <w:p w14:paraId="77D1AB48" w14:textId="576B7012" w:rsidR="00390CDB" w:rsidRDefault="00390CDB">
      <w:pPr>
        <w:pStyle w:val="TableofFigures"/>
        <w:rPr>
          <w:rFonts w:eastAsiaTheme="minorEastAsia" w:cstheme="minorBidi"/>
          <w:noProof/>
          <w:sz w:val="22"/>
          <w:szCs w:val="22"/>
        </w:rPr>
      </w:pPr>
      <w:r>
        <w:rPr>
          <w:noProof/>
        </w:rPr>
        <w:t>K.2</w:t>
      </w:r>
      <w:r>
        <w:rPr>
          <w:rFonts w:eastAsiaTheme="minorEastAsia" w:cstheme="minorBidi"/>
          <w:noProof/>
          <w:sz w:val="22"/>
          <w:szCs w:val="22"/>
        </w:rPr>
        <w:tab/>
      </w:r>
      <w:r>
        <w:rPr>
          <w:noProof/>
        </w:rPr>
        <w:t>Example of choice question</w:t>
      </w:r>
      <w:r>
        <w:rPr>
          <w:noProof/>
        </w:rPr>
        <w:tab/>
      </w:r>
      <w:r>
        <w:rPr>
          <w:noProof/>
        </w:rPr>
        <w:fldChar w:fldCharType="begin"/>
      </w:r>
      <w:r>
        <w:rPr>
          <w:noProof/>
        </w:rPr>
        <w:instrText xml:space="preserve"> PAGEREF _Toc70505685 \h </w:instrText>
      </w:r>
      <w:r>
        <w:rPr>
          <w:noProof/>
        </w:rPr>
      </w:r>
      <w:r>
        <w:rPr>
          <w:noProof/>
        </w:rPr>
        <w:fldChar w:fldCharType="separate"/>
      </w:r>
      <w:r w:rsidR="000F445C">
        <w:rPr>
          <w:noProof/>
        </w:rPr>
        <w:t>368</w:t>
      </w:r>
      <w:r>
        <w:rPr>
          <w:noProof/>
        </w:rPr>
        <w:fldChar w:fldCharType="end"/>
      </w:r>
    </w:p>
    <w:p w14:paraId="41A4EE14" w14:textId="438E672B" w:rsidR="00390CDB" w:rsidRDefault="00390CDB">
      <w:pPr>
        <w:pStyle w:val="TableofFigures"/>
        <w:rPr>
          <w:rFonts w:eastAsiaTheme="minorEastAsia" w:cstheme="minorBidi"/>
          <w:noProof/>
          <w:sz w:val="22"/>
          <w:szCs w:val="22"/>
        </w:rPr>
      </w:pPr>
      <w:r>
        <w:rPr>
          <w:noProof/>
        </w:rPr>
        <w:t>K.3</w:t>
      </w:r>
      <w:r>
        <w:rPr>
          <w:rFonts w:eastAsiaTheme="minorEastAsia" w:cstheme="minorBidi"/>
          <w:noProof/>
          <w:sz w:val="22"/>
          <w:szCs w:val="22"/>
        </w:rPr>
        <w:tab/>
      </w:r>
      <w:r>
        <w:rPr>
          <w:noProof/>
        </w:rPr>
        <w:t>Example of contingent valuation question</w:t>
      </w:r>
      <w:r>
        <w:rPr>
          <w:noProof/>
        </w:rPr>
        <w:tab/>
      </w:r>
      <w:r>
        <w:rPr>
          <w:noProof/>
        </w:rPr>
        <w:fldChar w:fldCharType="begin"/>
      </w:r>
      <w:r>
        <w:rPr>
          <w:noProof/>
        </w:rPr>
        <w:instrText xml:space="preserve"> PAGEREF _Toc70505686 \h </w:instrText>
      </w:r>
      <w:r>
        <w:rPr>
          <w:noProof/>
        </w:rPr>
      </w:r>
      <w:r>
        <w:rPr>
          <w:noProof/>
        </w:rPr>
        <w:fldChar w:fldCharType="separate"/>
      </w:r>
      <w:r w:rsidR="000F445C">
        <w:rPr>
          <w:noProof/>
        </w:rPr>
        <w:t>369</w:t>
      </w:r>
      <w:r>
        <w:rPr>
          <w:noProof/>
        </w:rPr>
        <w:fldChar w:fldCharType="end"/>
      </w:r>
    </w:p>
    <w:p w14:paraId="6F4E5818" w14:textId="55479117" w:rsidR="00390CDB" w:rsidRDefault="00390CDB">
      <w:pPr>
        <w:pStyle w:val="TableofFigures"/>
        <w:rPr>
          <w:rFonts w:eastAsiaTheme="minorEastAsia" w:cstheme="minorBidi"/>
          <w:noProof/>
          <w:sz w:val="22"/>
          <w:szCs w:val="22"/>
        </w:rPr>
      </w:pPr>
      <w:r>
        <w:rPr>
          <w:noProof/>
        </w:rPr>
        <w:t>K.4</w:t>
      </w:r>
      <w:r>
        <w:rPr>
          <w:rFonts w:eastAsiaTheme="minorEastAsia" w:cstheme="minorBidi"/>
          <w:noProof/>
          <w:sz w:val="22"/>
          <w:szCs w:val="22"/>
        </w:rPr>
        <w:tab/>
      </w:r>
      <w:r>
        <w:rPr>
          <w:noProof/>
        </w:rPr>
        <w:t>Characteristics of sample, reweighted sample and target population</w:t>
      </w:r>
      <w:r>
        <w:rPr>
          <w:noProof/>
        </w:rPr>
        <w:tab/>
      </w:r>
      <w:r>
        <w:rPr>
          <w:noProof/>
        </w:rPr>
        <w:fldChar w:fldCharType="begin"/>
      </w:r>
      <w:r>
        <w:rPr>
          <w:noProof/>
        </w:rPr>
        <w:instrText xml:space="preserve"> PAGEREF _Toc70505687 \h </w:instrText>
      </w:r>
      <w:r>
        <w:rPr>
          <w:noProof/>
        </w:rPr>
      </w:r>
      <w:r>
        <w:rPr>
          <w:noProof/>
        </w:rPr>
        <w:fldChar w:fldCharType="separate"/>
      </w:r>
      <w:r w:rsidR="000F445C">
        <w:rPr>
          <w:noProof/>
        </w:rPr>
        <w:t>370</w:t>
      </w:r>
      <w:r>
        <w:rPr>
          <w:noProof/>
        </w:rPr>
        <w:fldChar w:fldCharType="end"/>
      </w:r>
    </w:p>
    <w:p w14:paraId="2B9680F7" w14:textId="547790FE" w:rsidR="00390CDB" w:rsidRDefault="00390CDB">
      <w:pPr>
        <w:pStyle w:val="TableofFigures"/>
        <w:rPr>
          <w:rFonts w:eastAsiaTheme="minorEastAsia" w:cstheme="minorBidi"/>
          <w:noProof/>
          <w:sz w:val="22"/>
          <w:szCs w:val="22"/>
        </w:rPr>
      </w:pPr>
      <w:r>
        <w:rPr>
          <w:noProof/>
        </w:rPr>
        <w:t>K.5</w:t>
      </w:r>
      <w:r>
        <w:rPr>
          <w:rFonts w:eastAsiaTheme="minorEastAsia" w:cstheme="minorBidi"/>
          <w:noProof/>
          <w:sz w:val="22"/>
          <w:szCs w:val="22"/>
        </w:rPr>
        <w:tab/>
      </w:r>
      <w:r>
        <w:rPr>
          <w:noProof/>
        </w:rPr>
        <w:t>Mobility limitation characteristics</w:t>
      </w:r>
      <w:r>
        <w:rPr>
          <w:noProof/>
        </w:rPr>
        <w:tab/>
      </w:r>
      <w:r>
        <w:rPr>
          <w:noProof/>
        </w:rPr>
        <w:fldChar w:fldCharType="begin"/>
      </w:r>
      <w:r>
        <w:rPr>
          <w:noProof/>
        </w:rPr>
        <w:instrText xml:space="preserve"> PAGEREF _Toc70505688 \h </w:instrText>
      </w:r>
      <w:r>
        <w:rPr>
          <w:noProof/>
        </w:rPr>
      </w:r>
      <w:r>
        <w:rPr>
          <w:noProof/>
        </w:rPr>
        <w:fldChar w:fldCharType="separate"/>
      </w:r>
      <w:r w:rsidR="000F445C">
        <w:rPr>
          <w:noProof/>
        </w:rPr>
        <w:t>372</w:t>
      </w:r>
      <w:r>
        <w:rPr>
          <w:noProof/>
        </w:rPr>
        <w:fldChar w:fldCharType="end"/>
      </w:r>
    </w:p>
    <w:p w14:paraId="47DE3B1A" w14:textId="12FAB685" w:rsidR="00390CDB" w:rsidRDefault="00390CDB">
      <w:pPr>
        <w:pStyle w:val="TableofFigures"/>
        <w:rPr>
          <w:rFonts w:eastAsiaTheme="minorEastAsia" w:cstheme="minorBidi"/>
          <w:noProof/>
          <w:sz w:val="22"/>
          <w:szCs w:val="22"/>
        </w:rPr>
      </w:pPr>
      <w:r>
        <w:rPr>
          <w:noProof/>
        </w:rPr>
        <w:t>K.6</w:t>
      </w:r>
      <w:r>
        <w:rPr>
          <w:rFonts w:eastAsiaTheme="minorEastAsia" w:cstheme="minorBidi"/>
          <w:noProof/>
          <w:sz w:val="22"/>
          <w:szCs w:val="22"/>
        </w:rPr>
        <w:tab/>
      </w:r>
      <w:r>
        <w:rPr>
          <w:noProof/>
        </w:rPr>
        <w:t>Attitudes towards accessible housing</w:t>
      </w:r>
      <w:r>
        <w:rPr>
          <w:noProof/>
        </w:rPr>
        <w:tab/>
      </w:r>
      <w:r>
        <w:rPr>
          <w:noProof/>
        </w:rPr>
        <w:fldChar w:fldCharType="begin"/>
      </w:r>
      <w:r>
        <w:rPr>
          <w:noProof/>
        </w:rPr>
        <w:instrText xml:space="preserve"> PAGEREF _Toc70505689 \h </w:instrText>
      </w:r>
      <w:r>
        <w:rPr>
          <w:noProof/>
        </w:rPr>
      </w:r>
      <w:r>
        <w:rPr>
          <w:noProof/>
        </w:rPr>
        <w:fldChar w:fldCharType="separate"/>
      </w:r>
      <w:r w:rsidR="000F445C">
        <w:rPr>
          <w:noProof/>
        </w:rPr>
        <w:t>373</w:t>
      </w:r>
      <w:r>
        <w:rPr>
          <w:noProof/>
        </w:rPr>
        <w:fldChar w:fldCharType="end"/>
      </w:r>
    </w:p>
    <w:p w14:paraId="338E3734" w14:textId="18A3CF17" w:rsidR="00390CDB" w:rsidRDefault="00390CDB">
      <w:pPr>
        <w:pStyle w:val="TableofFigures"/>
        <w:rPr>
          <w:rFonts w:eastAsiaTheme="minorEastAsia" w:cstheme="minorBidi"/>
          <w:noProof/>
          <w:sz w:val="22"/>
          <w:szCs w:val="22"/>
        </w:rPr>
      </w:pPr>
      <w:r>
        <w:rPr>
          <w:noProof/>
        </w:rPr>
        <w:t>K.7</w:t>
      </w:r>
      <w:r>
        <w:rPr>
          <w:rFonts w:eastAsiaTheme="minorEastAsia" w:cstheme="minorBidi"/>
          <w:noProof/>
          <w:sz w:val="22"/>
          <w:szCs w:val="22"/>
        </w:rPr>
        <w:tab/>
      </w:r>
      <w:r>
        <w:rPr>
          <w:noProof/>
        </w:rPr>
        <w:t>Preference for accessibility features by current mobility limitation status</w:t>
      </w:r>
      <w:r>
        <w:rPr>
          <w:noProof/>
        </w:rPr>
        <w:tab/>
      </w:r>
      <w:r>
        <w:rPr>
          <w:noProof/>
        </w:rPr>
        <w:fldChar w:fldCharType="begin"/>
      </w:r>
      <w:r>
        <w:rPr>
          <w:noProof/>
        </w:rPr>
        <w:instrText xml:space="preserve"> PAGEREF _Toc70505690 \h </w:instrText>
      </w:r>
      <w:r>
        <w:rPr>
          <w:noProof/>
        </w:rPr>
      </w:r>
      <w:r>
        <w:rPr>
          <w:noProof/>
        </w:rPr>
        <w:fldChar w:fldCharType="separate"/>
      </w:r>
      <w:r w:rsidR="000F445C">
        <w:rPr>
          <w:noProof/>
        </w:rPr>
        <w:t>374</w:t>
      </w:r>
      <w:r>
        <w:rPr>
          <w:noProof/>
        </w:rPr>
        <w:fldChar w:fldCharType="end"/>
      </w:r>
    </w:p>
    <w:p w14:paraId="71E888CD" w14:textId="12628DBD" w:rsidR="00390CDB" w:rsidRDefault="00390CDB">
      <w:pPr>
        <w:pStyle w:val="TableofFigures"/>
        <w:rPr>
          <w:rFonts w:eastAsiaTheme="minorEastAsia" w:cstheme="minorBidi"/>
          <w:noProof/>
          <w:sz w:val="22"/>
          <w:szCs w:val="22"/>
        </w:rPr>
      </w:pPr>
      <w:r>
        <w:rPr>
          <w:noProof/>
        </w:rPr>
        <w:t>K.8</w:t>
      </w:r>
      <w:r>
        <w:rPr>
          <w:rFonts w:eastAsiaTheme="minorEastAsia" w:cstheme="minorBidi"/>
          <w:noProof/>
          <w:sz w:val="22"/>
          <w:szCs w:val="22"/>
        </w:rPr>
        <w:tab/>
      </w:r>
      <w:r>
        <w:rPr>
          <w:noProof/>
        </w:rPr>
        <w:t>Accessibility features in the existing housing stock</w:t>
      </w:r>
      <w:r>
        <w:rPr>
          <w:noProof/>
        </w:rPr>
        <w:tab/>
      </w:r>
      <w:r>
        <w:rPr>
          <w:noProof/>
        </w:rPr>
        <w:fldChar w:fldCharType="begin"/>
      </w:r>
      <w:r>
        <w:rPr>
          <w:noProof/>
        </w:rPr>
        <w:instrText xml:space="preserve"> PAGEREF _Toc70505691 \h </w:instrText>
      </w:r>
      <w:r>
        <w:rPr>
          <w:noProof/>
        </w:rPr>
      </w:r>
      <w:r>
        <w:rPr>
          <w:noProof/>
        </w:rPr>
        <w:fldChar w:fldCharType="separate"/>
      </w:r>
      <w:r w:rsidR="000F445C">
        <w:rPr>
          <w:noProof/>
        </w:rPr>
        <w:t>375</w:t>
      </w:r>
      <w:r>
        <w:rPr>
          <w:noProof/>
        </w:rPr>
        <w:fldChar w:fldCharType="end"/>
      </w:r>
    </w:p>
    <w:p w14:paraId="00D5022F" w14:textId="763F9D66" w:rsidR="00390CDB" w:rsidRDefault="00390CDB">
      <w:pPr>
        <w:pStyle w:val="TableofFigures"/>
        <w:rPr>
          <w:rFonts w:eastAsiaTheme="minorEastAsia" w:cstheme="minorBidi"/>
          <w:noProof/>
          <w:sz w:val="22"/>
          <w:szCs w:val="22"/>
        </w:rPr>
      </w:pPr>
      <w:r>
        <w:rPr>
          <w:noProof/>
        </w:rPr>
        <w:t>K.9</w:t>
      </w:r>
      <w:r>
        <w:rPr>
          <w:rFonts w:eastAsiaTheme="minorEastAsia" w:cstheme="minorBidi"/>
          <w:noProof/>
          <w:sz w:val="22"/>
          <w:szCs w:val="22"/>
        </w:rPr>
        <w:tab/>
      </w:r>
      <w:r>
        <w:rPr>
          <w:noProof/>
        </w:rPr>
        <w:t>Models for predicting respondent reference prices</w:t>
      </w:r>
      <w:r>
        <w:rPr>
          <w:noProof/>
        </w:rPr>
        <w:tab/>
      </w:r>
      <w:r>
        <w:rPr>
          <w:noProof/>
        </w:rPr>
        <w:fldChar w:fldCharType="begin"/>
      </w:r>
      <w:r>
        <w:rPr>
          <w:noProof/>
        </w:rPr>
        <w:instrText xml:space="preserve"> PAGEREF _Toc70505692 \h </w:instrText>
      </w:r>
      <w:r>
        <w:rPr>
          <w:noProof/>
        </w:rPr>
      </w:r>
      <w:r>
        <w:rPr>
          <w:noProof/>
        </w:rPr>
        <w:fldChar w:fldCharType="separate"/>
      </w:r>
      <w:r w:rsidR="000F445C">
        <w:rPr>
          <w:noProof/>
        </w:rPr>
        <w:t>376</w:t>
      </w:r>
      <w:r>
        <w:rPr>
          <w:noProof/>
        </w:rPr>
        <w:fldChar w:fldCharType="end"/>
      </w:r>
    </w:p>
    <w:p w14:paraId="06C17329" w14:textId="177C11D5" w:rsidR="00390CDB" w:rsidRDefault="00390CDB">
      <w:pPr>
        <w:pStyle w:val="TableofFigures"/>
        <w:rPr>
          <w:rFonts w:eastAsiaTheme="minorEastAsia" w:cstheme="minorBidi"/>
          <w:noProof/>
          <w:sz w:val="22"/>
          <w:szCs w:val="22"/>
        </w:rPr>
      </w:pPr>
      <w:r>
        <w:rPr>
          <w:noProof/>
        </w:rPr>
        <w:t>K.10</w:t>
      </w:r>
      <w:r>
        <w:rPr>
          <w:rFonts w:eastAsiaTheme="minorEastAsia" w:cstheme="minorBidi"/>
          <w:noProof/>
          <w:sz w:val="22"/>
          <w:szCs w:val="22"/>
        </w:rPr>
        <w:tab/>
      </w:r>
      <w:r>
        <w:rPr>
          <w:noProof/>
        </w:rPr>
        <w:t>Renter model of housing choice</w:t>
      </w:r>
      <w:r>
        <w:rPr>
          <w:noProof/>
        </w:rPr>
        <w:tab/>
      </w:r>
      <w:r>
        <w:rPr>
          <w:noProof/>
        </w:rPr>
        <w:fldChar w:fldCharType="begin"/>
      </w:r>
      <w:r>
        <w:rPr>
          <w:noProof/>
        </w:rPr>
        <w:instrText xml:space="preserve"> PAGEREF _Toc70505693 \h </w:instrText>
      </w:r>
      <w:r>
        <w:rPr>
          <w:noProof/>
        </w:rPr>
      </w:r>
      <w:r>
        <w:rPr>
          <w:noProof/>
        </w:rPr>
        <w:fldChar w:fldCharType="separate"/>
      </w:r>
      <w:r w:rsidR="000F445C">
        <w:rPr>
          <w:noProof/>
        </w:rPr>
        <w:t>378</w:t>
      </w:r>
      <w:r>
        <w:rPr>
          <w:noProof/>
        </w:rPr>
        <w:fldChar w:fldCharType="end"/>
      </w:r>
    </w:p>
    <w:p w14:paraId="466B9435" w14:textId="5300FFE5" w:rsidR="00390CDB" w:rsidRDefault="00390CDB">
      <w:pPr>
        <w:pStyle w:val="TableofFigures"/>
        <w:rPr>
          <w:rFonts w:eastAsiaTheme="minorEastAsia" w:cstheme="minorBidi"/>
          <w:noProof/>
          <w:sz w:val="22"/>
          <w:szCs w:val="22"/>
        </w:rPr>
      </w:pPr>
      <w:r>
        <w:rPr>
          <w:noProof/>
        </w:rPr>
        <w:t>K.11</w:t>
      </w:r>
      <w:r>
        <w:rPr>
          <w:rFonts w:eastAsiaTheme="minorEastAsia" w:cstheme="minorBidi"/>
          <w:noProof/>
          <w:sz w:val="22"/>
          <w:szCs w:val="22"/>
        </w:rPr>
        <w:tab/>
      </w:r>
      <w:r>
        <w:rPr>
          <w:noProof/>
        </w:rPr>
        <w:t>Buyer model of housing choice</w:t>
      </w:r>
      <w:r>
        <w:rPr>
          <w:noProof/>
        </w:rPr>
        <w:tab/>
      </w:r>
      <w:r>
        <w:rPr>
          <w:noProof/>
        </w:rPr>
        <w:fldChar w:fldCharType="begin"/>
      </w:r>
      <w:r>
        <w:rPr>
          <w:noProof/>
        </w:rPr>
        <w:instrText xml:space="preserve"> PAGEREF _Toc70505694 \h </w:instrText>
      </w:r>
      <w:r>
        <w:rPr>
          <w:noProof/>
        </w:rPr>
      </w:r>
      <w:r>
        <w:rPr>
          <w:noProof/>
        </w:rPr>
        <w:fldChar w:fldCharType="separate"/>
      </w:r>
      <w:r w:rsidR="000F445C">
        <w:rPr>
          <w:noProof/>
        </w:rPr>
        <w:t>378</w:t>
      </w:r>
      <w:r>
        <w:rPr>
          <w:noProof/>
        </w:rPr>
        <w:fldChar w:fldCharType="end"/>
      </w:r>
    </w:p>
    <w:p w14:paraId="28218FF5" w14:textId="23E752C1" w:rsidR="00390CDB" w:rsidRDefault="00390CDB">
      <w:pPr>
        <w:pStyle w:val="TableofFigures"/>
        <w:rPr>
          <w:rFonts w:eastAsiaTheme="minorEastAsia" w:cstheme="minorBidi"/>
          <w:noProof/>
          <w:sz w:val="22"/>
          <w:szCs w:val="22"/>
        </w:rPr>
      </w:pPr>
      <w:r>
        <w:rPr>
          <w:noProof/>
        </w:rPr>
        <w:t>K.12</w:t>
      </w:r>
      <w:r>
        <w:rPr>
          <w:rFonts w:eastAsiaTheme="minorEastAsia" w:cstheme="minorBidi"/>
          <w:noProof/>
          <w:sz w:val="22"/>
          <w:szCs w:val="22"/>
        </w:rPr>
        <w:tab/>
      </w:r>
      <w:r>
        <w:rPr>
          <w:noProof/>
        </w:rPr>
        <w:t>Average willingness to pay as a proportion of reference price</w:t>
      </w:r>
      <w:r>
        <w:rPr>
          <w:noProof/>
        </w:rPr>
        <w:tab/>
      </w:r>
      <w:r>
        <w:rPr>
          <w:noProof/>
        </w:rPr>
        <w:fldChar w:fldCharType="begin"/>
      </w:r>
      <w:r>
        <w:rPr>
          <w:noProof/>
        </w:rPr>
        <w:instrText xml:space="preserve"> PAGEREF _Toc70505695 \h </w:instrText>
      </w:r>
      <w:r>
        <w:rPr>
          <w:noProof/>
        </w:rPr>
      </w:r>
      <w:r>
        <w:rPr>
          <w:noProof/>
        </w:rPr>
        <w:fldChar w:fldCharType="separate"/>
      </w:r>
      <w:r w:rsidR="000F445C">
        <w:rPr>
          <w:noProof/>
        </w:rPr>
        <w:t>379</w:t>
      </w:r>
      <w:r>
        <w:rPr>
          <w:noProof/>
        </w:rPr>
        <w:fldChar w:fldCharType="end"/>
      </w:r>
    </w:p>
    <w:p w14:paraId="2A9C6BF1" w14:textId="512767EF" w:rsidR="00390CDB" w:rsidRDefault="00390CDB">
      <w:pPr>
        <w:pStyle w:val="TableofFigures"/>
        <w:rPr>
          <w:rFonts w:eastAsiaTheme="minorEastAsia" w:cstheme="minorBidi"/>
          <w:noProof/>
          <w:sz w:val="22"/>
          <w:szCs w:val="22"/>
        </w:rPr>
      </w:pPr>
      <w:r>
        <w:rPr>
          <w:noProof/>
        </w:rPr>
        <w:t>K.13</w:t>
      </w:r>
      <w:r>
        <w:rPr>
          <w:rFonts w:eastAsiaTheme="minorEastAsia" w:cstheme="minorBidi"/>
          <w:noProof/>
          <w:sz w:val="22"/>
          <w:szCs w:val="22"/>
        </w:rPr>
        <w:tab/>
      </w:r>
      <w:r>
        <w:rPr>
          <w:noProof/>
        </w:rPr>
        <w:t>Estimates of average willingness to pay by tenure type and mobility status</w:t>
      </w:r>
      <w:r>
        <w:rPr>
          <w:noProof/>
        </w:rPr>
        <w:tab/>
      </w:r>
      <w:r>
        <w:rPr>
          <w:noProof/>
        </w:rPr>
        <w:fldChar w:fldCharType="begin"/>
      </w:r>
      <w:r>
        <w:rPr>
          <w:noProof/>
        </w:rPr>
        <w:instrText xml:space="preserve"> PAGEREF _Toc70505696 \h </w:instrText>
      </w:r>
      <w:r>
        <w:rPr>
          <w:noProof/>
        </w:rPr>
      </w:r>
      <w:r>
        <w:rPr>
          <w:noProof/>
        </w:rPr>
        <w:fldChar w:fldCharType="separate"/>
      </w:r>
      <w:r w:rsidR="000F445C">
        <w:rPr>
          <w:noProof/>
        </w:rPr>
        <w:t>381</w:t>
      </w:r>
      <w:r>
        <w:rPr>
          <w:noProof/>
        </w:rPr>
        <w:fldChar w:fldCharType="end"/>
      </w:r>
    </w:p>
    <w:p w14:paraId="4DE5D065" w14:textId="5FB14DE8" w:rsidR="00390CDB" w:rsidRDefault="00390CDB">
      <w:pPr>
        <w:pStyle w:val="TableofFigures"/>
        <w:rPr>
          <w:rFonts w:eastAsiaTheme="minorEastAsia" w:cstheme="minorBidi"/>
          <w:noProof/>
          <w:sz w:val="22"/>
          <w:szCs w:val="22"/>
        </w:rPr>
      </w:pPr>
      <w:r>
        <w:rPr>
          <w:noProof/>
        </w:rPr>
        <w:t>K.14</w:t>
      </w:r>
      <w:r>
        <w:rPr>
          <w:rFonts w:eastAsiaTheme="minorEastAsia" w:cstheme="minorBidi"/>
          <w:noProof/>
          <w:sz w:val="22"/>
          <w:szCs w:val="22"/>
        </w:rPr>
        <w:tab/>
      </w:r>
      <w:r>
        <w:rPr>
          <w:noProof/>
        </w:rPr>
        <w:t>Responses to contingent valuation question</w:t>
      </w:r>
      <w:r>
        <w:rPr>
          <w:noProof/>
        </w:rPr>
        <w:tab/>
      </w:r>
      <w:r>
        <w:rPr>
          <w:noProof/>
        </w:rPr>
        <w:fldChar w:fldCharType="begin"/>
      </w:r>
      <w:r>
        <w:rPr>
          <w:noProof/>
        </w:rPr>
        <w:instrText xml:space="preserve"> PAGEREF _Toc70505697 \h </w:instrText>
      </w:r>
      <w:r>
        <w:rPr>
          <w:noProof/>
        </w:rPr>
      </w:r>
      <w:r>
        <w:rPr>
          <w:noProof/>
        </w:rPr>
        <w:fldChar w:fldCharType="separate"/>
      </w:r>
      <w:r w:rsidR="000F445C">
        <w:rPr>
          <w:noProof/>
        </w:rPr>
        <w:t>381</w:t>
      </w:r>
      <w:r>
        <w:rPr>
          <w:noProof/>
        </w:rPr>
        <w:fldChar w:fldCharType="end"/>
      </w:r>
    </w:p>
    <w:p w14:paraId="0478965A" w14:textId="0B8F2785" w:rsidR="00390CDB" w:rsidRDefault="00390CDB">
      <w:pPr>
        <w:pStyle w:val="TableofFigures"/>
        <w:rPr>
          <w:rFonts w:eastAsiaTheme="minorEastAsia" w:cstheme="minorBidi"/>
          <w:noProof/>
          <w:sz w:val="22"/>
          <w:szCs w:val="22"/>
        </w:rPr>
      </w:pPr>
      <w:r>
        <w:rPr>
          <w:noProof/>
        </w:rPr>
        <w:t>K.15</w:t>
      </w:r>
      <w:r>
        <w:rPr>
          <w:rFonts w:eastAsiaTheme="minorEastAsia" w:cstheme="minorBidi"/>
          <w:noProof/>
          <w:sz w:val="22"/>
          <w:szCs w:val="22"/>
        </w:rPr>
        <w:tab/>
      </w:r>
      <w:r>
        <w:rPr>
          <w:noProof/>
        </w:rPr>
        <w:t>Increased likelihood of accessibility features in homes occupied by at least one person with a mobility limitation</w:t>
      </w:r>
      <w:r>
        <w:rPr>
          <w:noProof/>
        </w:rPr>
        <w:tab/>
      </w:r>
      <w:r>
        <w:rPr>
          <w:noProof/>
        </w:rPr>
        <w:fldChar w:fldCharType="begin"/>
      </w:r>
      <w:r>
        <w:rPr>
          <w:noProof/>
        </w:rPr>
        <w:instrText xml:space="preserve"> PAGEREF _Toc70505698 \h </w:instrText>
      </w:r>
      <w:r>
        <w:rPr>
          <w:noProof/>
        </w:rPr>
      </w:r>
      <w:r>
        <w:rPr>
          <w:noProof/>
        </w:rPr>
        <w:fldChar w:fldCharType="separate"/>
      </w:r>
      <w:r w:rsidR="000F445C">
        <w:rPr>
          <w:noProof/>
        </w:rPr>
        <w:t>382</w:t>
      </w:r>
      <w:r>
        <w:rPr>
          <w:noProof/>
        </w:rPr>
        <w:fldChar w:fldCharType="end"/>
      </w:r>
    </w:p>
    <w:p w14:paraId="212C9E23" w14:textId="28B229B7" w:rsidR="00390CDB" w:rsidRDefault="00390CDB">
      <w:pPr>
        <w:pStyle w:val="TableofFigures"/>
        <w:rPr>
          <w:rFonts w:eastAsiaTheme="minorEastAsia" w:cstheme="minorBidi"/>
          <w:noProof/>
          <w:sz w:val="22"/>
          <w:szCs w:val="22"/>
        </w:rPr>
      </w:pPr>
      <w:r>
        <w:rPr>
          <w:noProof/>
        </w:rPr>
        <w:t>K.16</w:t>
      </w:r>
      <w:r>
        <w:rPr>
          <w:rFonts w:eastAsiaTheme="minorEastAsia" w:cstheme="minorBidi"/>
          <w:noProof/>
          <w:sz w:val="22"/>
          <w:szCs w:val="22"/>
        </w:rPr>
        <w:tab/>
      </w:r>
      <w:r>
        <w:rPr>
          <w:noProof/>
        </w:rPr>
        <w:t>Average share of accessible features provided in the baseline</w:t>
      </w:r>
      <w:r>
        <w:rPr>
          <w:noProof/>
        </w:rPr>
        <w:tab/>
      </w:r>
      <w:r>
        <w:rPr>
          <w:noProof/>
        </w:rPr>
        <w:fldChar w:fldCharType="begin"/>
      </w:r>
      <w:r>
        <w:rPr>
          <w:noProof/>
        </w:rPr>
        <w:instrText xml:space="preserve"> PAGEREF _Toc70505699 \h </w:instrText>
      </w:r>
      <w:r>
        <w:rPr>
          <w:noProof/>
        </w:rPr>
      </w:r>
      <w:r>
        <w:rPr>
          <w:noProof/>
        </w:rPr>
        <w:fldChar w:fldCharType="separate"/>
      </w:r>
      <w:r w:rsidR="000F445C">
        <w:rPr>
          <w:noProof/>
        </w:rPr>
        <w:t>383</w:t>
      </w:r>
      <w:r>
        <w:rPr>
          <w:noProof/>
        </w:rPr>
        <w:fldChar w:fldCharType="end"/>
      </w:r>
    </w:p>
    <w:p w14:paraId="47BB7B55" w14:textId="03885A05" w:rsidR="00390CDB" w:rsidRDefault="00390CDB">
      <w:pPr>
        <w:pStyle w:val="TableofFigures"/>
        <w:rPr>
          <w:rFonts w:eastAsiaTheme="minorEastAsia" w:cstheme="minorBidi"/>
          <w:noProof/>
          <w:sz w:val="22"/>
          <w:szCs w:val="22"/>
        </w:rPr>
      </w:pPr>
      <w:r>
        <w:rPr>
          <w:noProof/>
        </w:rPr>
        <w:t>K.17</w:t>
      </w:r>
      <w:r>
        <w:rPr>
          <w:rFonts w:eastAsiaTheme="minorEastAsia" w:cstheme="minorBidi"/>
          <w:noProof/>
          <w:sz w:val="22"/>
          <w:szCs w:val="22"/>
        </w:rPr>
        <w:tab/>
      </w:r>
      <w:r>
        <w:rPr>
          <w:noProof/>
        </w:rPr>
        <w:t>Average WTP for accessible features</w:t>
      </w:r>
      <w:r>
        <w:rPr>
          <w:noProof/>
        </w:rPr>
        <w:tab/>
      </w:r>
      <w:r>
        <w:rPr>
          <w:noProof/>
        </w:rPr>
        <w:fldChar w:fldCharType="begin"/>
      </w:r>
      <w:r>
        <w:rPr>
          <w:noProof/>
        </w:rPr>
        <w:instrText xml:space="preserve"> PAGEREF _Toc70505700 \h </w:instrText>
      </w:r>
      <w:r>
        <w:rPr>
          <w:noProof/>
        </w:rPr>
      </w:r>
      <w:r>
        <w:rPr>
          <w:noProof/>
        </w:rPr>
        <w:fldChar w:fldCharType="separate"/>
      </w:r>
      <w:r w:rsidR="000F445C">
        <w:rPr>
          <w:noProof/>
        </w:rPr>
        <w:t>384</w:t>
      </w:r>
      <w:r>
        <w:rPr>
          <w:noProof/>
        </w:rPr>
        <w:fldChar w:fldCharType="end"/>
      </w:r>
    </w:p>
    <w:p w14:paraId="7E7744D1" w14:textId="05B2B2BB" w:rsidR="00390CDB" w:rsidRDefault="00390CDB">
      <w:pPr>
        <w:pStyle w:val="TableofFigures"/>
        <w:rPr>
          <w:rFonts w:eastAsiaTheme="minorEastAsia" w:cstheme="minorBidi"/>
          <w:noProof/>
          <w:sz w:val="22"/>
          <w:szCs w:val="22"/>
        </w:rPr>
      </w:pPr>
      <w:r>
        <w:rPr>
          <w:noProof/>
        </w:rPr>
        <w:t>K.18</w:t>
      </w:r>
      <w:r>
        <w:rPr>
          <w:rFonts w:eastAsiaTheme="minorEastAsia" w:cstheme="minorBidi"/>
          <w:noProof/>
          <w:sz w:val="22"/>
          <w:szCs w:val="22"/>
        </w:rPr>
        <w:tab/>
      </w:r>
      <w:r>
        <w:rPr>
          <w:noProof/>
        </w:rPr>
        <w:t>Reasons for not voting for the policy to increase accessible housing</w:t>
      </w:r>
      <w:r>
        <w:rPr>
          <w:noProof/>
        </w:rPr>
        <w:tab/>
      </w:r>
      <w:r>
        <w:rPr>
          <w:noProof/>
        </w:rPr>
        <w:fldChar w:fldCharType="begin"/>
      </w:r>
      <w:r>
        <w:rPr>
          <w:noProof/>
        </w:rPr>
        <w:instrText xml:space="preserve"> PAGEREF _Toc70505701 \h </w:instrText>
      </w:r>
      <w:r>
        <w:rPr>
          <w:noProof/>
        </w:rPr>
      </w:r>
      <w:r>
        <w:rPr>
          <w:noProof/>
        </w:rPr>
        <w:fldChar w:fldCharType="separate"/>
      </w:r>
      <w:r w:rsidR="000F445C">
        <w:rPr>
          <w:noProof/>
        </w:rPr>
        <w:t>385</w:t>
      </w:r>
      <w:r>
        <w:rPr>
          <w:noProof/>
        </w:rPr>
        <w:fldChar w:fldCharType="end"/>
      </w:r>
    </w:p>
    <w:p w14:paraId="4097F711" w14:textId="394382BF" w:rsidR="00390CDB" w:rsidRDefault="00390CDB">
      <w:pPr>
        <w:pStyle w:val="TableofFigures"/>
        <w:rPr>
          <w:rFonts w:eastAsiaTheme="minorEastAsia" w:cstheme="minorBidi"/>
          <w:noProof/>
          <w:sz w:val="22"/>
          <w:szCs w:val="22"/>
        </w:rPr>
      </w:pPr>
      <w:r>
        <w:rPr>
          <w:noProof/>
        </w:rPr>
        <w:t>K.19</w:t>
      </w:r>
      <w:r>
        <w:rPr>
          <w:rFonts w:eastAsiaTheme="minorEastAsia" w:cstheme="minorBidi"/>
          <w:noProof/>
          <w:sz w:val="22"/>
          <w:szCs w:val="22"/>
        </w:rPr>
        <w:tab/>
      </w:r>
      <w:r>
        <w:rPr>
          <w:noProof/>
        </w:rPr>
        <w:t>Consequentiality of the survey</w:t>
      </w:r>
      <w:r>
        <w:rPr>
          <w:noProof/>
        </w:rPr>
        <w:tab/>
      </w:r>
      <w:r>
        <w:rPr>
          <w:noProof/>
        </w:rPr>
        <w:fldChar w:fldCharType="begin"/>
      </w:r>
      <w:r>
        <w:rPr>
          <w:noProof/>
        </w:rPr>
        <w:instrText xml:space="preserve"> PAGEREF _Toc70505702 \h </w:instrText>
      </w:r>
      <w:r>
        <w:rPr>
          <w:noProof/>
        </w:rPr>
      </w:r>
      <w:r>
        <w:rPr>
          <w:noProof/>
        </w:rPr>
        <w:fldChar w:fldCharType="separate"/>
      </w:r>
      <w:r w:rsidR="000F445C">
        <w:rPr>
          <w:noProof/>
        </w:rPr>
        <w:t>385</w:t>
      </w:r>
      <w:r>
        <w:rPr>
          <w:noProof/>
        </w:rPr>
        <w:fldChar w:fldCharType="end"/>
      </w:r>
    </w:p>
    <w:p w14:paraId="20EE2BCF" w14:textId="6DA437E5" w:rsidR="00390CDB" w:rsidRDefault="00390CDB">
      <w:pPr>
        <w:pStyle w:val="TableofFigures"/>
        <w:rPr>
          <w:rFonts w:eastAsiaTheme="minorEastAsia" w:cstheme="minorBidi"/>
          <w:noProof/>
          <w:sz w:val="22"/>
          <w:szCs w:val="22"/>
        </w:rPr>
      </w:pPr>
      <w:r>
        <w:rPr>
          <w:noProof/>
        </w:rPr>
        <w:t>K.20</w:t>
      </w:r>
      <w:r>
        <w:rPr>
          <w:rFonts w:eastAsiaTheme="minorEastAsia" w:cstheme="minorBidi"/>
          <w:noProof/>
          <w:sz w:val="22"/>
          <w:szCs w:val="22"/>
        </w:rPr>
        <w:tab/>
      </w:r>
      <w:r>
        <w:rPr>
          <w:noProof/>
        </w:rPr>
        <w:t>Expert statement from Professor Riccardo Scarpa</w:t>
      </w:r>
      <w:r>
        <w:rPr>
          <w:noProof/>
        </w:rPr>
        <w:tab/>
      </w:r>
      <w:r>
        <w:rPr>
          <w:noProof/>
        </w:rPr>
        <w:fldChar w:fldCharType="begin"/>
      </w:r>
      <w:r>
        <w:rPr>
          <w:noProof/>
        </w:rPr>
        <w:instrText xml:space="preserve"> PAGEREF _Toc70505703 \h </w:instrText>
      </w:r>
      <w:r>
        <w:rPr>
          <w:noProof/>
        </w:rPr>
      </w:r>
      <w:r>
        <w:rPr>
          <w:noProof/>
        </w:rPr>
        <w:fldChar w:fldCharType="separate"/>
      </w:r>
      <w:r w:rsidR="000F445C">
        <w:rPr>
          <w:noProof/>
        </w:rPr>
        <w:t>386</w:t>
      </w:r>
      <w:r>
        <w:rPr>
          <w:noProof/>
        </w:rPr>
        <w:fldChar w:fldCharType="end"/>
      </w:r>
    </w:p>
    <w:p w14:paraId="7710C0F9" w14:textId="6C135580" w:rsidR="00650F3E" w:rsidRPr="00650F3E" w:rsidRDefault="00A21A20" w:rsidP="00416B4C">
      <w:pPr>
        <w:pStyle w:val="TableofFigures"/>
        <w:rPr>
          <w:lang w:val="en-US"/>
        </w:rPr>
      </w:pPr>
      <w:r>
        <w:rPr>
          <w:b/>
          <w:bCs/>
          <w:noProof/>
          <w:lang w:val="en-US"/>
        </w:rPr>
        <w:fldChar w:fldCharType="end"/>
      </w:r>
      <w:bookmarkStart w:id="3" w:name="_Hlk32930683"/>
    </w:p>
    <w:p w14:paraId="58C803C5" w14:textId="77777777" w:rsidR="00650F3E" w:rsidRDefault="00650F3E" w:rsidP="004E7620">
      <w:pPr>
        <w:pStyle w:val="Heading1"/>
        <w:numPr>
          <w:ilvl w:val="0"/>
          <w:numId w:val="0"/>
        </w:numPr>
        <w:sectPr w:rsidR="00650F3E" w:rsidSect="00632180">
          <w:type w:val="continuous"/>
          <w:pgSz w:w="11906" w:h="16838" w:code="9"/>
          <w:pgMar w:top="2268" w:right="1701" w:bottom="1418" w:left="2268" w:header="680" w:footer="680" w:gutter="0"/>
          <w:pgNumType w:fmt="lowerRoman"/>
          <w:cols w:space="708"/>
          <w:docGrid w:linePitch="360"/>
        </w:sectPr>
      </w:pPr>
    </w:p>
    <w:p w14:paraId="0C458B64" w14:textId="77777777" w:rsidR="00542A3C" w:rsidRDefault="00542A3C" w:rsidP="00801EC2">
      <w:pPr>
        <w:pStyle w:val="Heading1NotNumbered"/>
      </w:pPr>
      <w:bookmarkStart w:id="4" w:name="_Toc70505076"/>
      <w:bookmarkStart w:id="5" w:name="DeleteThisLine"/>
      <w:bookmarkEnd w:id="2"/>
      <w:r>
        <w:lastRenderedPageBreak/>
        <w:t>Abbreviations</w:t>
      </w:r>
      <w:bookmarkEnd w:id="4"/>
    </w:p>
    <w:p w14:paraId="6301213D" w14:textId="77777777" w:rsidR="006B57AA" w:rsidRPr="006B57AA" w:rsidRDefault="006B57AA" w:rsidP="006B57AA">
      <w:pPr>
        <w:pStyle w:val="BodyText"/>
        <w:tabs>
          <w:tab w:val="left" w:pos="1418"/>
        </w:tabs>
      </w:pPr>
      <w:r w:rsidRPr="006B57AA">
        <w:t>ABCB</w:t>
      </w:r>
      <w:r w:rsidRPr="006B57AA">
        <w:tab/>
        <w:t>Australian Building Codes Board</w:t>
      </w:r>
    </w:p>
    <w:p w14:paraId="3D651DEB" w14:textId="77777777" w:rsidR="006B57AA" w:rsidRPr="006B57AA" w:rsidRDefault="006B57AA" w:rsidP="006B57AA">
      <w:pPr>
        <w:pStyle w:val="BodyText"/>
        <w:tabs>
          <w:tab w:val="left" w:pos="1418"/>
        </w:tabs>
      </w:pPr>
      <w:r w:rsidRPr="006B57AA">
        <w:t>ABS</w:t>
      </w:r>
      <w:r w:rsidRPr="006B57AA">
        <w:tab/>
        <w:t>Australian Bureau of Statistics</w:t>
      </w:r>
    </w:p>
    <w:p w14:paraId="6B398467" w14:textId="77777777" w:rsidR="006B57AA" w:rsidRPr="006B57AA" w:rsidRDefault="006B57AA" w:rsidP="006B57AA">
      <w:pPr>
        <w:pStyle w:val="BodyText"/>
        <w:tabs>
          <w:tab w:val="left" w:pos="1418"/>
        </w:tabs>
      </w:pPr>
      <w:r w:rsidRPr="006B57AA">
        <w:t>ACSA</w:t>
      </w:r>
      <w:r w:rsidRPr="006B57AA">
        <w:tab/>
        <w:t>Aged and Community Services Australia</w:t>
      </w:r>
    </w:p>
    <w:p w14:paraId="189960ED" w14:textId="77777777" w:rsidR="006B57AA" w:rsidRPr="006B57AA" w:rsidRDefault="006B57AA" w:rsidP="006B57AA">
      <w:pPr>
        <w:pStyle w:val="BodyText"/>
        <w:tabs>
          <w:tab w:val="left" w:pos="1418"/>
        </w:tabs>
      </w:pPr>
      <w:r w:rsidRPr="006B57AA">
        <w:t>ADACAS</w:t>
      </w:r>
      <w:r w:rsidRPr="006B57AA">
        <w:tab/>
        <w:t>ACT Disability, Aged and Carer Advocacy Service</w:t>
      </w:r>
    </w:p>
    <w:p w14:paraId="4F28212A" w14:textId="77777777" w:rsidR="006B57AA" w:rsidRPr="006B57AA" w:rsidRDefault="006B57AA" w:rsidP="006B57AA">
      <w:pPr>
        <w:pStyle w:val="BodyText"/>
        <w:tabs>
          <w:tab w:val="left" w:pos="1418"/>
        </w:tabs>
      </w:pPr>
      <w:r w:rsidRPr="006B57AA">
        <w:t>AHRC</w:t>
      </w:r>
      <w:r w:rsidRPr="006B57AA">
        <w:tab/>
        <w:t>Australian Human Rights Commission</w:t>
      </w:r>
    </w:p>
    <w:p w14:paraId="518D2385" w14:textId="77777777" w:rsidR="006B57AA" w:rsidRPr="006B57AA" w:rsidRDefault="006B57AA" w:rsidP="006B57AA">
      <w:pPr>
        <w:pStyle w:val="BodyText"/>
        <w:tabs>
          <w:tab w:val="left" w:pos="1418"/>
        </w:tabs>
      </w:pPr>
      <w:r w:rsidRPr="006B57AA">
        <w:t>AHURI</w:t>
      </w:r>
      <w:r w:rsidRPr="006B57AA">
        <w:tab/>
        <w:t>Australian Housing and Urban Research Institute</w:t>
      </w:r>
    </w:p>
    <w:p w14:paraId="2E98884C" w14:textId="77777777" w:rsidR="006B57AA" w:rsidRPr="006B57AA" w:rsidRDefault="006B57AA" w:rsidP="006B57AA">
      <w:pPr>
        <w:pStyle w:val="BodyText"/>
        <w:tabs>
          <w:tab w:val="left" w:pos="1418"/>
        </w:tabs>
      </w:pPr>
      <w:r w:rsidRPr="006B57AA">
        <w:t>AIHW</w:t>
      </w:r>
      <w:r w:rsidRPr="006B57AA">
        <w:tab/>
        <w:t>Australian Institute of Health and Welfare</w:t>
      </w:r>
    </w:p>
    <w:p w14:paraId="2CB1A36D" w14:textId="77777777" w:rsidR="006B57AA" w:rsidRPr="006B57AA" w:rsidRDefault="006B57AA" w:rsidP="006B57AA">
      <w:pPr>
        <w:pStyle w:val="BodyText"/>
        <w:tabs>
          <w:tab w:val="left" w:pos="1418"/>
        </w:tabs>
      </w:pPr>
      <w:r w:rsidRPr="006B57AA">
        <w:t>ANUHD</w:t>
      </w:r>
      <w:r w:rsidRPr="006B57AA">
        <w:tab/>
        <w:t>Australian Network for Universal Housing Design</w:t>
      </w:r>
    </w:p>
    <w:p w14:paraId="35D761F1" w14:textId="77777777" w:rsidR="006B57AA" w:rsidRPr="006B57AA" w:rsidRDefault="006B57AA" w:rsidP="006B57AA">
      <w:pPr>
        <w:pStyle w:val="BodyText"/>
        <w:tabs>
          <w:tab w:val="left" w:pos="1418"/>
        </w:tabs>
      </w:pPr>
      <w:r w:rsidRPr="006B57AA">
        <w:t>AQoL</w:t>
      </w:r>
      <w:r w:rsidRPr="006B57AA">
        <w:tab/>
        <w:t>Assessment of Quality of Life</w:t>
      </w:r>
    </w:p>
    <w:p w14:paraId="22D5301F" w14:textId="77777777" w:rsidR="006B57AA" w:rsidRPr="006B57AA" w:rsidRDefault="006B57AA" w:rsidP="006B57AA">
      <w:pPr>
        <w:pStyle w:val="BodyText"/>
        <w:tabs>
          <w:tab w:val="left" w:pos="1418"/>
        </w:tabs>
      </w:pPr>
      <w:r w:rsidRPr="006B57AA">
        <w:t>ARATA</w:t>
      </w:r>
      <w:r w:rsidRPr="006B57AA">
        <w:tab/>
        <w:t>Australian Rehabilitation and Assistive Technology Association</w:t>
      </w:r>
    </w:p>
    <w:p w14:paraId="67A3D95F" w14:textId="77777777" w:rsidR="006B57AA" w:rsidRPr="006B57AA" w:rsidRDefault="006B57AA" w:rsidP="006B57AA">
      <w:pPr>
        <w:pStyle w:val="BodyText"/>
        <w:tabs>
          <w:tab w:val="left" w:pos="1418"/>
        </w:tabs>
      </w:pPr>
      <w:r w:rsidRPr="006B57AA">
        <w:t>BCR</w:t>
      </w:r>
      <w:r w:rsidRPr="006B57AA">
        <w:tab/>
        <w:t>Benefit-cost ratio</w:t>
      </w:r>
    </w:p>
    <w:p w14:paraId="13D6EFA0" w14:textId="77777777" w:rsidR="006B57AA" w:rsidRPr="006B57AA" w:rsidRDefault="006B57AA" w:rsidP="006B57AA">
      <w:pPr>
        <w:pStyle w:val="BodyText"/>
        <w:tabs>
          <w:tab w:val="left" w:pos="1418"/>
        </w:tabs>
      </w:pPr>
      <w:r w:rsidRPr="006B57AA">
        <w:t>BMF</w:t>
      </w:r>
      <w:r w:rsidRPr="006B57AA">
        <w:tab/>
        <w:t>Building Ministers' Forum</w:t>
      </w:r>
    </w:p>
    <w:p w14:paraId="37B385FF" w14:textId="77777777" w:rsidR="006B57AA" w:rsidRPr="006B57AA" w:rsidRDefault="006B57AA" w:rsidP="006B57AA">
      <w:pPr>
        <w:pStyle w:val="BodyText"/>
        <w:tabs>
          <w:tab w:val="left" w:pos="1418"/>
        </w:tabs>
      </w:pPr>
      <w:r w:rsidRPr="006B57AA">
        <w:t>CASE</w:t>
      </w:r>
      <w:r w:rsidRPr="006B57AA">
        <w:tab/>
        <w:t>Centre for Analysis of Social Exclusion</w:t>
      </w:r>
    </w:p>
    <w:p w14:paraId="7D285C4D" w14:textId="77777777" w:rsidR="006B57AA" w:rsidRPr="006B57AA" w:rsidRDefault="006B57AA" w:rsidP="006B57AA">
      <w:pPr>
        <w:pStyle w:val="BodyText"/>
        <w:tabs>
          <w:tab w:val="left" w:pos="1418"/>
        </w:tabs>
      </w:pPr>
      <w:r w:rsidRPr="006B57AA">
        <w:t>CBA</w:t>
      </w:r>
      <w:r w:rsidRPr="006B57AA">
        <w:tab/>
      </w:r>
      <w:r>
        <w:t>C</w:t>
      </w:r>
      <w:r w:rsidRPr="006B57AA">
        <w:t>ost</w:t>
      </w:r>
      <w:r w:rsidR="00CF6790">
        <w:t>-</w:t>
      </w:r>
      <w:r w:rsidRPr="006B57AA">
        <w:t>benefit analysis</w:t>
      </w:r>
    </w:p>
    <w:p w14:paraId="1069FFEB" w14:textId="77777777" w:rsidR="006B57AA" w:rsidRPr="006B57AA" w:rsidRDefault="006B57AA" w:rsidP="006B57AA">
      <w:pPr>
        <w:pStyle w:val="BodyText"/>
        <w:tabs>
          <w:tab w:val="left" w:pos="1418"/>
        </w:tabs>
      </w:pPr>
      <w:r w:rsidRPr="006B57AA">
        <w:t>CEA</w:t>
      </w:r>
      <w:r w:rsidRPr="006B57AA">
        <w:tab/>
      </w:r>
      <w:r>
        <w:t>C</w:t>
      </w:r>
      <w:r w:rsidRPr="006B57AA">
        <w:t>ost-effective analysis</w:t>
      </w:r>
    </w:p>
    <w:p w14:paraId="4D8B9D48" w14:textId="77777777" w:rsidR="006B57AA" w:rsidRPr="006B57AA" w:rsidRDefault="006B57AA" w:rsidP="006B57AA">
      <w:pPr>
        <w:pStyle w:val="BodyText"/>
        <w:tabs>
          <w:tab w:val="left" w:pos="1418"/>
        </w:tabs>
      </w:pPr>
      <w:r w:rsidRPr="006B57AA">
        <w:t>CIE</w:t>
      </w:r>
      <w:r w:rsidRPr="006B57AA">
        <w:tab/>
        <w:t>The Centre for International Economics</w:t>
      </w:r>
    </w:p>
    <w:p w14:paraId="001DB4DE" w14:textId="77777777" w:rsidR="006B57AA" w:rsidRPr="006B57AA" w:rsidRDefault="006B57AA" w:rsidP="006B57AA">
      <w:pPr>
        <w:pStyle w:val="BodyText"/>
        <w:tabs>
          <w:tab w:val="left" w:pos="1418"/>
        </w:tabs>
      </w:pPr>
      <w:r w:rsidRPr="006B57AA">
        <w:t>COAG</w:t>
      </w:r>
      <w:r w:rsidRPr="006B57AA">
        <w:tab/>
        <w:t>Council of Australian Governments</w:t>
      </w:r>
    </w:p>
    <w:p w14:paraId="0EB056BC" w14:textId="77777777" w:rsidR="006B57AA" w:rsidRPr="006B57AA" w:rsidRDefault="006B57AA" w:rsidP="006B57AA">
      <w:pPr>
        <w:pStyle w:val="BodyText"/>
        <w:tabs>
          <w:tab w:val="left" w:pos="1418"/>
        </w:tabs>
      </w:pPr>
      <w:r w:rsidRPr="006B57AA">
        <w:t>COTA</w:t>
      </w:r>
      <w:r w:rsidRPr="006B57AA">
        <w:tab/>
        <w:t>Council on the Ageing</w:t>
      </w:r>
    </w:p>
    <w:p w14:paraId="1DFC129D" w14:textId="77777777" w:rsidR="006B57AA" w:rsidRPr="006B57AA" w:rsidRDefault="006B57AA" w:rsidP="006B57AA">
      <w:pPr>
        <w:pStyle w:val="BodyText"/>
        <w:tabs>
          <w:tab w:val="left" w:pos="1418"/>
        </w:tabs>
      </w:pPr>
      <w:r w:rsidRPr="006B57AA">
        <w:t>CRPD</w:t>
      </w:r>
      <w:r w:rsidRPr="006B57AA">
        <w:tab/>
        <w:t>The UN Convention on the Rights of Persons with Disabilities</w:t>
      </w:r>
    </w:p>
    <w:p w14:paraId="6A62C83C" w14:textId="77777777" w:rsidR="006B57AA" w:rsidRPr="006B57AA" w:rsidRDefault="006B57AA" w:rsidP="006B57AA">
      <w:pPr>
        <w:pStyle w:val="BodyText"/>
        <w:tabs>
          <w:tab w:val="left" w:pos="1418"/>
        </w:tabs>
      </w:pPr>
      <w:r w:rsidRPr="006B57AA">
        <w:t>CUDA</w:t>
      </w:r>
      <w:r w:rsidRPr="006B57AA">
        <w:tab/>
        <w:t>Centre for Universal Design Australia</w:t>
      </w:r>
    </w:p>
    <w:p w14:paraId="6AA8A8D8" w14:textId="77777777" w:rsidR="006B57AA" w:rsidRPr="006B57AA" w:rsidRDefault="006B57AA" w:rsidP="006B57AA">
      <w:pPr>
        <w:pStyle w:val="BodyText"/>
        <w:tabs>
          <w:tab w:val="left" w:pos="1418"/>
        </w:tabs>
      </w:pPr>
      <w:r w:rsidRPr="006B57AA">
        <w:t>CV</w:t>
      </w:r>
      <w:r w:rsidRPr="006B57AA">
        <w:tab/>
      </w:r>
      <w:r>
        <w:t>C</w:t>
      </w:r>
      <w:r w:rsidRPr="006B57AA">
        <w:t>ontingent valuation</w:t>
      </w:r>
    </w:p>
    <w:p w14:paraId="63625AC1" w14:textId="77777777" w:rsidR="006B57AA" w:rsidRPr="006B57AA" w:rsidRDefault="006B57AA" w:rsidP="006B57AA">
      <w:pPr>
        <w:pStyle w:val="BodyText"/>
        <w:tabs>
          <w:tab w:val="left" w:pos="1418"/>
        </w:tabs>
      </w:pPr>
      <w:r w:rsidRPr="006B57AA">
        <w:t>DCE</w:t>
      </w:r>
      <w:r w:rsidRPr="006B57AA">
        <w:tab/>
      </w:r>
      <w:r>
        <w:t>D</w:t>
      </w:r>
      <w:r w:rsidRPr="006B57AA">
        <w:t>iscrete choice experiment</w:t>
      </w:r>
    </w:p>
    <w:p w14:paraId="4F409AB8" w14:textId="77777777" w:rsidR="006B57AA" w:rsidRPr="006B57AA" w:rsidRDefault="006B57AA" w:rsidP="006B57AA">
      <w:pPr>
        <w:pStyle w:val="BodyText"/>
        <w:tabs>
          <w:tab w:val="left" w:pos="1418"/>
        </w:tabs>
      </w:pPr>
      <w:r w:rsidRPr="006B57AA">
        <w:t>DCWC</w:t>
      </w:r>
      <w:r w:rsidRPr="006B57AA">
        <w:tab/>
        <w:t>Donald Cant Watts Corke</w:t>
      </w:r>
    </w:p>
    <w:p w14:paraId="7C7C614D" w14:textId="77777777" w:rsidR="006B57AA" w:rsidRPr="006B57AA" w:rsidRDefault="006B57AA" w:rsidP="006B57AA">
      <w:pPr>
        <w:pStyle w:val="BodyText"/>
        <w:tabs>
          <w:tab w:val="left" w:pos="1418"/>
        </w:tabs>
      </w:pPr>
      <w:r w:rsidRPr="006B57AA">
        <w:t>HIA</w:t>
      </w:r>
      <w:r w:rsidRPr="006B57AA">
        <w:tab/>
        <w:t>Housing Industry Association</w:t>
      </w:r>
    </w:p>
    <w:p w14:paraId="4AADCCB8" w14:textId="77777777" w:rsidR="006B57AA" w:rsidRPr="006B57AA" w:rsidRDefault="006B57AA" w:rsidP="006B57AA">
      <w:pPr>
        <w:pStyle w:val="BodyText"/>
        <w:tabs>
          <w:tab w:val="left" w:pos="1418"/>
        </w:tabs>
      </w:pPr>
      <w:r w:rsidRPr="006B57AA">
        <w:t>H</w:t>
      </w:r>
      <w:r w:rsidR="002F3DDC">
        <w:t>M</w:t>
      </w:r>
      <w:r w:rsidRPr="006B57AA">
        <w:t>info</w:t>
      </w:r>
      <w:r w:rsidRPr="006B57AA">
        <w:tab/>
        <w:t>Home Modification Information Clearinghouse</w:t>
      </w:r>
    </w:p>
    <w:p w14:paraId="08939187" w14:textId="77777777" w:rsidR="006B57AA" w:rsidRPr="006B57AA" w:rsidRDefault="006B57AA" w:rsidP="006B57AA">
      <w:pPr>
        <w:pStyle w:val="BodyText"/>
        <w:tabs>
          <w:tab w:val="left" w:pos="1418"/>
        </w:tabs>
      </w:pPr>
      <w:r w:rsidRPr="006B57AA">
        <w:t>HRQoL</w:t>
      </w:r>
      <w:r w:rsidRPr="006B57AA">
        <w:tab/>
        <w:t>health-related quality of life</w:t>
      </w:r>
    </w:p>
    <w:p w14:paraId="2042A3FD" w14:textId="77777777" w:rsidR="006B57AA" w:rsidRPr="006B57AA" w:rsidRDefault="006B57AA" w:rsidP="006B57AA">
      <w:pPr>
        <w:pStyle w:val="BodyText"/>
        <w:tabs>
          <w:tab w:val="left" w:pos="1418"/>
        </w:tabs>
      </w:pPr>
      <w:r w:rsidRPr="006B57AA">
        <w:lastRenderedPageBreak/>
        <w:t>LHA</w:t>
      </w:r>
      <w:r w:rsidRPr="006B57AA">
        <w:tab/>
        <w:t>Livable Housing Australia</w:t>
      </w:r>
    </w:p>
    <w:p w14:paraId="3799E060" w14:textId="77777777" w:rsidR="006B57AA" w:rsidRPr="006B57AA" w:rsidRDefault="006B57AA" w:rsidP="006B57AA">
      <w:pPr>
        <w:pStyle w:val="BodyText"/>
        <w:tabs>
          <w:tab w:val="left" w:pos="1418"/>
        </w:tabs>
      </w:pPr>
      <w:r w:rsidRPr="006B57AA">
        <w:t>LHD</w:t>
      </w:r>
      <w:r w:rsidRPr="006B57AA">
        <w:tab/>
        <w:t>Livable Housing Design</w:t>
      </w:r>
    </w:p>
    <w:p w14:paraId="254196F2" w14:textId="77777777" w:rsidR="006B57AA" w:rsidRPr="006B57AA" w:rsidRDefault="006B57AA" w:rsidP="006B57AA">
      <w:pPr>
        <w:pStyle w:val="BodyText"/>
        <w:tabs>
          <w:tab w:val="left" w:pos="1418"/>
        </w:tabs>
      </w:pPr>
      <w:r w:rsidRPr="006B57AA">
        <w:t>LHDG</w:t>
      </w:r>
      <w:r w:rsidRPr="006B57AA">
        <w:tab/>
        <w:t>Livable Housing Design Guidelines</w:t>
      </w:r>
    </w:p>
    <w:p w14:paraId="6048941C" w14:textId="77777777" w:rsidR="006B57AA" w:rsidRPr="006B57AA" w:rsidRDefault="006B57AA" w:rsidP="006B57AA">
      <w:pPr>
        <w:pStyle w:val="BodyText"/>
        <w:tabs>
          <w:tab w:val="left" w:pos="1418"/>
        </w:tabs>
      </w:pPr>
      <w:r w:rsidRPr="006B57AA">
        <w:t>LSE</w:t>
      </w:r>
      <w:r w:rsidRPr="006B57AA">
        <w:tab/>
        <w:t>London School of Economics and Political Science</w:t>
      </w:r>
    </w:p>
    <w:p w14:paraId="5B66D9FA" w14:textId="77777777" w:rsidR="006B57AA" w:rsidRPr="006B57AA" w:rsidRDefault="006B57AA" w:rsidP="006B57AA">
      <w:pPr>
        <w:pStyle w:val="BodyText"/>
        <w:tabs>
          <w:tab w:val="left" w:pos="1418"/>
        </w:tabs>
      </w:pPr>
      <w:r w:rsidRPr="006B57AA">
        <w:t>MDI</w:t>
      </w:r>
      <w:r w:rsidRPr="006B57AA">
        <w:tab/>
        <w:t>Melbourne Disability Institute, University of Melbourne</w:t>
      </w:r>
    </w:p>
    <w:p w14:paraId="13C52390" w14:textId="77777777" w:rsidR="006B57AA" w:rsidRPr="006B57AA" w:rsidRDefault="006B57AA" w:rsidP="006B57AA">
      <w:pPr>
        <w:pStyle w:val="BodyText"/>
        <w:tabs>
          <w:tab w:val="left" w:pos="1418"/>
        </w:tabs>
      </w:pPr>
      <w:r w:rsidRPr="006B57AA">
        <w:t>NCC</w:t>
      </w:r>
      <w:r w:rsidRPr="006B57AA">
        <w:tab/>
        <w:t>National Construction Code</w:t>
      </w:r>
    </w:p>
    <w:p w14:paraId="0CF219B1" w14:textId="77777777" w:rsidR="006B57AA" w:rsidRPr="006B57AA" w:rsidRDefault="006B57AA" w:rsidP="006B57AA">
      <w:pPr>
        <w:pStyle w:val="BodyText"/>
        <w:tabs>
          <w:tab w:val="left" w:pos="1418"/>
        </w:tabs>
      </w:pPr>
      <w:r w:rsidRPr="006B57AA">
        <w:t>NDIA</w:t>
      </w:r>
      <w:r w:rsidRPr="006B57AA">
        <w:tab/>
        <w:t>National Disability Insurance Agency</w:t>
      </w:r>
    </w:p>
    <w:p w14:paraId="3ED04EA1" w14:textId="77777777" w:rsidR="006B57AA" w:rsidRPr="006B57AA" w:rsidRDefault="006B57AA" w:rsidP="006B57AA">
      <w:pPr>
        <w:pStyle w:val="BodyText"/>
        <w:tabs>
          <w:tab w:val="left" w:pos="1418"/>
        </w:tabs>
      </w:pPr>
      <w:r w:rsidRPr="006B57AA">
        <w:t xml:space="preserve">NDIS </w:t>
      </w:r>
      <w:r w:rsidRPr="006B57AA">
        <w:tab/>
        <w:t>National Disability Insurance Scheme</w:t>
      </w:r>
    </w:p>
    <w:p w14:paraId="58653A39" w14:textId="77777777" w:rsidR="006B57AA" w:rsidRPr="006B57AA" w:rsidRDefault="006B57AA" w:rsidP="006B57AA">
      <w:pPr>
        <w:pStyle w:val="BodyText"/>
        <w:tabs>
          <w:tab w:val="left" w:pos="1418"/>
        </w:tabs>
      </w:pPr>
      <w:r w:rsidRPr="006B57AA">
        <w:t>NPV</w:t>
      </w:r>
      <w:r w:rsidRPr="006B57AA">
        <w:tab/>
        <w:t>net present value</w:t>
      </w:r>
    </w:p>
    <w:p w14:paraId="3E777E57" w14:textId="77777777" w:rsidR="006B57AA" w:rsidRPr="006B57AA" w:rsidRDefault="006B57AA" w:rsidP="006B57AA">
      <w:pPr>
        <w:pStyle w:val="BodyText"/>
        <w:tabs>
          <w:tab w:val="left" w:pos="1418"/>
        </w:tabs>
      </w:pPr>
      <w:r w:rsidRPr="006B57AA">
        <w:t>OBPR</w:t>
      </w:r>
      <w:r w:rsidRPr="006B57AA">
        <w:tab/>
        <w:t>Office of Best Practice Regulation</w:t>
      </w:r>
    </w:p>
    <w:p w14:paraId="09369D16" w14:textId="77777777" w:rsidR="006B57AA" w:rsidRPr="006B57AA" w:rsidRDefault="006B57AA" w:rsidP="006B57AA">
      <w:pPr>
        <w:pStyle w:val="BodyText"/>
        <w:tabs>
          <w:tab w:val="left" w:pos="1418"/>
        </w:tabs>
      </w:pPr>
      <w:r w:rsidRPr="006B57AA">
        <w:t>PCA</w:t>
      </w:r>
      <w:r w:rsidRPr="006B57AA">
        <w:tab/>
        <w:t>Property Council of Australia</w:t>
      </w:r>
    </w:p>
    <w:p w14:paraId="0F35016E" w14:textId="77777777" w:rsidR="006B57AA" w:rsidRPr="006B57AA" w:rsidRDefault="006B57AA" w:rsidP="006B57AA">
      <w:pPr>
        <w:pStyle w:val="BodyText"/>
        <w:tabs>
          <w:tab w:val="left" w:pos="1418"/>
        </w:tabs>
      </w:pPr>
      <w:r w:rsidRPr="006B57AA">
        <w:t>PPV</w:t>
      </w:r>
      <w:r w:rsidRPr="006B57AA">
        <w:tab/>
        <w:t>Post-Polio Victoria</w:t>
      </w:r>
    </w:p>
    <w:p w14:paraId="7F84816B" w14:textId="77777777" w:rsidR="006B57AA" w:rsidRPr="006B57AA" w:rsidRDefault="006B57AA" w:rsidP="006B57AA">
      <w:pPr>
        <w:pStyle w:val="BodyText"/>
        <w:tabs>
          <w:tab w:val="left" w:pos="1418"/>
        </w:tabs>
      </w:pPr>
      <w:r w:rsidRPr="006B57AA">
        <w:t>QALY</w:t>
      </w:r>
      <w:r w:rsidRPr="006B57AA">
        <w:tab/>
        <w:t>quality-adjusted life year</w:t>
      </w:r>
    </w:p>
    <w:p w14:paraId="1965E95F" w14:textId="77777777" w:rsidR="006B57AA" w:rsidRPr="006B57AA" w:rsidRDefault="006B57AA" w:rsidP="006B57AA">
      <w:pPr>
        <w:pStyle w:val="BodyText"/>
        <w:tabs>
          <w:tab w:val="left" w:pos="1418"/>
        </w:tabs>
      </w:pPr>
      <w:r w:rsidRPr="006B57AA">
        <w:t>RANZCP</w:t>
      </w:r>
      <w:r w:rsidRPr="006B57AA">
        <w:tab/>
        <w:t>Royal Australian and New Zealand College of Psychiatrists</w:t>
      </w:r>
    </w:p>
    <w:p w14:paraId="75B6B2F5" w14:textId="77777777" w:rsidR="006B57AA" w:rsidRPr="006B57AA" w:rsidRDefault="006B57AA" w:rsidP="006B57AA">
      <w:pPr>
        <w:pStyle w:val="BodyText"/>
        <w:tabs>
          <w:tab w:val="left" w:pos="1418"/>
        </w:tabs>
      </w:pPr>
      <w:r w:rsidRPr="006B57AA">
        <w:t>RIS</w:t>
      </w:r>
      <w:r w:rsidRPr="006B57AA">
        <w:tab/>
        <w:t>Regulation Impact Statement</w:t>
      </w:r>
    </w:p>
    <w:p w14:paraId="7CFC4BD9" w14:textId="77777777" w:rsidR="006B57AA" w:rsidRPr="006B57AA" w:rsidRDefault="006B57AA" w:rsidP="006B57AA">
      <w:pPr>
        <w:pStyle w:val="BodyText"/>
        <w:tabs>
          <w:tab w:val="left" w:pos="1418"/>
        </w:tabs>
      </w:pPr>
      <w:r w:rsidRPr="006B57AA">
        <w:t>SDA</w:t>
      </w:r>
      <w:r w:rsidRPr="006B57AA">
        <w:tab/>
        <w:t>Specialist Disability Accommodation</w:t>
      </w:r>
    </w:p>
    <w:p w14:paraId="75F6C4EE" w14:textId="77777777" w:rsidR="006B57AA" w:rsidRPr="006B57AA" w:rsidRDefault="006B57AA" w:rsidP="006B57AA">
      <w:pPr>
        <w:pStyle w:val="BodyText"/>
        <w:tabs>
          <w:tab w:val="left" w:pos="1418"/>
        </w:tabs>
      </w:pPr>
      <w:r w:rsidRPr="006B57AA">
        <w:t>SDAC</w:t>
      </w:r>
      <w:r w:rsidRPr="006B57AA">
        <w:tab/>
        <w:t>Survey of Disability, Ageing and Carers</w:t>
      </w:r>
    </w:p>
    <w:p w14:paraId="16EDDD78" w14:textId="77777777" w:rsidR="006B57AA" w:rsidRPr="006B57AA" w:rsidRDefault="006B57AA" w:rsidP="006B57AA">
      <w:pPr>
        <w:pStyle w:val="BodyText"/>
        <w:tabs>
          <w:tab w:val="left" w:pos="1418"/>
        </w:tabs>
      </w:pPr>
      <w:r w:rsidRPr="006B57AA">
        <w:t>VSL</w:t>
      </w:r>
      <w:r w:rsidRPr="006B57AA">
        <w:tab/>
        <w:t xml:space="preserve">value of </w:t>
      </w:r>
      <w:r w:rsidR="0001184B">
        <w:t xml:space="preserve">a </w:t>
      </w:r>
      <w:r w:rsidRPr="006B57AA">
        <w:t>statistical life</w:t>
      </w:r>
    </w:p>
    <w:p w14:paraId="3E55F393" w14:textId="77777777" w:rsidR="006B57AA" w:rsidRPr="006B57AA" w:rsidRDefault="006B57AA" w:rsidP="006B57AA">
      <w:pPr>
        <w:pStyle w:val="BodyText"/>
        <w:tabs>
          <w:tab w:val="left" w:pos="1418"/>
        </w:tabs>
      </w:pPr>
      <w:r w:rsidRPr="006B57AA">
        <w:t>VLY</w:t>
      </w:r>
      <w:r w:rsidRPr="006B57AA">
        <w:tab/>
        <w:t xml:space="preserve">value of </w:t>
      </w:r>
      <w:r w:rsidR="0001184B">
        <w:t xml:space="preserve">a </w:t>
      </w:r>
      <w:r w:rsidRPr="006B57AA">
        <w:t>life year</w:t>
      </w:r>
    </w:p>
    <w:p w14:paraId="026E23F9" w14:textId="77777777" w:rsidR="006B57AA" w:rsidRPr="006B57AA" w:rsidRDefault="006B57AA" w:rsidP="006B57AA">
      <w:pPr>
        <w:pStyle w:val="BodyText"/>
        <w:tabs>
          <w:tab w:val="left" w:pos="1418"/>
        </w:tabs>
      </w:pPr>
      <w:r w:rsidRPr="006B57AA">
        <w:t>WTP</w:t>
      </w:r>
      <w:r w:rsidRPr="006B57AA">
        <w:tab/>
        <w:t>willingness to pay</w:t>
      </w:r>
    </w:p>
    <w:p w14:paraId="5666CB91" w14:textId="77777777" w:rsidR="006B57AA" w:rsidRPr="006B57AA" w:rsidRDefault="006B57AA" w:rsidP="006B57AA">
      <w:pPr>
        <w:pStyle w:val="BodyText"/>
        <w:tabs>
          <w:tab w:val="left" w:pos="1418"/>
        </w:tabs>
      </w:pPr>
      <w:r w:rsidRPr="006B57AA">
        <w:t>YPINH</w:t>
      </w:r>
      <w:r w:rsidRPr="006B57AA">
        <w:tab/>
        <w:t>Young People in Nursing Homes National Alliance</w:t>
      </w:r>
    </w:p>
    <w:p w14:paraId="409C57CA" w14:textId="77777777" w:rsidR="00542A3C" w:rsidRDefault="00542A3C" w:rsidP="00542A3C">
      <w:pPr>
        <w:pStyle w:val="BodyText"/>
        <w:rPr>
          <w:lang w:bidi="fa-IR"/>
        </w:rPr>
      </w:pPr>
    </w:p>
    <w:p w14:paraId="48E0B042" w14:textId="77777777" w:rsidR="004603D9" w:rsidRDefault="004603D9">
      <w:pPr>
        <w:spacing w:before="140"/>
        <w:rPr>
          <w:rFonts w:asciiTheme="minorHAnsi" w:eastAsia="Times New Roman" w:hAnsiTheme="minorHAnsi"/>
          <w:lang w:bidi="fa-IR"/>
        </w:rPr>
      </w:pPr>
      <w:r>
        <w:rPr>
          <w:lang w:bidi="fa-IR"/>
        </w:rPr>
        <w:br w:type="page"/>
      </w:r>
    </w:p>
    <w:p w14:paraId="6ED69F94" w14:textId="77777777" w:rsidR="004603D9" w:rsidRDefault="004603D9" w:rsidP="004603D9">
      <w:pPr>
        <w:pStyle w:val="Heading1NotNumbered"/>
      </w:pPr>
      <w:bookmarkStart w:id="6" w:name="_Toc70505077"/>
      <w:r>
        <w:lastRenderedPageBreak/>
        <w:t>Glossary</w:t>
      </w:r>
      <w:bookmarkEnd w:id="6"/>
    </w:p>
    <w:p w14:paraId="3AB4D52C" w14:textId="77777777" w:rsidR="00025646" w:rsidRDefault="00D82CF8" w:rsidP="00025646">
      <w:pPr>
        <w:pStyle w:val="BodyText"/>
        <w:rPr>
          <w:lang w:bidi="fa-IR"/>
        </w:rPr>
      </w:pPr>
      <w:r>
        <w:rPr>
          <w:b/>
          <w:bCs/>
          <w:lang w:bidi="fa-IR"/>
        </w:rPr>
        <w:t>Accessible housing</w:t>
      </w:r>
      <w:r>
        <w:rPr>
          <w:b/>
          <w:bCs/>
          <w:lang w:bidi="fa-IR"/>
        </w:rPr>
        <w:br/>
      </w:r>
      <w:r w:rsidR="00025646">
        <w:rPr>
          <w:lang w:bidi="fa-IR"/>
        </w:rPr>
        <w:t>Accessible housing is housing providing features that are being proposed in the NCC, which are based on the LHDG (see below). Accessible is similar but not necessarily equal to terms like adaptable, visitable (see below).</w:t>
      </w:r>
    </w:p>
    <w:p w14:paraId="4662BBBF" w14:textId="77777777" w:rsidR="00D82CF8" w:rsidRDefault="00D82CF8" w:rsidP="00D82CF8">
      <w:pPr>
        <w:pStyle w:val="BodyText"/>
        <w:rPr>
          <w:lang w:bidi="fa-IR"/>
        </w:rPr>
      </w:pPr>
      <w:r w:rsidRPr="00356840">
        <w:rPr>
          <w:b/>
          <w:lang w:bidi="fa-IR"/>
        </w:rPr>
        <w:t>Adaptable housing</w:t>
      </w:r>
      <w:r>
        <w:rPr>
          <w:lang w:bidi="fa-IR"/>
        </w:rPr>
        <w:br/>
        <w:t>Adaptable housing is housing designed to cater for people of all ages and abilities. It provides greater housing choices.</w:t>
      </w:r>
    </w:p>
    <w:p w14:paraId="54C96228" w14:textId="77777777" w:rsidR="00D82CF8" w:rsidRPr="0001184B" w:rsidRDefault="00D82CF8" w:rsidP="00D82CF8">
      <w:pPr>
        <w:pStyle w:val="BodyText"/>
        <w:rPr>
          <w:lang w:bidi="fa-IR"/>
        </w:rPr>
      </w:pPr>
      <w:r w:rsidRPr="00356840">
        <w:rPr>
          <w:b/>
          <w:bCs/>
          <w:lang w:bidi="fa-IR"/>
        </w:rPr>
        <w:t>Additionality</w:t>
      </w:r>
      <w:r>
        <w:rPr>
          <w:lang w:bidi="fa-IR"/>
        </w:rPr>
        <w:br/>
        <w:t xml:space="preserve">Additionality refers to the impacts of a policy change </w:t>
      </w:r>
      <w:r w:rsidR="00D10420">
        <w:rPr>
          <w:lang w:bidi="fa-IR"/>
        </w:rPr>
        <w:t>over and above</w:t>
      </w:r>
      <w:r>
        <w:rPr>
          <w:lang w:bidi="fa-IR"/>
        </w:rPr>
        <w:t xml:space="preserve"> the situation under the business as usual case (i.e. without the policy change).</w:t>
      </w:r>
    </w:p>
    <w:p w14:paraId="4CC77538" w14:textId="77777777" w:rsidR="00D82CF8" w:rsidRDefault="00D82CF8" w:rsidP="00D82CF8">
      <w:pPr>
        <w:pStyle w:val="BodyText"/>
        <w:rPr>
          <w:lang w:bidi="fa-IR"/>
        </w:rPr>
      </w:pPr>
      <w:r w:rsidRPr="00C042A5">
        <w:rPr>
          <w:b/>
          <w:bCs/>
          <w:lang w:bidi="fa-IR"/>
        </w:rPr>
        <w:t>Allocation</w:t>
      </w:r>
      <w:r w:rsidRPr="00C042A5">
        <w:rPr>
          <w:b/>
          <w:bCs/>
          <w:lang w:bidi="fa-IR"/>
        </w:rPr>
        <w:br/>
      </w:r>
      <w:r w:rsidRPr="00C042A5">
        <w:rPr>
          <w:lang w:bidi="fa-IR"/>
        </w:rPr>
        <w:t xml:space="preserve">In </w:t>
      </w:r>
      <w:r>
        <w:rPr>
          <w:lang w:bidi="fa-IR"/>
        </w:rPr>
        <w:t>this RIS, allocation refers to the market process and mechanism that determine who purchases or rents the newly constructed accessible dwelling.</w:t>
      </w:r>
    </w:p>
    <w:p w14:paraId="1AE8B346" w14:textId="77777777" w:rsidR="00D82CF8" w:rsidRDefault="00D82CF8" w:rsidP="00D82CF8">
      <w:pPr>
        <w:pStyle w:val="BodyText"/>
        <w:rPr>
          <w:lang w:bidi="fa-IR"/>
        </w:rPr>
      </w:pPr>
      <w:r w:rsidRPr="009B46C3">
        <w:rPr>
          <w:b/>
          <w:bCs/>
          <w:lang w:bidi="fa-IR"/>
        </w:rPr>
        <w:t>Assessment of Quality of Life (AQoL)</w:t>
      </w:r>
      <w:r>
        <w:rPr>
          <w:lang w:bidi="fa-IR"/>
        </w:rPr>
        <w:br/>
        <w:t xml:space="preserve">AQoL is a system developed by </w:t>
      </w:r>
      <w:r w:rsidRPr="00B358A9">
        <w:rPr>
          <w:lang w:bidi="fa-IR"/>
        </w:rPr>
        <w:t xml:space="preserve">the Centre for Health Economics at </w:t>
      </w:r>
      <w:r>
        <w:rPr>
          <w:lang w:bidi="fa-IR"/>
        </w:rPr>
        <w:t xml:space="preserve">Monash University </w:t>
      </w:r>
      <w:r w:rsidRPr="00B358A9">
        <w:rPr>
          <w:lang w:bidi="fa-IR"/>
        </w:rPr>
        <w:t>(</w:t>
      </w:r>
      <w:hyperlink r:id="rId21" w:tooltip="Monash University website" w:history="1">
        <w:r w:rsidRPr="00097EF2">
          <w:rPr>
            <w:rStyle w:val="Hyperlink"/>
            <w:lang w:bidi="fa-IR"/>
          </w:rPr>
          <w:t>https://www.monash.edu/business/che/research-areas/measurement-of-health-and-quality-of-life</w:t>
        </w:r>
      </w:hyperlink>
      <w:r w:rsidRPr="00B358A9">
        <w:rPr>
          <w:lang w:bidi="fa-IR"/>
        </w:rPr>
        <w:t>)</w:t>
      </w:r>
      <w:r>
        <w:rPr>
          <w:lang w:bidi="fa-IR"/>
        </w:rPr>
        <w:t xml:space="preserve"> to measure the quality of life (see below). It is derived from questionnaires designed to measure an individual’s independence, mental health, social participation and senses.</w:t>
      </w:r>
    </w:p>
    <w:p w14:paraId="6C32344E" w14:textId="77777777" w:rsidR="00D82CF8" w:rsidRDefault="00D82CF8" w:rsidP="00D82CF8">
      <w:pPr>
        <w:pStyle w:val="BodyText"/>
        <w:rPr>
          <w:lang w:bidi="fa-IR"/>
        </w:rPr>
      </w:pPr>
      <w:bookmarkStart w:id="7" w:name="_Hlk62651662"/>
      <w:r w:rsidRPr="00356840">
        <w:rPr>
          <w:b/>
          <w:bCs/>
          <w:lang w:bidi="fa-IR"/>
        </w:rPr>
        <w:t>Baseline</w:t>
      </w:r>
      <w:r>
        <w:rPr>
          <w:lang w:bidi="fa-IR"/>
        </w:rPr>
        <w:br/>
        <w:t>Baseline, or baseline case, refers to the business as usual situation without proposed changes. It provides a base against which the proposed changes are assessed.</w:t>
      </w:r>
    </w:p>
    <w:bookmarkEnd w:id="7"/>
    <w:p w14:paraId="5D0D9729" w14:textId="77777777" w:rsidR="00D82CF8" w:rsidRDefault="00D82CF8" w:rsidP="00D82CF8">
      <w:pPr>
        <w:pStyle w:val="BodyText"/>
        <w:rPr>
          <w:lang w:bidi="fa-IR"/>
        </w:rPr>
      </w:pPr>
      <w:r w:rsidRPr="0046162D">
        <w:rPr>
          <w:b/>
          <w:bCs/>
          <w:lang w:bidi="fa-IR"/>
        </w:rPr>
        <w:t>Benefit-cost ratio (BCR)</w:t>
      </w:r>
      <w:r>
        <w:rPr>
          <w:lang w:bidi="fa-IR"/>
        </w:rPr>
        <w:br/>
        <w:t>A quotient that total benefit is divided by total cost. A BCR of one means benefit equals to cost. A BCR greater than one means benefits are larger than costs. A BCR less than one means benefits are less than costs.</w:t>
      </w:r>
    </w:p>
    <w:p w14:paraId="6D6CDF6D" w14:textId="77777777" w:rsidR="00D82CF8" w:rsidRDefault="00D82CF8" w:rsidP="00D82CF8">
      <w:pPr>
        <w:pStyle w:val="BodyText"/>
        <w:rPr>
          <w:lang w:bidi="fa-IR"/>
        </w:rPr>
      </w:pPr>
      <w:r w:rsidRPr="0046162D">
        <w:rPr>
          <w:b/>
          <w:bCs/>
          <w:lang w:bidi="fa-IR"/>
        </w:rPr>
        <w:t>Break even</w:t>
      </w:r>
      <w:r>
        <w:rPr>
          <w:lang w:bidi="fa-IR"/>
        </w:rPr>
        <w:br/>
        <w:t>A case where the value of benefits equals to the value of costs, that is, a BCR of one.</w:t>
      </w:r>
    </w:p>
    <w:p w14:paraId="04C44925" w14:textId="77777777" w:rsidR="00D82CF8" w:rsidRDefault="00D82CF8" w:rsidP="00D82CF8">
      <w:pPr>
        <w:pStyle w:val="BodyText"/>
        <w:rPr>
          <w:lang w:bidi="fa-IR"/>
        </w:rPr>
      </w:pPr>
      <w:r w:rsidRPr="008B0566">
        <w:rPr>
          <w:b/>
          <w:bCs/>
          <w:lang w:bidi="fa-IR"/>
        </w:rPr>
        <w:t>Class 1a building</w:t>
      </w:r>
      <w:r>
        <w:rPr>
          <w:lang w:bidi="fa-IR"/>
        </w:rPr>
        <w:br/>
        <w:t>A Class 1a building is a single dwelling being a detached house, or one of a group of attached dwellings being a town house, row house or the like.</w:t>
      </w:r>
    </w:p>
    <w:p w14:paraId="7936BD52" w14:textId="77777777" w:rsidR="00D82CF8" w:rsidRDefault="00D82CF8" w:rsidP="00D82CF8">
      <w:pPr>
        <w:pStyle w:val="BodyText"/>
        <w:rPr>
          <w:lang w:bidi="fa-IR"/>
        </w:rPr>
      </w:pPr>
      <w:r w:rsidRPr="008B0566">
        <w:rPr>
          <w:b/>
          <w:bCs/>
          <w:lang w:bidi="fa-IR"/>
        </w:rPr>
        <w:t>Class 2 building</w:t>
      </w:r>
      <w:r>
        <w:rPr>
          <w:lang w:bidi="fa-IR"/>
        </w:rPr>
        <w:br/>
        <w:t>Class 2 buildings are apartment buildings. They are typically multi-unit residential buildings where people live above and below each other.</w:t>
      </w:r>
    </w:p>
    <w:p w14:paraId="4409EB6C" w14:textId="77777777" w:rsidR="00D82CF8" w:rsidRDefault="00D82CF8" w:rsidP="00D82CF8">
      <w:pPr>
        <w:pStyle w:val="BodyText"/>
        <w:rPr>
          <w:lang w:bidi="fa-IR"/>
        </w:rPr>
      </w:pPr>
      <w:r w:rsidRPr="00E3367D">
        <w:rPr>
          <w:b/>
          <w:bCs/>
          <w:lang w:bidi="fa-IR"/>
        </w:rPr>
        <w:lastRenderedPageBreak/>
        <w:t>Contingent Valuation (CV)</w:t>
      </w:r>
      <w:r>
        <w:rPr>
          <w:lang w:bidi="fa-IR"/>
        </w:rPr>
        <w:br/>
        <w:t>Contingent Valuation is a method of estimating the value that a person places on a product or service. It asks people to directly report their willingness to pay to obtain a specific good or service, or willingness to accept to give up a good or service, rather than inferring them from observed behaviours in regular market places.</w:t>
      </w:r>
    </w:p>
    <w:p w14:paraId="4B997928" w14:textId="77777777" w:rsidR="00D82CF8" w:rsidRDefault="00D82CF8" w:rsidP="00D82CF8">
      <w:pPr>
        <w:pStyle w:val="BodyText"/>
        <w:rPr>
          <w:lang w:bidi="fa-IR"/>
        </w:rPr>
      </w:pPr>
      <w:r w:rsidRPr="008B0566">
        <w:rPr>
          <w:b/>
          <w:bCs/>
          <w:lang w:bidi="fa-IR"/>
        </w:rPr>
        <w:t>Cost</w:t>
      </w:r>
      <w:r w:rsidR="00B12589">
        <w:rPr>
          <w:b/>
          <w:bCs/>
          <w:lang w:bidi="fa-IR"/>
        </w:rPr>
        <w:t>-</w:t>
      </w:r>
      <w:r w:rsidRPr="008B0566">
        <w:rPr>
          <w:b/>
          <w:bCs/>
          <w:lang w:bidi="fa-IR"/>
        </w:rPr>
        <w:t>benefit analysis (CBA)</w:t>
      </w:r>
      <w:r>
        <w:rPr>
          <w:lang w:bidi="fa-IR"/>
        </w:rPr>
        <w:br/>
        <w:t>Cost</w:t>
      </w:r>
      <w:r w:rsidR="00B12589">
        <w:rPr>
          <w:lang w:bidi="fa-IR"/>
        </w:rPr>
        <w:t>-</w:t>
      </w:r>
      <w:r>
        <w:rPr>
          <w:lang w:bidi="fa-IR"/>
        </w:rPr>
        <w:t xml:space="preserve">benefit analysis (CBA), sometimes also called benefit-cost analysis, is a systematic approach to estimating the strengths and weaknesses of alternatives or options to achieve targets or objectives. </w:t>
      </w:r>
    </w:p>
    <w:p w14:paraId="59C9D516" w14:textId="77777777" w:rsidR="00D82CF8" w:rsidRDefault="00D82CF8" w:rsidP="00D82CF8">
      <w:pPr>
        <w:pStyle w:val="BodyText"/>
        <w:rPr>
          <w:lang w:bidi="fa-IR"/>
        </w:rPr>
      </w:pPr>
      <w:r w:rsidRPr="00153EB3">
        <w:rPr>
          <w:b/>
          <w:bCs/>
          <w:lang w:bidi="fa-IR"/>
        </w:rPr>
        <w:t>Central case</w:t>
      </w:r>
      <w:r>
        <w:rPr>
          <w:lang w:bidi="fa-IR"/>
        </w:rPr>
        <w:br/>
        <w:t>A central case in CBA is the analysis assuming most likely, or mid-point estimates of benefits and costs, and the commonly adopted parameters such as discount rate (see below).</w:t>
      </w:r>
    </w:p>
    <w:p w14:paraId="2F0099DD" w14:textId="77777777" w:rsidR="00D82CF8" w:rsidRDefault="00D82CF8" w:rsidP="00D82CF8">
      <w:pPr>
        <w:pStyle w:val="BodyText"/>
        <w:rPr>
          <w:lang w:bidi="fa-IR"/>
        </w:rPr>
      </w:pPr>
      <w:r w:rsidRPr="00153EB3">
        <w:rPr>
          <w:b/>
          <w:bCs/>
          <w:lang w:bidi="fa-IR"/>
        </w:rPr>
        <w:t>Discount rate</w:t>
      </w:r>
      <w:r>
        <w:rPr>
          <w:lang w:bidi="fa-IR"/>
        </w:rPr>
        <w:br/>
        <w:t>A rate to co</w:t>
      </w:r>
      <w:r w:rsidR="00D10420">
        <w:rPr>
          <w:lang w:bidi="fa-IR"/>
        </w:rPr>
        <w:t>n</w:t>
      </w:r>
      <w:r>
        <w:rPr>
          <w:lang w:bidi="fa-IR"/>
        </w:rPr>
        <w:t xml:space="preserve">vert the future benefits and costs into a value at the present so that they can be compared. </w:t>
      </w:r>
    </w:p>
    <w:p w14:paraId="451B8A34" w14:textId="77777777" w:rsidR="00D82CF8" w:rsidRDefault="00D82CF8" w:rsidP="00D82CF8">
      <w:pPr>
        <w:pStyle w:val="BodyText"/>
        <w:rPr>
          <w:lang w:bidi="fa-IR"/>
        </w:rPr>
      </w:pPr>
      <w:r w:rsidRPr="00E3367D">
        <w:rPr>
          <w:b/>
          <w:bCs/>
          <w:lang w:bidi="fa-IR"/>
        </w:rPr>
        <w:t>Discrete choice experiment (DCE)</w:t>
      </w:r>
      <w:r>
        <w:rPr>
          <w:lang w:bidi="fa-IR"/>
        </w:rPr>
        <w:br/>
        <w:t>Discrete choice experiment is a method in economics to describe, explain and predict choices between two or more discrete alternatives, such as choosing a set of accessible features, or choosing between modes of transport.</w:t>
      </w:r>
    </w:p>
    <w:p w14:paraId="4C91BB57" w14:textId="77777777" w:rsidR="00D82CF8" w:rsidRDefault="00D82CF8" w:rsidP="00D82CF8">
      <w:pPr>
        <w:pStyle w:val="BodyText"/>
        <w:rPr>
          <w:lang w:bidi="fa-IR"/>
        </w:rPr>
      </w:pPr>
      <w:r w:rsidRPr="00756CA5">
        <w:rPr>
          <w:b/>
          <w:bCs/>
          <w:lang w:bidi="fa-IR"/>
        </w:rPr>
        <w:t>Distributional impact</w:t>
      </w:r>
      <w:r>
        <w:rPr>
          <w:lang w:bidi="fa-IR"/>
        </w:rPr>
        <w:br/>
        <w:t>Distributional impact is the effect of the distribution of the final gains and costs within a community (e.g. who gains and who pays) derived from a project or program.</w:t>
      </w:r>
    </w:p>
    <w:p w14:paraId="0DCCD944" w14:textId="77777777" w:rsidR="00183DF1" w:rsidRDefault="00D46AEA" w:rsidP="00C1346B">
      <w:pPr>
        <w:spacing w:before="140"/>
        <w:rPr>
          <w:lang w:eastAsia="zh-CN"/>
        </w:rPr>
      </w:pPr>
      <w:r w:rsidRPr="00DA0599">
        <w:rPr>
          <w:rFonts w:asciiTheme="minorHAnsi" w:eastAsia="Times New Roman" w:hAnsiTheme="minorHAnsi"/>
          <w:b/>
          <w:bCs/>
          <w:lang w:bidi="fa-IR"/>
        </w:rPr>
        <w:t>Elasticity</w:t>
      </w:r>
      <w:r w:rsidRPr="00DA0599">
        <w:rPr>
          <w:rFonts w:asciiTheme="minorHAnsi" w:eastAsia="Times New Roman" w:hAnsiTheme="minorHAnsi"/>
          <w:b/>
          <w:bCs/>
          <w:lang w:bidi="fa-IR"/>
        </w:rPr>
        <w:br/>
      </w:r>
      <w:r w:rsidR="00183DF1">
        <w:rPr>
          <w:lang w:eastAsia="zh-CN"/>
        </w:rPr>
        <w:t>Elasticity measures the change of one economic variable (the outcome variable, for example demand for a good or service) in response to a change in another (the cause variable, for example the price of the good or service or consumer’s income). It is calculated by dividing the percentage change in the outcome variable by the percentage change in the cause variable. An elastic variable (with an absolute elasticity value greater than 1) is one which responds more than proportionally to the change in the cause variable. By contrast, an inelastic variable (with an absolute elasticity value less than 1) is one which responds less than proportionally to the change in the cause variable.</w:t>
      </w:r>
    </w:p>
    <w:p w14:paraId="06B7C552" w14:textId="77777777" w:rsidR="00D82CF8" w:rsidRDefault="00D82CF8" w:rsidP="00D82CF8">
      <w:pPr>
        <w:pStyle w:val="BodyText"/>
        <w:rPr>
          <w:lang w:bidi="fa-IR"/>
        </w:rPr>
      </w:pPr>
      <w:r w:rsidRPr="00756CA5">
        <w:rPr>
          <w:b/>
          <w:bCs/>
          <w:lang w:bidi="fa-IR"/>
        </w:rPr>
        <w:t>Livable Housing Design Guidelines (LHDG)</w:t>
      </w:r>
      <w:r>
        <w:rPr>
          <w:lang w:bidi="fa-IR"/>
        </w:rPr>
        <w:br/>
        <w:t>Liva</w:t>
      </w:r>
      <w:r w:rsidR="00BA7F3C">
        <w:rPr>
          <w:lang w:bidi="fa-IR"/>
        </w:rPr>
        <w:t>b</w:t>
      </w:r>
      <w:r>
        <w:rPr>
          <w:lang w:bidi="fa-IR"/>
        </w:rPr>
        <w:t xml:space="preserve">le Housing Design Guidelines (LHDG) </w:t>
      </w:r>
      <w:r w:rsidR="0092744D">
        <w:rPr>
          <w:lang w:bidi="fa-IR"/>
        </w:rPr>
        <w:t xml:space="preserve">are developed by Livable Housing Australia. They </w:t>
      </w:r>
      <w:r>
        <w:rPr>
          <w:lang w:bidi="fa-IR"/>
        </w:rPr>
        <w:t>provide a nationally consistent</w:t>
      </w:r>
      <w:r w:rsidR="0092744D">
        <w:rPr>
          <w:lang w:bidi="fa-IR"/>
        </w:rPr>
        <w:t xml:space="preserve"> </w:t>
      </w:r>
      <w:r>
        <w:rPr>
          <w:lang w:bidi="fa-IR"/>
        </w:rPr>
        <w:t>set of guidelines to make homes safer, more comfortable and easier to access for people of all ages and abilities. Three levels of performance are provided in LHDG along with 15 livable housing design elements. Silver Level requires 7 core elements, Gold Level has enhanced requirements for most of the core elements plus additional elements, and Platinum Level requires all 15 elements.</w:t>
      </w:r>
    </w:p>
    <w:p w14:paraId="5319966E" w14:textId="77777777" w:rsidR="00D82CF8" w:rsidRPr="00B358A9" w:rsidRDefault="00D82CF8" w:rsidP="00D82CF8">
      <w:pPr>
        <w:pStyle w:val="BodyText"/>
        <w:rPr>
          <w:b/>
          <w:bCs/>
          <w:lang w:bidi="fa-IR"/>
        </w:rPr>
      </w:pPr>
      <w:r w:rsidRPr="00B358A9">
        <w:rPr>
          <w:b/>
          <w:bCs/>
          <w:lang w:bidi="fa-IR"/>
        </w:rPr>
        <w:t>Loneliness</w:t>
      </w:r>
      <w:r w:rsidRPr="00B358A9">
        <w:rPr>
          <w:lang w:bidi="fa-IR"/>
        </w:rPr>
        <w:t xml:space="preserve"> </w:t>
      </w:r>
      <w:r w:rsidRPr="00B358A9">
        <w:rPr>
          <w:lang w:bidi="fa-IR"/>
        </w:rPr>
        <w:br/>
      </w:r>
      <w:r>
        <w:rPr>
          <w:lang w:bidi="fa-IR"/>
        </w:rPr>
        <w:t xml:space="preserve">Loneliness is the subjective state of negative feelings about having a lower level of social </w:t>
      </w:r>
      <w:r>
        <w:rPr>
          <w:lang w:bidi="fa-IR"/>
        </w:rPr>
        <w:lastRenderedPageBreak/>
        <w:t>contact than desired, according to Australian Institute of Health and Welfare (AIHW) (</w:t>
      </w:r>
      <w:hyperlink r:id="rId22" w:tooltip="For more information visit the AIHW website" w:history="1">
        <w:r>
          <w:rPr>
            <w:rStyle w:val="Hyperlink"/>
          </w:rPr>
          <w:t>https://www.aihw.gov.au/reports/australias-welfare/social-isolation-and-loneliness</w:t>
        </w:r>
      </w:hyperlink>
      <w:r>
        <w:rPr>
          <w:lang w:bidi="fa-IR"/>
        </w:rPr>
        <w:t>).</w:t>
      </w:r>
    </w:p>
    <w:p w14:paraId="17ACEA48" w14:textId="77777777" w:rsidR="00D82CF8" w:rsidRDefault="00D82CF8" w:rsidP="00D82CF8">
      <w:pPr>
        <w:pStyle w:val="BodyText"/>
        <w:rPr>
          <w:lang w:bidi="fa-IR"/>
        </w:rPr>
      </w:pPr>
      <w:r w:rsidRPr="00B358A9">
        <w:rPr>
          <w:b/>
          <w:bCs/>
          <w:lang w:bidi="fa-IR"/>
        </w:rPr>
        <w:t>Present value</w:t>
      </w:r>
      <w:r>
        <w:rPr>
          <w:lang w:bidi="fa-IR"/>
        </w:rPr>
        <w:br/>
        <w:t xml:space="preserve">The current equivalent value of a future value of benefit or cost. It is calculated by the discount rate (see above). </w:t>
      </w:r>
    </w:p>
    <w:p w14:paraId="5FA48A58" w14:textId="77777777" w:rsidR="00D82CF8" w:rsidRDefault="00D82CF8" w:rsidP="00D82CF8">
      <w:pPr>
        <w:pStyle w:val="BodyText"/>
        <w:rPr>
          <w:lang w:bidi="fa-IR"/>
        </w:rPr>
      </w:pPr>
      <w:r w:rsidRPr="00356840">
        <w:rPr>
          <w:b/>
          <w:lang w:bidi="fa-IR"/>
        </w:rPr>
        <w:t>Quality adjusted life year (QALY)</w:t>
      </w:r>
      <w:r>
        <w:rPr>
          <w:lang w:bidi="fa-IR"/>
        </w:rPr>
        <w:br/>
        <w:t>Quality adjusted life year is a generic measure of disease burden including both the quality and the quantity of life lived in health economics. It is used to assess the value of medical interventions. One QALY equates to one year in perfect health based on a scale from 1 (perfect health) to 0 (death).</w:t>
      </w:r>
    </w:p>
    <w:p w14:paraId="465C4908" w14:textId="77777777" w:rsidR="00D82CF8" w:rsidRDefault="00D82CF8" w:rsidP="00D82CF8">
      <w:pPr>
        <w:pStyle w:val="BodyText"/>
        <w:rPr>
          <w:lang w:bidi="fa-IR"/>
        </w:rPr>
      </w:pPr>
      <w:r w:rsidRPr="00B358A9">
        <w:rPr>
          <w:b/>
          <w:bCs/>
          <w:lang w:bidi="fa-IR"/>
        </w:rPr>
        <w:t>Quality of life</w:t>
      </w:r>
      <w:r>
        <w:rPr>
          <w:lang w:bidi="fa-IR"/>
        </w:rPr>
        <w:br/>
      </w:r>
      <w:r w:rsidRPr="00B358A9">
        <w:rPr>
          <w:lang w:bidi="fa-IR"/>
        </w:rPr>
        <w:t xml:space="preserve">Quality of life generally includes factors such as independence, dignity, mental health, social isolation and loneliness. </w:t>
      </w:r>
      <w:r>
        <w:rPr>
          <w:lang w:bidi="fa-IR"/>
        </w:rPr>
        <w:t xml:space="preserve">This analysis </w:t>
      </w:r>
      <w:r w:rsidRPr="00B358A9">
        <w:rPr>
          <w:lang w:bidi="fa-IR"/>
        </w:rPr>
        <w:t>draws on studies based on the Assessment of Quality of Life (AQoL) developed by the Centre for Health Economics at Monash University</w:t>
      </w:r>
      <w:r>
        <w:rPr>
          <w:lang w:bidi="fa-IR"/>
        </w:rPr>
        <w:t xml:space="preserve"> (see above)</w:t>
      </w:r>
      <w:r w:rsidRPr="00B358A9">
        <w:rPr>
          <w:lang w:bidi="fa-IR"/>
        </w:rPr>
        <w:t>.</w:t>
      </w:r>
    </w:p>
    <w:p w14:paraId="5D6A836F" w14:textId="77777777" w:rsidR="00D82CF8" w:rsidRDefault="00D82CF8" w:rsidP="00D82CF8">
      <w:pPr>
        <w:pStyle w:val="BodyText"/>
        <w:rPr>
          <w:lang w:bidi="fa-IR"/>
        </w:rPr>
      </w:pPr>
      <w:r w:rsidRPr="00D6506C">
        <w:rPr>
          <w:b/>
          <w:bCs/>
          <w:lang w:bidi="fa-IR"/>
        </w:rPr>
        <w:t>Revealed preference</w:t>
      </w:r>
      <w:r>
        <w:rPr>
          <w:lang w:bidi="fa-IR"/>
        </w:rPr>
        <w:br/>
        <w:t xml:space="preserve">Revealed preference is the preference (e.g. how much to pay for one unit of a product or service) derived from observations and data on actual choices made by people. </w:t>
      </w:r>
    </w:p>
    <w:p w14:paraId="5A4116C2" w14:textId="77777777" w:rsidR="00D82CF8" w:rsidRPr="007B22A9" w:rsidRDefault="00D82CF8" w:rsidP="00D82CF8">
      <w:pPr>
        <w:pStyle w:val="BodyText"/>
        <w:rPr>
          <w:lang w:bidi="fa-IR"/>
        </w:rPr>
      </w:pPr>
      <w:r>
        <w:rPr>
          <w:b/>
          <w:bCs/>
          <w:lang w:bidi="fa-IR"/>
        </w:rPr>
        <w:t>Scenario</w:t>
      </w:r>
      <w:r>
        <w:rPr>
          <w:b/>
          <w:bCs/>
          <w:lang w:bidi="fa-IR"/>
        </w:rPr>
        <w:br/>
      </w:r>
      <w:r>
        <w:rPr>
          <w:lang w:bidi="fa-IR"/>
        </w:rPr>
        <w:t>A scenario is a specific case where certain assumptions about benefits and costs are applied as a special form of sensitivity analysis (see below).</w:t>
      </w:r>
    </w:p>
    <w:p w14:paraId="0E12FDBA" w14:textId="77777777" w:rsidR="00D82CF8" w:rsidRDefault="00D82CF8" w:rsidP="00D82CF8">
      <w:pPr>
        <w:pStyle w:val="BodyText"/>
        <w:rPr>
          <w:lang w:bidi="fa-IR"/>
        </w:rPr>
      </w:pPr>
      <w:r w:rsidRPr="007B22A9">
        <w:rPr>
          <w:b/>
          <w:bCs/>
          <w:lang w:bidi="fa-IR"/>
        </w:rPr>
        <w:t>Sensitivity analysis</w:t>
      </w:r>
      <w:r>
        <w:rPr>
          <w:lang w:bidi="fa-IR"/>
        </w:rPr>
        <w:br/>
        <w:t xml:space="preserve">An analysis </w:t>
      </w:r>
      <w:r w:rsidR="00D10420">
        <w:rPr>
          <w:lang w:bidi="fa-IR"/>
        </w:rPr>
        <w:t>undertaken</w:t>
      </w:r>
      <w:r>
        <w:rPr>
          <w:lang w:bidi="fa-IR"/>
        </w:rPr>
        <w:t xml:space="preserve"> to test how sensitive the results are </w:t>
      </w:r>
      <w:r w:rsidR="00D10420">
        <w:rPr>
          <w:lang w:bidi="fa-IR"/>
        </w:rPr>
        <w:t xml:space="preserve">by changing the </w:t>
      </w:r>
      <w:r>
        <w:rPr>
          <w:lang w:bidi="fa-IR"/>
        </w:rPr>
        <w:t xml:space="preserve">assumptions and parameters. </w:t>
      </w:r>
    </w:p>
    <w:p w14:paraId="099C759B" w14:textId="77777777" w:rsidR="00D82CF8" w:rsidRDefault="00D82CF8" w:rsidP="00D82CF8">
      <w:pPr>
        <w:pStyle w:val="BodyText"/>
        <w:rPr>
          <w:lang w:bidi="fa-IR"/>
        </w:rPr>
      </w:pPr>
      <w:r w:rsidRPr="007B22A9">
        <w:rPr>
          <w:b/>
          <w:bCs/>
          <w:lang w:bidi="fa-IR"/>
        </w:rPr>
        <w:t>Social isolation</w:t>
      </w:r>
      <w:r>
        <w:rPr>
          <w:lang w:bidi="fa-IR"/>
        </w:rPr>
        <w:br/>
        <w:t>Social isolation refers to a situation where an individual has minimal contact with others. According to AIHW, there is a subtle distinction between social isolation and loneliness (see above).</w:t>
      </w:r>
    </w:p>
    <w:p w14:paraId="52587527" w14:textId="77777777" w:rsidR="00D82CF8" w:rsidRDefault="00D82CF8" w:rsidP="00D82CF8">
      <w:pPr>
        <w:pStyle w:val="BodyText"/>
        <w:rPr>
          <w:lang w:bidi="fa-IR"/>
        </w:rPr>
      </w:pPr>
      <w:r w:rsidRPr="00D6506C">
        <w:rPr>
          <w:b/>
          <w:bCs/>
          <w:lang w:bidi="fa-IR"/>
        </w:rPr>
        <w:t>Stated preference</w:t>
      </w:r>
      <w:r>
        <w:rPr>
          <w:lang w:bidi="fa-IR"/>
        </w:rPr>
        <w:br/>
        <w:t xml:space="preserve">Stated preference is the preference (e.g. how much to pay for one unit of a product or service) derived from respondents’ choices over hypothetical scenarios. </w:t>
      </w:r>
    </w:p>
    <w:p w14:paraId="26933BB3" w14:textId="77777777" w:rsidR="00D82CF8" w:rsidRDefault="00D82CF8" w:rsidP="00D82CF8">
      <w:pPr>
        <w:pStyle w:val="BodyText"/>
        <w:rPr>
          <w:lang w:bidi="fa-IR"/>
        </w:rPr>
      </w:pPr>
      <w:r w:rsidRPr="007B22A9">
        <w:rPr>
          <w:b/>
          <w:bCs/>
          <w:lang w:bidi="fa-IR"/>
        </w:rPr>
        <w:t>Uncertainty</w:t>
      </w:r>
      <w:r>
        <w:rPr>
          <w:lang w:bidi="fa-IR"/>
        </w:rPr>
        <w:br/>
        <w:t>The state of being uncertain, arising from factors such as limited data and information, under researched topic, complexity and unknown future.</w:t>
      </w:r>
    </w:p>
    <w:p w14:paraId="79661665" w14:textId="77777777" w:rsidR="00D82CF8" w:rsidRDefault="00D82CF8" w:rsidP="00D82CF8">
      <w:pPr>
        <w:pStyle w:val="BodyText"/>
        <w:rPr>
          <w:lang w:bidi="fa-IR"/>
        </w:rPr>
      </w:pPr>
      <w:r w:rsidRPr="00D97A4E">
        <w:rPr>
          <w:b/>
          <w:bCs/>
          <w:lang w:bidi="fa-IR"/>
        </w:rPr>
        <w:t>Universal design</w:t>
      </w:r>
      <w:r>
        <w:rPr>
          <w:lang w:bidi="fa-IR"/>
        </w:rPr>
        <w:br/>
        <w:t>Universal design is the design and composition of a built environment so that it can be accessed, understood and used to the greatest extent possible people regardless of their age, size, ability or disability.</w:t>
      </w:r>
    </w:p>
    <w:p w14:paraId="5C760EC2" w14:textId="77777777" w:rsidR="00D82CF8" w:rsidRDefault="00D82CF8" w:rsidP="00D82CF8">
      <w:pPr>
        <w:pStyle w:val="BodyText"/>
        <w:rPr>
          <w:lang w:bidi="fa-IR"/>
        </w:rPr>
      </w:pPr>
      <w:r w:rsidRPr="0001184B">
        <w:rPr>
          <w:b/>
          <w:bCs/>
          <w:lang w:bidi="fa-IR"/>
        </w:rPr>
        <w:t>Value of a life year (VLY)</w:t>
      </w:r>
      <w:r>
        <w:rPr>
          <w:lang w:bidi="fa-IR"/>
        </w:rPr>
        <w:br/>
        <w:t>Value of a life year (VLY) is the notional value that an individual places on each additional year of life. It is related to the concept of value of a statistical life (see below).</w:t>
      </w:r>
    </w:p>
    <w:p w14:paraId="3821223C" w14:textId="77777777" w:rsidR="00D82CF8" w:rsidRDefault="00D82CF8" w:rsidP="00D82CF8">
      <w:pPr>
        <w:pStyle w:val="BodyText"/>
        <w:rPr>
          <w:lang w:bidi="fa-IR"/>
        </w:rPr>
      </w:pPr>
      <w:r w:rsidRPr="0001184B">
        <w:rPr>
          <w:b/>
          <w:bCs/>
          <w:lang w:bidi="fa-IR"/>
        </w:rPr>
        <w:lastRenderedPageBreak/>
        <w:t>Value of a statistical life (VSL)</w:t>
      </w:r>
      <w:r>
        <w:rPr>
          <w:lang w:bidi="fa-IR"/>
        </w:rPr>
        <w:br/>
        <w:t>Value of a statistical life (VSL) is a notional value that individuals place on reducing the risk of death. A related concept is the value of a life year (see above).</w:t>
      </w:r>
    </w:p>
    <w:p w14:paraId="6A2B3801" w14:textId="77777777" w:rsidR="00D82CF8" w:rsidRDefault="00D82CF8" w:rsidP="00D82CF8">
      <w:pPr>
        <w:pStyle w:val="BodyText"/>
        <w:rPr>
          <w:lang w:bidi="fa-IR"/>
        </w:rPr>
      </w:pPr>
      <w:r w:rsidRPr="00585F69">
        <w:rPr>
          <w:b/>
          <w:bCs/>
          <w:lang w:bidi="fa-IR"/>
        </w:rPr>
        <w:t>Visitability</w:t>
      </w:r>
      <w:r>
        <w:rPr>
          <w:lang w:bidi="fa-IR"/>
        </w:rPr>
        <w:br/>
        <w:t>Visitability is the design approach for housing such that anyone with mobility needs (for example using a wheelchair or other mobility aids) should be able to visit, which requires the ability to enter into the house, to pass through interior doorways and to enter a bathroom to use the toilet.</w:t>
      </w:r>
    </w:p>
    <w:p w14:paraId="171060E6" w14:textId="77777777" w:rsidR="00D82CF8" w:rsidRDefault="00D82CF8" w:rsidP="00D82CF8">
      <w:pPr>
        <w:pStyle w:val="BodyText"/>
        <w:rPr>
          <w:lang w:bidi="fa-IR"/>
        </w:rPr>
      </w:pPr>
      <w:r w:rsidRPr="00585F69">
        <w:rPr>
          <w:b/>
          <w:bCs/>
          <w:lang w:bidi="fa-IR"/>
        </w:rPr>
        <w:t>Willingness to pay</w:t>
      </w:r>
      <w:r>
        <w:rPr>
          <w:b/>
          <w:bCs/>
          <w:lang w:bidi="fa-IR"/>
        </w:rPr>
        <w:t xml:space="preserve"> (WTP)</w:t>
      </w:r>
      <w:r>
        <w:rPr>
          <w:lang w:bidi="fa-IR"/>
        </w:rPr>
        <w:br/>
        <w:t>Willingness to pay (WTP) is the maximum price at which a consumer will definitely buy one unit of a product or service.</w:t>
      </w:r>
    </w:p>
    <w:p w14:paraId="6A62058F" w14:textId="77777777" w:rsidR="002A5062" w:rsidRDefault="009C22BE" w:rsidP="00801EC2">
      <w:pPr>
        <w:pStyle w:val="Heading1NotNumbered"/>
      </w:pPr>
      <w:bookmarkStart w:id="8" w:name="_Toc70505078"/>
      <w:r>
        <w:lastRenderedPageBreak/>
        <w:t>Executive s</w:t>
      </w:r>
      <w:r w:rsidR="005A6134" w:rsidRPr="00D356B9">
        <w:t>ummary</w:t>
      </w:r>
      <w:bookmarkEnd w:id="5"/>
      <w:bookmarkEnd w:id="8"/>
    </w:p>
    <w:p w14:paraId="4D7C2D05" w14:textId="77777777" w:rsidR="00751F3B" w:rsidRPr="00594B3D" w:rsidRDefault="00751F3B" w:rsidP="00751F3B">
      <w:pPr>
        <w:pStyle w:val="BodyText"/>
        <w:rPr>
          <w:b/>
          <w:i/>
          <w:lang w:bidi="fa-IR"/>
        </w:rPr>
      </w:pPr>
      <w:bookmarkStart w:id="9" w:name="_Toc61473239"/>
      <w:bookmarkStart w:id="10" w:name="_Toc32321740"/>
      <w:bookmarkStart w:id="11" w:name="_Toc44598429"/>
      <w:bookmarkStart w:id="12" w:name="_Toc45654060"/>
      <w:bookmarkEnd w:id="3"/>
      <w:r w:rsidRPr="000D4112">
        <w:rPr>
          <w:lang w:bidi="fa-IR"/>
        </w:rPr>
        <w:t>This Regulation Impact Statement (RIS) examines the costs and benefits of including accessibility standards in the National Construction Code (NCC), based on the Livable Housing Design Guidelines (LHDG) which could apply to the construction of new residential housing</w:t>
      </w:r>
      <w:r w:rsidRPr="00725961">
        <w:rPr>
          <w:lang w:bidi="fa-IR"/>
        </w:rPr>
        <w:t>.</w:t>
      </w:r>
    </w:p>
    <w:p w14:paraId="2FD7EC23" w14:textId="77777777" w:rsidR="00751F3B" w:rsidRPr="000D4112" w:rsidRDefault="00751F3B" w:rsidP="00751F3B">
      <w:pPr>
        <w:pStyle w:val="BodyText"/>
        <w:rPr>
          <w:lang w:bidi="fa-IR"/>
        </w:rPr>
      </w:pPr>
      <w:r w:rsidRPr="00725961">
        <w:rPr>
          <w:lang w:bidi="fa-IR"/>
        </w:rPr>
        <w:t xml:space="preserve">Accessible housing is based on the principles of universal design and is housing that includes features which enable safe and comfortable use by people with disability and those transitioning through life stages. In 2009 </w:t>
      </w:r>
      <w:r w:rsidRPr="00D43C4C">
        <w:rPr>
          <w:lang w:bidi="fa-IR"/>
        </w:rPr>
        <w:t>governments, industry and advocates agreed through a National Dialogue to pursue an aspirational target that all new homes would be of an agreed Universal Housing Design standard by 2020.</w:t>
      </w:r>
    </w:p>
    <w:p w14:paraId="098AD3F5" w14:textId="77777777" w:rsidR="00751F3B" w:rsidRPr="000D4112" w:rsidRDefault="00751F3B" w:rsidP="00751F3B">
      <w:pPr>
        <w:pStyle w:val="BodyText"/>
        <w:rPr>
          <w:lang w:bidi="fa-IR"/>
        </w:rPr>
      </w:pPr>
      <w:r w:rsidRPr="000D4112">
        <w:rPr>
          <w:lang w:bidi="fa-IR"/>
        </w:rPr>
        <w:t xml:space="preserve">Housing is integral to people’s wellbeing. </w:t>
      </w:r>
    </w:p>
    <w:p w14:paraId="2DF21E4B" w14:textId="77777777" w:rsidR="0001348D" w:rsidRDefault="0001348D" w:rsidP="00ED7A25">
      <w:pPr>
        <w:pStyle w:val="Quote"/>
        <w:spacing w:before="240" w:after="240"/>
      </w:pPr>
      <w:r w:rsidRPr="00ED7A25">
        <w:rPr>
          <w:i/>
          <w:color w:val="6F6652" w:themeColor="text2"/>
          <w:sz w:val="22"/>
        </w:rPr>
        <w:t>“A person is more disabled when their built environment is inaccessible</w:t>
      </w:r>
      <w:r w:rsidR="00ED7A25">
        <w:rPr>
          <w:i/>
          <w:color w:val="6F6652" w:themeColor="text2"/>
          <w:sz w:val="22"/>
        </w:rPr>
        <w:t>”</w:t>
      </w:r>
      <w:r>
        <w:t>.</w:t>
      </w:r>
      <w:r w:rsidR="003A329C">
        <w:rPr>
          <w:rStyle w:val="FootnoteReference"/>
        </w:rPr>
        <w:footnoteReference w:id="2"/>
      </w:r>
    </w:p>
    <w:p w14:paraId="3C80F73E" w14:textId="77777777" w:rsidR="0001348D" w:rsidRDefault="0001348D" w:rsidP="0001348D">
      <w:pPr>
        <w:pStyle w:val="BodyText"/>
        <w:rPr>
          <w:lang w:bidi="fa-IR"/>
        </w:rPr>
      </w:pPr>
      <w:r>
        <w:rPr>
          <w:lang w:bidi="fa-IR"/>
        </w:rPr>
        <w:t>More than 3 million Australians have a mobility limitation and/or a self</w:t>
      </w:r>
      <w:r>
        <w:rPr>
          <w:lang w:bidi="fa-IR"/>
        </w:rPr>
        <w:noBreakHyphen/>
        <w:t>care limitation due to disability, with more than 90 per cent living within the community.</w:t>
      </w:r>
      <w:r>
        <w:rPr>
          <w:rStyle w:val="FootnoteReference"/>
          <w:lang w:bidi="fa-IR"/>
        </w:rPr>
        <w:footnoteReference w:id="3"/>
      </w:r>
      <w:r>
        <w:rPr>
          <w:lang w:bidi="fa-IR"/>
        </w:rPr>
        <w:t xml:space="preserve"> This is estimated to increase to around 4.5 million people by 2040. </w:t>
      </w:r>
    </w:p>
    <w:p w14:paraId="3A99D0C1" w14:textId="77777777" w:rsidR="0001348D" w:rsidRDefault="0001348D" w:rsidP="0001348D">
      <w:pPr>
        <w:pStyle w:val="BodyText"/>
        <w:rPr>
          <w:lang w:bidi="fa-IR"/>
        </w:rPr>
      </w:pPr>
      <w:r>
        <w:rPr>
          <w:lang w:bidi="fa-IR"/>
        </w:rPr>
        <w:t xml:space="preserve">Inaccessible housing can directly and adversely affect the daily lives of </w:t>
      </w:r>
      <w:r w:rsidR="000D5DDB">
        <w:rPr>
          <w:lang w:bidi="fa-IR"/>
        </w:rPr>
        <w:t xml:space="preserve">Australians </w:t>
      </w:r>
      <w:r>
        <w:rPr>
          <w:lang w:bidi="fa-IR"/>
        </w:rPr>
        <w:t xml:space="preserve">who </w:t>
      </w:r>
      <w:r w:rsidR="00AD3E42">
        <w:rPr>
          <w:lang w:bidi="fa-IR"/>
        </w:rPr>
        <w:t>have mobility limitation</w:t>
      </w:r>
      <w:r w:rsidR="00940CE0">
        <w:rPr>
          <w:lang w:bidi="fa-IR"/>
        </w:rPr>
        <w:t xml:space="preserve">, </w:t>
      </w:r>
      <w:r>
        <w:rPr>
          <w:lang w:bidi="fa-IR"/>
        </w:rPr>
        <w:t xml:space="preserve">use </w:t>
      </w:r>
      <w:r w:rsidR="000D5DDB">
        <w:rPr>
          <w:lang w:bidi="fa-IR"/>
        </w:rPr>
        <w:t xml:space="preserve">a </w:t>
      </w:r>
      <w:r>
        <w:rPr>
          <w:lang w:bidi="fa-IR"/>
        </w:rPr>
        <w:t>wheelchair or use mobility aids or who require care from others for self-care tasks, such as showering or toileting, which is provided either formally or informally. Inaccessible housing can</w:t>
      </w:r>
      <w:r w:rsidR="00A22376">
        <w:rPr>
          <w:lang w:bidi="fa-IR"/>
        </w:rPr>
        <w:t xml:space="preserve"> impact economic participation and</w:t>
      </w:r>
      <w:r>
        <w:rPr>
          <w:lang w:bidi="fa-IR"/>
        </w:rPr>
        <w:t xml:space="preserve"> also have a negative impact on family members or friends providing informal care to their loved ones by imposing restrictions on their ability to provide this care. </w:t>
      </w:r>
    </w:p>
    <w:p w14:paraId="39EA3DAD" w14:textId="77777777" w:rsidR="0001348D" w:rsidRDefault="0001348D" w:rsidP="0001348D">
      <w:pPr>
        <w:pStyle w:val="BodyText"/>
        <w:rPr>
          <w:lang w:bidi="fa-IR"/>
        </w:rPr>
      </w:pPr>
      <w:r>
        <w:rPr>
          <w:lang w:bidi="fa-IR"/>
        </w:rPr>
        <w:t xml:space="preserve">Older Australians </w:t>
      </w:r>
      <w:r w:rsidR="000D5DDB">
        <w:rPr>
          <w:lang w:bidi="fa-IR"/>
        </w:rPr>
        <w:t xml:space="preserve">who </w:t>
      </w:r>
      <w:r w:rsidR="003C4C62">
        <w:rPr>
          <w:lang w:bidi="fa-IR"/>
        </w:rPr>
        <w:t xml:space="preserve">strongly </w:t>
      </w:r>
      <w:r w:rsidR="000D5DDB">
        <w:rPr>
          <w:lang w:bidi="fa-IR"/>
        </w:rPr>
        <w:t xml:space="preserve">prefer to age in place </w:t>
      </w:r>
      <w:r>
        <w:rPr>
          <w:lang w:bidi="fa-IR"/>
        </w:rPr>
        <w:t xml:space="preserve">may also be negatively affected by inaccessible housing, which may limit their ability to age in their own home, </w:t>
      </w:r>
      <w:r w:rsidR="005809B1">
        <w:rPr>
          <w:lang w:bidi="fa-IR"/>
        </w:rPr>
        <w:t>and instead</w:t>
      </w:r>
      <w:r>
        <w:rPr>
          <w:lang w:bidi="fa-IR"/>
        </w:rPr>
        <w:t xml:space="preserve"> enter residential aged care</w:t>
      </w:r>
      <w:r w:rsidR="005809B1">
        <w:rPr>
          <w:lang w:bidi="fa-IR"/>
        </w:rPr>
        <w:t xml:space="preserve"> earlier than they wanted to</w:t>
      </w:r>
      <w:r>
        <w:rPr>
          <w:lang w:bidi="fa-IR"/>
        </w:rPr>
        <w:t xml:space="preserve">, if home modifications are not possible. </w:t>
      </w:r>
    </w:p>
    <w:p w14:paraId="6A4CED36" w14:textId="77777777" w:rsidR="0001348D" w:rsidRDefault="0001348D" w:rsidP="0001348D">
      <w:pPr>
        <w:pStyle w:val="BodyText"/>
        <w:rPr>
          <w:lang w:bidi="fa-IR"/>
        </w:rPr>
      </w:pPr>
      <w:r>
        <w:rPr>
          <w:lang w:bidi="fa-IR"/>
        </w:rPr>
        <w:t>In trying to find a place to live that meets their needs, people</w:t>
      </w:r>
      <w:r w:rsidR="00057DF7">
        <w:rPr>
          <w:lang w:bidi="fa-IR"/>
        </w:rPr>
        <w:t>, sometimes hospitalised</w:t>
      </w:r>
      <w:r>
        <w:rPr>
          <w:lang w:bidi="fa-IR"/>
        </w:rPr>
        <w:t xml:space="preserve"> with disability and older Australians</w:t>
      </w:r>
      <w:r w:rsidR="00ED7A25">
        <w:rPr>
          <w:lang w:bidi="fa-IR"/>
        </w:rPr>
        <w:t>,</w:t>
      </w:r>
      <w:r>
        <w:rPr>
          <w:lang w:bidi="fa-IR"/>
        </w:rPr>
        <w:t xml:space="preserve"> may face multiple moves</w:t>
      </w:r>
      <w:r w:rsidR="00B90F6E">
        <w:rPr>
          <w:lang w:bidi="fa-IR"/>
        </w:rPr>
        <w:t xml:space="preserve"> which creates significant financial and emotional stress</w:t>
      </w:r>
      <w:r>
        <w:rPr>
          <w:lang w:bidi="fa-IR"/>
        </w:rPr>
        <w:t>. This was the experience of older Australians Angie and John</w:t>
      </w:r>
      <w:r w:rsidR="00B90F6E">
        <w:rPr>
          <w:lang w:bidi="fa-IR"/>
        </w:rPr>
        <w:t xml:space="preserve">, presented </w:t>
      </w:r>
      <w:r w:rsidR="0013249B">
        <w:rPr>
          <w:lang w:bidi="fa-IR"/>
        </w:rPr>
        <w:t>in the submission by Australian Rehabilitation and Assistive Technology Association (ARATA)</w:t>
      </w:r>
      <w:r>
        <w:rPr>
          <w:lang w:bidi="fa-IR"/>
        </w:rPr>
        <w:t>.</w:t>
      </w:r>
    </w:p>
    <w:p w14:paraId="243528E1" w14:textId="77777777" w:rsidR="008655D2" w:rsidRDefault="008655D2" w:rsidP="000E6EB0">
      <w:pPr>
        <w:pStyle w:val="BodyText"/>
        <w:spacing w:before="0"/>
        <w:rPr>
          <w:lang w:bidi="fa-IR"/>
        </w:rPr>
      </w:pPr>
    </w:p>
    <w:tbl>
      <w:tblPr>
        <w:tblW w:w="7935"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4A0" w:firstRow="1" w:lastRow="0" w:firstColumn="1" w:lastColumn="0" w:noHBand="0" w:noVBand="1"/>
        <w:tblCaption w:val="Angie and John's story"/>
        <w:tblDescription w:val="This example demonstrates how changing accessibility needs can force relocations."/>
      </w:tblPr>
      <w:tblGrid>
        <w:gridCol w:w="7935"/>
      </w:tblGrid>
      <w:tr w:rsidR="0001348D" w14:paraId="66291358" w14:textId="77777777" w:rsidTr="00233C02">
        <w:trPr>
          <w:cantSplit/>
        </w:trPr>
        <w:tc>
          <w:tcPr>
            <w:tcW w:w="7935" w:type="dxa"/>
            <w:tcBorders>
              <w:top w:val="nil"/>
              <w:left w:val="nil"/>
              <w:bottom w:val="nil"/>
              <w:right w:val="nil"/>
            </w:tcBorders>
            <w:shd w:val="clear" w:color="auto" w:fill="C6BFAB" w:themeFill="accent3"/>
            <w:hideMark/>
          </w:tcPr>
          <w:p w14:paraId="266E07AC" w14:textId="77777777" w:rsidR="0001348D" w:rsidRPr="000E6EB0" w:rsidRDefault="0001348D" w:rsidP="000E6EB0">
            <w:pPr>
              <w:pStyle w:val="BodyText"/>
              <w:spacing w:after="120"/>
              <w:rPr>
                <w:rFonts w:ascii="Franklin Gothic Demi" w:hAnsi="Franklin Gothic Demi"/>
                <w:lang w:eastAsia="en-US"/>
              </w:rPr>
            </w:pPr>
            <w:r w:rsidRPr="000E6EB0">
              <w:rPr>
                <w:rFonts w:ascii="Franklin Gothic Demi" w:hAnsi="Franklin Gothic Demi"/>
                <w:lang w:eastAsia="en-US"/>
              </w:rPr>
              <w:lastRenderedPageBreak/>
              <w:t>Angie (88 years old) and John (90 years old) are a married couple who exemplify through their story how housing journeys could be improved as our population ages.</w:t>
            </w:r>
          </w:p>
        </w:tc>
      </w:tr>
      <w:tr w:rsidR="0001348D" w14:paraId="0B0C7B08" w14:textId="77777777" w:rsidTr="00233C02">
        <w:trPr>
          <w:cantSplit/>
        </w:trPr>
        <w:tc>
          <w:tcPr>
            <w:tcW w:w="7935" w:type="dxa"/>
            <w:tcBorders>
              <w:top w:val="nil"/>
              <w:left w:val="nil"/>
              <w:bottom w:val="single" w:sz="4" w:space="0" w:color="9B917E" w:themeColor="accent4"/>
              <w:right w:val="nil"/>
            </w:tcBorders>
            <w:shd w:val="clear" w:color="auto" w:fill="E9E8E5" w:themeFill="background2"/>
            <w:hideMark/>
          </w:tcPr>
          <w:p w14:paraId="50D80A35" w14:textId="77777777" w:rsidR="0001348D" w:rsidRDefault="0001348D" w:rsidP="00233C02">
            <w:pPr>
              <w:pStyle w:val="BodyText"/>
              <w:spacing w:after="120"/>
              <w:rPr>
                <w:lang w:eastAsia="en-US"/>
              </w:rPr>
            </w:pPr>
            <w:r>
              <w:rPr>
                <w:color w:val="000000"/>
                <w:lang w:eastAsia="en-US"/>
              </w:rPr>
              <w:t xml:space="preserve">“Angie and John were forced to relocate homes many times to try to meet their changing needs over later adulthood, during their married life. With each relocation, growing financial and emotional stress was encountered and living environments became more restricted, negatively impacting participation.” </w:t>
            </w:r>
            <w:r>
              <w:rPr>
                <w:rStyle w:val="FootnoteReference"/>
                <w:lang w:eastAsia="en-US"/>
              </w:rPr>
              <w:footnoteReference w:id="4"/>
            </w:r>
          </w:p>
        </w:tc>
      </w:tr>
    </w:tbl>
    <w:p w14:paraId="78D8AB55" w14:textId="77777777" w:rsidR="0001348D" w:rsidRDefault="0001348D" w:rsidP="0001348D">
      <w:pPr>
        <w:pStyle w:val="BodyText"/>
        <w:rPr>
          <w:lang w:bidi="fa-IR"/>
        </w:rPr>
      </w:pPr>
      <w:r>
        <w:rPr>
          <w:lang w:bidi="fa-IR"/>
        </w:rPr>
        <w:t>The effects of inaccessible housing on people with mobility or self-care limitation or who are older can extend beyond coping with daily tasks to impacts on mental health and social inclusion. The lived experience of one person living in an inaccessible house who was able to move to an accessible house demonstrates the different effects of these homes on their well-being.</w:t>
      </w:r>
    </w:p>
    <w:p w14:paraId="2B31DC62" w14:textId="77777777" w:rsidR="008655D2" w:rsidRDefault="008655D2" w:rsidP="000E6EB0">
      <w:pPr>
        <w:pStyle w:val="BodyText"/>
        <w:spacing w:before="0"/>
        <w:rPr>
          <w:lang w:bidi="fa-IR"/>
        </w:rPr>
      </w:pPr>
    </w:p>
    <w:tbl>
      <w:tblPr>
        <w:tblW w:w="7935"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4A0" w:firstRow="1" w:lastRow="0" w:firstColumn="1" w:lastColumn="0" w:noHBand="0" w:noVBand="1"/>
        <w:tblCaption w:val="Effects of an accessible home"/>
        <w:tblDescription w:val="This example demonstrates the differences an accessible home can bring."/>
      </w:tblPr>
      <w:tblGrid>
        <w:gridCol w:w="7935"/>
      </w:tblGrid>
      <w:tr w:rsidR="0001348D" w14:paraId="653D61CB" w14:textId="77777777" w:rsidTr="00233C02">
        <w:trPr>
          <w:cantSplit/>
        </w:trPr>
        <w:tc>
          <w:tcPr>
            <w:tcW w:w="7935" w:type="dxa"/>
            <w:tcBorders>
              <w:top w:val="nil"/>
              <w:left w:val="nil"/>
              <w:bottom w:val="nil"/>
              <w:right w:val="nil"/>
            </w:tcBorders>
            <w:shd w:val="clear" w:color="auto" w:fill="C6BFAB" w:themeFill="accent3"/>
            <w:hideMark/>
          </w:tcPr>
          <w:p w14:paraId="32E062DC" w14:textId="77777777" w:rsidR="0001348D" w:rsidRPr="000E6EB0" w:rsidRDefault="0001348D" w:rsidP="000E6EB0">
            <w:pPr>
              <w:pStyle w:val="BodyText"/>
              <w:spacing w:after="120"/>
              <w:rPr>
                <w:rFonts w:ascii="Franklin Gothic Demi" w:hAnsi="Franklin Gothic Demi"/>
                <w:lang w:eastAsia="en-US"/>
              </w:rPr>
            </w:pPr>
            <w:r w:rsidRPr="000E6EB0">
              <w:rPr>
                <w:rFonts w:ascii="Franklin Gothic Demi" w:hAnsi="Franklin Gothic Demi"/>
                <w:lang w:eastAsia="en-US"/>
              </w:rPr>
              <w:t>Effects of living in an accessible home versus an inaccessible home</w:t>
            </w:r>
          </w:p>
        </w:tc>
      </w:tr>
      <w:tr w:rsidR="0001348D" w14:paraId="16851C86" w14:textId="77777777" w:rsidTr="00233C02">
        <w:trPr>
          <w:cantSplit/>
        </w:trPr>
        <w:tc>
          <w:tcPr>
            <w:tcW w:w="7935" w:type="dxa"/>
            <w:tcBorders>
              <w:top w:val="nil"/>
              <w:left w:val="nil"/>
              <w:bottom w:val="single" w:sz="4" w:space="0" w:color="9B917E" w:themeColor="accent4"/>
              <w:right w:val="nil"/>
            </w:tcBorders>
            <w:shd w:val="clear" w:color="auto" w:fill="E9E8E5" w:themeFill="background2"/>
          </w:tcPr>
          <w:p w14:paraId="7EDD9AB5" w14:textId="77777777" w:rsidR="0001348D" w:rsidRDefault="0001348D" w:rsidP="00233C02">
            <w:pPr>
              <w:pStyle w:val="ListBullet"/>
              <w:numPr>
                <w:ilvl w:val="0"/>
                <w:numId w:val="0"/>
              </w:numPr>
              <w:tabs>
                <w:tab w:val="left" w:pos="720"/>
              </w:tabs>
              <w:spacing w:after="120"/>
              <w:ind w:firstLine="7"/>
              <w:rPr>
                <w:lang w:eastAsia="en-US"/>
              </w:rPr>
            </w:pPr>
            <w:r>
              <w:rPr>
                <w:lang w:eastAsia="en-US"/>
              </w:rPr>
              <w:t>“... I have lived in both an inaccessible house and a fully purpose built home. In my accessible home – I am happy, productive, social and my best person (to myself, my friends and family). I am an excellent employee … - and this is partly related to my physical health and my mental health being on track. Without access in my home – I was clinically depressed, suicidal, unemployed and single. I now have a great career, I am a wife, a mother, a friend and I am studying at uni.”</w:t>
            </w:r>
            <w:r>
              <w:rPr>
                <w:rStyle w:val="FootnoteReference"/>
                <w:lang w:eastAsia="en-US"/>
              </w:rPr>
              <w:footnoteReference w:id="5"/>
            </w:r>
          </w:p>
        </w:tc>
      </w:tr>
    </w:tbl>
    <w:p w14:paraId="0BA40372" w14:textId="77777777" w:rsidR="0001348D" w:rsidRDefault="0001348D" w:rsidP="0001348D">
      <w:pPr>
        <w:pStyle w:val="BodyText"/>
        <w:rPr>
          <w:lang w:bidi="fa-IR"/>
        </w:rPr>
      </w:pPr>
      <w:r>
        <w:rPr>
          <w:lang w:bidi="fa-IR"/>
        </w:rPr>
        <w:t>Other members of the community without mobility limitation may also find inaccessible housing creates challenges in their daily lives too; for example, people with temporary injuries and families with young dependants.</w:t>
      </w:r>
    </w:p>
    <w:p w14:paraId="2E24D9D2" w14:textId="77777777" w:rsidR="0001348D" w:rsidRDefault="004820CF" w:rsidP="0001348D">
      <w:pPr>
        <w:pStyle w:val="ListBullet"/>
        <w:numPr>
          <w:ilvl w:val="0"/>
          <w:numId w:val="0"/>
        </w:numPr>
        <w:tabs>
          <w:tab w:val="left" w:pos="720"/>
        </w:tabs>
        <w:ind w:left="284" w:hanging="284"/>
      </w:pPr>
      <w:r>
        <w:t>Some of the o</w:t>
      </w:r>
      <w:r w:rsidR="0001348D">
        <w:t>ther personal stories received during consultation related to:</w:t>
      </w:r>
    </w:p>
    <w:p w14:paraId="56C529F9" w14:textId="77777777" w:rsidR="0001348D" w:rsidRDefault="0001348D" w:rsidP="0001348D">
      <w:pPr>
        <w:pStyle w:val="ListBullet"/>
      </w:pPr>
      <w:r>
        <w:t>The inability to stay in or return to the family home after a major health change.</w:t>
      </w:r>
    </w:p>
    <w:p w14:paraId="64E829BE" w14:textId="77777777" w:rsidR="0001348D" w:rsidRDefault="0001348D" w:rsidP="0001348D">
      <w:pPr>
        <w:pStyle w:val="ListBullet"/>
      </w:pPr>
      <w:r>
        <w:t>Extensive and unsuccessful searches for an appropriate home.</w:t>
      </w:r>
    </w:p>
    <w:p w14:paraId="39965AA1" w14:textId="77777777" w:rsidR="0001348D" w:rsidRDefault="0001348D" w:rsidP="0001348D">
      <w:pPr>
        <w:pStyle w:val="ListBullet"/>
      </w:pPr>
      <w:r>
        <w:t>The need for ongoing government funding for a carer that would otherwise not be needed i</w:t>
      </w:r>
      <w:r w:rsidR="004820CF">
        <w:t>f</w:t>
      </w:r>
      <w:r>
        <w:t xml:space="preserve"> an appropriate </w:t>
      </w:r>
      <w:r w:rsidR="004820CF">
        <w:t>home was</w:t>
      </w:r>
      <w:r>
        <w:t xml:space="preserve"> available.</w:t>
      </w:r>
    </w:p>
    <w:p w14:paraId="581FAEF3" w14:textId="77777777" w:rsidR="0001348D" w:rsidRDefault="0001348D" w:rsidP="0001348D">
      <w:pPr>
        <w:pStyle w:val="ListBullet"/>
      </w:pPr>
      <w:r>
        <w:t>Premature entry into residential aged care including for young people.</w:t>
      </w:r>
    </w:p>
    <w:p w14:paraId="52877FA9" w14:textId="77777777" w:rsidR="0001348D" w:rsidRDefault="0001348D" w:rsidP="0001348D">
      <w:pPr>
        <w:pStyle w:val="ListBullet"/>
      </w:pPr>
      <w:r>
        <w:t>Limitations of home modifications and the significant financial costs associated with retrofitting accessibility features, such as grab rails, which are cheaper in a house built to universal design</w:t>
      </w:r>
      <w:r w:rsidR="004820CF">
        <w:t xml:space="preserve"> standards</w:t>
      </w:r>
      <w:r>
        <w:t>.</w:t>
      </w:r>
    </w:p>
    <w:p w14:paraId="33395900" w14:textId="77777777" w:rsidR="0001348D" w:rsidRDefault="0001348D" w:rsidP="0001348D">
      <w:pPr>
        <w:pStyle w:val="ListBullet"/>
      </w:pPr>
      <w:r>
        <w:lastRenderedPageBreak/>
        <w:t>The significant emotional and financial stress resulting from the need to move on several occasions due to changing accessibility requirements.</w:t>
      </w:r>
    </w:p>
    <w:p w14:paraId="3A183057" w14:textId="77777777" w:rsidR="0001348D" w:rsidRDefault="0001348D" w:rsidP="0001348D">
      <w:pPr>
        <w:pStyle w:val="ListBullet"/>
        <w:rPr>
          <w:lang w:bidi="fa-IR"/>
        </w:rPr>
      </w:pPr>
      <w:r>
        <w:t>The social isolation and loneliness associated with an inability to visit family and friends.</w:t>
      </w:r>
    </w:p>
    <w:p w14:paraId="4D033D31" w14:textId="77777777" w:rsidR="0001348D" w:rsidRDefault="0001348D" w:rsidP="0001348D">
      <w:pPr>
        <w:pStyle w:val="BodyText"/>
        <w:rPr>
          <w:lang w:bidi="fa-IR"/>
        </w:rPr>
      </w:pPr>
      <w:r>
        <w:rPr>
          <w:lang w:bidi="fa-IR"/>
        </w:rPr>
        <w:t xml:space="preserve">While existing government assistance goes some way to supporting the housing needs of these members of </w:t>
      </w:r>
      <w:r w:rsidR="00ED7A25">
        <w:rPr>
          <w:lang w:bidi="fa-IR"/>
        </w:rPr>
        <w:t>the</w:t>
      </w:r>
      <w:r>
        <w:rPr>
          <w:lang w:bidi="fa-IR"/>
        </w:rPr>
        <w:t xml:space="preserve"> community, </w:t>
      </w:r>
      <w:r w:rsidR="00B30F48">
        <w:rPr>
          <w:lang w:bidi="fa-IR"/>
        </w:rPr>
        <w:t xml:space="preserve">there is currently a lack of accessible housing and </w:t>
      </w:r>
      <w:r>
        <w:rPr>
          <w:lang w:bidi="fa-IR"/>
        </w:rPr>
        <w:t xml:space="preserve">it is estimated that the continuing cost </w:t>
      </w:r>
      <w:r w:rsidR="00081963">
        <w:rPr>
          <w:lang w:bidi="fa-IR"/>
        </w:rPr>
        <w:t xml:space="preserve">on a number of fronts </w:t>
      </w:r>
      <w:r>
        <w:rPr>
          <w:lang w:bidi="fa-IR"/>
        </w:rPr>
        <w:t xml:space="preserve">to the community </w:t>
      </w:r>
      <w:r w:rsidR="00081963">
        <w:rPr>
          <w:lang w:bidi="fa-IR"/>
        </w:rPr>
        <w:t xml:space="preserve">is </w:t>
      </w:r>
      <w:r w:rsidR="002E51ED">
        <w:rPr>
          <w:lang w:bidi="fa-IR"/>
        </w:rPr>
        <w:t>significant</w:t>
      </w:r>
      <w:r>
        <w:rPr>
          <w:lang w:bidi="fa-IR"/>
        </w:rPr>
        <w:t xml:space="preserve">, especially for people with disability and older people. </w:t>
      </w:r>
    </w:p>
    <w:p w14:paraId="104F5480" w14:textId="77777777" w:rsidR="0001348D" w:rsidRPr="003A329C" w:rsidRDefault="0001348D" w:rsidP="003A329C">
      <w:pPr>
        <w:pStyle w:val="Quote"/>
        <w:spacing w:before="240" w:after="240"/>
        <w:rPr>
          <w:rFonts w:ascii="Calisto MT" w:hAnsi="Calisto MT"/>
          <w:iCs/>
          <w:color w:val="6F6652" w:themeColor="text2"/>
          <w:kern w:val="28"/>
          <w:sz w:val="21"/>
          <w:szCs w:val="22"/>
        </w:rPr>
      </w:pPr>
      <w:r w:rsidRPr="003A329C">
        <w:rPr>
          <w:rFonts w:ascii="Calisto MT" w:hAnsi="Calisto MT"/>
          <w:i/>
          <w:color w:val="6F6652" w:themeColor="text2"/>
          <w:kern w:val="28"/>
          <w:sz w:val="21"/>
          <w:szCs w:val="22"/>
        </w:rPr>
        <w:t>“Having an accessible environment means I am able to perform at my best level - rather than investing energy into worrying about navigating a space, trying to access things in my home or feeling like a burden on others, I can just get on with living.”</w:t>
      </w:r>
      <w:r w:rsidR="003A329C">
        <w:rPr>
          <w:rStyle w:val="FootnoteReference"/>
          <w:i/>
          <w:kern w:val="28"/>
        </w:rPr>
        <w:footnoteReference w:id="6"/>
      </w:r>
    </w:p>
    <w:p w14:paraId="4E6961DB" w14:textId="77777777" w:rsidR="0001348D" w:rsidRDefault="0001348D" w:rsidP="0001348D">
      <w:pPr>
        <w:pStyle w:val="BodyText"/>
      </w:pPr>
      <w:r>
        <w:t xml:space="preserve">Since the release of the </w:t>
      </w:r>
      <w:r w:rsidR="002E51ED">
        <w:t xml:space="preserve">voluntary </w:t>
      </w:r>
      <w:r>
        <w:t>LHDG</w:t>
      </w:r>
      <w:r w:rsidR="002E51ED">
        <w:t xml:space="preserve"> by Livable Housing Australia</w:t>
      </w:r>
      <w:r>
        <w:t xml:space="preserve"> in 2010 estimates of the proportion of new private homes built to the LHDG range between 5 and 10 per cent.</w:t>
      </w:r>
    </w:p>
    <w:p w14:paraId="3BDBE09B" w14:textId="77777777" w:rsidR="0001348D" w:rsidRDefault="0001348D" w:rsidP="0001348D">
      <w:pPr>
        <w:pStyle w:val="BodyText"/>
        <w:rPr>
          <w:lang w:bidi="fa-IR"/>
        </w:rPr>
      </w:pPr>
      <w:r>
        <w:t>This Regulation Impact Statement (RIS) considers the costs and benefits of options to ensure housing is built to meet the needs of all Australians. It draws on the best available information, supported by important lived experiences and information received during consultation. Undertaking this RIS has highlighted the need for more research and quantitative evidence on the impacts of a lack of accessible housing; and the importance of continued policy discussions, beyond cost</w:t>
      </w:r>
      <w:r w:rsidR="00184588">
        <w:t>-</w:t>
      </w:r>
      <w:r>
        <w:t xml:space="preserve">benefit analysis, to consider broader </w:t>
      </w:r>
      <w:r w:rsidR="0061620A">
        <w:t xml:space="preserve">critical </w:t>
      </w:r>
      <w:r>
        <w:t xml:space="preserve">social and equity outcomes, </w:t>
      </w:r>
      <w:r w:rsidR="0061620A">
        <w:t>and</w:t>
      </w:r>
      <w:r>
        <w:t xml:space="preserve"> human rights</w:t>
      </w:r>
      <w:r w:rsidR="0061620A">
        <w:t xml:space="preserve"> considerations</w:t>
      </w:r>
      <w:r>
        <w:t xml:space="preserve">. </w:t>
      </w:r>
    </w:p>
    <w:p w14:paraId="7D44702C" w14:textId="77777777" w:rsidR="0001348D" w:rsidRPr="00233C02" w:rsidRDefault="0001348D" w:rsidP="0001348D">
      <w:pPr>
        <w:pStyle w:val="Heading2"/>
        <w:rPr>
          <w:bCs/>
        </w:rPr>
      </w:pPr>
      <w:bookmarkStart w:id="13" w:name="_Toc70505079"/>
      <w:r w:rsidRPr="00233C02">
        <w:rPr>
          <w:bCs/>
        </w:rPr>
        <w:t>Background</w:t>
      </w:r>
      <w:bookmarkEnd w:id="13"/>
    </w:p>
    <w:p w14:paraId="45904E55" w14:textId="77777777" w:rsidR="0001348D" w:rsidRDefault="0001348D" w:rsidP="0001348D">
      <w:pPr>
        <w:pStyle w:val="BodyText"/>
      </w:pPr>
      <w:r>
        <w:t xml:space="preserve">Accessible housing is housing that includes features </w:t>
      </w:r>
      <w:r w:rsidR="00ED7A25">
        <w:t>that</w:t>
      </w:r>
      <w:r>
        <w:t xml:space="preserve"> enable use by people either with disability or </w:t>
      </w:r>
      <w:r w:rsidR="0061620A">
        <w:t xml:space="preserve">those </w:t>
      </w:r>
      <w:r>
        <w:t xml:space="preserve">transitioning through their life stages. It is based on principles of universal design. While there are differences, related terms include </w:t>
      </w:r>
      <w:r w:rsidR="00FF7D65">
        <w:t>‘</w:t>
      </w:r>
      <w:r>
        <w:t>visitable</w:t>
      </w:r>
      <w:r w:rsidR="00FF7D65">
        <w:t>’</w:t>
      </w:r>
      <w:r>
        <w:t xml:space="preserve">, </w:t>
      </w:r>
      <w:r w:rsidR="00FF7D65">
        <w:t>‘</w:t>
      </w:r>
      <w:r>
        <w:t>adaptable</w:t>
      </w:r>
      <w:r w:rsidR="00FF7D65">
        <w:t>’</w:t>
      </w:r>
      <w:r>
        <w:t xml:space="preserve">, </w:t>
      </w:r>
      <w:r w:rsidR="00FF7D65">
        <w:t>‘</w:t>
      </w:r>
      <w:r>
        <w:t>livable</w:t>
      </w:r>
      <w:r w:rsidR="00FF7D65">
        <w:t>’</w:t>
      </w:r>
      <w:r>
        <w:t xml:space="preserve"> and </w:t>
      </w:r>
      <w:r w:rsidR="00FF7D65">
        <w:t>‘</w:t>
      </w:r>
      <w:r>
        <w:t>universal</w:t>
      </w:r>
      <w:r w:rsidR="00FF7D65">
        <w:t>’</w:t>
      </w:r>
      <w:r>
        <w:t>. Accessibility features should not be confused with highly specialised housing.</w:t>
      </w:r>
    </w:p>
    <w:p w14:paraId="4C19E094" w14:textId="77777777" w:rsidR="0001348D" w:rsidRDefault="0061620A" w:rsidP="0061620A">
      <w:pPr>
        <w:pStyle w:val="BodyText"/>
        <w:rPr>
          <w:rFonts w:cstheme="minorHAnsi"/>
        </w:rPr>
      </w:pPr>
      <w:r>
        <w:t>Following the</w:t>
      </w:r>
      <w:r w:rsidR="0001348D">
        <w:t xml:space="preserve"> 2009 National Dialogue</w:t>
      </w:r>
      <w:r>
        <w:t xml:space="preserve"> t</w:t>
      </w:r>
      <w:r w:rsidR="0001348D">
        <w:rPr>
          <w:rFonts w:cstheme="minorHAnsi"/>
        </w:rPr>
        <w:t>he LHDG were established to provide information for consumers seeking to introduce livable design features into a new home. The LHDG provide guidance on what performance is expected for design and structural elements in the home to achieve either silver, gold or platinum level accreditation. The silver level focuses on structural and spatial elements such as wider doorways, a continuous step</w:t>
      </w:r>
      <w:r w:rsidR="0001348D">
        <w:rPr>
          <w:rFonts w:cstheme="minorHAnsi"/>
        </w:rPr>
        <w:noBreakHyphen/>
        <w:t xml:space="preserve">free pathway to an entry door, a hobless shower recess, ground floor toilet and reinforced bathroom walls to support future home modifications. The gold and platinum levels are progressively more stringent </w:t>
      </w:r>
      <w:r w:rsidR="00AA51EC">
        <w:rPr>
          <w:rFonts w:cstheme="minorHAnsi"/>
        </w:rPr>
        <w:t xml:space="preserve">for issues such as circulation space </w:t>
      </w:r>
      <w:r w:rsidR="0001348D">
        <w:rPr>
          <w:rFonts w:cstheme="minorHAnsi"/>
        </w:rPr>
        <w:t>and require additional design elements to be incorporated</w:t>
      </w:r>
      <w:r w:rsidR="000848F1">
        <w:rPr>
          <w:rFonts w:cstheme="minorHAnsi"/>
        </w:rPr>
        <w:t xml:space="preserve"> such as </w:t>
      </w:r>
      <w:r w:rsidR="00FF7D65">
        <w:rPr>
          <w:rFonts w:cstheme="minorHAnsi"/>
        </w:rPr>
        <w:t xml:space="preserve">two </w:t>
      </w:r>
      <w:r w:rsidR="000848F1">
        <w:rPr>
          <w:rFonts w:cstheme="minorHAnsi"/>
        </w:rPr>
        <w:t>handrails on stairs</w:t>
      </w:r>
      <w:r w:rsidR="0001348D">
        <w:rPr>
          <w:rFonts w:cstheme="minorHAnsi"/>
        </w:rPr>
        <w:t>.</w:t>
      </w:r>
    </w:p>
    <w:p w14:paraId="17C97578" w14:textId="77777777" w:rsidR="0001348D" w:rsidRDefault="0001348D" w:rsidP="0001348D">
      <w:pPr>
        <w:pStyle w:val="BodyText"/>
      </w:pPr>
      <w:r>
        <w:lastRenderedPageBreak/>
        <w:t xml:space="preserve">In 2017, the then Building Ministers’ Forum (BMF), supported by the then Council of Australian Governments (COAG), directed the Australian Building Codes Board (ABCB) to undertake a Regulatory Impact Analysis on the possible inclusion of accessibility requirements for residential housing Class 1a buildings (houses, townhouses and the like) and Class 2 </w:t>
      </w:r>
      <w:r w:rsidR="00746E39">
        <w:t>buildings (</w:t>
      </w:r>
      <w:r>
        <w:t>apartments</w:t>
      </w:r>
      <w:r w:rsidR="00746E39">
        <w:t>)</w:t>
      </w:r>
      <w:r>
        <w:t xml:space="preserve"> into the National Construction Code (NCC).</w:t>
      </w:r>
      <w:r>
        <w:rPr>
          <w:rStyle w:val="FootnoteReference"/>
        </w:rPr>
        <w:footnoteReference w:id="7"/>
      </w:r>
      <w:r>
        <w:t xml:space="preserve"> </w:t>
      </w:r>
      <w:r w:rsidR="0042122B">
        <w:t xml:space="preserve">The direction required options to be assessed based on the Silver and Gold specifications set out in the LHDG, along with other options as appropriate. </w:t>
      </w:r>
    </w:p>
    <w:p w14:paraId="26AC3F0F" w14:textId="77777777" w:rsidR="0001348D" w:rsidRDefault="0001348D" w:rsidP="0001348D">
      <w:pPr>
        <w:pStyle w:val="BodyText"/>
        <w:rPr>
          <w:lang w:bidi="fa-IR"/>
        </w:rPr>
      </w:pPr>
      <w:r>
        <w:t xml:space="preserve">The Centre for International Economics (CIE) was engaged </w:t>
      </w:r>
      <w:r w:rsidR="0004416D">
        <w:t xml:space="preserve">by the ABCB </w:t>
      </w:r>
      <w:r>
        <w:t>to undertake this Regulation Impact Statement (RIS</w:t>
      </w:r>
      <w:r w:rsidR="003A329C">
        <w:t>)</w:t>
      </w:r>
      <w:r>
        <w:t xml:space="preserve">. </w:t>
      </w:r>
      <w:r>
        <w:rPr>
          <w:lang w:bidi="fa-IR"/>
        </w:rPr>
        <w:t xml:space="preserve">In this RIS, the term ‘accessible’ has been adopted to describe the proposed housing features </w:t>
      </w:r>
      <w:r w:rsidR="003A329C">
        <w:rPr>
          <w:lang w:bidi="fa-IR"/>
        </w:rPr>
        <w:t>that</w:t>
      </w:r>
      <w:r>
        <w:rPr>
          <w:lang w:bidi="fa-IR"/>
        </w:rPr>
        <w:t xml:space="preserve"> are based on universal design principles.</w:t>
      </w:r>
      <w:r>
        <w:rPr>
          <w:rStyle w:val="FootnoteReference"/>
          <w:lang w:bidi="fa-IR"/>
        </w:rPr>
        <w:footnoteReference w:id="8"/>
      </w:r>
    </w:p>
    <w:p w14:paraId="38FBDA59" w14:textId="77777777" w:rsidR="0001348D" w:rsidRDefault="0001348D" w:rsidP="0001348D">
      <w:pPr>
        <w:pStyle w:val="BodyText"/>
        <w:rPr>
          <w:lang w:bidi="fa-IR"/>
        </w:rPr>
      </w:pPr>
      <w:r>
        <w:rPr>
          <w:lang w:bidi="fa-IR"/>
        </w:rPr>
        <w:t xml:space="preserve">This RIS has been prepared in accordance with the COAG </w:t>
      </w:r>
      <w:r>
        <w:rPr>
          <w:lang w:val="en-US"/>
        </w:rPr>
        <w:t xml:space="preserve">Best Practice Regulation, A Guide for Ministerial Councils and National Standard Setting Bodies. This RIS acknowledges and responds to feedback received from stakeholders in response to the Consultation RIS. Feedback has influenced aspects of the size of the problem particularly information on lived experiences, </w:t>
      </w:r>
      <w:r w:rsidR="000E486C">
        <w:rPr>
          <w:lang w:val="en-US"/>
        </w:rPr>
        <w:t xml:space="preserve">as well as </w:t>
      </w:r>
      <w:r>
        <w:rPr>
          <w:lang w:val="en-US"/>
        </w:rPr>
        <w:t xml:space="preserve">the potential effectiveness and associated costs of the options </w:t>
      </w:r>
      <w:r w:rsidR="0004416D">
        <w:rPr>
          <w:lang w:val="en-US"/>
        </w:rPr>
        <w:t>considered</w:t>
      </w:r>
      <w:r>
        <w:rPr>
          <w:lang w:val="en-US"/>
        </w:rPr>
        <w:t xml:space="preserve">. </w:t>
      </w:r>
    </w:p>
    <w:p w14:paraId="30F44F24" w14:textId="77777777" w:rsidR="0001348D" w:rsidRPr="00233C02" w:rsidRDefault="0001348D" w:rsidP="0001348D">
      <w:pPr>
        <w:pStyle w:val="Heading2"/>
        <w:rPr>
          <w:bCs/>
          <w:lang w:bidi="fa-IR"/>
        </w:rPr>
      </w:pPr>
      <w:bookmarkStart w:id="14" w:name="_Toc70505080"/>
      <w:r w:rsidRPr="00233C02">
        <w:rPr>
          <w:bCs/>
          <w:lang w:bidi="fa-IR"/>
        </w:rPr>
        <w:t>Statement of the problem</w:t>
      </w:r>
      <w:bookmarkEnd w:id="14"/>
    </w:p>
    <w:p w14:paraId="278CE482" w14:textId="77777777" w:rsidR="0001348D" w:rsidRDefault="0001348D" w:rsidP="0001348D">
      <w:pPr>
        <w:pStyle w:val="BodyText"/>
      </w:pPr>
      <w:r>
        <w:t>Finding suitable accommodation is important to all Australians and is a prerequisite for a happy, stable and dignified life.</w:t>
      </w:r>
      <w:r>
        <w:rPr>
          <w:rStyle w:val="FootnoteReference"/>
        </w:rPr>
        <w:footnoteReference w:id="9"/>
      </w:r>
      <w:r>
        <w:t xml:space="preserve"> There is evidence that a significant number of people with disability and older people have trouble finding housing that meets their needs. As demonstrated by one submission:</w:t>
      </w:r>
    </w:p>
    <w:p w14:paraId="63270D31" w14:textId="77777777" w:rsidR="0001348D" w:rsidRPr="003A329C" w:rsidRDefault="0001348D" w:rsidP="003A329C">
      <w:pPr>
        <w:pStyle w:val="Quote"/>
        <w:spacing w:before="240" w:after="240"/>
        <w:rPr>
          <w:iCs/>
        </w:rPr>
      </w:pPr>
      <w:r w:rsidRPr="003A329C">
        <w:rPr>
          <w:rFonts w:ascii="Calisto MT" w:hAnsi="Calisto MT"/>
          <w:i/>
          <w:color w:val="6F6652" w:themeColor="text2"/>
          <w:kern w:val="28"/>
          <w:sz w:val="21"/>
          <w:szCs w:val="22"/>
        </w:rPr>
        <w:t>“In several weeks of searching [for a rental property] … not one of the properties we saw was suitable for someone with a power chair and no walking ability at all</w:t>
      </w:r>
      <w:r w:rsidR="00B671B0" w:rsidRPr="003A329C">
        <w:rPr>
          <w:rFonts w:ascii="Calisto MT" w:hAnsi="Calisto MT"/>
          <w:i/>
          <w:color w:val="6F6652" w:themeColor="text2"/>
          <w:kern w:val="28"/>
          <w:sz w:val="21"/>
          <w:szCs w:val="22"/>
        </w:rPr>
        <w:t xml:space="preserve"> </w:t>
      </w:r>
      <w:r w:rsidRPr="003A329C">
        <w:rPr>
          <w:rFonts w:ascii="Calisto MT" w:hAnsi="Calisto MT"/>
          <w:i/>
          <w:color w:val="6F6652" w:themeColor="text2"/>
          <w:kern w:val="28"/>
          <w:sz w:val="21"/>
          <w:szCs w:val="22"/>
        </w:rPr>
        <w:t>…”</w:t>
      </w:r>
      <w:r w:rsidR="003A329C">
        <w:rPr>
          <w:rStyle w:val="FootnoteReference"/>
          <w:i/>
          <w:kern w:val="28"/>
        </w:rPr>
        <w:footnoteReference w:id="10"/>
      </w:r>
    </w:p>
    <w:p w14:paraId="6C31F2F4" w14:textId="77777777" w:rsidR="0001348D" w:rsidRDefault="0001348D" w:rsidP="0001348D">
      <w:pPr>
        <w:pStyle w:val="BodyText"/>
      </w:pPr>
      <w:r>
        <w:t xml:space="preserve">There are a number of factors that lead to a lack of accessible housing. Australia’s housing market does not encourage people to consider incorporating accessibility features unless there is an immediate need for an individual or a family. People with disability often live in low income households meaning they are more likely to rent or may not be able to afford to modify their homes. The nature of the new housing market can make </w:t>
      </w:r>
      <w:r>
        <w:rPr>
          <w:lang w:eastAsia="en-US"/>
        </w:rPr>
        <w:t xml:space="preserve">it difficult for some homebuyers to deviate from standard designs to incorporate accessibility features. </w:t>
      </w:r>
      <w:r>
        <w:t xml:space="preserve">Landlords are reluctant to allow modifications for private renters, so that home modification is often not an option for renters with accessibility needs. </w:t>
      </w:r>
    </w:p>
    <w:p w14:paraId="534278E5" w14:textId="77777777" w:rsidR="0001348D" w:rsidRDefault="0001348D" w:rsidP="0001348D">
      <w:pPr>
        <w:pStyle w:val="BodyText"/>
      </w:pPr>
      <w:r>
        <w:lastRenderedPageBreak/>
        <w:t>These factors result in homes that are not suitable for many in our community, particularly those with mobility impairment who require features such as step free entrances, wider doors and corridors and increased circulation space in sanitary facilities, kitchen, laundry, location specific requirements for bedroom spaces, and window and door hardware.</w:t>
      </w:r>
    </w:p>
    <w:p w14:paraId="3824C594" w14:textId="77777777" w:rsidR="0001348D" w:rsidRDefault="0001348D" w:rsidP="0001348D">
      <w:pPr>
        <w:pStyle w:val="BodyText"/>
      </w:pPr>
      <w:r>
        <w:t>A lack of accessible housing can impose various costs:</w:t>
      </w:r>
    </w:p>
    <w:p w14:paraId="75BC972E" w14:textId="77777777" w:rsidR="0001348D" w:rsidRDefault="0001348D" w:rsidP="0001348D">
      <w:pPr>
        <w:pStyle w:val="ListBullet"/>
        <w:numPr>
          <w:ilvl w:val="0"/>
          <w:numId w:val="42"/>
        </w:numPr>
        <w:rPr>
          <w:lang w:eastAsia="en-US" w:bidi="fa-IR"/>
        </w:rPr>
      </w:pPr>
      <w:r>
        <w:rPr>
          <w:lang w:eastAsia="en-US" w:bidi="fa-IR"/>
        </w:rPr>
        <w:t xml:space="preserve">Where people with disability and older people live in homes that do not meet their needs, costs related to safety from a higher risk of falls, additional care needs and reduced quality of life (including </w:t>
      </w:r>
      <w:r w:rsidR="006815A7">
        <w:rPr>
          <w:lang w:eastAsia="en-US" w:bidi="fa-IR"/>
        </w:rPr>
        <w:t xml:space="preserve">less </w:t>
      </w:r>
      <w:r>
        <w:rPr>
          <w:lang w:eastAsia="en-US" w:bidi="fa-IR"/>
        </w:rPr>
        <w:t xml:space="preserve">independence, mental health </w:t>
      </w:r>
      <w:r w:rsidR="006815A7">
        <w:rPr>
          <w:lang w:eastAsia="en-US" w:bidi="fa-IR"/>
        </w:rPr>
        <w:t>impacts and limits on</w:t>
      </w:r>
      <w:r>
        <w:rPr>
          <w:lang w:eastAsia="en-US" w:bidi="fa-IR"/>
        </w:rPr>
        <w:t xml:space="preserve"> social participation).</w:t>
      </w:r>
    </w:p>
    <w:p w14:paraId="5F00A670" w14:textId="77777777" w:rsidR="0001348D" w:rsidRDefault="0001348D" w:rsidP="0001348D">
      <w:pPr>
        <w:pStyle w:val="ListBullet"/>
        <w:numPr>
          <w:ilvl w:val="0"/>
          <w:numId w:val="42"/>
        </w:numPr>
        <w:rPr>
          <w:lang w:eastAsia="en-US" w:bidi="fa-IR"/>
        </w:rPr>
      </w:pPr>
      <w:r>
        <w:rPr>
          <w:lang w:eastAsia="en-US" w:bidi="fa-IR"/>
        </w:rPr>
        <w:t>Other costs could include unnecessarily high costs of home modification, extended hospital and transition care stays, avoidable relocation costs, inability to visit family and friends, early entry to residential aged care and inconvenience for families with young children or those with short</w:t>
      </w:r>
      <w:r>
        <w:rPr>
          <w:lang w:eastAsia="en-US" w:bidi="fa-IR"/>
        </w:rPr>
        <w:noBreakHyphen/>
        <w:t>term injuries.</w:t>
      </w:r>
    </w:p>
    <w:p w14:paraId="36FDF1BA" w14:textId="77777777" w:rsidR="0001348D" w:rsidRDefault="006815A7" w:rsidP="0001348D">
      <w:pPr>
        <w:pStyle w:val="BodyText"/>
      </w:pPr>
      <w:r>
        <w:t>T</w:t>
      </w:r>
      <w:r w:rsidR="0001348D">
        <w:t xml:space="preserve">o measure the costs and benefits of the options to ensure housing is designed to be accessible, it is important to understand the number of people impacted and the level of that impact. </w:t>
      </w:r>
    </w:p>
    <w:p w14:paraId="472F3AA5" w14:textId="77777777" w:rsidR="0001348D" w:rsidRDefault="0001348D" w:rsidP="0001348D">
      <w:pPr>
        <w:pStyle w:val="BodyText"/>
      </w:pPr>
      <w:r>
        <w:t>The lack of accessible housing mainly impacts people with disability and older people</w:t>
      </w:r>
      <w:r w:rsidR="00857FF8">
        <w:t xml:space="preserve"> and their carers</w:t>
      </w:r>
      <w:r>
        <w:t>. Accessible design features may also benefit for example, people dealing with temporary injuries and families with young dependants, although the benefits to those households are likely to be smaller.</w:t>
      </w:r>
      <w:r w:rsidR="00857FF8">
        <w:t xml:space="preserve"> </w:t>
      </w:r>
      <w:r w:rsidR="001E6DBE">
        <w:t>The desire to age in place i</w:t>
      </w:r>
      <w:r w:rsidR="00857FF8">
        <w:t>s also acknowledged and people may develop a disability in the course of their life even if the features are not specifically needed now.</w:t>
      </w:r>
    </w:p>
    <w:p w14:paraId="79E9B01E" w14:textId="77777777" w:rsidR="0001348D" w:rsidRDefault="0001348D" w:rsidP="0001348D">
      <w:pPr>
        <w:pStyle w:val="BodyText"/>
      </w:pPr>
      <w:r>
        <w:t xml:space="preserve">This is a complex issue of which some aspects </w:t>
      </w:r>
      <w:r w:rsidR="00661D90">
        <w:t>are</w:t>
      </w:r>
      <w:r>
        <w:t xml:space="preserve"> not extensively studied </w:t>
      </w:r>
      <w:r w:rsidR="00661D90">
        <w:t>by</w:t>
      </w:r>
      <w:r>
        <w:t xml:space="preserve"> the literature. A scarcity of quantitative information and other gaps in information on the impact of inaccessible housing has presented some challenges and limitations to the analysis. In preparing this RIS information has been drawn from a range of sources, including</w:t>
      </w:r>
      <w:r w:rsidR="00F36786">
        <w:t xml:space="preserve"> available literature,</w:t>
      </w:r>
      <w:r>
        <w:t xml:space="preserve"> data collected for other purposes, older data where still relevant, and information provided by stakeholders, such as lived experiences. </w:t>
      </w:r>
    </w:p>
    <w:p w14:paraId="1516697C" w14:textId="77777777" w:rsidR="0001348D" w:rsidRDefault="0001348D" w:rsidP="0001348D">
      <w:pPr>
        <w:pStyle w:val="BodyText"/>
      </w:pPr>
      <w:r>
        <w:t>While it is difficult to precisely determine the number of people impacted by a lack of accessible housing (noting people with mobility limitation or self-care limitation may already live in housing that meets their needs), by drawing on the available data and input from targeted consultations and public submissions, the estimates in table 1 have been developed. It should be noted that people affected by multiple problems are listed in the numbers more than once and therefore the numbers cannot be added together to represent total populations affected.</w:t>
      </w:r>
    </w:p>
    <w:p w14:paraId="17D973D2" w14:textId="7228ABE5" w:rsidR="0001348D" w:rsidRDefault="00076C9B" w:rsidP="0001348D">
      <w:pPr>
        <w:pStyle w:val="Caption"/>
      </w:pPr>
      <w:bookmarkStart w:id="15" w:name="_Toc70505488"/>
      <w:r>
        <w:t>1</w:t>
      </w:r>
      <w:r w:rsidR="0001348D">
        <w:tab/>
        <w:t>Estimated number of people affected by a lack of accessible housing per year</w:t>
      </w:r>
      <w:bookmarkEnd w:id="15"/>
    </w:p>
    <w:tbl>
      <w:tblPr>
        <w:tblW w:w="0" w:type="auto"/>
        <w:tblLayout w:type="fixed"/>
        <w:tblLook w:val="04A0" w:firstRow="1" w:lastRow="0" w:firstColumn="1" w:lastColumn="0" w:noHBand="0" w:noVBand="1"/>
        <w:tblCaption w:val="Table 1: Estimated number of people affected by a lack of accessible housing per year"/>
        <w:tblDescription w:val="Table 1 seeks to demonstrate the size of the inaccessible housing problem. It shows the number of people per year that are impacted by different types of costs associated with inaccessible housing. This information is a key part of calculating the estimated cost of not providing accessible housing to people with disability and older people."/>
      </w:tblPr>
      <w:tblGrid>
        <w:gridCol w:w="3968"/>
        <w:gridCol w:w="3969"/>
      </w:tblGrid>
      <w:tr w:rsidR="0001348D" w14:paraId="4D796040" w14:textId="77777777" w:rsidTr="0001348D">
        <w:trPr>
          <w:tblHeader/>
        </w:trPr>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C3CF47E" w14:textId="77777777" w:rsidR="0001348D" w:rsidRDefault="0001348D">
            <w:pPr>
              <w:pStyle w:val="TableTextColumnHeading"/>
            </w:pPr>
            <w:r>
              <w:t>Problem</w:t>
            </w:r>
          </w:p>
        </w:tc>
        <w:tc>
          <w:tcPr>
            <w:tcW w:w="396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97C37E7" w14:textId="77777777" w:rsidR="0001348D" w:rsidRDefault="0001348D">
            <w:pPr>
              <w:pStyle w:val="TableTextColumnHeading"/>
            </w:pPr>
            <w:r>
              <w:t>Estimated number of people affected per year</w:t>
            </w:r>
          </w:p>
        </w:tc>
      </w:tr>
      <w:tr w:rsidR="0001348D" w14:paraId="3A78A74E"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6E4E18" w14:textId="77777777" w:rsidR="0001348D" w:rsidRDefault="0001348D">
            <w:pPr>
              <w:pStyle w:val="TableTextEntries"/>
            </w:pPr>
            <w:r>
              <w:t>Safety-risks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B6B633" w14:textId="77777777" w:rsidR="0001348D" w:rsidRDefault="0001348D">
            <w:pPr>
              <w:pStyle w:val="TableTextEntries"/>
            </w:pPr>
            <w:r>
              <w:t>325 100</w:t>
            </w:r>
          </w:p>
        </w:tc>
      </w:tr>
      <w:tr w:rsidR="0001348D" w14:paraId="5FB1770A"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1B740F0" w14:textId="77777777" w:rsidR="0001348D" w:rsidRDefault="0001348D">
            <w:pPr>
              <w:pStyle w:val="TableTextEntries"/>
            </w:pPr>
            <w:r>
              <w:t>Additional care needs</w:t>
            </w:r>
            <w:r>
              <w:rPr>
                <w:rStyle w:val="NoteLabel"/>
              </w:rPr>
              <w:t xml:space="preserve"> </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E431CB7" w14:textId="77777777" w:rsidR="0001348D" w:rsidRDefault="0001348D">
            <w:pPr>
              <w:pStyle w:val="TableTextEntries"/>
            </w:pPr>
            <w:r>
              <w:t>453 400</w:t>
            </w:r>
            <w:r>
              <w:rPr>
                <w:rStyle w:val="NoteLabel"/>
              </w:rPr>
              <w:t xml:space="preserve"> </w:t>
            </w:r>
          </w:p>
        </w:tc>
      </w:tr>
      <w:tr w:rsidR="0001348D" w14:paraId="375243FA"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6309D50" w14:textId="77777777" w:rsidR="0001348D" w:rsidRDefault="0001348D">
            <w:pPr>
              <w:pStyle w:val="TableTextEntries"/>
            </w:pPr>
            <w:r>
              <w:t>Quality of life</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0FE85F" w14:textId="77777777" w:rsidR="0001348D" w:rsidRDefault="0001348D">
            <w:pPr>
              <w:pStyle w:val="TableTextEntries"/>
            </w:pPr>
            <w:r>
              <w:t>554 400</w:t>
            </w:r>
          </w:p>
        </w:tc>
      </w:tr>
      <w:tr w:rsidR="0001348D" w14:paraId="3B319448"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06A1E4" w14:textId="77777777" w:rsidR="0001348D" w:rsidRDefault="0001348D">
            <w:pPr>
              <w:pStyle w:val="TableTextEntries"/>
            </w:pPr>
            <w:r>
              <w:lastRenderedPageBreak/>
              <w:t>Additional time in hospital/transition care</w:t>
            </w:r>
            <w:r>
              <w:rPr>
                <w:rStyle w:val="NoteLabel"/>
              </w:rPr>
              <w:t xml:space="preserve"> </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B7D9108" w14:textId="77777777" w:rsidR="0001348D" w:rsidRDefault="0001348D">
            <w:pPr>
              <w:pStyle w:val="TableTextEntries"/>
            </w:pPr>
            <w:r>
              <w:t>159 900</w:t>
            </w:r>
          </w:p>
        </w:tc>
      </w:tr>
      <w:tr w:rsidR="0001348D" w14:paraId="72A36F05"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81266B8" w14:textId="77777777" w:rsidR="0001348D" w:rsidRDefault="0001348D">
            <w:pPr>
              <w:pStyle w:val="TableTextEntries"/>
            </w:pPr>
            <w:r>
              <w:t>Home modifications per annum</w:t>
            </w:r>
            <w:r>
              <w:rPr>
                <w:rStyle w:val="NoteLabel"/>
              </w:rPr>
              <w:t xml:space="preserve"> a</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4FB9581" w14:textId="77777777" w:rsidR="0001348D" w:rsidRDefault="0001348D">
            <w:pPr>
              <w:pStyle w:val="TableTextEntries"/>
            </w:pPr>
            <w:r>
              <w:t>21 790</w:t>
            </w:r>
          </w:p>
        </w:tc>
      </w:tr>
      <w:tr w:rsidR="0001348D" w14:paraId="1BE2A8A3"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E70815" w14:textId="77777777" w:rsidR="0001348D" w:rsidRDefault="0001348D">
            <w:pPr>
              <w:pStyle w:val="TableTextEntries"/>
            </w:pPr>
            <w:r>
              <w:t>Additional home moves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42DCB71" w14:textId="77777777" w:rsidR="0001348D" w:rsidRDefault="0001348D">
            <w:pPr>
              <w:pStyle w:val="TableTextEntries"/>
            </w:pPr>
            <w:r>
              <w:t xml:space="preserve">Range of 6 400 – 17 300 </w:t>
            </w:r>
          </w:p>
        </w:tc>
      </w:tr>
      <w:tr w:rsidR="0001348D" w14:paraId="5AAC51FC"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6C4610" w14:textId="77777777" w:rsidR="0001348D" w:rsidRDefault="0001348D">
            <w:pPr>
              <w:pStyle w:val="TableTextEntries"/>
            </w:pPr>
            <w:r>
              <w:t xml:space="preserve">Premature/inappropriate entry into </w:t>
            </w:r>
            <w:r w:rsidR="00186F96">
              <w:t xml:space="preserve">residential </w:t>
            </w:r>
            <w:r>
              <w:t>aged care</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1C8AD48" w14:textId="77777777" w:rsidR="0001348D" w:rsidRDefault="0001348D">
            <w:pPr>
              <w:pStyle w:val="TableTextEntries"/>
            </w:pPr>
            <w:r>
              <w:t xml:space="preserve">Range of 2 767 – 6 199 </w:t>
            </w:r>
          </w:p>
        </w:tc>
      </w:tr>
      <w:tr w:rsidR="0001348D" w14:paraId="72441031" w14:textId="77777777" w:rsidTr="0001348D">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D21E8B" w14:textId="77777777" w:rsidR="0001348D" w:rsidRDefault="0001348D">
            <w:pPr>
              <w:pStyle w:val="TableTextEntries"/>
            </w:pPr>
            <w:r>
              <w:t>Inability to visit family and friends (visitability)</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AEA86D9" w14:textId="77777777" w:rsidR="0001348D" w:rsidRDefault="0001348D">
            <w:pPr>
              <w:pStyle w:val="TableTextEntries"/>
            </w:pPr>
            <w:r>
              <w:t>85 800</w:t>
            </w:r>
          </w:p>
        </w:tc>
      </w:tr>
      <w:tr w:rsidR="0001348D" w14:paraId="5831745C" w14:textId="77777777" w:rsidTr="00233C02">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82E0E14" w14:textId="77777777" w:rsidR="0001348D" w:rsidRDefault="0001348D">
            <w:pPr>
              <w:pStyle w:val="TableTextEntries"/>
            </w:pPr>
            <w:r>
              <w:t>Families with young dependants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DEECDB" w14:textId="77777777" w:rsidR="0001348D" w:rsidRDefault="0001348D">
            <w:pPr>
              <w:pStyle w:val="TableTextEntries"/>
            </w:pPr>
            <w:r>
              <w:t xml:space="preserve">Up to 16 000 </w:t>
            </w:r>
          </w:p>
        </w:tc>
      </w:tr>
      <w:tr w:rsidR="0001348D" w14:paraId="639023D2" w14:textId="77777777" w:rsidTr="00233C02">
        <w:tc>
          <w:tcPr>
            <w:tcW w:w="3968" w:type="dxa"/>
            <w:tcBorders>
              <w:top w:val="single" w:sz="8" w:space="0" w:color="FFFFFF" w:themeColor="background1"/>
              <w:left w:val="nil"/>
              <w:bottom w:val="single" w:sz="4" w:space="0" w:color="6F6652" w:themeColor="accent5"/>
              <w:right w:val="nil"/>
            </w:tcBorders>
            <w:shd w:val="clear" w:color="auto" w:fill="E9E8E5" w:themeFill="background2"/>
            <w:tcMar>
              <w:top w:w="0" w:type="dxa"/>
              <w:left w:w="57" w:type="dxa"/>
              <w:bottom w:w="0" w:type="dxa"/>
              <w:right w:w="57" w:type="dxa"/>
            </w:tcMar>
            <w:hideMark/>
          </w:tcPr>
          <w:p w14:paraId="7C49CF5A" w14:textId="77777777" w:rsidR="0001348D" w:rsidRDefault="0001348D">
            <w:pPr>
              <w:pStyle w:val="TableTextEntries"/>
            </w:pPr>
            <w:r>
              <w:t>Short-term injuries</w:t>
            </w:r>
          </w:p>
        </w:tc>
        <w:tc>
          <w:tcPr>
            <w:tcW w:w="3969" w:type="dxa"/>
            <w:tcBorders>
              <w:top w:val="single" w:sz="8" w:space="0" w:color="FFFFFF" w:themeColor="background1"/>
              <w:left w:val="nil"/>
              <w:bottom w:val="single" w:sz="4" w:space="0" w:color="6F6652" w:themeColor="accent5"/>
              <w:right w:val="nil"/>
            </w:tcBorders>
            <w:shd w:val="clear" w:color="auto" w:fill="E9E8E5" w:themeFill="background2"/>
            <w:tcMar>
              <w:top w:w="0" w:type="dxa"/>
              <w:left w:w="57" w:type="dxa"/>
              <w:bottom w:w="0" w:type="dxa"/>
              <w:right w:w="57" w:type="dxa"/>
            </w:tcMar>
            <w:hideMark/>
          </w:tcPr>
          <w:p w14:paraId="36A4990C" w14:textId="77777777" w:rsidR="0001348D" w:rsidRDefault="0001348D">
            <w:pPr>
              <w:pStyle w:val="TableTextEntries"/>
            </w:pPr>
            <w:r>
              <w:t>17 551</w:t>
            </w:r>
          </w:p>
        </w:tc>
      </w:tr>
    </w:tbl>
    <w:p w14:paraId="2BBB0D8D" w14:textId="77777777" w:rsidR="0001348D" w:rsidRDefault="0001348D" w:rsidP="0001348D">
      <w:pPr>
        <w:pStyle w:val="Note"/>
      </w:pPr>
      <w:r>
        <w:rPr>
          <w:rStyle w:val="NoteLabel"/>
        </w:rPr>
        <w:t>a</w:t>
      </w:r>
      <w:r>
        <w:t xml:space="preserve"> Assumes 1 person per relevant modification per year </w:t>
      </w:r>
      <w:r>
        <w:br/>
      </w:r>
      <w:r w:rsidRPr="00DA6093">
        <w:t>Note:</w:t>
      </w:r>
      <w:r>
        <w:t xml:space="preserve"> the number of people affected is not additive across each type of </w:t>
      </w:r>
      <w:r w:rsidR="00DF7970">
        <w:t>problem.</w:t>
      </w:r>
    </w:p>
    <w:p w14:paraId="4203A108" w14:textId="77777777" w:rsidR="0001348D" w:rsidRPr="00DA6093" w:rsidRDefault="0001348D" w:rsidP="0001348D">
      <w:pPr>
        <w:pStyle w:val="Note"/>
      </w:pPr>
      <w:r w:rsidRPr="00DA6093">
        <w:t>Source: CIE – population is estimated on the basis of analysis in appendices B-J.</w:t>
      </w:r>
    </w:p>
    <w:p w14:paraId="20457C56" w14:textId="77777777" w:rsidR="0001348D" w:rsidRDefault="0001348D" w:rsidP="0001348D">
      <w:pPr>
        <w:pStyle w:val="BodyText"/>
      </w:pPr>
      <w:r>
        <w:t xml:space="preserve">Table 1 shows the </w:t>
      </w:r>
      <w:r w:rsidR="00A978BE">
        <w:t xml:space="preserve">approximate </w:t>
      </w:r>
      <w:r>
        <w:t xml:space="preserve">number of people per year impacted by different types of problems associated with a lack of accessible housing, based on </w:t>
      </w:r>
      <w:r w:rsidR="00A978BE">
        <w:t>analysis in appendix B-J</w:t>
      </w:r>
      <w:r>
        <w:t>. This information is a key part of calculating the estimated cost of not providing accessible housing to people with disability and older people. The number of people impacted will increase over time.</w:t>
      </w:r>
    </w:p>
    <w:p w14:paraId="24BFAD36" w14:textId="77777777" w:rsidR="0001348D" w:rsidRDefault="0001348D" w:rsidP="0001348D">
      <w:pPr>
        <w:pStyle w:val="ListBullet"/>
      </w:pPr>
      <w:r>
        <w:t>The number of people with mobility limitation is projected to increase by around 52 per cent (an average annual growth rate of around 1.9 per cent)</w:t>
      </w:r>
      <w:r w:rsidR="00A978BE">
        <w:t xml:space="preserve"> over the period 2018 to 2040</w:t>
      </w:r>
      <w:r>
        <w:t>.</w:t>
      </w:r>
    </w:p>
    <w:p w14:paraId="6864AC68" w14:textId="77777777" w:rsidR="0001348D" w:rsidRDefault="0001348D" w:rsidP="0001348D">
      <w:pPr>
        <w:pStyle w:val="ListBullet"/>
      </w:pPr>
      <w:r>
        <w:t xml:space="preserve">To a significant extent, this is driven by growth in the number of people over the age of 65. </w:t>
      </w:r>
      <w:r>
        <w:rPr>
          <w:lang w:bidi="fa-IR"/>
        </w:rPr>
        <w:t xml:space="preserve">The </w:t>
      </w:r>
      <w:r>
        <w:t>number of people over the age of 65 with mobility limitation is projected to increase by around 76 per cent (an average annual growth rate of around 2.6 per cent)</w:t>
      </w:r>
      <w:r w:rsidR="00A978BE">
        <w:t xml:space="preserve"> over the period 2018 to 2040</w:t>
      </w:r>
      <w:r>
        <w:t>.</w:t>
      </w:r>
    </w:p>
    <w:p w14:paraId="79371008" w14:textId="77777777" w:rsidR="0001348D" w:rsidRDefault="0001348D" w:rsidP="0001348D">
      <w:pPr>
        <w:pStyle w:val="ListBullet"/>
      </w:pPr>
      <w:r>
        <w:t>The number of wheelchair users is projected to increase by around 79 per cent (an average annual growth rate of 2.7 per cent per year)</w:t>
      </w:r>
      <w:r w:rsidR="00A978BE">
        <w:t xml:space="preserve"> over the period 2018 to 2040</w:t>
      </w:r>
      <w:r>
        <w:t>.</w:t>
      </w:r>
    </w:p>
    <w:p w14:paraId="506F0595" w14:textId="77777777" w:rsidR="0001348D" w:rsidRDefault="0001348D" w:rsidP="0001348D">
      <w:pPr>
        <w:pStyle w:val="BodyText"/>
      </w:pPr>
      <w:r>
        <w:rPr>
          <w:lang w:bidi="fa-IR"/>
        </w:rPr>
        <w:t>The cost to the community of a lack of accessible housing is estimated to</w:t>
      </w:r>
      <w:r>
        <w:t xml:space="preserve"> be between $3.0 billion and $6.7 billion per annum, as shown in table </w:t>
      </w:r>
      <w:r>
        <w:rPr>
          <w:lang w:eastAsia="en-US"/>
        </w:rPr>
        <w:t>2</w:t>
      </w:r>
      <w:r>
        <w:t xml:space="preserve">. This is based on </w:t>
      </w:r>
      <w:r>
        <w:rPr>
          <w:lang w:bidi="fa-IR"/>
        </w:rPr>
        <w:t xml:space="preserve">the data in table 1, and feedback from public consultation. </w:t>
      </w:r>
      <w:r>
        <w:t>It is estimated that these costs could increase to between $4.6 billion and $10.2 billion per annum by 2040 due to population growth and an ageing population.</w:t>
      </w:r>
    </w:p>
    <w:p w14:paraId="4E35F693" w14:textId="3B356A68" w:rsidR="0001348D" w:rsidRDefault="00076C9B" w:rsidP="0001348D">
      <w:pPr>
        <w:pStyle w:val="Caption"/>
      </w:pPr>
      <w:bookmarkStart w:id="16" w:name="_Toc70505489"/>
      <w:r>
        <w:t>2</w:t>
      </w:r>
      <w:r w:rsidR="0001348D">
        <w:tab/>
        <w:t>Estimated size of the problem — quantifiable costs</w:t>
      </w:r>
      <w:bookmarkEnd w:id="16"/>
    </w:p>
    <w:tbl>
      <w:tblPr>
        <w:tblW w:w="7935" w:type="dxa"/>
        <w:tblLayout w:type="fixed"/>
        <w:tblLook w:val="04A0" w:firstRow="1" w:lastRow="0" w:firstColumn="1" w:lastColumn="0" w:noHBand="0" w:noVBand="1"/>
        <w:tblCaption w:val="Table 2: Estimated size of the problem — quantifiable costs"/>
        <w:tblDescription w:val="Table 2 details the size of the inaccessible housing problem in dollar terms. It shows the cost of each type of problem in million-dollar amounts. This figure is based on the number of people identified in table 1, multiplied by the estimated dollar cost of each problem as determined in Chapter X of the RIS. Due to the imperfect nature of the data relied on in the RIS, a cost range is provided, rather than a single figure. The central case provides a mid-way number as a useful single-number reference. This information is a key part of calculating the benefit cost analysis undertaken in the RIS. "/>
      </w:tblPr>
      <w:tblGrid>
        <w:gridCol w:w="3674"/>
        <w:gridCol w:w="1421"/>
        <w:gridCol w:w="1420"/>
        <w:gridCol w:w="1420"/>
      </w:tblGrid>
      <w:tr w:rsidR="0001348D" w:rsidRPr="00233C02" w14:paraId="0469DB15" w14:textId="77777777" w:rsidTr="0001348D">
        <w:trPr>
          <w:trHeight w:val="490"/>
          <w:tblHeader/>
        </w:trPr>
        <w:tc>
          <w:tcPr>
            <w:tcW w:w="3674" w:type="dxa"/>
            <w:tcBorders>
              <w:top w:val="nil"/>
              <w:left w:val="nil"/>
              <w:bottom w:val="single" w:sz="8" w:space="0" w:color="FFFFFF" w:themeColor="background1"/>
              <w:right w:val="nil"/>
            </w:tcBorders>
            <w:shd w:val="clear" w:color="auto" w:fill="6F6652"/>
            <w:tcMar>
              <w:top w:w="0" w:type="dxa"/>
              <w:left w:w="57" w:type="dxa"/>
              <w:bottom w:w="0" w:type="dxa"/>
              <w:right w:w="57" w:type="dxa"/>
            </w:tcMar>
          </w:tcPr>
          <w:p w14:paraId="07415041" w14:textId="77777777" w:rsidR="0001348D" w:rsidRPr="00233C02" w:rsidRDefault="00FE38C3">
            <w:pPr>
              <w:pStyle w:val="TableDataColumnHeading"/>
              <w:jc w:val="left"/>
            </w:pPr>
            <w:r>
              <w:t>Assessed problem</w:t>
            </w:r>
          </w:p>
        </w:tc>
        <w:tc>
          <w:tcPr>
            <w:tcW w:w="142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FB081D6" w14:textId="77777777" w:rsidR="0001348D" w:rsidRPr="00233C02" w:rsidRDefault="0001348D">
            <w:pPr>
              <w:pStyle w:val="TableDataColumnHeading"/>
            </w:pPr>
            <w:r w:rsidRPr="00233C02">
              <w:t xml:space="preserve">Low estimate </w:t>
            </w:r>
            <w:r w:rsidR="004C1978">
              <w:br/>
            </w:r>
            <w:r w:rsidRPr="00233C02">
              <w:t>($ million</w:t>
            </w:r>
            <w:r w:rsidR="004C1978">
              <w:t>)</w:t>
            </w:r>
          </w:p>
        </w:tc>
        <w:tc>
          <w:tcPr>
            <w:tcW w:w="142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171DFBB" w14:textId="77777777" w:rsidR="0001348D" w:rsidRPr="00233C02" w:rsidRDefault="0001348D">
            <w:pPr>
              <w:pStyle w:val="TableDataColumnHeading"/>
            </w:pPr>
            <w:r w:rsidRPr="00233C02">
              <w:t xml:space="preserve">Central case </w:t>
            </w:r>
            <w:r w:rsidR="004C1978">
              <w:br/>
            </w:r>
            <w:r w:rsidRPr="00233C02">
              <w:t>($ million)</w:t>
            </w:r>
          </w:p>
        </w:tc>
        <w:tc>
          <w:tcPr>
            <w:tcW w:w="1421"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8A105D6" w14:textId="77777777" w:rsidR="0001348D" w:rsidRPr="00233C02" w:rsidRDefault="0001348D">
            <w:pPr>
              <w:pStyle w:val="TableDataColumnHeading"/>
            </w:pPr>
            <w:r w:rsidRPr="00233C02">
              <w:t xml:space="preserve">High estimate </w:t>
            </w:r>
            <w:r w:rsidR="004C1978">
              <w:br/>
            </w:r>
            <w:r w:rsidRPr="00233C02">
              <w:t>($ million)</w:t>
            </w:r>
          </w:p>
        </w:tc>
      </w:tr>
      <w:tr w:rsidR="0001348D" w14:paraId="369755DE"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065D2A" w14:textId="77777777" w:rsidR="0001348D" w:rsidRDefault="0001348D">
            <w:pPr>
              <w:pStyle w:val="TableDataEntries"/>
              <w:jc w:val="left"/>
            </w:pPr>
            <w:r>
              <w:t>Safety-risks</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B30F85D" w14:textId="77777777" w:rsidR="0001348D" w:rsidRDefault="0001348D">
            <w:pPr>
              <w:pStyle w:val="TableDataEntries"/>
            </w:pPr>
            <w:r>
              <w:t xml:space="preserve"> 0.00</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0B4D50A" w14:textId="77777777" w:rsidR="0001348D" w:rsidRDefault="0001348D">
            <w:pPr>
              <w:pStyle w:val="TableDataEntries"/>
            </w:pPr>
            <w:r>
              <w:t xml:space="preserve"> 154.14</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45D9E87" w14:textId="77777777" w:rsidR="0001348D" w:rsidRDefault="0001348D">
            <w:pPr>
              <w:pStyle w:val="TableDataEntries"/>
            </w:pPr>
            <w:r>
              <w:t xml:space="preserve"> 570.30</w:t>
            </w:r>
          </w:p>
        </w:tc>
      </w:tr>
      <w:tr w:rsidR="0001348D" w14:paraId="581D9473"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6C601A9" w14:textId="77777777" w:rsidR="0001348D" w:rsidRDefault="0001348D">
            <w:pPr>
              <w:pStyle w:val="TableDataEntries"/>
              <w:jc w:val="left"/>
            </w:pPr>
            <w:r>
              <w:t>Additional care needs</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53A8C55" w14:textId="77777777" w:rsidR="0001348D" w:rsidRDefault="0001348D">
            <w:pPr>
              <w:pStyle w:val="TableDataEntries"/>
            </w:pPr>
            <w:r>
              <w:t xml:space="preserve"> 938.52</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2266DD9" w14:textId="77777777" w:rsidR="0001348D" w:rsidRDefault="0001348D">
            <w:pPr>
              <w:pStyle w:val="TableDataEntries"/>
            </w:pPr>
            <w:r>
              <w:t xml:space="preserve"> 938.52</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750F6EC" w14:textId="77777777" w:rsidR="0001348D" w:rsidRDefault="0001348D">
            <w:pPr>
              <w:pStyle w:val="TableDataEntries"/>
            </w:pPr>
            <w:r>
              <w:t xml:space="preserve"> 938.52</w:t>
            </w:r>
          </w:p>
        </w:tc>
      </w:tr>
      <w:tr w:rsidR="0001348D" w14:paraId="6CF5EECB"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D4DC05" w14:textId="77777777" w:rsidR="0001348D" w:rsidRDefault="0001348D">
            <w:pPr>
              <w:pStyle w:val="TableDataEntries"/>
              <w:jc w:val="left"/>
            </w:pPr>
            <w:r>
              <w:t>Quality of life</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E094FEE" w14:textId="77777777" w:rsidR="0001348D" w:rsidRDefault="0001348D">
            <w:pPr>
              <w:pStyle w:val="TableDataEntries"/>
            </w:pPr>
            <w:r>
              <w:t>1 063.89</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64C4C6F" w14:textId="77777777" w:rsidR="0001348D" w:rsidRDefault="0001348D">
            <w:pPr>
              <w:pStyle w:val="TableDataEntries"/>
            </w:pPr>
            <w:r>
              <w:t>1 913.23</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81D092D" w14:textId="77777777" w:rsidR="0001348D" w:rsidRDefault="0001348D">
            <w:pPr>
              <w:pStyle w:val="TableDataEntries"/>
            </w:pPr>
            <w:r>
              <w:t>3 770.10</w:t>
            </w:r>
          </w:p>
        </w:tc>
      </w:tr>
      <w:tr w:rsidR="0001348D" w14:paraId="4B34B5A8"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1D6CDB8" w14:textId="77777777" w:rsidR="0001348D" w:rsidRDefault="0001348D">
            <w:pPr>
              <w:pStyle w:val="TableDataEntries"/>
              <w:jc w:val="left"/>
            </w:pPr>
            <w:r>
              <w:t>Additional time in hospital/transition care</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89EDBF2" w14:textId="77777777" w:rsidR="0001348D" w:rsidRDefault="0001348D">
            <w:pPr>
              <w:pStyle w:val="TableDataEntries"/>
            </w:pPr>
            <w:r>
              <w:t xml:space="preserve"> 234.59</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1688D10" w14:textId="77777777" w:rsidR="0001348D" w:rsidRDefault="0001348D">
            <w:pPr>
              <w:pStyle w:val="TableDataEntries"/>
            </w:pPr>
            <w:r>
              <w:t xml:space="preserve"> 234.59</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2F8507D" w14:textId="77777777" w:rsidR="0001348D" w:rsidRDefault="0001348D">
            <w:pPr>
              <w:pStyle w:val="TableDataEntries"/>
            </w:pPr>
            <w:r>
              <w:t xml:space="preserve"> 234.59</w:t>
            </w:r>
          </w:p>
        </w:tc>
      </w:tr>
      <w:tr w:rsidR="0001348D" w14:paraId="276F2DEB"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29DD9A" w14:textId="77777777" w:rsidR="0001348D" w:rsidRDefault="0001348D">
            <w:pPr>
              <w:pStyle w:val="TableDataEntries"/>
              <w:jc w:val="left"/>
            </w:pPr>
            <w:r>
              <w:t>Home modifications per annum</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127222E" w14:textId="77777777" w:rsidR="0001348D" w:rsidRDefault="0001348D">
            <w:pPr>
              <w:pStyle w:val="TableDataEntries"/>
            </w:pPr>
            <w:r>
              <w:t xml:space="preserve"> 498.86</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5571241" w14:textId="77777777" w:rsidR="0001348D" w:rsidRDefault="0001348D">
            <w:pPr>
              <w:pStyle w:val="TableDataEntries"/>
            </w:pPr>
            <w:r>
              <w:t xml:space="preserve"> 498.86</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86435C2" w14:textId="77777777" w:rsidR="0001348D" w:rsidRDefault="0001348D">
            <w:pPr>
              <w:pStyle w:val="TableDataEntries"/>
            </w:pPr>
            <w:r>
              <w:t xml:space="preserve"> 498.86</w:t>
            </w:r>
          </w:p>
        </w:tc>
      </w:tr>
      <w:tr w:rsidR="0001348D" w14:paraId="1416E623"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F414D0F" w14:textId="77777777" w:rsidR="0001348D" w:rsidRDefault="0001348D">
            <w:pPr>
              <w:pStyle w:val="TableDataEntries"/>
              <w:jc w:val="left"/>
            </w:pPr>
            <w:r>
              <w:t>Additional home moves</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7363D99" w14:textId="77777777" w:rsidR="0001348D" w:rsidRDefault="0001348D">
            <w:pPr>
              <w:pStyle w:val="TableDataEntries"/>
            </w:pPr>
            <w:r>
              <w:t xml:space="preserve"> 81.51</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6E5E7E1" w14:textId="77777777" w:rsidR="0001348D" w:rsidRDefault="0001348D">
            <w:pPr>
              <w:pStyle w:val="TableDataEntries"/>
            </w:pPr>
            <w:r>
              <w:t xml:space="preserve"> 161.91</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CFD7FA7" w14:textId="77777777" w:rsidR="0001348D" w:rsidRDefault="0001348D">
            <w:pPr>
              <w:pStyle w:val="TableDataEntries"/>
            </w:pPr>
            <w:r>
              <w:t xml:space="preserve"> 242.31</w:t>
            </w:r>
          </w:p>
        </w:tc>
      </w:tr>
      <w:tr w:rsidR="0001348D" w14:paraId="65033908"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D879698" w14:textId="77777777" w:rsidR="0001348D" w:rsidRDefault="0001348D">
            <w:pPr>
              <w:pStyle w:val="TableDataEntries"/>
              <w:jc w:val="left"/>
            </w:pPr>
            <w:r>
              <w:t xml:space="preserve">Premature/inappropriate entry into </w:t>
            </w:r>
            <w:r w:rsidR="00A75D3B">
              <w:t xml:space="preserve">residential </w:t>
            </w:r>
            <w:r>
              <w:t>aged care</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5A922CD" w14:textId="77777777" w:rsidR="0001348D" w:rsidRDefault="0001348D">
            <w:pPr>
              <w:pStyle w:val="TableDataEntries"/>
            </w:pPr>
            <w:r>
              <w:t xml:space="preserve"> 119.56</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4A90DA8" w14:textId="77777777" w:rsidR="0001348D" w:rsidRDefault="0001348D">
            <w:pPr>
              <w:pStyle w:val="TableDataEntries"/>
            </w:pPr>
            <w:r>
              <w:t xml:space="preserve"> 184.81</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47DB130" w14:textId="77777777" w:rsidR="0001348D" w:rsidRDefault="0001348D">
            <w:pPr>
              <w:pStyle w:val="TableDataEntries"/>
            </w:pPr>
            <w:r>
              <w:t xml:space="preserve"> 267.86</w:t>
            </w:r>
          </w:p>
        </w:tc>
      </w:tr>
      <w:tr w:rsidR="0001348D" w14:paraId="6EF7D6BF"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7AFC365" w14:textId="77777777" w:rsidR="0001348D" w:rsidRDefault="0001348D">
            <w:pPr>
              <w:pStyle w:val="TableDataEntries"/>
              <w:jc w:val="left"/>
            </w:pPr>
            <w:r>
              <w:lastRenderedPageBreak/>
              <w:t>Inability to visit family and friends (visitability)</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CE7CB37" w14:textId="77777777" w:rsidR="0001348D" w:rsidRDefault="0001348D">
            <w:pPr>
              <w:pStyle w:val="TableDataEntries"/>
            </w:pPr>
            <w:r>
              <w:t xml:space="preserve"> 35.73</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36BC86F" w14:textId="77777777" w:rsidR="0001348D" w:rsidRDefault="0001348D">
            <w:pPr>
              <w:pStyle w:val="TableDataEntries"/>
            </w:pPr>
            <w:r>
              <w:t xml:space="preserve"> 80.93</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8F520CA" w14:textId="77777777" w:rsidR="0001348D" w:rsidRDefault="0001348D">
            <w:pPr>
              <w:pStyle w:val="TableDataEntries"/>
            </w:pPr>
            <w:r>
              <w:t xml:space="preserve"> 126.12</w:t>
            </w:r>
          </w:p>
        </w:tc>
      </w:tr>
      <w:tr w:rsidR="0001348D" w14:paraId="523F10F8"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F656D9" w14:textId="77777777" w:rsidR="0001348D" w:rsidRDefault="0001348D">
            <w:pPr>
              <w:pStyle w:val="TableDataEntries"/>
              <w:jc w:val="left"/>
            </w:pPr>
            <w:r>
              <w:t>Families with young dependants</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96E873D" w14:textId="77777777" w:rsidR="0001348D" w:rsidRDefault="0001348D">
            <w:pPr>
              <w:pStyle w:val="TableDataEntries"/>
            </w:pPr>
            <w:r>
              <w:t>0.00</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0472925" w14:textId="77777777" w:rsidR="0001348D" w:rsidRDefault="0001348D">
            <w:pPr>
              <w:pStyle w:val="TableDataEntries"/>
            </w:pPr>
            <w:r>
              <w:t>0.62</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5023F31" w14:textId="77777777" w:rsidR="0001348D" w:rsidRDefault="0001348D">
            <w:pPr>
              <w:pStyle w:val="TableDataEntries"/>
            </w:pPr>
            <w:r>
              <w:t>1.23</w:t>
            </w:r>
          </w:p>
        </w:tc>
      </w:tr>
      <w:tr w:rsidR="0001348D" w14:paraId="24D2924A" w14:textId="77777777" w:rsidTr="0001348D">
        <w:trPr>
          <w:trHeight w:val="245"/>
        </w:trPr>
        <w:tc>
          <w:tcPr>
            <w:tcW w:w="367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87ACF96" w14:textId="77777777" w:rsidR="0001348D" w:rsidRDefault="0001348D">
            <w:pPr>
              <w:pStyle w:val="TableDataEntries"/>
              <w:jc w:val="left"/>
            </w:pPr>
            <w:r>
              <w:t>Short-term injuries</w:t>
            </w:r>
          </w:p>
        </w:tc>
        <w:tc>
          <w:tcPr>
            <w:tcW w:w="142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A7A90FE" w14:textId="77777777" w:rsidR="0001348D" w:rsidRDefault="0001348D">
            <w:pPr>
              <w:pStyle w:val="TableDataEntries"/>
            </w:pPr>
            <w:r>
              <w:t xml:space="preserve"> 26.25</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B1968DE" w14:textId="77777777" w:rsidR="0001348D" w:rsidRDefault="0001348D">
            <w:pPr>
              <w:pStyle w:val="TableDataEntries"/>
            </w:pPr>
            <w:r>
              <w:t xml:space="preserve"> 28.09</w:t>
            </w:r>
          </w:p>
        </w:tc>
        <w:tc>
          <w:tcPr>
            <w:tcW w:w="1421"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8D8EB96" w14:textId="77777777" w:rsidR="0001348D" w:rsidRDefault="0001348D">
            <w:pPr>
              <w:pStyle w:val="TableDataEntries"/>
            </w:pPr>
            <w:r>
              <w:t xml:space="preserve"> 29.92</w:t>
            </w:r>
          </w:p>
        </w:tc>
      </w:tr>
      <w:tr w:rsidR="0001348D" w14:paraId="70BB24F4" w14:textId="77777777" w:rsidTr="0001348D">
        <w:trPr>
          <w:trHeight w:val="245"/>
        </w:trPr>
        <w:tc>
          <w:tcPr>
            <w:tcW w:w="367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3D42EE95" w14:textId="77777777" w:rsidR="0001348D" w:rsidRDefault="0001348D">
            <w:pPr>
              <w:pStyle w:val="TableDataEntries"/>
              <w:jc w:val="left"/>
              <w:rPr>
                <w:rFonts w:ascii="Franklin Gothic Demi" w:hAnsi="Franklin Gothic Demi"/>
              </w:rPr>
            </w:pPr>
            <w:r>
              <w:rPr>
                <w:rFonts w:ascii="Franklin Gothic Demi" w:hAnsi="Franklin Gothic Demi"/>
              </w:rPr>
              <w:t>Total</w:t>
            </w:r>
          </w:p>
        </w:tc>
        <w:tc>
          <w:tcPr>
            <w:tcW w:w="142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4BC7B1D4" w14:textId="77777777" w:rsidR="0001348D" w:rsidRDefault="0001348D">
            <w:pPr>
              <w:pStyle w:val="TableDataEntries"/>
              <w:rPr>
                <w:rFonts w:ascii="Franklin Gothic Demi" w:hAnsi="Franklin Gothic Demi"/>
              </w:rPr>
            </w:pPr>
            <w:r>
              <w:rPr>
                <w:rFonts w:ascii="Franklin Gothic Demi" w:hAnsi="Franklin Gothic Demi"/>
              </w:rPr>
              <w:t>2 998.92</w:t>
            </w:r>
          </w:p>
        </w:tc>
        <w:tc>
          <w:tcPr>
            <w:tcW w:w="1421"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46FDFAD7" w14:textId="77777777" w:rsidR="0001348D" w:rsidRDefault="0001348D">
            <w:pPr>
              <w:pStyle w:val="TableDataEntries"/>
              <w:rPr>
                <w:rFonts w:ascii="Franklin Gothic Demi" w:hAnsi="Franklin Gothic Demi"/>
              </w:rPr>
            </w:pPr>
            <w:r>
              <w:rPr>
                <w:rFonts w:ascii="Franklin Gothic Demi" w:hAnsi="Franklin Gothic Demi"/>
              </w:rPr>
              <w:t>4 195.69</w:t>
            </w:r>
          </w:p>
        </w:tc>
        <w:tc>
          <w:tcPr>
            <w:tcW w:w="1421"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188CE85E" w14:textId="77777777" w:rsidR="0001348D" w:rsidRDefault="0001348D">
            <w:pPr>
              <w:pStyle w:val="TableDataEntries"/>
              <w:rPr>
                <w:rFonts w:ascii="Franklin Gothic Demi" w:hAnsi="Franklin Gothic Demi"/>
              </w:rPr>
            </w:pPr>
            <w:r>
              <w:rPr>
                <w:rFonts w:ascii="Franklin Gothic Demi" w:hAnsi="Franklin Gothic Demi"/>
              </w:rPr>
              <w:t>6 679.81</w:t>
            </w:r>
          </w:p>
        </w:tc>
      </w:tr>
    </w:tbl>
    <w:p w14:paraId="5685976E" w14:textId="77777777" w:rsidR="0001348D" w:rsidRDefault="0001348D" w:rsidP="0001348D">
      <w:pPr>
        <w:pStyle w:val="Note"/>
      </w:pPr>
      <w:r w:rsidRPr="00DA6093">
        <w:t>Note:</w:t>
      </w:r>
      <w:r>
        <w:t xml:space="preserve"> Based on 2018 SDAC data</w:t>
      </w:r>
      <w:r w:rsidR="00C2539F">
        <w:t xml:space="preserve"> and </w:t>
      </w:r>
      <w:r w:rsidR="006A3582">
        <w:t xml:space="preserve">RIS </w:t>
      </w:r>
      <w:r w:rsidR="00C2539F">
        <w:t>appendices B-J</w:t>
      </w:r>
      <w:r>
        <w:t>.</w:t>
      </w:r>
    </w:p>
    <w:p w14:paraId="5E0F3B4A" w14:textId="77777777" w:rsidR="0001348D" w:rsidRDefault="0001348D" w:rsidP="00DA6093">
      <w:pPr>
        <w:pStyle w:val="Note"/>
      </w:pPr>
      <w:r w:rsidRPr="00DA6093">
        <w:t>Source:</w:t>
      </w:r>
      <w:r>
        <w:t xml:space="preserve"> CIE estimates.</w:t>
      </w:r>
    </w:p>
    <w:p w14:paraId="0962680B" w14:textId="77777777" w:rsidR="0001348D" w:rsidRDefault="0001348D" w:rsidP="0001348D">
      <w:pPr>
        <w:pStyle w:val="BodyText"/>
        <w:rPr>
          <w:lang w:eastAsia="en-US"/>
        </w:rPr>
      </w:pPr>
      <w:r>
        <w:rPr>
          <w:lang w:eastAsia="en-US"/>
        </w:rPr>
        <w:t xml:space="preserve">Table 2 shows the cost of each type of problem in millions of dollars. These figures are based on the number of people identified in table 1, multiplied by the estimated cost in dollars of each problem as determined in chapter </w:t>
      </w:r>
      <w:r w:rsidR="00864874">
        <w:rPr>
          <w:lang w:eastAsia="en-US"/>
        </w:rPr>
        <w:t>three</w:t>
      </w:r>
      <w:r>
        <w:rPr>
          <w:lang w:eastAsia="en-US"/>
        </w:rPr>
        <w:t xml:space="preserve"> of the RIS. Due to the limitations associated with the data relied on in the RIS, a cost range is provided, rather than a single figure. The central case referenced throughout the RIS uses an average as a key input into the cost</w:t>
      </w:r>
      <w:r w:rsidR="00A01AA8">
        <w:rPr>
          <w:lang w:eastAsia="en-US"/>
        </w:rPr>
        <w:t>-</w:t>
      </w:r>
      <w:r>
        <w:rPr>
          <w:lang w:eastAsia="en-US"/>
        </w:rPr>
        <w:t>benefit analysis (CBA).</w:t>
      </w:r>
    </w:p>
    <w:p w14:paraId="1F3E1F87" w14:textId="77777777" w:rsidR="0001348D" w:rsidRDefault="0001348D" w:rsidP="0001348D">
      <w:pPr>
        <w:pStyle w:val="BodyText"/>
        <w:rPr>
          <w:lang w:eastAsia="en-US"/>
        </w:rPr>
      </w:pPr>
      <w:r>
        <w:rPr>
          <w:lang w:eastAsia="en-US"/>
        </w:rPr>
        <w:t xml:space="preserve">In response to feedback on the Consultation RIS, the estimates in table 2 now take into consideration morbidity costs associated with falls, reduced quality of life, informal care costs, additional costs associated with avoidable moves and impacts on short-term mobility injuries and families with young dependants. </w:t>
      </w:r>
    </w:p>
    <w:p w14:paraId="2D4C33FE" w14:textId="77777777" w:rsidR="0001348D" w:rsidRDefault="0001348D" w:rsidP="0001348D">
      <w:pPr>
        <w:pStyle w:val="BodyText"/>
        <w:rPr>
          <w:lang w:eastAsia="en-US"/>
        </w:rPr>
      </w:pPr>
      <w:r>
        <w:rPr>
          <w:lang w:eastAsia="en-US"/>
        </w:rPr>
        <w:t xml:space="preserve">Lived experiences received during consultation have informed a better understanding of the impacts of the lack of accessible housing, including broader societal impacts such as how the community values accessibility features. Chapters </w:t>
      </w:r>
      <w:r w:rsidR="00BB04AB">
        <w:rPr>
          <w:lang w:eastAsia="en-US"/>
        </w:rPr>
        <w:t>two</w:t>
      </w:r>
      <w:r>
        <w:rPr>
          <w:lang w:eastAsia="en-US"/>
        </w:rPr>
        <w:t xml:space="preserve"> and </w:t>
      </w:r>
      <w:r w:rsidR="00BB04AB">
        <w:rPr>
          <w:lang w:eastAsia="en-US"/>
        </w:rPr>
        <w:t>three</w:t>
      </w:r>
      <w:r>
        <w:rPr>
          <w:lang w:eastAsia="en-US"/>
        </w:rPr>
        <w:t xml:space="preserve"> discuss how this qualitative information has been incorporated into the RIS, including the employment and productivity impacts for people with disability which could be in the order of several hundred million dollars per year.</w:t>
      </w:r>
    </w:p>
    <w:p w14:paraId="5F7368B8" w14:textId="77777777" w:rsidR="0001348D" w:rsidRPr="00233C02" w:rsidRDefault="0001348D" w:rsidP="0001348D">
      <w:pPr>
        <w:pStyle w:val="Heading2"/>
        <w:rPr>
          <w:bCs/>
          <w:lang w:bidi="fa-IR"/>
        </w:rPr>
      </w:pPr>
      <w:bookmarkStart w:id="17" w:name="_Toc70505081"/>
      <w:r w:rsidRPr="00233C02">
        <w:rPr>
          <w:bCs/>
          <w:lang w:bidi="fa-IR"/>
        </w:rPr>
        <w:t>Options</w:t>
      </w:r>
      <w:bookmarkEnd w:id="17"/>
    </w:p>
    <w:p w14:paraId="698545B0" w14:textId="77777777" w:rsidR="0001348D" w:rsidRDefault="0001348D" w:rsidP="0001348D">
      <w:pPr>
        <w:pStyle w:val="BodyText"/>
        <w:rPr>
          <w:lang w:bidi="fa-IR"/>
        </w:rPr>
      </w:pPr>
      <w:r>
        <w:rPr>
          <w:lang w:bidi="fa-IR"/>
        </w:rPr>
        <w:t>This RIS explicitly considers the following regulatory options to improve the supply of accessible housing:</w:t>
      </w:r>
    </w:p>
    <w:p w14:paraId="38CF71E4" w14:textId="77777777" w:rsidR="0001348D" w:rsidRDefault="0001348D" w:rsidP="0001348D">
      <w:pPr>
        <w:pStyle w:val="ListBullet"/>
        <w:numPr>
          <w:ilvl w:val="0"/>
          <w:numId w:val="42"/>
        </w:numPr>
        <w:rPr>
          <w:lang w:bidi="fa-IR"/>
        </w:rPr>
      </w:pPr>
      <w:r>
        <w:rPr>
          <w:b/>
          <w:bCs/>
          <w:lang w:bidi="fa-IR"/>
        </w:rPr>
        <w:t>Option 1 (Silver):</w:t>
      </w:r>
      <w:r>
        <w:rPr>
          <w:lang w:bidi="fa-IR"/>
        </w:rPr>
        <w:t xml:space="preserve"> Accessibility standard, broadly reflecting LHDG Silver standard, in the NCC applying to all new Class 1a (houses) and Class 2 (apartments) buildings.</w:t>
      </w:r>
    </w:p>
    <w:p w14:paraId="09510276" w14:textId="77777777" w:rsidR="0001348D" w:rsidRDefault="0001348D" w:rsidP="0001348D">
      <w:pPr>
        <w:pStyle w:val="ListBullet"/>
        <w:numPr>
          <w:ilvl w:val="0"/>
          <w:numId w:val="42"/>
        </w:numPr>
        <w:rPr>
          <w:lang w:bidi="fa-IR"/>
        </w:rPr>
      </w:pPr>
      <w:r>
        <w:rPr>
          <w:b/>
          <w:bCs/>
          <w:lang w:bidi="fa-IR"/>
        </w:rPr>
        <w:t>Option 2 (Gold):</w:t>
      </w:r>
      <w:r>
        <w:rPr>
          <w:lang w:bidi="fa-IR"/>
        </w:rPr>
        <w:t xml:space="preserve"> Accessibility standard, broadly reflecting LHDG Gold standard, in the NCC applying to all new Class 1a (houses) and Class 2 (apartments) buildings.</w:t>
      </w:r>
    </w:p>
    <w:p w14:paraId="03D8190D" w14:textId="77777777" w:rsidR="0001348D" w:rsidRDefault="0001348D" w:rsidP="0001348D">
      <w:pPr>
        <w:pStyle w:val="ListBullet"/>
        <w:numPr>
          <w:ilvl w:val="0"/>
          <w:numId w:val="42"/>
        </w:numPr>
        <w:rPr>
          <w:lang w:bidi="fa-IR"/>
        </w:rPr>
      </w:pPr>
      <w:r>
        <w:rPr>
          <w:b/>
          <w:bCs/>
          <w:lang w:bidi="fa-IR"/>
        </w:rPr>
        <w:t>Option 3 (Gold +):</w:t>
      </w:r>
      <w:r>
        <w:rPr>
          <w:lang w:bidi="fa-IR"/>
        </w:rPr>
        <w:t xml:space="preserve"> Accessibility standard, broadly reflecting LHDG Gold standard (with some Platinum features), in the NCC applying to all new Class 1a (houses) and Class 2 (apartments) buildings.</w:t>
      </w:r>
    </w:p>
    <w:p w14:paraId="1445B355" w14:textId="77777777" w:rsidR="0001348D" w:rsidRDefault="0001348D" w:rsidP="0001348D">
      <w:pPr>
        <w:pStyle w:val="ListBullet"/>
        <w:numPr>
          <w:ilvl w:val="0"/>
          <w:numId w:val="42"/>
        </w:numPr>
        <w:rPr>
          <w:lang w:bidi="fa-IR"/>
        </w:rPr>
      </w:pPr>
      <w:r>
        <w:rPr>
          <w:b/>
          <w:bCs/>
          <w:lang w:bidi="fa-IR"/>
        </w:rPr>
        <w:t>Option 4 (Gold in apartments):</w:t>
      </w:r>
      <w:r>
        <w:rPr>
          <w:lang w:bidi="fa-IR"/>
        </w:rPr>
        <w:t xml:space="preserve"> Accessibility standard, broadly reflecting LHDG Gold standard, in the NCC applying to all new Class 2 (apartments) buildings only.</w:t>
      </w:r>
    </w:p>
    <w:p w14:paraId="50FD92C7" w14:textId="77777777" w:rsidR="0001348D" w:rsidRDefault="0001348D" w:rsidP="0001348D">
      <w:pPr>
        <w:pStyle w:val="ListBullet"/>
        <w:numPr>
          <w:ilvl w:val="0"/>
          <w:numId w:val="0"/>
        </w:numPr>
        <w:tabs>
          <w:tab w:val="left" w:pos="720"/>
        </w:tabs>
        <w:rPr>
          <w:lang w:bidi="fa-IR"/>
        </w:rPr>
      </w:pPr>
      <w:r>
        <w:rPr>
          <w:lang w:bidi="fa-IR"/>
        </w:rPr>
        <w:t>This RIS also explores two non-regulatory options as a basis for comparison with the regulatory options</w:t>
      </w:r>
      <w:r w:rsidR="00BB04AB">
        <w:rPr>
          <w:lang w:bidi="fa-IR"/>
        </w:rPr>
        <w:t>:</w:t>
      </w:r>
      <w:r>
        <w:rPr>
          <w:lang w:bidi="fa-IR"/>
        </w:rPr>
        <w:t xml:space="preserve"> </w:t>
      </w:r>
    </w:p>
    <w:p w14:paraId="2AF4C066" w14:textId="77777777" w:rsidR="0001348D" w:rsidRDefault="0001348D" w:rsidP="0001348D">
      <w:pPr>
        <w:pStyle w:val="ListBullet"/>
        <w:numPr>
          <w:ilvl w:val="0"/>
          <w:numId w:val="42"/>
        </w:numPr>
        <w:rPr>
          <w:lang w:bidi="fa-IR"/>
        </w:rPr>
      </w:pPr>
      <w:r>
        <w:rPr>
          <w:b/>
          <w:bCs/>
          <w:lang w:bidi="fa-IR"/>
        </w:rPr>
        <w:t>Subsidy program (Option 5 in the RIS</w:t>
      </w:r>
      <w:r w:rsidR="007865EC">
        <w:rPr>
          <w:b/>
          <w:bCs/>
          <w:lang w:bidi="fa-IR"/>
        </w:rPr>
        <w:t>)</w:t>
      </w:r>
      <w:r>
        <w:rPr>
          <w:b/>
          <w:bCs/>
          <w:lang w:bidi="fa-IR"/>
        </w:rPr>
        <w:t>:</w:t>
      </w:r>
      <w:r>
        <w:rPr>
          <w:lang w:bidi="fa-IR"/>
        </w:rPr>
        <w:t xml:space="preserve"> A hypothetical subsidy program to encourage additional availability of accessible rental properties. Conceptually the </w:t>
      </w:r>
      <w:r>
        <w:rPr>
          <w:lang w:bidi="fa-IR"/>
        </w:rPr>
        <w:lastRenderedPageBreak/>
        <w:t xml:space="preserve">subsidy would be paid to landlords who provide accessible rental accommodation to people with accessibility needs. </w:t>
      </w:r>
    </w:p>
    <w:p w14:paraId="0A85D64F" w14:textId="77777777" w:rsidR="0001348D" w:rsidRDefault="0001348D" w:rsidP="0001348D">
      <w:pPr>
        <w:pStyle w:val="ListBullet"/>
        <w:numPr>
          <w:ilvl w:val="0"/>
          <w:numId w:val="42"/>
        </w:numPr>
        <w:rPr>
          <w:lang w:bidi="fa-IR"/>
        </w:rPr>
      </w:pPr>
      <w:r>
        <w:rPr>
          <w:b/>
          <w:bCs/>
          <w:lang w:bidi="fa-IR"/>
        </w:rPr>
        <w:t>Voluntary guidance (Option 6 in the RIS):</w:t>
      </w:r>
      <w:r>
        <w:rPr>
          <w:lang w:bidi="fa-IR"/>
        </w:rPr>
        <w:t xml:space="preserve"> An enhanced approach to voluntary guidance, which includes turning the current proposals into a non-regulatory ABCB handbook and other measures to encourage additional uptake of universal design principles, including: a search engine for dwellings certified as complying with the LHDGs and provision of information to home purchasers.</w:t>
      </w:r>
    </w:p>
    <w:p w14:paraId="4B7B5297" w14:textId="77777777" w:rsidR="0001348D" w:rsidRPr="00233C02" w:rsidRDefault="0001348D" w:rsidP="0001348D">
      <w:pPr>
        <w:pStyle w:val="Heading2"/>
        <w:rPr>
          <w:bCs/>
          <w:lang w:bidi="fa-IR"/>
        </w:rPr>
      </w:pPr>
      <w:bookmarkStart w:id="18" w:name="_Toc70505082"/>
      <w:r w:rsidRPr="00233C02">
        <w:rPr>
          <w:bCs/>
          <w:lang w:bidi="fa-IR"/>
        </w:rPr>
        <w:t>Consultation</w:t>
      </w:r>
      <w:bookmarkEnd w:id="18"/>
    </w:p>
    <w:p w14:paraId="551C460B" w14:textId="77777777" w:rsidR="0001348D" w:rsidRDefault="0001348D" w:rsidP="0001348D">
      <w:pPr>
        <w:pStyle w:val="BodyText"/>
        <w:rPr>
          <w:lang w:bidi="fa-IR"/>
        </w:rPr>
      </w:pPr>
      <w:r>
        <w:rPr>
          <w:lang w:bidi="fa-IR"/>
        </w:rPr>
        <w:t>Consultation with key stakeholders formed an important part of finalising this Decision RIS. This consultation was undertaken in two major stages:</w:t>
      </w:r>
    </w:p>
    <w:p w14:paraId="38B7F002" w14:textId="77777777" w:rsidR="0001348D" w:rsidRDefault="0001348D" w:rsidP="0001348D">
      <w:pPr>
        <w:pStyle w:val="ListBullet"/>
        <w:rPr>
          <w:lang w:bidi="fa-IR"/>
        </w:rPr>
      </w:pPr>
      <w:r>
        <w:rPr>
          <w:lang w:bidi="fa-IR"/>
        </w:rPr>
        <w:t>Targeted stakeholder consultation program informed the development of the Consultation RIS between November 2019 and May 2020</w:t>
      </w:r>
    </w:p>
    <w:p w14:paraId="037F58AB" w14:textId="77777777" w:rsidR="0001348D" w:rsidRDefault="0001348D" w:rsidP="0001348D">
      <w:pPr>
        <w:pStyle w:val="ListBullet"/>
        <w:rPr>
          <w:lang w:bidi="fa-IR"/>
        </w:rPr>
      </w:pPr>
      <w:r>
        <w:rPr>
          <w:lang w:bidi="fa-IR"/>
        </w:rPr>
        <w:t>Public consultation for the Consultation RIS during July and August 2020.</w:t>
      </w:r>
    </w:p>
    <w:p w14:paraId="477946BA" w14:textId="77777777" w:rsidR="0001348D" w:rsidRDefault="0001348D" w:rsidP="0001348D">
      <w:pPr>
        <w:pStyle w:val="BodyText"/>
        <w:rPr>
          <w:lang w:bidi="fa-IR"/>
        </w:rPr>
      </w:pPr>
      <w:r>
        <w:rPr>
          <w:lang w:bidi="fa-IR"/>
        </w:rPr>
        <w:t>Feedback was provided in the form of considered opinion, survey information and lived experiences. It reflected the divers</w:t>
      </w:r>
      <w:r w:rsidR="0033409B">
        <w:rPr>
          <w:lang w:bidi="fa-IR"/>
        </w:rPr>
        <w:t>ity of</w:t>
      </w:r>
      <w:r>
        <w:rPr>
          <w:lang w:bidi="fa-IR"/>
        </w:rPr>
        <w:t xml:space="preserve"> interests </w:t>
      </w:r>
      <w:r w:rsidR="001663FF">
        <w:rPr>
          <w:lang w:bidi="fa-IR"/>
        </w:rPr>
        <w:t xml:space="preserve">of people and communities interested </w:t>
      </w:r>
      <w:r>
        <w:rPr>
          <w:lang w:bidi="fa-IR"/>
        </w:rPr>
        <w:t>in the provision of accessible housing.</w:t>
      </w:r>
    </w:p>
    <w:p w14:paraId="129B26AA" w14:textId="77777777" w:rsidR="0001348D" w:rsidRDefault="0001348D" w:rsidP="0001348D">
      <w:pPr>
        <w:pStyle w:val="BodyText"/>
        <w:rPr>
          <w:lang w:bidi="fa-IR"/>
        </w:rPr>
      </w:pPr>
      <w:r>
        <w:rPr>
          <w:lang w:bidi="fa-IR"/>
        </w:rPr>
        <w:t xml:space="preserve">While all feedback was taken into account, </w:t>
      </w:r>
      <w:r w:rsidR="001663FF">
        <w:rPr>
          <w:lang w:bidi="fa-IR"/>
        </w:rPr>
        <w:t>comments</w:t>
      </w:r>
      <w:r>
        <w:rPr>
          <w:lang w:bidi="fa-IR"/>
        </w:rPr>
        <w:t xml:space="preserve"> on the Consultation RIS and information received in the following areas </w:t>
      </w:r>
      <w:r w:rsidR="001663FF">
        <w:rPr>
          <w:lang w:bidi="fa-IR"/>
        </w:rPr>
        <w:t>resulted in</w:t>
      </w:r>
      <w:r>
        <w:rPr>
          <w:lang w:bidi="fa-IR"/>
        </w:rPr>
        <w:t xml:space="preserve"> revisions to </w:t>
      </w:r>
      <w:r w:rsidR="001663FF">
        <w:rPr>
          <w:lang w:bidi="fa-IR"/>
        </w:rPr>
        <w:t xml:space="preserve">some aspects of </w:t>
      </w:r>
      <w:r>
        <w:rPr>
          <w:lang w:bidi="fa-IR"/>
        </w:rPr>
        <w:t xml:space="preserve">this Decision RIS, </w:t>
      </w:r>
      <w:r w:rsidR="00AC4E65">
        <w:rPr>
          <w:lang w:bidi="fa-IR"/>
        </w:rPr>
        <w:t>including</w:t>
      </w:r>
      <w:r>
        <w:rPr>
          <w:lang w:bidi="fa-IR"/>
        </w:rPr>
        <w:t>:</w:t>
      </w:r>
    </w:p>
    <w:p w14:paraId="6526FA1C" w14:textId="77777777" w:rsidR="0001348D" w:rsidRDefault="0001348D" w:rsidP="0001348D">
      <w:pPr>
        <w:pStyle w:val="ListBullet"/>
        <w:rPr>
          <w:lang w:bidi="fa-IR"/>
        </w:rPr>
      </w:pPr>
      <w:r>
        <w:rPr>
          <w:lang w:bidi="fa-IR"/>
        </w:rPr>
        <w:t>the importance of symmetry in reporting costs and benefits;</w:t>
      </w:r>
    </w:p>
    <w:p w14:paraId="2355E069" w14:textId="77777777" w:rsidR="0001348D" w:rsidRDefault="0001348D" w:rsidP="0001348D">
      <w:pPr>
        <w:pStyle w:val="ListBullet"/>
        <w:rPr>
          <w:lang w:bidi="fa-IR"/>
        </w:rPr>
      </w:pPr>
      <w:r>
        <w:rPr>
          <w:lang w:bidi="fa-IR"/>
        </w:rPr>
        <w:t>employment and productivity impacts;</w:t>
      </w:r>
    </w:p>
    <w:p w14:paraId="308EE6A0" w14:textId="77777777" w:rsidR="0001348D" w:rsidRDefault="0001348D" w:rsidP="0001348D">
      <w:pPr>
        <w:pStyle w:val="ListBullet"/>
        <w:rPr>
          <w:lang w:bidi="fa-IR"/>
        </w:rPr>
      </w:pPr>
      <w:r>
        <w:rPr>
          <w:lang w:bidi="fa-IR"/>
        </w:rPr>
        <w:t xml:space="preserve">the need for more qualitative analysis, including analysis of quality of life impacts; </w:t>
      </w:r>
    </w:p>
    <w:p w14:paraId="753250BA" w14:textId="77777777" w:rsidR="0001348D" w:rsidRDefault="0001348D" w:rsidP="0001348D">
      <w:pPr>
        <w:pStyle w:val="ListBullet"/>
        <w:rPr>
          <w:lang w:bidi="fa-IR"/>
        </w:rPr>
      </w:pPr>
      <w:r>
        <w:rPr>
          <w:lang w:bidi="fa-IR"/>
        </w:rPr>
        <w:t>social justice considerations;</w:t>
      </w:r>
    </w:p>
    <w:p w14:paraId="264FF026" w14:textId="77777777" w:rsidR="0001348D" w:rsidRDefault="0001348D" w:rsidP="0001348D">
      <w:pPr>
        <w:pStyle w:val="ListBullet"/>
        <w:rPr>
          <w:lang w:bidi="fa-IR"/>
        </w:rPr>
      </w:pPr>
      <w:r>
        <w:rPr>
          <w:lang w:bidi="fa-IR"/>
        </w:rPr>
        <w:t>impacts on</w:t>
      </w:r>
      <w:r w:rsidR="00AC4E65">
        <w:rPr>
          <w:lang w:bidi="fa-IR"/>
        </w:rPr>
        <w:t>,</w:t>
      </w:r>
      <w:r>
        <w:rPr>
          <w:lang w:bidi="fa-IR"/>
        </w:rPr>
        <w:t xml:space="preserve"> and of</w:t>
      </w:r>
      <w:r w:rsidR="00AC4E65">
        <w:rPr>
          <w:lang w:bidi="fa-IR"/>
        </w:rPr>
        <w:t>,</w:t>
      </w:r>
      <w:r>
        <w:rPr>
          <w:lang w:bidi="fa-IR"/>
        </w:rPr>
        <w:t xml:space="preserve"> other government programs;</w:t>
      </w:r>
    </w:p>
    <w:p w14:paraId="63BCAFF4" w14:textId="77777777" w:rsidR="0001348D" w:rsidRDefault="0001348D" w:rsidP="0001348D">
      <w:pPr>
        <w:pStyle w:val="ListBullet"/>
        <w:rPr>
          <w:lang w:bidi="fa-IR"/>
        </w:rPr>
      </w:pPr>
      <w:r>
        <w:rPr>
          <w:lang w:bidi="fa-IR"/>
        </w:rPr>
        <w:t>alternative methodological approaches; and</w:t>
      </w:r>
    </w:p>
    <w:p w14:paraId="58B70EC9" w14:textId="77777777" w:rsidR="0001348D" w:rsidRDefault="0001348D" w:rsidP="0001348D">
      <w:pPr>
        <w:pStyle w:val="ListBullet"/>
        <w:rPr>
          <w:lang w:bidi="fa-IR"/>
        </w:rPr>
      </w:pPr>
      <w:r>
        <w:rPr>
          <w:lang w:bidi="fa-IR"/>
        </w:rPr>
        <w:t>technical suggestions and interpretation of the proposal.</w:t>
      </w:r>
    </w:p>
    <w:p w14:paraId="01BF2B7C" w14:textId="77777777" w:rsidR="0001348D" w:rsidRDefault="0001348D" w:rsidP="0001348D">
      <w:pPr>
        <w:pStyle w:val="BodyText"/>
        <w:rPr>
          <w:lang w:bidi="fa-IR"/>
        </w:rPr>
      </w:pPr>
      <w:r>
        <w:rPr>
          <w:lang w:bidi="fa-IR"/>
        </w:rPr>
        <w:t>The following significant adjustments were made to the CBA estimates.</w:t>
      </w:r>
    </w:p>
    <w:p w14:paraId="1DF3EE32" w14:textId="77777777" w:rsidR="0001348D" w:rsidRDefault="0001348D" w:rsidP="0001348D">
      <w:pPr>
        <w:pStyle w:val="ListBullet"/>
        <w:rPr>
          <w:lang w:bidi="fa-IR"/>
        </w:rPr>
      </w:pPr>
      <w:r>
        <w:rPr>
          <w:lang w:bidi="fa-IR"/>
        </w:rPr>
        <w:t>The main adjustments to the benefit estimates were:</w:t>
      </w:r>
    </w:p>
    <w:p w14:paraId="3205A5D8" w14:textId="77777777" w:rsidR="0001348D" w:rsidRDefault="0001348D" w:rsidP="0001348D">
      <w:pPr>
        <w:pStyle w:val="ListBullet2"/>
        <w:rPr>
          <w:lang w:bidi="fa-IR"/>
        </w:rPr>
      </w:pPr>
      <w:r>
        <w:rPr>
          <w:lang w:bidi="fa-IR"/>
        </w:rPr>
        <w:t>A significant upward revision to the size of the problem, due mainly to the inclusion of quality of life impacts. Other adjustments included morbidity costs associated with falls; potential impacts on people with self-care limitation who could benefit from the toilet and shower features; a broader range of costs associated with moving to a more accessible dwelling; and some impacts for households that do not have specific accessibility needs.</w:t>
      </w:r>
    </w:p>
    <w:p w14:paraId="1DB82A5C" w14:textId="77777777" w:rsidR="0001348D" w:rsidRDefault="0001348D" w:rsidP="0001348D">
      <w:pPr>
        <w:pStyle w:val="ListBullet2"/>
        <w:rPr>
          <w:lang w:bidi="fa-IR"/>
        </w:rPr>
      </w:pPr>
      <w:r>
        <w:rPr>
          <w:lang w:bidi="fa-IR"/>
        </w:rPr>
        <w:t>This was partly offset by revised assumptions relating to the extent to which the proposed options would meet the needs of people with disability. In particular, some dwellings (including double</w:t>
      </w:r>
      <w:r>
        <w:rPr>
          <w:lang w:bidi="fa-IR"/>
        </w:rPr>
        <w:noBreakHyphen/>
        <w:t xml:space="preserve">storey houses and townhouses without bedrooms and showers on the entry level, and apartments above the ground floor in blocks without lifts) built to comply with the proposed requirements </w:t>
      </w:r>
      <w:r>
        <w:rPr>
          <w:lang w:bidi="fa-IR"/>
        </w:rPr>
        <w:lastRenderedPageBreak/>
        <w:t>(particularly under Option 1 - Silver) are assumed not suitable for people with limited mobility as built as they are likely to require the use of internal stairs.</w:t>
      </w:r>
    </w:p>
    <w:p w14:paraId="3D3DCB90" w14:textId="77777777" w:rsidR="0001348D" w:rsidRDefault="0001348D" w:rsidP="0001348D">
      <w:pPr>
        <w:pStyle w:val="ListBullet2"/>
        <w:rPr>
          <w:lang w:bidi="fa-IR"/>
        </w:rPr>
      </w:pPr>
      <w:r>
        <w:rPr>
          <w:lang w:bidi="fa-IR"/>
        </w:rPr>
        <w:t xml:space="preserve">Societal benefits have been excluded from the CBA </w:t>
      </w:r>
      <w:r w:rsidR="00DF16E8">
        <w:rPr>
          <w:lang w:bidi="fa-IR"/>
        </w:rPr>
        <w:t>results presented in table 3 below</w:t>
      </w:r>
      <w:r>
        <w:rPr>
          <w:lang w:bidi="fa-IR"/>
        </w:rPr>
        <w:t xml:space="preserve"> to clearly separate the efficiency impacts from the equity impacts (consistent with OBPR guidelines). Estimates of the societal benefits have been retained </w:t>
      </w:r>
      <w:r w:rsidR="00D013CA">
        <w:rPr>
          <w:lang w:bidi="fa-IR"/>
        </w:rPr>
        <w:t>in</w:t>
      </w:r>
      <w:r>
        <w:rPr>
          <w:lang w:bidi="fa-IR"/>
        </w:rPr>
        <w:t xml:space="preserve"> a separate scenario </w:t>
      </w:r>
      <w:r w:rsidR="007506CC">
        <w:rPr>
          <w:lang w:bidi="fa-IR"/>
        </w:rPr>
        <w:t xml:space="preserve">reflected in table 4 </w:t>
      </w:r>
      <w:r>
        <w:rPr>
          <w:lang w:bidi="fa-IR"/>
        </w:rPr>
        <w:t>to provide additional information for decision-makers.</w:t>
      </w:r>
    </w:p>
    <w:p w14:paraId="06B71960" w14:textId="77777777" w:rsidR="0001348D" w:rsidRDefault="0001348D" w:rsidP="0001348D">
      <w:pPr>
        <w:pStyle w:val="ListBullet"/>
        <w:rPr>
          <w:lang w:bidi="fa-IR"/>
        </w:rPr>
      </w:pPr>
      <w:r>
        <w:rPr>
          <w:lang w:bidi="fa-IR"/>
        </w:rPr>
        <w:t>The costs were also adjusted. As the costs apply to all new dwelling</w:t>
      </w:r>
      <w:r w:rsidR="007506CC">
        <w:rPr>
          <w:lang w:bidi="fa-IR"/>
        </w:rPr>
        <w:t>s</w:t>
      </w:r>
      <w:r>
        <w:rPr>
          <w:lang w:bidi="fa-IR"/>
        </w:rPr>
        <w:t>, the CBA outcomes are particularly sensitive to changes in costs. The main adjustments were:</w:t>
      </w:r>
    </w:p>
    <w:p w14:paraId="395524FC" w14:textId="77777777" w:rsidR="0001348D" w:rsidRDefault="00AE25EA" w:rsidP="0001348D">
      <w:pPr>
        <w:pStyle w:val="ListBullet2"/>
        <w:rPr>
          <w:lang w:bidi="fa-IR"/>
        </w:rPr>
      </w:pPr>
      <w:r>
        <w:rPr>
          <w:lang w:bidi="fa-IR"/>
        </w:rPr>
        <w:t>M</w:t>
      </w:r>
      <w:r w:rsidR="0001348D">
        <w:rPr>
          <w:lang w:bidi="fa-IR"/>
        </w:rPr>
        <w:t xml:space="preserve">ade due to changes to the </w:t>
      </w:r>
      <w:r w:rsidR="00E36305">
        <w:rPr>
          <w:lang w:bidi="fa-IR"/>
        </w:rPr>
        <w:t>NCC proposal</w:t>
      </w:r>
      <w:r w:rsidR="0001348D">
        <w:rPr>
          <w:lang w:bidi="fa-IR"/>
        </w:rPr>
        <w:t xml:space="preserve"> under each option. In particular, estimates in the Consultation RIS were based on one</w:t>
      </w:r>
      <w:r w:rsidR="0001348D">
        <w:rPr>
          <w:lang w:bidi="fa-IR"/>
        </w:rPr>
        <w:noBreakHyphen/>
        <w:t>step access rather than step</w:t>
      </w:r>
      <w:r w:rsidR="0001348D">
        <w:rPr>
          <w:lang w:bidi="fa-IR"/>
        </w:rPr>
        <w:noBreakHyphen/>
        <w:t>free access as reflected in this RIS. Further</w:t>
      </w:r>
      <w:r w:rsidR="004C3CCE">
        <w:rPr>
          <w:lang w:bidi="fa-IR"/>
        </w:rPr>
        <w:t xml:space="preserve"> adjustment</w:t>
      </w:r>
      <w:r w:rsidR="005C00F8">
        <w:rPr>
          <w:lang w:bidi="fa-IR"/>
        </w:rPr>
        <w:t>s</w:t>
      </w:r>
      <w:r w:rsidR="004C3CCE">
        <w:rPr>
          <w:lang w:bidi="fa-IR"/>
        </w:rPr>
        <w:t xml:space="preserve"> were also made to </w:t>
      </w:r>
      <w:r w:rsidR="0001348D">
        <w:rPr>
          <w:lang w:bidi="fa-IR"/>
        </w:rPr>
        <w:t xml:space="preserve">corridor and door widths, </w:t>
      </w:r>
      <w:r w:rsidR="007D0840">
        <w:rPr>
          <w:lang w:bidi="fa-IR"/>
        </w:rPr>
        <w:t>bathroom element</w:t>
      </w:r>
      <w:r w:rsidR="004C3CCE">
        <w:rPr>
          <w:lang w:bidi="fa-IR"/>
        </w:rPr>
        <w:t>s</w:t>
      </w:r>
      <w:r w:rsidR="007D0840">
        <w:rPr>
          <w:lang w:bidi="fa-IR"/>
        </w:rPr>
        <w:t xml:space="preserve"> </w:t>
      </w:r>
      <w:r w:rsidR="0001348D">
        <w:rPr>
          <w:lang w:bidi="fa-IR"/>
        </w:rPr>
        <w:t>and internal thresholds.</w:t>
      </w:r>
    </w:p>
    <w:p w14:paraId="1278985D" w14:textId="77777777" w:rsidR="0001348D" w:rsidRDefault="0001348D" w:rsidP="0001348D">
      <w:pPr>
        <w:pStyle w:val="ListBullet2"/>
        <w:rPr>
          <w:lang w:bidi="fa-IR"/>
        </w:rPr>
      </w:pPr>
      <w:r>
        <w:rPr>
          <w:lang w:bidi="fa-IR"/>
        </w:rPr>
        <w:t>Other adjustments reflect a re</w:t>
      </w:r>
      <w:r>
        <w:rPr>
          <w:lang w:bidi="fa-IR"/>
        </w:rPr>
        <w:noBreakHyphen/>
        <w:t>assessment of how the market would respond to the above proposed requirements.</w:t>
      </w:r>
    </w:p>
    <w:p w14:paraId="3779DFD5" w14:textId="77777777" w:rsidR="0001348D" w:rsidRDefault="0001348D" w:rsidP="0001348D">
      <w:pPr>
        <w:pStyle w:val="ListBullet2"/>
        <w:rPr>
          <w:lang w:bidi="fa-IR"/>
        </w:rPr>
      </w:pPr>
      <w:r>
        <w:rPr>
          <w:lang w:bidi="fa-IR"/>
        </w:rPr>
        <w:t>An adjustment was made to reflect the additional value of the extra space provided by the proposed accessibility standard which offset to some extent the opportunity cost of space.</w:t>
      </w:r>
    </w:p>
    <w:p w14:paraId="598CC31F" w14:textId="77777777" w:rsidR="0001348D" w:rsidRDefault="0001348D" w:rsidP="0001348D">
      <w:pPr>
        <w:pStyle w:val="ListBullet2"/>
        <w:rPr>
          <w:lang w:bidi="fa-IR"/>
        </w:rPr>
      </w:pPr>
      <w:r>
        <w:rPr>
          <w:lang w:bidi="fa-IR"/>
        </w:rPr>
        <w:t>Additional costs associated with verifying compliance with the proposed NCC standards were also included in this RIS.</w:t>
      </w:r>
    </w:p>
    <w:p w14:paraId="082666D0" w14:textId="77777777" w:rsidR="0001348D" w:rsidRPr="00233C02" w:rsidRDefault="0001348D" w:rsidP="0001348D">
      <w:pPr>
        <w:pStyle w:val="Heading2"/>
        <w:rPr>
          <w:bCs/>
          <w:lang w:bidi="fa-IR"/>
        </w:rPr>
      </w:pPr>
      <w:bookmarkStart w:id="19" w:name="_Toc70505083"/>
      <w:r w:rsidRPr="00233C02">
        <w:rPr>
          <w:bCs/>
          <w:lang w:bidi="fa-IR"/>
        </w:rPr>
        <w:t>Estimated impacts – costs and benefits</w:t>
      </w:r>
      <w:bookmarkEnd w:id="19"/>
    </w:p>
    <w:p w14:paraId="4442F847" w14:textId="77777777" w:rsidR="0001348D" w:rsidRDefault="0001348D" w:rsidP="0001348D">
      <w:pPr>
        <w:pStyle w:val="BodyText"/>
        <w:rPr>
          <w:lang w:bidi="fa-IR"/>
        </w:rPr>
      </w:pPr>
      <w:r>
        <w:rPr>
          <w:lang w:bidi="fa-IR"/>
        </w:rPr>
        <w:t xml:space="preserve">This RIS adopts a CBA to assess and compare each of the options. The status quo – that is no changes to existing policy settings – has been used as a baseline against which the costs and benefits of options are assessed. </w:t>
      </w:r>
    </w:p>
    <w:p w14:paraId="583B96E8" w14:textId="77777777" w:rsidR="0001348D" w:rsidRDefault="0001348D" w:rsidP="0001348D">
      <w:pPr>
        <w:pStyle w:val="BodyText"/>
        <w:rPr>
          <w:lang w:bidi="fa-IR"/>
        </w:rPr>
      </w:pPr>
      <w:r>
        <w:rPr>
          <w:lang w:bidi="fa-IR"/>
        </w:rPr>
        <w:t>Table 3 presents the results of the CBA, in which:</w:t>
      </w:r>
    </w:p>
    <w:p w14:paraId="01191754" w14:textId="77777777" w:rsidR="0001348D" w:rsidRDefault="0001348D" w:rsidP="0001348D">
      <w:pPr>
        <w:pStyle w:val="ListBullet"/>
        <w:numPr>
          <w:ilvl w:val="0"/>
          <w:numId w:val="42"/>
        </w:numPr>
        <w:rPr>
          <w:lang w:bidi="fa-IR"/>
        </w:rPr>
      </w:pPr>
      <w:r>
        <w:rPr>
          <w:lang w:bidi="fa-IR"/>
        </w:rPr>
        <w:t xml:space="preserve">The </w:t>
      </w:r>
      <w:r>
        <w:rPr>
          <w:b/>
          <w:bCs/>
          <w:lang w:bidi="fa-IR"/>
        </w:rPr>
        <w:t>costs</w:t>
      </w:r>
      <w:r>
        <w:rPr>
          <w:lang w:bidi="fa-IR"/>
        </w:rPr>
        <w:t xml:space="preserve"> reflect the additional construction (and other) costs associated with building accessible dwellings over the 10</w:t>
      </w:r>
      <w:r>
        <w:rPr>
          <w:lang w:bidi="fa-IR"/>
        </w:rPr>
        <w:noBreakHyphen/>
        <w:t>year regulatory period from 2022.</w:t>
      </w:r>
    </w:p>
    <w:p w14:paraId="3AA0AB36" w14:textId="77777777" w:rsidR="0001348D" w:rsidRDefault="0001348D" w:rsidP="0001348D">
      <w:pPr>
        <w:pStyle w:val="ListBullet"/>
        <w:numPr>
          <w:ilvl w:val="0"/>
          <w:numId w:val="42"/>
        </w:numPr>
        <w:rPr>
          <w:lang w:bidi="fa-IR"/>
        </w:rPr>
      </w:pPr>
      <w:r>
        <w:rPr>
          <w:lang w:bidi="fa-IR"/>
        </w:rPr>
        <w:t xml:space="preserve">The </w:t>
      </w:r>
      <w:r>
        <w:rPr>
          <w:b/>
          <w:bCs/>
          <w:lang w:bidi="fa-IR"/>
        </w:rPr>
        <w:t>benefits</w:t>
      </w:r>
      <w:r>
        <w:rPr>
          <w:lang w:bidi="fa-IR"/>
        </w:rPr>
        <w:t xml:space="preserve"> are estimated based on how much each option would address the accessibility problems for people with disability and older people as described in tables 1 and 2. </w:t>
      </w:r>
      <w:r>
        <w:t>Benefits are estimated over an assumed 40 year life of each dwelling constructed over the 10 year regulatory period</w:t>
      </w:r>
      <w:r w:rsidR="00F24595">
        <w:t xml:space="preserve"> to include benefit to people who acquire a disability in the future, including younger people as they age</w:t>
      </w:r>
      <w:r>
        <w:t>.</w:t>
      </w:r>
    </w:p>
    <w:p w14:paraId="40D50B36" w14:textId="77777777" w:rsidR="009F2F16" w:rsidRDefault="009F2F16" w:rsidP="0001348D">
      <w:pPr>
        <w:pStyle w:val="ListBullet"/>
        <w:numPr>
          <w:ilvl w:val="0"/>
          <w:numId w:val="42"/>
        </w:numPr>
        <w:rPr>
          <w:lang w:bidi="fa-IR"/>
        </w:rPr>
      </w:pPr>
      <w:r>
        <w:t xml:space="preserve">Costs and benefits are estimated in Net Present Value (NPV) terms, meaning future costs and benefits are discounted to reflect their value today, to allow them to be compared. </w:t>
      </w:r>
    </w:p>
    <w:p w14:paraId="481BFEB1" w14:textId="77777777" w:rsidR="0001348D" w:rsidRDefault="0001348D" w:rsidP="0001348D">
      <w:pPr>
        <w:pStyle w:val="BodyText"/>
        <w:rPr>
          <w:lang w:bidi="fa-IR"/>
        </w:rPr>
      </w:pPr>
      <w:r>
        <w:rPr>
          <w:lang w:bidi="fa-IR"/>
        </w:rPr>
        <w:t xml:space="preserve">The non-regulatory options (a subsidy program and enhanced voluntary guidance) are largely outside the ABCB’s responsibility and therefore not the primary focus of this RIS. Further discussion of these options can be found in chapters </w:t>
      </w:r>
      <w:r w:rsidR="009F2F16">
        <w:rPr>
          <w:lang w:bidi="fa-IR"/>
        </w:rPr>
        <w:t>four</w:t>
      </w:r>
      <w:r>
        <w:rPr>
          <w:lang w:bidi="fa-IR"/>
        </w:rPr>
        <w:t xml:space="preserve"> through </w:t>
      </w:r>
      <w:r w:rsidR="009F2F16">
        <w:rPr>
          <w:lang w:bidi="fa-IR"/>
        </w:rPr>
        <w:t xml:space="preserve">eight </w:t>
      </w:r>
      <w:r>
        <w:rPr>
          <w:lang w:bidi="fa-IR"/>
        </w:rPr>
        <w:t xml:space="preserve">in the RIS. </w:t>
      </w:r>
    </w:p>
    <w:p w14:paraId="7506B19A" w14:textId="77777777" w:rsidR="0001348D" w:rsidRDefault="0001348D" w:rsidP="0001348D">
      <w:pPr>
        <w:pStyle w:val="BodyText"/>
        <w:rPr>
          <w:lang w:bidi="fa-IR"/>
        </w:rPr>
      </w:pPr>
      <w:r>
        <w:rPr>
          <w:lang w:bidi="fa-IR"/>
        </w:rPr>
        <w:lastRenderedPageBreak/>
        <w:t>The Silver, Gold and Gold</w:t>
      </w:r>
      <w:r w:rsidR="003275B9">
        <w:rPr>
          <w:lang w:bidi="fa-IR"/>
        </w:rPr>
        <w:t xml:space="preserve"> +</w:t>
      </w:r>
      <w:r>
        <w:rPr>
          <w:lang w:bidi="fa-IR"/>
        </w:rPr>
        <w:t xml:space="preserve"> Options (Options 1–3) are estimated to affect around 1.9</w:t>
      </w:r>
      <w:r w:rsidR="008C3F92">
        <w:rPr>
          <w:lang w:bidi="fa-IR"/>
        </w:rPr>
        <w:t> </w:t>
      </w:r>
      <w:r>
        <w:rPr>
          <w:lang w:bidi="fa-IR"/>
        </w:rPr>
        <w:t xml:space="preserve">million new dwellings over the 10 year period, while the Gold in apartments Option (Option 4) is estimated to affect around 0.6 million new dwellings. </w:t>
      </w:r>
      <w:r w:rsidR="008C3F92">
        <w:rPr>
          <w:lang w:bidi="fa-IR"/>
        </w:rPr>
        <w:t xml:space="preserve">As this would be a modest share of the overall dwelling stock, </w:t>
      </w:r>
      <w:r w:rsidR="00B97915">
        <w:rPr>
          <w:lang w:bidi="fa-IR"/>
        </w:rPr>
        <w:t>a</w:t>
      </w:r>
      <w:r w:rsidR="008C3F92">
        <w:rPr>
          <w:lang w:bidi="fa-IR"/>
        </w:rPr>
        <w:t xml:space="preserve"> change to the NCC would </w:t>
      </w:r>
      <w:r w:rsidR="00B97915">
        <w:rPr>
          <w:lang w:bidi="fa-IR"/>
        </w:rPr>
        <w:t>attend to</w:t>
      </w:r>
      <w:r w:rsidR="008C3F92">
        <w:rPr>
          <w:lang w:bidi="fa-IR"/>
        </w:rPr>
        <w:t xml:space="preserve"> only a proportion of the total problem associated with a lack of accessible housing (between 3 per cent and 9 per cent by the end of the regulatory period. </w:t>
      </w:r>
    </w:p>
    <w:p w14:paraId="1CD850F7" w14:textId="77777777" w:rsidR="007865EC" w:rsidRDefault="0001348D" w:rsidP="0001348D">
      <w:pPr>
        <w:pStyle w:val="BodyText"/>
        <w:rPr>
          <w:lang w:bidi="fa-IR"/>
        </w:rPr>
      </w:pPr>
      <w:r>
        <w:rPr>
          <w:lang w:bidi="fa-IR"/>
        </w:rPr>
        <w:t>Table 3 details the results of the CBA</w:t>
      </w:r>
      <w:r w:rsidR="008C3F92">
        <w:rPr>
          <w:lang w:bidi="fa-IR"/>
        </w:rPr>
        <w:t>, which are estimate</w:t>
      </w:r>
      <w:r w:rsidR="00420D66">
        <w:rPr>
          <w:lang w:bidi="fa-IR"/>
        </w:rPr>
        <w:t>d</w:t>
      </w:r>
      <w:r w:rsidR="008C3F92">
        <w:rPr>
          <w:lang w:bidi="fa-IR"/>
        </w:rPr>
        <w:t xml:space="preserve"> in NPV terms</w:t>
      </w:r>
      <w:r w:rsidR="00420D66">
        <w:rPr>
          <w:lang w:bidi="fa-IR"/>
        </w:rPr>
        <w:t>,</w:t>
      </w:r>
      <w:r>
        <w:rPr>
          <w:lang w:bidi="fa-IR"/>
        </w:rPr>
        <w:t xml:space="preserve"> and shows that implementing the </w:t>
      </w:r>
      <w:r w:rsidR="00420D66">
        <w:rPr>
          <w:lang w:bidi="fa-IR"/>
        </w:rPr>
        <w:t>regulatory o</w:t>
      </w:r>
      <w:r>
        <w:rPr>
          <w:lang w:bidi="fa-IR"/>
        </w:rPr>
        <w:t xml:space="preserve">ptions </w:t>
      </w:r>
      <w:r w:rsidR="00E640A2">
        <w:rPr>
          <w:lang w:bidi="fa-IR"/>
        </w:rPr>
        <w:t>result in</w:t>
      </w:r>
      <w:r>
        <w:rPr>
          <w:lang w:bidi="fa-IR"/>
        </w:rPr>
        <w:t xml:space="preserve"> a significant net cost to the community. </w:t>
      </w:r>
    </w:p>
    <w:p w14:paraId="31A6DC7D" w14:textId="2E255DF2" w:rsidR="0001348D" w:rsidRDefault="00076C9B" w:rsidP="0001348D">
      <w:pPr>
        <w:pStyle w:val="Caption"/>
      </w:pPr>
      <w:bookmarkStart w:id="20" w:name="_Toc70505490"/>
      <w:r>
        <w:t>3</w:t>
      </w:r>
      <w:r w:rsidR="0001348D">
        <w:tab/>
        <w:t>Estimated net impact</w:t>
      </w:r>
      <w:bookmarkEnd w:id="20"/>
    </w:p>
    <w:tbl>
      <w:tblPr>
        <w:tblW w:w="7656" w:type="dxa"/>
        <w:tblLayout w:type="fixed"/>
        <w:tblLook w:val="04A0" w:firstRow="1" w:lastRow="0" w:firstColumn="1" w:lastColumn="0" w:noHBand="0" w:noVBand="1"/>
        <w:tblCaption w:val="Table 3: Estimated net impact"/>
        <w:tblDescription w:val="Table 3 details the results of the cost-benefit analysis. Each Option is calculated in the labelled column. The benefits are calculated based on how well each option addresses the problems associated with accessibility (the same problems listed in tables 1 and 2). The costs are the estimated construction costs. Both costs and benefits are considered over a 10 year period, and assume accessible houses have a life of 40 years. By subtracting the costs from the benefits, a net benefit/cost figure is reached. A negative figure shows that costs exceed benefits. The benefit-cost ratio is calculated by dividing the benefits by the costs. A benefit-cost ratio of less than 1 means the costs to the community is larger than the benefits. A benefit-cost ratio of more than 1 means the benefits are greater than the cost. Table 3 shows that Options 1 – 4 have greater costs than benefits."/>
      </w:tblPr>
      <w:tblGrid>
        <w:gridCol w:w="3402"/>
        <w:gridCol w:w="993"/>
        <w:gridCol w:w="1134"/>
        <w:gridCol w:w="1134"/>
        <w:gridCol w:w="993"/>
      </w:tblGrid>
      <w:tr w:rsidR="0001348D" w:rsidRPr="00233C02" w14:paraId="4C889828" w14:textId="77777777" w:rsidTr="00B452B9">
        <w:trPr>
          <w:trHeight w:val="439"/>
          <w:tblHeader/>
        </w:trPr>
        <w:tc>
          <w:tcPr>
            <w:tcW w:w="3402" w:type="dxa"/>
            <w:tcBorders>
              <w:top w:val="nil"/>
              <w:left w:val="nil"/>
              <w:bottom w:val="single" w:sz="8" w:space="0" w:color="FFFFFF" w:themeColor="background1"/>
              <w:right w:val="nil"/>
            </w:tcBorders>
            <w:shd w:val="clear" w:color="auto" w:fill="6F6652"/>
            <w:tcMar>
              <w:top w:w="0" w:type="dxa"/>
              <w:left w:w="57" w:type="dxa"/>
              <w:bottom w:w="0" w:type="dxa"/>
              <w:right w:w="57" w:type="dxa"/>
            </w:tcMar>
          </w:tcPr>
          <w:p w14:paraId="69656932" w14:textId="77777777" w:rsidR="0001348D" w:rsidRPr="00233C02" w:rsidRDefault="008A3E2C">
            <w:pPr>
              <w:pStyle w:val="TableDataColumnHeading"/>
              <w:jc w:val="left"/>
            </w:pPr>
            <w:r>
              <w:t>Impact</w:t>
            </w:r>
          </w:p>
        </w:tc>
        <w:tc>
          <w:tcPr>
            <w:tcW w:w="99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2818F6F" w14:textId="77777777" w:rsidR="0001348D" w:rsidRPr="00233C02" w:rsidRDefault="0001348D">
            <w:pPr>
              <w:pStyle w:val="TableDataColumnHeading"/>
              <w:jc w:val="center"/>
              <w:rPr>
                <w:szCs w:val="16"/>
              </w:rPr>
            </w:pPr>
            <w:r w:rsidRPr="00233C02">
              <w:rPr>
                <w:szCs w:val="16"/>
              </w:rPr>
              <w:t xml:space="preserve">Silver - Option 1 </w:t>
            </w:r>
            <w:r w:rsidRPr="00233C02">
              <w:rPr>
                <w:szCs w:val="16"/>
              </w:rPr>
              <w:br/>
              <w:t>($ million)</w:t>
            </w:r>
          </w:p>
        </w:tc>
        <w:tc>
          <w:tcPr>
            <w:tcW w:w="1134"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F688138" w14:textId="77777777" w:rsidR="0001348D" w:rsidRPr="00233C02" w:rsidRDefault="0001348D">
            <w:pPr>
              <w:pStyle w:val="TableDataColumnHeading"/>
              <w:jc w:val="center"/>
              <w:rPr>
                <w:szCs w:val="16"/>
              </w:rPr>
            </w:pPr>
            <w:r w:rsidRPr="00233C02">
              <w:rPr>
                <w:szCs w:val="16"/>
              </w:rPr>
              <w:t xml:space="preserve">Gold - Option 2 </w:t>
            </w:r>
            <w:r w:rsidRPr="00233C02">
              <w:rPr>
                <w:szCs w:val="16"/>
              </w:rPr>
              <w:br/>
              <w:t>($ million)</w:t>
            </w:r>
          </w:p>
        </w:tc>
        <w:tc>
          <w:tcPr>
            <w:tcW w:w="1134"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73230C4" w14:textId="77777777" w:rsidR="0001348D" w:rsidRPr="00233C02" w:rsidRDefault="0001348D">
            <w:pPr>
              <w:pStyle w:val="TableDataColumnHeading"/>
              <w:jc w:val="center"/>
              <w:rPr>
                <w:szCs w:val="16"/>
              </w:rPr>
            </w:pPr>
            <w:r w:rsidRPr="00233C02">
              <w:rPr>
                <w:szCs w:val="16"/>
              </w:rPr>
              <w:t xml:space="preserve">Gold+ Option 3 </w:t>
            </w:r>
            <w:r w:rsidRPr="00233C02">
              <w:rPr>
                <w:szCs w:val="16"/>
              </w:rPr>
              <w:br/>
              <w:t>($ million)</w:t>
            </w:r>
          </w:p>
        </w:tc>
        <w:tc>
          <w:tcPr>
            <w:tcW w:w="99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B858692" w14:textId="77777777" w:rsidR="0001348D" w:rsidRPr="00233C02" w:rsidRDefault="0001348D">
            <w:pPr>
              <w:pStyle w:val="TableDataColumnHeading"/>
              <w:jc w:val="center"/>
              <w:rPr>
                <w:szCs w:val="16"/>
              </w:rPr>
            </w:pPr>
            <w:r w:rsidRPr="00233C02">
              <w:rPr>
                <w:szCs w:val="16"/>
              </w:rPr>
              <w:t xml:space="preserve">Gold for apartments Option 4 </w:t>
            </w:r>
            <w:r w:rsidRPr="00233C02">
              <w:rPr>
                <w:szCs w:val="16"/>
              </w:rPr>
              <w:br/>
              <w:t>($ million)</w:t>
            </w:r>
          </w:p>
        </w:tc>
      </w:tr>
      <w:tr w:rsidR="0001348D" w14:paraId="34333D92"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2F421FF5" w14:textId="77777777" w:rsidR="0001348D" w:rsidRDefault="0001348D">
            <w:pPr>
              <w:pStyle w:val="TableHeading1"/>
            </w:pPr>
            <w:r>
              <w:t>Benefits</w:t>
            </w:r>
          </w:p>
        </w:tc>
        <w:tc>
          <w:tcPr>
            <w:tcW w:w="993"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16D0C349" w14:textId="77777777" w:rsidR="0001348D" w:rsidRDefault="0001348D">
            <w:pPr>
              <w:pStyle w:val="TableHeading1"/>
              <w:rPr>
                <w:szCs w:val="16"/>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61E093B8" w14:textId="77777777" w:rsidR="0001348D" w:rsidRDefault="0001348D">
            <w:pPr>
              <w:pStyle w:val="TableHeading1"/>
              <w:rPr>
                <w:szCs w:val="16"/>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F8FEFA1" w14:textId="77777777" w:rsidR="0001348D" w:rsidRDefault="0001348D">
            <w:pPr>
              <w:pStyle w:val="TableHeading1"/>
              <w:rPr>
                <w:szCs w:val="16"/>
              </w:rPr>
            </w:pPr>
          </w:p>
        </w:tc>
        <w:tc>
          <w:tcPr>
            <w:tcW w:w="993"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4FE8E202" w14:textId="77777777" w:rsidR="0001348D" w:rsidRDefault="0001348D">
            <w:pPr>
              <w:pStyle w:val="TableHeading1"/>
              <w:rPr>
                <w:szCs w:val="16"/>
              </w:rPr>
            </w:pPr>
          </w:p>
        </w:tc>
      </w:tr>
      <w:tr w:rsidR="0001348D" w14:paraId="4561203A"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CCDD186" w14:textId="77777777" w:rsidR="0001348D" w:rsidRDefault="0001348D">
            <w:pPr>
              <w:pStyle w:val="TableDataEntries"/>
              <w:jc w:val="left"/>
            </w:pPr>
            <w:r>
              <w:t>Avoided safety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EEBC018" w14:textId="77777777" w:rsidR="0001348D" w:rsidRDefault="0001348D">
            <w:pPr>
              <w:pStyle w:val="TableDataEntries"/>
              <w:rPr>
                <w:szCs w:val="16"/>
              </w:rPr>
            </w:pPr>
            <w:r>
              <w:rPr>
                <w:szCs w:val="16"/>
              </w:rPr>
              <w:t xml:space="preserve"> 99.16</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5353E52" w14:textId="77777777" w:rsidR="0001348D" w:rsidRDefault="0001348D">
            <w:pPr>
              <w:pStyle w:val="TableDataEntries"/>
              <w:rPr>
                <w:szCs w:val="16"/>
              </w:rPr>
            </w:pPr>
            <w:r>
              <w:rPr>
                <w:szCs w:val="16"/>
              </w:rPr>
              <w:t xml:space="preserve"> 164.05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6A4B551" w14:textId="77777777" w:rsidR="0001348D" w:rsidRDefault="0001348D">
            <w:pPr>
              <w:pStyle w:val="TableDataEntries"/>
              <w:rPr>
                <w:szCs w:val="16"/>
              </w:rPr>
            </w:pPr>
            <w:r>
              <w:rPr>
                <w:szCs w:val="16"/>
              </w:rPr>
              <w:t xml:space="preserve"> 164.64</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7CCC2FC" w14:textId="77777777" w:rsidR="0001348D" w:rsidRDefault="0001348D">
            <w:pPr>
              <w:pStyle w:val="TableDataEntries"/>
              <w:rPr>
                <w:szCs w:val="16"/>
              </w:rPr>
            </w:pPr>
            <w:r>
              <w:rPr>
                <w:szCs w:val="16"/>
              </w:rPr>
              <w:t xml:space="preserve"> 64.35</w:t>
            </w:r>
          </w:p>
        </w:tc>
      </w:tr>
      <w:tr w:rsidR="0001348D" w14:paraId="1B513303"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1E3360" w14:textId="77777777" w:rsidR="0001348D" w:rsidRDefault="0001348D">
            <w:pPr>
              <w:pStyle w:val="TableDataEntries"/>
              <w:jc w:val="left"/>
            </w:pPr>
            <w:r>
              <w:t>Avoided carer-related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3A5CFB4" w14:textId="77777777" w:rsidR="0001348D" w:rsidRDefault="0001348D">
            <w:pPr>
              <w:pStyle w:val="TableDataEntries"/>
              <w:rPr>
                <w:szCs w:val="16"/>
              </w:rPr>
            </w:pPr>
            <w:r>
              <w:rPr>
                <w:szCs w:val="16"/>
              </w:rPr>
              <w:t xml:space="preserve"> 590.80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B1E0075" w14:textId="77777777" w:rsidR="0001348D" w:rsidRDefault="0001348D">
            <w:pPr>
              <w:pStyle w:val="TableDataEntries"/>
              <w:rPr>
                <w:szCs w:val="16"/>
              </w:rPr>
            </w:pPr>
            <w:r>
              <w:rPr>
                <w:szCs w:val="16"/>
              </w:rPr>
              <w:t xml:space="preserve"> 998.90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9048110" w14:textId="77777777" w:rsidR="0001348D" w:rsidRDefault="0001348D">
            <w:pPr>
              <w:pStyle w:val="TableDataEntries"/>
              <w:rPr>
                <w:szCs w:val="16"/>
              </w:rPr>
            </w:pPr>
            <w:r>
              <w:rPr>
                <w:szCs w:val="16"/>
              </w:rPr>
              <w:t>1 002.47</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CD826B1" w14:textId="77777777" w:rsidR="0001348D" w:rsidRDefault="0001348D">
            <w:pPr>
              <w:pStyle w:val="TableDataEntries"/>
              <w:rPr>
                <w:szCs w:val="16"/>
              </w:rPr>
            </w:pPr>
            <w:r>
              <w:rPr>
                <w:szCs w:val="16"/>
              </w:rPr>
              <w:t xml:space="preserve"> 391.79</w:t>
            </w:r>
          </w:p>
        </w:tc>
      </w:tr>
      <w:tr w:rsidR="0001348D" w14:paraId="353693E0"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1EC459" w14:textId="77777777" w:rsidR="0001348D" w:rsidRDefault="0001348D">
            <w:pPr>
              <w:pStyle w:val="TableDataEntries"/>
              <w:jc w:val="left"/>
            </w:pPr>
            <w:r>
              <w:t>Quality of life improvements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85F3E08" w14:textId="77777777" w:rsidR="0001348D" w:rsidRDefault="0001348D">
            <w:pPr>
              <w:pStyle w:val="TableDataEntries"/>
              <w:rPr>
                <w:szCs w:val="16"/>
              </w:rPr>
            </w:pPr>
            <w:r>
              <w:rPr>
                <w:szCs w:val="16"/>
              </w:rPr>
              <w:t>1 173.43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8DB9F7B" w14:textId="77777777" w:rsidR="0001348D" w:rsidRDefault="0001348D">
            <w:pPr>
              <w:pStyle w:val="TableDataEntries"/>
              <w:rPr>
                <w:szCs w:val="16"/>
              </w:rPr>
            </w:pPr>
            <w:r>
              <w:rPr>
                <w:szCs w:val="16"/>
              </w:rPr>
              <w:t>2 036.32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C822512" w14:textId="77777777" w:rsidR="0001348D" w:rsidRDefault="0001348D">
            <w:pPr>
              <w:pStyle w:val="TableDataEntries"/>
              <w:rPr>
                <w:szCs w:val="16"/>
              </w:rPr>
            </w:pPr>
            <w:r>
              <w:rPr>
                <w:szCs w:val="16"/>
              </w:rPr>
              <w:t>2 043.59</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7D51941" w14:textId="77777777" w:rsidR="0001348D" w:rsidRDefault="0001348D">
            <w:pPr>
              <w:pStyle w:val="TableDataEntries"/>
              <w:rPr>
                <w:szCs w:val="16"/>
              </w:rPr>
            </w:pPr>
            <w:r>
              <w:rPr>
                <w:szCs w:val="16"/>
              </w:rPr>
              <w:t xml:space="preserve"> 798.70</w:t>
            </w:r>
          </w:p>
        </w:tc>
      </w:tr>
      <w:tr w:rsidR="0001348D" w14:paraId="1FF8CCC9"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D3DA3C" w14:textId="77777777" w:rsidR="0001348D" w:rsidRDefault="0001348D">
            <w:pPr>
              <w:pStyle w:val="TableDataEntries"/>
              <w:jc w:val="left"/>
            </w:pPr>
            <w:r>
              <w:t>Avoided time in hospital/transition care</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F67EBD1" w14:textId="77777777" w:rsidR="0001348D" w:rsidRDefault="0001348D">
            <w:pPr>
              <w:pStyle w:val="TableDataEntries"/>
              <w:rPr>
                <w:szCs w:val="16"/>
              </w:rPr>
            </w:pPr>
            <w:r>
              <w:rPr>
                <w:szCs w:val="16"/>
              </w:rPr>
              <w:t xml:space="preserve"> 151.13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0CE775B" w14:textId="77777777" w:rsidR="0001348D" w:rsidRDefault="0001348D">
            <w:pPr>
              <w:pStyle w:val="TableDataEntries"/>
              <w:rPr>
                <w:szCs w:val="16"/>
              </w:rPr>
            </w:pPr>
            <w:r>
              <w:rPr>
                <w:szCs w:val="16"/>
              </w:rPr>
              <w:t xml:space="preserve"> 249.68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BC5D45F" w14:textId="77777777" w:rsidR="0001348D" w:rsidRDefault="0001348D">
            <w:pPr>
              <w:pStyle w:val="TableDataEntries"/>
              <w:rPr>
                <w:szCs w:val="16"/>
              </w:rPr>
            </w:pPr>
            <w:r>
              <w:rPr>
                <w:szCs w:val="16"/>
              </w:rPr>
              <w:t xml:space="preserve"> 250.57</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F711329" w14:textId="77777777" w:rsidR="0001348D" w:rsidRDefault="0001348D">
            <w:pPr>
              <w:pStyle w:val="TableDataEntries"/>
              <w:rPr>
                <w:szCs w:val="16"/>
              </w:rPr>
            </w:pPr>
            <w:r>
              <w:rPr>
                <w:szCs w:val="16"/>
              </w:rPr>
              <w:t xml:space="preserve"> 97.93</w:t>
            </w:r>
          </w:p>
        </w:tc>
      </w:tr>
      <w:tr w:rsidR="0001348D" w14:paraId="16784440"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D4FA09" w14:textId="77777777" w:rsidR="0001348D" w:rsidRDefault="0001348D">
            <w:pPr>
              <w:pStyle w:val="TableDataEntries"/>
              <w:jc w:val="left"/>
            </w:pPr>
            <w:r>
              <w:t>Avoided home modifications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388FBE4" w14:textId="77777777" w:rsidR="0001348D" w:rsidRDefault="0001348D">
            <w:pPr>
              <w:pStyle w:val="TableDataEntries"/>
              <w:rPr>
                <w:szCs w:val="16"/>
              </w:rPr>
            </w:pPr>
            <w:r>
              <w:rPr>
                <w:szCs w:val="16"/>
              </w:rPr>
              <w:t xml:space="preserve"> 341.89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93444C0" w14:textId="77777777" w:rsidR="0001348D" w:rsidRDefault="0001348D">
            <w:pPr>
              <w:pStyle w:val="TableDataEntries"/>
              <w:rPr>
                <w:szCs w:val="16"/>
              </w:rPr>
            </w:pPr>
            <w:r>
              <w:rPr>
                <w:szCs w:val="16"/>
              </w:rPr>
              <w:t xml:space="preserve"> 530.95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53E5B4E" w14:textId="77777777" w:rsidR="0001348D" w:rsidRDefault="0001348D">
            <w:pPr>
              <w:pStyle w:val="TableDataEntries"/>
              <w:rPr>
                <w:szCs w:val="16"/>
              </w:rPr>
            </w:pPr>
            <w:r>
              <w:rPr>
                <w:szCs w:val="16"/>
              </w:rPr>
              <w:t xml:space="preserve"> 532.85</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441AC34" w14:textId="77777777" w:rsidR="0001348D" w:rsidRDefault="0001348D">
            <w:pPr>
              <w:pStyle w:val="TableDataEntries"/>
              <w:rPr>
                <w:szCs w:val="16"/>
              </w:rPr>
            </w:pPr>
            <w:r>
              <w:rPr>
                <w:szCs w:val="16"/>
              </w:rPr>
              <w:t xml:space="preserve"> 208.25</w:t>
            </w:r>
          </w:p>
        </w:tc>
      </w:tr>
      <w:tr w:rsidR="0001348D" w14:paraId="1865A085"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DEFA62" w14:textId="77777777" w:rsidR="0001348D" w:rsidRDefault="0001348D">
            <w:pPr>
              <w:pStyle w:val="TableDataEntries"/>
              <w:jc w:val="left"/>
            </w:pPr>
            <w:r>
              <w:t>Avoided moving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B383EBE" w14:textId="77777777" w:rsidR="0001348D" w:rsidRDefault="0001348D">
            <w:pPr>
              <w:pStyle w:val="TableDataEntries"/>
              <w:rPr>
                <w:szCs w:val="16"/>
              </w:rPr>
            </w:pPr>
            <w:r>
              <w:rPr>
                <w:szCs w:val="16"/>
              </w:rPr>
              <w:t xml:space="preserve"> 95.43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7CBE141" w14:textId="77777777" w:rsidR="0001348D" w:rsidRDefault="0001348D">
            <w:pPr>
              <w:pStyle w:val="TableDataEntries"/>
              <w:rPr>
                <w:szCs w:val="16"/>
              </w:rPr>
            </w:pPr>
            <w:r>
              <w:rPr>
                <w:szCs w:val="16"/>
              </w:rPr>
              <w:t xml:space="preserve"> 172.33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38D598D" w14:textId="77777777" w:rsidR="0001348D" w:rsidRDefault="0001348D">
            <w:pPr>
              <w:pStyle w:val="TableDataEntries"/>
              <w:rPr>
                <w:szCs w:val="16"/>
              </w:rPr>
            </w:pPr>
            <w:r>
              <w:rPr>
                <w:szCs w:val="16"/>
              </w:rPr>
              <w:t xml:space="preserve"> 172.94</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0B12F05" w14:textId="77777777" w:rsidR="0001348D" w:rsidRDefault="0001348D">
            <w:pPr>
              <w:pStyle w:val="TableDataEntries"/>
              <w:rPr>
                <w:szCs w:val="16"/>
              </w:rPr>
            </w:pPr>
            <w:r>
              <w:rPr>
                <w:szCs w:val="16"/>
              </w:rPr>
              <w:t xml:space="preserve"> 67.59</w:t>
            </w:r>
          </w:p>
        </w:tc>
      </w:tr>
      <w:tr w:rsidR="0001348D" w14:paraId="5A2FCBA1"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CBCFA8" w14:textId="77777777" w:rsidR="0001348D" w:rsidRDefault="0001348D">
            <w:pPr>
              <w:pStyle w:val="TableDataEntries"/>
              <w:jc w:val="left"/>
            </w:pPr>
            <w:r>
              <w:t xml:space="preserve">Avoided entry into </w:t>
            </w:r>
            <w:r w:rsidR="00FD44B7">
              <w:t xml:space="preserve">residential </w:t>
            </w:r>
            <w:r>
              <w:t>aged care</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EEA227E" w14:textId="77777777" w:rsidR="0001348D" w:rsidRDefault="0001348D">
            <w:pPr>
              <w:pStyle w:val="TableDataEntries"/>
              <w:rPr>
                <w:szCs w:val="16"/>
              </w:rPr>
            </w:pPr>
            <w:r>
              <w:rPr>
                <w:szCs w:val="16"/>
              </w:rPr>
              <w:t xml:space="preserve"> 75.85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73A1A08" w14:textId="77777777" w:rsidR="0001348D" w:rsidRDefault="0001348D">
            <w:pPr>
              <w:pStyle w:val="TableDataEntries"/>
              <w:rPr>
                <w:szCs w:val="16"/>
              </w:rPr>
            </w:pPr>
            <w:r>
              <w:rPr>
                <w:szCs w:val="16"/>
              </w:rPr>
              <w:t xml:space="preserve"> 218.25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B059213" w14:textId="77777777" w:rsidR="0001348D" w:rsidRDefault="0001348D">
            <w:pPr>
              <w:pStyle w:val="TableDataEntries"/>
              <w:rPr>
                <w:szCs w:val="16"/>
              </w:rPr>
            </w:pPr>
            <w:r>
              <w:rPr>
                <w:szCs w:val="16"/>
              </w:rPr>
              <w:t xml:space="preserve"> 219.02</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FC1D5B1" w14:textId="77777777" w:rsidR="0001348D" w:rsidRDefault="0001348D">
            <w:pPr>
              <w:pStyle w:val="TableDataEntries"/>
              <w:rPr>
                <w:szCs w:val="16"/>
              </w:rPr>
            </w:pPr>
            <w:r>
              <w:rPr>
                <w:szCs w:val="16"/>
              </w:rPr>
              <w:t xml:space="preserve"> 85.57</w:t>
            </w:r>
          </w:p>
        </w:tc>
      </w:tr>
      <w:tr w:rsidR="0001348D" w14:paraId="253602E3"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A3C1A4" w14:textId="77777777" w:rsidR="0001348D" w:rsidRDefault="0001348D">
            <w:pPr>
              <w:pStyle w:val="TableDataEntries"/>
              <w:jc w:val="left"/>
            </w:pPr>
            <w:r>
              <w:t>Visitability benefits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348AED6" w14:textId="77777777" w:rsidR="0001348D" w:rsidRDefault="0001348D">
            <w:pPr>
              <w:pStyle w:val="TableDataEntries"/>
              <w:rPr>
                <w:szCs w:val="16"/>
              </w:rPr>
            </w:pPr>
            <w:r>
              <w:rPr>
                <w:szCs w:val="16"/>
              </w:rPr>
              <w:t xml:space="preserve"> 112.79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667FDC5" w14:textId="77777777" w:rsidR="0001348D" w:rsidRDefault="0001348D">
            <w:pPr>
              <w:pStyle w:val="TableDataEntries"/>
              <w:rPr>
                <w:szCs w:val="16"/>
              </w:rPr>
            </w:pPr>
            <w:r>
              <w:rPr>
                <w:szCs w:val="16"/>
              </w:rPr>
              <w:t xml:space="preserve"> 147.48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E7F209F" w14:textId="77777777" w:rsidR="0001348D" w:rsidRDefault="0001348D">
            <w:pPr>
              <w:pStyle w:val="TableDataEntries"/>
              <w:rPr>
                <w:szCs w:val="16"/>
              </w:rPr>
            </w:pPr>
            <w:r>
              <w:rPr>
                <w:szCs w:val="16"/>
              </w:rPr>
              <w:t xml:space="preserve"> 148.01</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E134B20" w14:textId="77777777" w:rsidR="0001348D" w:rsidRDefault="0001348D">
            <w:pPr>
              <w:pStyle w:val="TableDataEntries"/>
              <w:rPr>
                <w:szCs w:val="16"/>
              </w:rPr>
            </w:pPr>
            <w:r>
              <w:rPr>
                <w:szCs w:val="16"/>
              </w:rPr>
              <w:t xml:space="preserve"> 33.78</w:t>
            </w:r>
          </w:p>
        </w:tc>
      </w:tr>
      <w:tr w:rsidR="0001348D" w14:paraId="53E53EDF"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198666" w14:textId="77777777" w:rsidR="0001348D" w:rsidRDefault="0001348D">
            <w:pPr>
              <w:pStyle w:val="TableDataEntries"/>
              <w:jc w:val="left"/>
            </w:pPr>
            <w:r>
              <w:t>Benefits for families with young dependants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245B8EC" w14:textId="77777777" w:rsidR="0001348D" w:rsidRDefault="0001348D">
            <w:pPr>
              <w:pStyle w:val="TableDataEntries"/>
              <w:rPr>
                <w:szCs w:val="16"/>
              </w:rPr>
            </w:pPr>
            <w:r>
              <w:rPr>
                <w:szCs w:val="16"/>
              </w:rPr>
              <w:t xml:space="preserve"> 0.86</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7D3DC3F" w14:textId="77777777" w:rsidR="0001348D" w:rsidRDefault="0001348D">
            <w:pPr>
              <w:pStyle w:val="TableDataEntries"/>
              <w:rPr>
                <w:szCs w:val="16"/>
              </w:rPr>
            </w:pPr>
            <w:r>
              <w:rPr>
                <w:szCs w:val="16"/>
              </w:rPr>
              <w:t xml:space="preserve"> 1.13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5B544AB" w14:textId="77777777" w:rsidR="0001348D" w:rsidRDefault="0001348D">
            <w:pPr>
              <w:pStyle w:val="TableDataEntries"/>
              <w:rPr>
                <w:szCs w:val="16"/>
              </w:rPr>
            </w:pPr>
            <w:r>
              <w:rPr>
                <w:szCs w:val="16"/>
              </w:rPr>
              <w:t xml:space="preserve"> 1.13</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6180E31" w14:textId="77777777" w:rsidR="0001348D" w:rsidRDefault="0001348D">
            <w:pPr>
              <w:pStyle w:val="TableDataEntries"/>
              <w:rPr>
                <w:szCs w:val="16"/>
              </w:rPr>
            </w:pPr>
            <w:r>
              <w:rPr>
                <w:szCs w:val="16"/>
              </w:rPr>
              <w:t xml:space="preserve"> 0.26</w:t>
            </w:r>
          </w:p>
        </w:tc>
      </w:tr>
      <w:tr w:rsidR="0001348D" w14:paraId="4F247544"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CA9DF62" w14:textId="77777777" w:rsidR="0001348D" w:rsidRDefault="0001348D">
            <w:pPr>
              <w:pStyle w:val="TableDataEntries"/>
              <w:jc w:val="left"/>
            </w:pPr>
            <w:r>
              <w:t>Benefits for short-term injuries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BEB7B6F" w14:textId="77777777" w:rsidR="0001348D" w:rsidRDefault="0001348D">
            <w:pPr>
              <w:pStyle w:val="TableDataEntries"/>
              <w:rPr>
                <w:szCs w:val="16"/>
              </w:rPr>
            </w:pPr>
            <w:r>
              <w:rPr>
                <w:szCs w:val="16"/>
              </w:rPr>
              <w:t xml:space="preserve"> 39.15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3EB1A14" w14:textId="77777777" w:rsidR="0001348D" w:rsidRDefault="0001348D">
            <w:pPr>
              <w:pStyle w:val="TableDataEntries"/>
              <w:rPr>
                <w:szCs w:val="16"/>
              </w:rPr>
            </w:pPr>
            <w:r>
              <w:rPr>
                <w:szCs w:val="16"/>
              </w:rPr>
              <w:t xml:space="preserve"> 51.19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D54596A" w14:textId="77777777" w:rsidR="0001348D" w:rsidRDefault="0001348D">
            <w:pPr>
              <w:pStyle w:val="TableDataEntries"/>
              <w:rPr>
                <w:szCs w:val="16"/>
              </w:rPr>
            </w:pPr>
            <w:r>
              <w:rPr>
                <w:szCs w:val="16"/>
              </w:rPr>
              <w:t xml:space="preserve"> 51.37</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7F723C8" w14:textId="77777777" w:rsidR="0001348D" w:rsidRDefault="0001348D">
            <w:pPr>
              <w:pStyle w:val="TableDataEntries"/>
              <w:rPr>
                <w:szCs w:val="16"/>
              </w:rPr>
            </w:pPr>
            <w:r>
              <w:rPr>
                <w:szCs w:val="16"/>
              </w:rPr>
              <w:t xml:space="preserve"> 11.73</w:t>
            </w:r>
          </w:p>
        </w:tc>
      </w:tr>
      <w:tr w:rsidR="0001348D" w14:paraId="6933FBF1"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B381BA" w14:textId="77777777" w:rsidR="0001348D" w:rsidRDefault="0001348D">
            <w:pPr>
              <w:pStyle w:val="TableDataEntries"/>
              <w:jc w:val="left"/>
              <w:rPr>
                <w:rFonts w:ascii="Franklin Gothic Demi" w:hAnsi="Franklin Gothic Demi"/>
              </w:rPr>
            </w:pPr>
            <w:r>
              <w:rPr>
                <w:rFonts w:ascii="Franklin Gothic Demi" w:hAnsi="Franklin Gothic Demi"/>
              </w:rPr>
              <w:t>Total benefits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584961C" w14:textId="77777777" w:rsidR="0001348D" w:rsidRDefault="0001348D">
            <w:pPr>
              <w:pStyle w:val="TableDataEntries"/>
              <w:rPr>
                <w:rFonts w:ascii="Franklin Gothic Demi" w:hAnsi="Franklin Gothic Demi"/>
                <w:szCs w:val="16"/>
              </w:rPr>
            </w:pPr>
            <w:r>
              <w:rPr>
                <w:rFonts w:ascii="Franklin Gothic Demi" w:hAnsi="Franklin Gothic Demi"/>
                <w:szCs w:val="16"/>
              </w:rPr>
              <w:t>2 680.50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A7F8C56" w14:textId="77777777" w:rsidR="0001348D" w:rsidRDefault="0001348D">
            <w:pPr>
              <w:pStyle w:val="TableDataEntries"/>
              <w:rPr>
                <w:rFonts w:ascii="Franklin Gothic Demi" w:hAnsi="Franklin Gothic Demi"/>
                <w:szCs w:val="16"/>
              </w:rPr>
            </w:pPr>
            <w:r>
              <w:rPr>
                <w:rFonts w:ascii="Franklin Gothic Demi" w:hAnsi="Franklin Gothic Demi"/>
                <w:szCs w:val="16"/>
              </w:rPr>
              <w:t>4 570.28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A3782C1" w14:textId="77777777" w:rsidR="0001348D" w:rsidRDefault="0001348D">
            <w:pPr>
              <w:pStyle w:val="TableDataEntries"/>
              <w:rPr>
                <w:rFonts w:ascii="Franklin Gothic Demi" w:hAnsi="Franklin Gothic Demi"/>
                <w:szCs w:val="16"/>
              </w:rPr>
            </w:pPr>
            <w:r>
              <w:rPr>
                <w:rFonts w:ascii="Franklin Gothic Demi" w:hAnsi="Franklin Gothic Demi"/>
                <w:szCs w:val="16"/>
              </w:rPr>
              <w:t>4 586.61</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E9FF2D7" w14:textId="77777777" w:rsidR="0001348D" w:rsidRDefault="0001348D">
            <w:pPr>
              <w:pStyle w:val="TableDataEntries"/>
              <w:rPr>
                <w:rFonts w:ascii="Franklin Gothic Demi" w:hAnsi="Franklin Gothic Demi"/>
                <w:szCs w:val="16"/>
              </w:rPr>
            </w:pPr>
            <w:r>
              <w:rPr>
                <w:rFonts w:ascii="Franklin Gothic Demi" w:hAnsi="Franklin Gothic Demi"/>
                <w:szCs w:val="16"/>
              </w:rPr>
              <w:t>1 759.95</w:t>
            </w:r>
          </w:p>
        </w:tc>
      </w:tr>
      <w:tr w:rsidR="0001348D" w14:paraId="6B554E61"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0A554497" w14:textId="77777777" w:rsidR="0001348D" w:rsidRDefault="0001348D">
            <w:pPr>
              <w:pStyle w:val="TableHeading1"/>
            </w:pPr>
            <w:r>
              <w:t>Costs</w:t>
            </w:r>
          </w:p>
        </w:tc>
        <w:tc>
          <w:tcPr>
            <w:tcW w:w="993"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vAlign w:val="bottom"/>
          </w:tcPr>
          <w:p w14:paraId="043507E3" w14:textId="77777777" w:rsidR="0001348D" w:rsidRDefault="0001348D">
            <w:pPr>
              <w:pStyle w:val="TableDataEntries"/>
              <w:rPr>
                <w:szCs w:val="16"/>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vAlign w:val="bottom"/>
          </w:tcPr>
          <w:p w14:paraId="017C3755" w14:textId="77777777" w:rsidR="0001348D" w:rsidRDefault="0001348D">
            <w:pPr>
              <w:pStyle w:val="TableDataEntries"/>
              <w:rPr>
                <w:szCs w:val="16"/>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vAlign w:val="bottom"/>
          </w:tcPr>
          <w:p w14:paraId="15635D45" w14:textId="77777777" w:rsidR="0001348D" w:rsidRDefault="0001348D">
            <w:pPr>
              <w:pStyle w:val="TableDataEntries"/>
              <w:rPr>
                <w:szCs w:val="16"/>
              </w:rPr>
            </w:pPr>
          </w:p>
        </w:tc>
        <w:tc>
          <w:tcPr>
            <w:tcW w:w="993"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vAlign w:val="bottom"/>
          </w:tcPr>
          <w:p w14:paraId="1FFDEC0C" w14:textId="77777777" w:rsidR="0001348D" w:rsidRDefault="0001348D">
            <w:pPr>
              <w:pStyle w:val="TableDataEntries"/>
              <w:rPr>
                <w:szCs w:val="16"/>
              </w:rPr>
            </w:pPr>
          </w:p>
        </w:tc>
      </w:tr>
      <w:tr w:rsidR="0001348D" w14:paraId="07D1F20F"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2ACC268" w14:textId="77777777" w:rsidR="0001348D" w:rsidRDefault="0001348D">
            <w:pPr>
              <w:pStyle w:val="TableDataEntries"/>
              <w:jc w:val="left"/>
            </w:pPr>
            <w:r>
              <w:t>Construction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8AAE5DF" w14:textId="77777777" w:rsidR="0001348D" w:rsidRDefault="0001348D">
            <w:pPr>
              <w:pStyle w:val="TableDataEntries"/>
              <w:rPr>
                <w:szCs w:val="16"/>
              </w:rPr>
            </w:pPr>
            <w:r>
              <w:rPr>
                <w:szCs w:val="16"/>
              </w:rPr>
              <w:t>-5 243.10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F4190E6" w14:textId="77777777" w:rsidR="0001348D" w:rsidRDefault="0001348D">
            <w:pPr>
              <w:pStyle w:val="TableDataEntries"/>
              <w:rPr>
                <w:szCs w:val="16"/>
              </w:rPr>
            </w:pPr>
            <w:r>
              <w:rPr>
                <w:szCs w:val="16"/>
              </w:rPr>
              <w:t>-17 906.95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160AF2F" w14:textId="77777777" w:rsidR="0001348D" w:rsidRDefault="0001348D">
            <w:pPr>
              <w:pStyle w:val="TableDataEntries"/>
              <w:rPr>
                <w:szCs w:val="16"/>
              </w:rPr>
            </w:pPr>
            <w:r>
              <w:rPr>
                <w:szCs w:val="16"/>
              </w:rPr>
              <w:t>-23 591.51</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52D5992" w14:textId="77777777" w:rsidR="0001348D" w:rsidRDefault="0001348D">
            <w:pPr>
              <w:pStyle w:val="TableDataEntries"/>
              <w:rPr>
                <w:szCs w:val="16"/>
              </w:rPr>
            </w:pPr>
            <w:r>
              <w:rPr>
                <w:szCs w:val="16"/>
              </w:rPr>
              <w:t>-4 699.84</w:t>
            </w:r>
          </w:p>
        </w:tc>
      </w:tr>
      <w:tr w:rsidR="0001348D" w14:paraId="4DDFA7BE"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C3FEFE2" w14:textId="77777777" w:rsidR="0001348D" w:rsidRDefault="0001348D">
            <w:pPr>
              <w:pStyle w:val="TableDataEntries"/>
              <w:jc w:val="left"/>
            </w:pPr>
            <w:r>
              <w:t>Opportunity cost of space</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BE2810C" w14:textId="77777777" w:rsidR="0001348D" w:rsidRDefault="0001348D">
            <w:pPr>
              <w:pStyle w:val="TableDataEntries"/>
              <w:rPr>
                <w:szCs w:val="16"/>
              </w:rPr>
            </w:pPr>
            <w:r>
              <w:rPr>
                <w:szCs w:val="16"/>
              </w:rPr>
              <w:t>-1 255.38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B7DA24C" w14:textId="77777777" w:rsidR="0001348D" w:rsidRDefault="0001348D">
            <w:pPr>
              <w:pStyle w:val="TableDataEntries"/>
              <w:rPr>
                <w:szCs w:val="16"/>
              </w:rPr>
            </w:pPr>
            <w:r>
              <w:rPr>
                <w:szCs w:val="16"/>
              </w:rPr>
              <w:t>-7 709.42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DC7F788" w14:textId="77777777" w:rsidR="0001348D" w:rsidRDefault="0001348D">
            <w:pPr>
              <w:pStyle w:val="TableDataEntries"/>
              <w:rPr>
                <w:szCs w:val="16"/>
              </w:rPr>
            </w:pPr>
            <w:r>
              <w:rPr>
                <w:szCs w:val="16"/>
              </w:rPr>
              <w:t>-9 393.51</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B6FDF8B" w14:textId="77777777" w:rsidR="0001348D" w:rsidRDefault="0001348D">
            <w:pPr>
              <w:pStyle w:val="TableDataEntries"/>
              <w:rPr>
                <w:szCs w:val="16"/>
              </w:rPr>
            </w:pPr>
            <w:r>
              <w:rPr>
                <w:szCs w:val="16"/>
              </w:rPr>
              <w:t>-7 596.93</w:t>
            </w:r>
          </w:p>
        </w:tc>
      </w:tr>
      <w:tr w:rsidR="0001348D" w14:paraId="260F25E0"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331278" w14:textId="77777777" w:rsidR="0001348D" w:rsidRDefault="0001348D">
            <w:pPr>
              <w:pStyle w:val="TableDataEntries"/>
              <w:jc w:val="left"/>
            </w:pPr>
            <w:r>
              <w:t>Compliance verification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A585564" w14:textId="77777777" w:rsidR="0001348D" w:rsidRDefault="0001348D">
            <w:pPr>
              <w:pStyle w:val="TableDataEntries"/>
              <w:rPr>
                <w:szCs w:val="16"/>
              </w:rPr>
            </w:pPr>
            <w:r>
              <w:rPr>
                <w:szCs w:val="16"/>
              </w:rPr>
              <w:t>- 290.49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9D0C854" w14:textId="77777777" w:rsidR="0001348D" w:rsidRDefault="0001348D">
            <w:pPr>
              <w:pStyle w:val="TableDataEntries"/>
              <w:rPr>
                <w:szCs w:val="16"/>
              </w:rPr>
            </w:pPr>
            <w:r>
              <w:rPr>
                <w:szCs w:val="16"/>
              </w:rPr>
              <w:t>- 290.49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9A200AD" w14:textId="77777777" w:rsidR="0001348D" w:rsidRDefault="0001348D">
            <w:pPr>
              <w:pStyle w:val="TableDataEntries"/>
              <w:rPr>
                <w:szCs w:val="16"/>
              </w:rPr>
            </w:pPr>
            <w:r>
              <w:rPr>
                <w:szCs w:val="16"/>
              </w:rPr>
              <w:t>- 290.49</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700D598" w14:textId="77777777" w:rsidR="0001348D" w:rsidRDefault="0001348D">
            <w:pPr>
              <w:pStyle w:val="TableDataEntries"/>
              <w:rPr>
                <w:szCs w:val="16"/>
              </w:rPr>
            </w:pPr>
            <w:r>
              <w:rPr>
                <w:szCs w:val="16"/>
              </w:rPr>
              <w:t>- 83.82</w:t>
            </w:r>
          </w:p>
        </w:tc>
      </w:tr>
      <w:tr w:rsidR="0001348D" w14:paraId="6B80358A"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E2CCD4E" w14:textId="77777777" w:rsidR="0001348D" w:rsidRDefault="0001348D">
            <w:pPr>
              <w:pStyle w:val="TableDataEntries"/>
              <w:jc w:val="left"/>
            </w:pPr>
            <w:r>
              <w:t>Industry re-training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7CCF564" w14:textId="77777777" w:rsidR="0001348D" w:rsidRDefault="0001348D">
            <w:pPr>
              <w:pStyle w:val="TableDataEntries"/>
              <w:rPr>
                <w:szCs w:val="16"/>
              </w:rPr>
            </w:pPr>
            <w:r>
              <w:rPr>
                <w:szCs w:val="16"/>
              </w:rPr>
              <w:t>- 28.47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CEEBED0" w14:textId="77777777" w:rsidR="0001348D" w:rsidRDefault="0001348D">
            <w:pPr>
              <w:pStyle w:val="TableDataEntries"/>
              <w:rPr>
                <w:szCs w:val="16"/>
              </w:rPr>
            </w:pPr>
            <w:r>
              <w:rPr>
                <w:szCs w:val="16"/>
              </w:rPr>
              <w:t>- 28.47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E1B2853" w14:textId="77777777" w:rsidR="0001348D" w:rsidRDefault="0001348D">
            <w:pPr>
              <w:pStyle w:val="TableDataEntries"/>
              <w:rPr>
                <w:szCs w:val="16"/>
              </w:rPr>
            </w:pPr>
            <w:r>
              <w:rPr>
                <w:szCs w:val="16"/>
              </w:rPr>
              <w:t>- 28.47</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2E6CE2D" w14:textId="77777777" w:rsidR="0001348D" w:rsidRDefault="0001348D">
            <w:pPr>
              <w:pStyle w:val="TableDataEntries"/>
              <w:rPr>
                <w:szCs w:val="16"/>
              </w:rPr>
            </w:pPr>
            <w:r>
              <w:rPr>
                <w:szCs w:val="16"/>
              </w:rPr>
              <w:t>- 28.47</w:t>
            </w:r>
          </w:p>
        </w:tc>
      </w:tr>
      <w:tr w:rsidR="0001348D" w14:paraId="041073D1"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92DAE2" w14:textId="77777777" w:rsidR="0001348D" w:rsidRDefault="0001348D">
            <w:pPr>
              <w:pStyle w:val="TableDataEntries"/>
              <w:jc w:val="left"/>
            </w:pPr>
            <w:r>
              <w:t>Subsidy</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CE3E24D" w14:textId="77777777" w:rsidR="0001348D" w:rsidRDefault="0001348D">
            <w:pPr>
              <w:pStyle w:val="TableDataEntries"/>
              <w:rPr>
                <w:szCs w:val="16"/>
              </w:rPr>
            </w:pPr>
            <w:r>
              <w:rPr>
                <w:szCs w:val="16"/>
              </w:rPr>
              <w:t xml:space="preserve"> 0.00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D6D616B" w14:textId="77777777" w:rsidR="0001348D" w:rsidRDefault="0001348D">
            <w:pPr>
              <w:pStyle w:val="TableDataEntries"/>
              <w:rPr>
                <w:szCs w:val="16"/>
              </w:rPr>
            </w:pPr>
            <w:r>
              <w:rPr>
                <w:szCs w:val="16"/>
              </w:rPr>
              <w:t xml:space="preserve"> 0.00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83EF741" w14:textId="77777777" w:rsidR="0001348D" w:rsidRDefault="0001348D">
            <w:pPr>
              <w:pStyle w:val="TableDataEntries"/>
              <w:rPr>
                <w:szCs w:val="16"/>
              </w:rPr>
            </w:pPr>
            <w:r>
              <w:rPr>
                <w:szCs w:val="16"/>
              </w:rPr>
              <w:t xml:space="preserve"> 0.00</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2A0209F" w14:textId="77777777" w:rsidR="0001348D" w:rsidRDefault="0001348D">
            <w:pPr>
              <w:pStyle w:val="TableDataEntries"/>
              <w:rPr>
                <w:szCs w:val="16"/>
              </w:rPr>
            </w:pPr>
            <w:r>
              <w:rPr>
                <w:szCs w:val="16"/>
              </w:rPr>
              <w:t xml:space="preserve"> 0.00</w:t>
            </w:r>
          </w:p>
        </w:tc>
      </w:tr>
      <w:tr w:rsidR="0001348D" w14:paraId="5536CDF7" w14:textId="77777777" w:rsidTr="00B452B9">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637DCBD" w14:textId="77777777" w:rsidR="0001348D" w:rsidRDefault="0001348D">
            <w:pPr>
              <w:pStyle w:val="TableDataEntries"/>
              <w:jc w:val="left"/>
              <w:rPr>
                <w:rFonts w:ascii="Franklin Gothic Demi" w:hAnsi="Franklin Gothic Demi"/>
              </w:rPr>
            </w:pPr>
            <w:r>
              <w:rPr>
                <w:rFonts w:ascii="Franklin Gothic Demi" w:hAnsi="Franklin Gothic Demi"/>
              </w:rPr>
              <w:t>Total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81C00E6" w14:textId="77777777" w:rsidR="0001348D" w:rsidRDefault="0001348D">
            <w:pPr>
              <w:pStyle w:val="TableDataEntries"/>
              <w:rPr>
                <w:rFonts w:ascii="Franklin Gothic Demi" w:hAnsi="Franklin Gothic Demi"/>
                <w:szCs w:val="16"/>
              </w:rPr>
            </w:pPr>
            <w:r>
              <w:rPr>
                <w:rFonts w:ascii="Franklin Gothic Demi" w:hAnsi="Franklin Gothic Demi"/>
                <w:szCs w:val="16"/>
              </w:rPr>
              <w:t>-6 817.44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55B40E9" w14:textId="77777777" w:rsidR="0001348D" w:rsidRDefault="0001348D">
            <w:pPr>
              <w:pStyle w:val="TableDataEntries"/>
              <w:rPr>
                <w:rFonts w:ascii="Franklin Gothic Demi" w:hAnsi="Franklin Gothic Demi"/>
                <w:szCs w:val="16"/>
              </w:rPr>
            </w:pPr>
            <w:r>
              <w:rPr>
                <w:rFonts w:ascii="Franklin Gothic Demi" w:hAnsi="Franklin Gothic Demi"/>
                <w:szCs w:val="16"/>
              </w:rPr>
              <w:t>-25 935.33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8D5FDD1" w14:textId="77777777" w:rsidR="0001348D" w:rsidRDefault="0001348D">
            <w:pPr>
              <w:pStyle w:val="TableDataEntries"/>
              <w:rPr>
                <w:rFonts w:ascii="Franklin Gothic Demi" w:hAnsi="Franklin Gothic Demi"/>
                <w:szCs w:val="16"/>
              </w:rPr>
            </w:pPr>
            <w:r>
              <w:rPr>
                <w:rFonts w:ascii="Franklin Gothic Demi" w:hAnsi="Franklin Gothic Demi"/>
                <w:szCs w:val="16"/>
              </w:rPr>
              <w:t>-33 303.98</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477063B" w14:textId="77777777" w:rsidR="0001348D" w:rsidRDefault="0001348D">
            <w:pPr>
              <w:pStyle w:val="TableDataEntries"/>
              <w:rPr>
                <w:rFonts w:ascii="Franklin Gothic Demi" w:hAnsi="Franklin Gothic Demi"/>
                <w:szCs w:val="16"/>
              </w:rPr>
            </w:pPr>
            <w:r>
              <w:rPr>
                <w:rFonts w:ascii="Franklin Gothic Demi" w:hAnsi="Franklin Gothic Demi"/>
                <w:szCs w:val="16"/>
              </w:rPr>
              <w:t>-12 409.06</w:t>
            </w:r>
          </w:p>
        </w:tc>
      </w:tr>
      <w:tr w:rsidR="0001348D" w14:paraId="4B3C5267" w14:textId="77777777" w:rsidTr="00B452B9">
        <w:trPr>
          <w:trHeight w:val="245"/>
        </w:trPr>
        <w:tc>
          <w:tcPr>
            <w:tcW w:w="340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32884FFA" w14:textId="77777777" w:rsidR="0001348D" w:rsidRDefault="0001348D">
            <w:pPr>
              <w:pStyle w:val="TableDataEntries"/>
              <w:jc w:val="left"/>
              <w:rPr>
                <w:rFonts w:ascii="Franklin Gothic Demi" w:hAnsi="Franklin Gothic Demi"/>
              </w:rPr>
            </w:pPr>
            <w:r>
              <w:rPr>
                <w:rFonts w:ascii="Franklin Gothic Demi" w:hAnsi="Franklin Gothic Demi"/>
              </w:rPr>
              <w:t>Net benefit/costs</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3270FC18" w14:textId="77777777" w:rsidR="0001348D" w:rsidRDefault="0001348D">
            <w:pPr>
              <w:pStyle w:val="TableDataEntries"/>
              <w:rPr>
                <w:rFonts w:ascii="Franklin Gothic Demi" w:hAnsi="Franklin Gothic Demi"/>
                <w:szCs w:val="16"/>
              </w:rPr>
            </w:pPr>
            <w:r>
              <w:rPr>
                <w:rFonts w:ascii="Franklin Gothic Demi" w:hAnsi="Franklin Gothic Demi"/>
                <w:szCs w:val="16"/>
              </w:rPr>
              <w:t>-4 136.94</w:t>
            </w:r>
          </w:p>
        </w:tc>
        <w:tc>
          <w:tcPr>
            <w:tcW w:w="113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3383E921" w14:textId="77777777" w:rsidR="0001348D" w:rsidRDefault="0001348D">
            <w:pPr>
              <w:pStyle w:val="TableDataEntries"/>
              <w:rPr>
                <w:rFonts w:ascii="Franklin Gothic Demi" w:hAnsi="Franklin Gothic Demi"/>
                <w:szCs w:val="16"/>
              </w:rPr>
            </w:pPr>
            <w:r>
              <w:rPr>
                <w:rFonts w:ascii="Franklin Gothic Demi" w:hAnsi="Franklin Gothic Demi"/>
                <w:szCs w:val="16"/>
              </w:rPr>
              <w:t>-21 365.05</w:t>
            </w:r>
          </w:p>
        </w:tc>
        <w:tc>
          <w:tcPr>
            <w:tcW w:w="113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6936A9B" w14:textId="77777777" w:rsidR="0001348D" w:rsidRDefault="0001348D">
            <w:pPr>
              <w:pStyle w:val="TableDataEntries"/>
              <w:rPr>
                <w:rFonts w:ascii="Franklin Gothic Demi" w:hAnsi="Franklin Gothic Demi"/>
                <w:szCs w:val="16"/>
              </w:rPr>
            </w:pPr>
            <w:r>
              <w:rPr>
                <w:rFonts w:ascii="Franklin Gothic Demi" w:hAnsi="Franklin Gothic Demi"/>
                <w:szCs w:val="16"/>
              </w:rPr>
              <w:t>-28 717.37</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406DB16C" w14:textId="77777777" w:rsidR="0001348D" w:rsidRDefault="0001348D">
            <w:pPr>
              <w:pStyle w:val="TableDataEntries"/>
              <w:rPr>
                <w:rFonts w:ascii="Franklin Gothic Demi" w:hAnsi="Franklin Gothic Demi"/>
                <w:szCs w:val="16"/>
              </w:rPr>
            </w:pPr>
            <w:r>
              <w:rPr>
                <w:rFonts w:ascii="Franklin Gothic Demi" w:hAnsi="Franklin Gothic Demi"/>
                <w:szCs w:val="16"/>
              </w:rPr>
              <w:t>-10 649.11</w:t>
            </w:r>
          </w:p>
        </w:tc>
      </w:tr>
      <w:tr w:rsidR="0001348D" w14:paraId="45D3826C" w14:textId="77777777" w:rsidTr="00B452B9">
        <w:trPr>
          <w:trHeight w:val="245"/>
        </w:trPr>
        <w:tc>
          <w:tcPr>
            <w:tcW w:w="340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64320EE9" w14:textId="77777777" w:rsidR="0001348D" w:rsidRDefault="0001348D">
            <w:pPr>
              <w:pStyle w:val="TableDataEntries"/>
              <w:jc w:val="left"/>
              <w:rPr>
                <w:rFonts w:ascii="Franklin Gothic Demi" w:hAnsi="Franklin Gothic Demi"/>
              </w:rPr>
            </w:pPr>
            <w:r>
              <w:rPr>
                <w:rFonts w:ascii="Franklin Gothic Demi" w:hAnsi="Franklin Gothic Demi"/>
              </w:rPr>
              <w:t>Benefit-cost ratio</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F72E426" w14:textId="77777777" w:rsidR="0001348D" w:rsidRDefault="0001348D">
            <w:pPr>
              <w:pStyle w:val="TableDataEntries"/>
              <w:rPr>
                <w:rFonts w:ascii="Franklin Gothic Demi" w:hAnsi="Franklin Gothic Demi"/>
                <w:szCs w:val="16"/>
              </w:rPr>
            </w:pPr>
            <w:r>
              <w:rPr>
                <w:rFonts w:ascii="Franklin Gothic Demi" w:hAnsi="Franklin Gothic Demi"/>
                <w:szCs w:val="16"/>
              </w:rPr>
              <w:t xml:space="preserve"> 0.39</w:t>
            </w:r>
          </w:p>
        </w:tc>
        <w:tc>
          <w:tcPr>
            <w:tcW w:w="113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25A7680A" w14:textId="77777777" w:rsidR="0001348D" w:rsidRDefault="0001348D">
            <w:pPr>
              <w:pStyle w:val="TableDataEntries"/>
              <w:rPr>
                <w:rFonts w:ascii="Franklin Gothic Demi" w:hAnsi="Franklin Gothic Demi"/>
                <w:szCs w:val="16"/>
              </w:rPr>
            </w:pPr>
            <w:r>
              <w:rPr>
                <w:rFonts w:ascii="Franklin Gothic Demi" w:hAnsi="Franklin Gothic Demi"/>
                <w:szCs w:val="16"/>
              </w:rPr>
              <w:t xml:space="preserve"> 0.18</w:t>
            </w:r>
          </w:p>
        </w:tc>
        <w:tc>
          <w:tcPr>
            <w:tcW w:w="113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224F0035" w14:textId="77777777" w:rsidR="0001348D" w:rsidRDefault="0001348D">
            <w:pPr>
              <w:pStyle w:val="TableDataEntries"/>
              <w:rPr>
                <w:rFonts w:ascii="Franklin Gothic Demi" w:hAnsi="Franklin Gothic Demi"/>
                <w:szCs w:val="16"/>
              </w:rPr>
            </w:pPr>
            <w:r>
              <w:rPr>
                <w:rFonts w:ascii="Franklin Gothic Demi" w:hAnsi="Franklin Gothic Demi"/>
                <w:szCs w:val="16"/>
              </w:rPr>
              <w:t xml:space="preserve"> 0.14</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4BC7AA0D" w14:textId="77777777" w:rsidR="0001348D" w:rsidRDefault="0001348D">
            <w:pPr>
              <w:pStyle w:val="TableDataEntries"/>
              <w:rPr>
                <w:rFonts w:ascii="Franklin Gothic Demi" w:hAnsi="Franklin Gothic Demi"/>
                <w:szCs w:val="16"/>
              </w:rPr>
            </w:pPr>
            <w:r>
              <w:rPr>
                <w:rFonts w:ascii="Franklin Gothic Demi" w:hAnsi="Franklin Gothic Demi"/>
                <w:szCs w:val="16"/>
              </w:rPr>
              <w:t xml:space="preserve"> 0.14</w:t>
            </w:r>
          </w:p>
        </w:tc>
      </w:tr>
    </w:tbl>
    <w:p w14:paraId="5E3F50EF" w14:textId="77777777" w:rsidR="0001348D" w:rsidRDefault="0001348D" w:rsidP="0001348D">
      <w:pPr>
        <w:pStyle w:val="Note"/>
      </w:pPr>
      <w:r w:rsidRPr="00DA6093">
        <w:t>Note:</w:t>
      </w:r>
      <w:r>
        <w:t xml:space="preserve"> Costs and benefits are presented in net present value terms covering a 10</w:t>
      </w:r>
      <w:r>
        <w:noBreakHyphen/>
        <w:t xml:space="preserve">year regulatory period from 2022 to 2031, using a discount rate of 7 per cent. Benefits are extended out an additional 30 years, reflecting the flow of benefits over the life of dwellings constructed during the regulatory period. </w:t>
      </w:r>
    </w:p>
    <w:p w14:paraId="3E10C9A6" w14:textId="77777777" w:rsidR="00F10D28" w:rsidRDefault="00F10D28" w:rsidP="00F10D28">
      <w:pPr>
        <w:pStyle w:val="Note"/>
        <w:rPr>
          <w:lang w:bidi="fa-IR"/>
        </w:rPr>
      </w:pPr>
      <w:r>
        <w:t>The CBA analysis within the RIS includes preliminary analysis of Option 5. As this has been done for comparison purposes it has not been included in the summary above</w:t>
      </w:r>
      <w:r w:rsidR="00C8179B">
        <w:t>.</w:t>
      </w:r>
      <w:r>
        <w:t xml:space="preserve"> </w:t>
      </w:r>
    </w:p>
    <w:p w14:paraId="2514C391" w14:textId="77777777" w:rsidR="00F10D28" w:rsidRDefault="00F10D28" w:rsidP="00DA6093">
      <w:pPr>
        <w:pStyle w:val="Note"/>
        <w:rPr>
          <w:lang w:bidi="fa-IR"/>
        </w:rPr>
      </w:pPr>
      <w:r w:rsidRPr="00DA6093">
        <w:t>Source:</w:t>
      </w:r>
      <w:r>
        <w:rPr>
          <w:lang w:bidi="fa-IR"/>
        </w:rPr>
        <w:t xml:space="preserve"> CIE estimates based on estimates in appendix B-J.</w:t>
      </w:r>
    </w:p>
    <w:p w14:paraId="289F587C" w14:textId="77777777" w:rsidR="0001348D" w:rsidRDefault="0001348D" w:rsidP="0001348D">
      <w:pPr>
        <w:pStyle w:val="BodyText"/>
        <w:rPr>
          <w:lang w:bidi="fa-IR"/>
        </w:rPr>
      </w:pPr>
      <w:r>
        <w:rPr>
          <w:lang w:bidi="fa-IR"/>
        </w:rPr>
        <w:t xml:space="preserve">The benefits are calculated based on how well each option addresses the problems associated with accessibility through avoided and/or reduced costs as outlined in tables 1 and 2 (safety benefits such as prevented falls, carer-related costs, improved quality of life, less time in hospital and transition care, avoided home modification or moving home, </w:t>
      </w:r>
      <w:r>
        <w:rPr>
          <w:lang w:bidi="fa-IR"/>
        </w:rPr>
        <w:lastRenderedPageBreak/>
        <w:t xml:space="preserve">avoided premature entry into aged care, improved visitability and more convenience and benefits to families with young dependants and people with short term injuries). </w:t>
      </w:r>
    </w:p>
    <w:p w14:paraId="0412597A" w14:textId="77777777" w:rsidR="0001348D" w:rsidRDefault="0001348D" w:rsidP="0001348D">
      <w:pPr>
        <w:pStyle w:val="BodyText"/>
        <w:rPr>
          <w:lang w:bidi="fa-IR"/>
        </w:rPr>
      </w:pPr>
      <w:r>
        <w:rPr>
          <w:lang w:bidi="fa-IR"/>
        </w:rPr>
        <w:t xml:space="preserve">The costs </w:t>
      </w:r>
      <w:r w:rsidR="00C8179B">
        <w:rPr>
          <w:lang w:bidi="fa-IR"/>
        </w:rPr>
        <w:t>primarily</w:t>
      </w:r>
      <w:r w:rsidR="00614CC8">
        <w:rPr>
          <w:lang w:bidi="fa-IR"/>
        </w:rPr>
        <w:t xml:space="preserve"> </w:t>
      </w:r>
      <w:r>
        <w:rPr>
          <w:lang w:bidi="fa-IR"/>
        </w:rPr>
        <w:t>comprise th</w:t>
      </w:r>
      <w:r w:rsidR="00B97915">
        <w:rPr>
          <w:lang w:bidi="fa-IR"/>
        </w:rPr>
        <w:t>ose</w:t>
      </w:r>
      <w:r>
        <w:rPr>
          <w:lang w:bidi="fa-IR"/>
        </w:rPr>
        <w:t xml:space="preserve"> </w:t>
      </w:r>
      <w:r w:rsidR="00B97915">
        <w:rPr>
          <w:lang w:bidi="fa-IR"/>
        </w:rPr>
        <w:t>associated with</w:t>
      </w:r>
      <w:r>
        <w:rPr>
          <w:lang w:bidi="fa-IR"/>
        </w:rPr>
        <w:t xml:space="preserve"> construction </w:t>
      </w:r>
      <w:r w:rsidR="00AD50D7">
        <w:rPr>
          <w:lang w:bidi="fa-IR"/>
        </w:rPr>
        <w:t xml:space="preserve">(material, labour and space) </w:t>
      </w:r>
      <w:r w:rsidR="00B97915">
        <w:rPr>
          <w:lang w:bidi="fa-IR"/>
        </w:rPr>
        <w:t xml:space="preserve">estimated </w:t>
      </w:r>
      <w:r w:rsidR="00AD50D7">
        <w:rPr>
          <w:lang w:bidi="fa-IR"/>
        </w:rPr>
        <w:t>by the quantity surveyor Donald Cant Watts Corke (DCWC)</w:t>
      </w:r>
      <w:r w:rsidR="00C568B2">
        <w:rPr>
          <w:lang w:bidi="fa-IR"/>
        </w:rPr>
        <w:t>. Adjusted nationally</w:t>
      </w:r>
      <w:r w:rsidR="001D6914">
        <w:rPr>
          <w:lang w:bidi="fa-IR"/>
        </w:rPr>
        <w:t>,</w:t>
      </w:r>
      <w:r w:rsidR="00C568B2">
        <w:rPr>
          <w:lang w:bidi="fa-IR"/>
        </w:rPr>
        <w:t xml:space="preserve"> and taking account of the </w:t>
      </w:r>
      <w:r w:rsidR="001D6914">
        <w:rPr>
          <w:lang w:bidi="fa-IR"/>
        </w:rPr>
        <w:t xml:space="preserve">net </w:t>
      </w:r>
      <w:r w:rsidR="00C568B2">
        <w:rPr>
          <w:lang w:bidi="fa-IR"/>
        </w:rPr>
        <w:t>opportunity cost of space, e</w:t>
      </w:r>
      <w:r>
        <w:rPr>
          <w:lang w:bidi="fa-IR"/>
        </w:rPr>
        <w:t>stimated additional costs</w:t>
      </w:r>
      <w:r w:rsidR="007B2CEA">
        <w:rPr>
          <w:lang w:bidi="fa-IR"/>
        </w:rPr>
        <w:t xml:space="preserve"> per dwelling range between $3 874 (Silver separate house) to $37 742 (Gold + apartment). This is</w:t>
      </w:r>
      <w:r>
        <w:rPr>
          <w:lang w:bidi="fa-IR"/>
        </w:rPr>
        <w:t xml:space="preserve"> equivalent to </w:t>
      </w:r>
      <w:r w:rsidR="00AD7469">
        <w:rPr>
          <w:lang w:bidi="fa-IR"/>
        </w:rPr>
        <w:t xml:space="preserve">approximately </w:t>
      </w:r>
      <w:r>
        <w:rPr>
          <w:lang w:bidi="fa-IR"/>
        </w:rPr>
        <w:t>0.5-1.9 per cent for Silver, 1.4-9</w:t>
      </w:r>
      <w:r w:rsidR="005D466E">
        <w:rPr>
          <w:lang w:bidi="fa-IR"/>
        </w:rPr>
        <w:t>.0</w:t>
      </w:r>
      <w:r>
        <w:rPr>
          <w:lang w:bidi="fa-IR"/>
        </w:rPr>
        <w:t xml:space="preserve"> per cent for Gold and 1.9-11.6 per cent for Gold +, </w:t>
      </w:r>
      <w:r w:rsidR="00BA7331">
        <w:rPr>
          <w:lang w:bidi="fa-IR"/>
        </w:rPr>
        <w:t xml:space="preserve">of the average dwelling price </w:t>
      </w:r>
      <w:r>
        <w:rPr>
          <w:lang w:bidi="fa-IR"/>
        </w:rPr>
        <w:t>depending on type and the location.</w:t>
      </w:r>
    </w:p>
    <w:p w14:paraId="4EFF5B49" w14:textId="77777777" w:rsidR="0001348D" w:rsidRDefault="0001348D" w:rsidP="0001348D">
      <w:pPr>
        <w:pStyle w:val="BodyText"/>
        <w:rPr>
          <w:lang w:bidi="fa-IR"/>
        </w:rPr>
      </w:pPr>
      <w:r>
        <w:rPr>
          <w:lang w:bidi="fa-IR"/>
        </w:rPr>
        <w:t xml:space="preserve">By subtracting the costs from the benefits, a net benefit/cost figure is reached – a negative figure shows that costs exceed benefits. A benefit cost ratio of more than 1 means the benefits are greater than the cost. Table 3 shows that </w:t>
      </w:r>
      <w:r w:rsidR="00BA7331">
        <w:rPr>
          <w:lang w:bidi="fa-IR"/>
        </w:rPr>
        <w:t>all regulatory o</w:t>
      </w:r>
      <w:r>
        <w:rPr>
          <w:lang w:bidi="fa-IR"/>
        </w:rPr>
        <w:t xml:space="preserve">ptions have greater costs than benefits. </w:t>
      </w:r>
      <w:r w:rsidR="00750D36">
        <w:rPr>
          <w:lang w:bidi="fa-IR"/>
        </w:rPr>
        <w:t>Noting that the societal benefits are not captured in this table and there are other benefits that could not be reliably quantified.</w:t>
      </w:r>
    </w:p>
    <w:p w14:paraId="355DE1AD" w14:textId="77777777" w:rsidR="0001348D" w:rsidRDefault="0001348D" w:rsidP="00B97915">
      <w:pPr>
        <w:pStyle w:val="Heading3"/>
        <w:rPr>
          <w:lang w:bidi="fa-IR"/>
        </w:rPr>
      </w:pPr>
      <w:r>
        <w:rPr>
          <w:lang w:bidi="fa-IR"/>
        </w:rPr>
        <w:t>Effectiveness</w:t>
      </w:r>
    </w:p>
    <w:p w14:paraId="6DA781BC" w14:textId="77777777" w:rsidR="0038134A" w:rsidRDefault="0001348D" w:rsidP="0001348D">
      <w:pPr>
        <w:pStyle w:val="BodyText"/>
        <w:rPr>
          <w:lang w:bidi="fa-IR"/>
        </w:rPr>
      </w:pPr>
      <w:r>
        <w:rPr>
          <w:lang w:bidi="fa-IR"/>
        </w:rPr>
        <w:t xml:space="preserve">To a large extent, the benefits depend on the extent to which people with accessibility needs occupy the new accessible houses that would be built under </w:t>
      </w:r>
      <w:r w:rsidR="00964F2B">
        <w:rPr>
          <w:lang w:bidi="fa-IR"/>
        </w:rPr>
        <w:t>amendments to the</w:t>
      </w:r>
      <w:r>
        <w:rPr>
          <w:lang w:bidi="fa-IR"/>
        </w:rPr>
        <w:t xml:space="preserve"> code. The proportion of people already living in accessible housing when they acquire a disability will increase as the share of accessible dwellings in the dwelling stock increase</w:t>
      </w:r>
      <w:r w:rsidR="00FD1A55">
        <w:rPr>
          <w:lang w:bidi="fa-IR"/>
        </w:rPr>
        <w:t xml:space="preserve">. This will benefit people who may acquire a disability in the future, and for those young </w:t>
      </w:r>
      <w:r w:rsidR="0038134A">
        <w:rPr>
          <w:lang w:bidi="fa-IR"/>
        </w:rPr>
        <w:t xml:space="preserve">people now, would allow the opportunity to age in place as they grow older. </w:t>
      </w:r>
      <w:r>
        <w:rPr>
          <w:lang w:bidi="fa-IR"/>
        </w:rPr>
        <w:t xml:space="preserve">Others would need to move to a newly built accessible dwelling which would be allocated through the market rather than an administrative process to receive any significant benefits from the proposal. </w:t>
      </w:r>
    </w:p>
    <w:p w14:paraId="4E290BF9" w14:textId="77777777" w:rsidR="0038134A" w:rsidRDefault="0001348D" w:rsidP="0001348D">
      <w:pPr>
        <w:pStyle w:val="BodyText"/>
        <w:rPr>
          <w:lang w:bidi="fa-IR"/>
        </w:rPr>
      </w:pPr>
      <w:r>
        <w:rPr>
          <w:lang w:bidi="fa-IR"/>
        </w:rPr>
        <w:t xml:space="preserve">The associated costs of moving are relatively low for renters, suggesting a significant proportion of these renters could move to an accessible rental property built under the revised code. </w:t>
      </w:r>
    </w:p>
    <w:p w14:paraId="17BD20E8" w14:textId="77777777" w:rsidR="005E69E3" w:rsidRDefault="0001348D" w:rsidP="005E69E3">
      <w:pPr>
        <w:pStyle w:val="BodyText"/>
        <w:rPr>
          <w:lang w:bidi="fa-IR"/>
        </w:rPr>
      </w:pPr>
      <w:r>
        <w:rPr>
          <w:lang w:bidi="fa-IR"/>
        </w:rPr>
        <w:t xml:space="preserve">However, </w:t>
      </w:r>
      <w:r w:rsidR="00A10C79">
        <w:rPr>
          <w:lang w:bidi="fa-IR"/>
        </w:rPr>
        <w:t xml:space="preserve">there are </w:t>
      </w:r>
      <w:r>
        <w:rPr>
          <w:lang w:bidi="fa-IR"/>
        </w:rPr>
        <w:t>barriers to owner-occupiers moving to newly built accessible dwellings, including both financial barriers (such as real estate agent fees, conveyancing costs and stamp duty) and non-financial barriers such as new dwellings not be</w:t>
      </w:r>
      <w:r w:rsidR="00CB0AE1">
        <w:rPr>
          <w:lang w:bidi="fa-IR"/>
        </w:rPr>
        <w:t>ing</w:t>
      </w:r>
      <w:r>
        <w:rPr>
          <w:lang w:bidi="fa-IR"/>
        </w:rPr>
        <w:t xml:space="preserve"> in a preferred location and preference</w:t>
      </w:r>
      <w:r w:rsidR="00CB0AE1">
        <w:rPr>
          <w:lang w:bidi="fa-IR"/>
        </w:rPr>
        <w:t>s</w:t>
      </w:r>
      <w:r>
        <w:rPr>
          <w:lang w:bidi="fa-IR"/>
        </w:rPr>
        <w:t xml:space="preserve"> to remain in existing dwelling</w:t>
      </w:r>
      <w:r w:rsidR="007B4C8A">
        <w:rPr>
          <w:lang w:bidi="fa-IR"/>
        </w:rPr>
        <w:t>s</w:t>
      </w:r>
      <w:r>
        <w:rPr>
          <w:lang w:bidi="fa-IR"/>
        </w:rPr>
        <w:t xml:space="preserve">. </w:t>
      </w:r>
      <w:r w:rsidR="005E69E3">
        <w:rPr>
          <w:lang w:bidi="fa-IR"/>
        </w:rPr>
        <w:t>These factors make it less likely that new accessible dwellings built under an amended code will be occupied by those most likely to benefit</w:t>
      </w:r>
      <w:r w:rsidR="005E69E3" w:rsidRPr="00377FFA">
        <w:rPr>
          <w:lang w:bidi="fa-IR"/>
        </w:rPr>
        <w:t xml:space="preserve"> </w:t>
      </w:r>
      <w:r w:rsidR="005E69E3">
        <w:rPr>
          <w:lang w:bidi="fa-IR"/>
        </w:rPr>
        <w:t xml:space="preserve">in the short to medium term. </w:t>
      </w:r>
      <w:r w:rsidR="005E69E3">
        <w:t>The CBA therefore assumes that the NCC proposal would not increase the proportion of owner-occupiers who move home as a result of acquiring a disability (although alternative assumptions were also considered as part of sensitivity testing)</w:t>
      </w:r>
      <w:r w:rsidR="005E69E3">
        <w:rPr>
          <w:lang w:bidi="fa-IR"/>
        </w:rPr>
        <w:t>.</w:t>
      </w:r>
    </w:p>
    <w:p w14:paraId="4DA428C4" w14:textId="77777777" w:rsidR="0001348D" w:rsidRDefault="0001348D" w:rsidP="00B97915">
      <w:pPr>
        <w:pStyle w:val="Heading3"/>
        <w:rPr>
          <w:lang w:bidi="fa-IR"/>
        </w:rPr>
      </w:pPr>
      <w:r>
        <w:rPr>
          <w:lang w:bidi="fa-IR"/>
        </w:rPr>
        <w:t>Other factors</w:t>
      </w:r>
    </w:p>
    <w:p w14:paraId="2DBCC1CB" w14:textId="77777777" w:rsidR="0001348D" w:rsidRDefault="0001348D" w:rsidP="0001348D">
      <w:pPr>
        <w:pStyle w:val="BodyText"/>
        <w:rPr>
          <w:lang w:bidi="fa-IR"/>
        </w:rPr>
      </w:pPr>
      <w:r>
        <w:rPr>
          <w:lang w:bidi="fa-IR"/>
        </w:rPr>
        <w:t xml:space="preserve">The Consultation RIS had considered the Silver </w:t>
      </w:r>
      <w:r w:rsidR="00596811">
        <w:rPr>
          <w:lang w:bidi="fa-IR"/>
        </w:rPr>
        <w:t>O</w:t>
      </w:r>
      <w:r>
        <w:rPr>
          <w:lang w:bidi="fa-IR"/>
        </w:rPr>
        <w:t xml:space="preserve">ption would provide suitable accessible housing for the majority of those with </w:t>
      </w:r>
      <w:r w:rsidR="00596811">
        <w:rPr>
          <w:lang w:bidi="fa-IR"/>
        </w:rPr>
        <w:t>accessibility</w:t>
      </w:r>
      <w:r>
        <w:rPr>
          <w:lang w:bidi="fa-IR"/>
        </w:rPr>
        <w:t xml:space="preserve"> needs. However, following consultation, it is apparent the Silver </w:t>
      </w:r>
      <w:r w:rsidR="00596811">
        <w:rPr>
          <w:lang w:bidi="fa-IR"/>
        </w:rPr>
        <w:t>O</w:t>
      </w:r>
      <w:r>
        <w:rPr>
          <w:lang w:bidi="fa-IR"/>
        </w:rPr>
        <w:t xml:space="preserve">ption would be less inclusive, particularly in </w:t>
      </w:r>
      <w:r>
        <w:rPr>
          <w:lang w:bidi="fa-IR"/>
        </w:rPr>
        <w:lastRenderedPageBreak/>
        <w:t xml:space="preserve">relation to double storey housing because </w:t>
      </w:r>
      <w:r w:rsidR="009D0459">
        <w:rPr>
          <w:lang w:bidi="fa-IR"/>
        </w:rPr>
        <w:t>it</w:t>
      </w:r>
      <w:r>
        <w:rPr>
          <w:lang w:bidi="fa-IR"/>
        </w:rPr>
        <w:t xml:space="preserve"> does not require the provision of a shower on the ground floor level. Taking this into account, the RIS assumes the Gold proposal would be more suitable to the majority of people with mobility limitation and self-care limitation.</w:t>
      </w:r>
    </w:p>
    <w:p w14:paraId="3D635360" w14:textId="77777777" w:rsidR="009D0459" w:rsidRDefault="0001348D" w:rsidP="0001348D">
      <w:pPr>
        <w:pStyle w:val="BodyText"/>
        <w:rPr>
          <w:lang w:bidi="fa-IR"/>
        </w:rPr>
      </w:pPr>
      <w:r>
        <w:rPr>
          <w:lang w:bidi="fa-IR"/>
        </w:rPr>
        <w:t xml:space="preserve">There are some impacts to society from a lack of accessible housing that are not easily quantified and lead to complex distributional considerations. </w:t>
      </w:r>
    </w:p>
    <w:p w14:paraId="2682606B" w14:textId="77777777" w:rsidR="00921518" w:rsidRDefault="0001348D" w:rsidP="00921518">
      <w:pPr>
        <w:pStyle w:val="BodyText"/>
        <w:rPr>
          <w:lang w:bidi="fa-IR"/>
        </w:rPr>
      </w:pPr>
      <w:r>
        <w:rPr>
          <w:lang w:bidi="fa-IR"/>
        </w:rPr>
        <w:t xml:space="preserve">This RIS explores a number of </w:t>
      </w:r>
      <w:r w:rsidR="00921518">
        <w:rPr>
          <w:lang w:bidi="fa-IR"/>
        </w:rPr>
        <w:t>broader societal impacts including equal access to housing for people with disability, social justice and human rights. The community willingness to pay for more equal outcomes for people with disability, one measure of the societal benefits, has been excluded to separate the efficiency from equity impacts consistent with COAG RIS guidelines.</w:t>
      </w:r>
    </w:p>
    <w:p w14:paraId="72B9BAD7" w14:textId="77777777" w:rsidR="00942B7A" w:rsidRDefault="00921518" w:rsidP="0001348D">
      <w:pPr>
        <w:pStyle w:val="BodyText"/>
        <w:rPr>
          <w:lang w:bidi="fa-IR"/>
        </w:rPr>
      </w:pPr>
      <w:r>
        <w:rPr>
          <w:lang w:bidi="fa-IR"/>
        </w:rPr>
        <w:t>There are also likely to be</w:t>
      </w:r>
      <w:r w:rsidR="0001348D">
        <w:rPr>
          <w:lang w:bidi="fa-IR"/>
        </w:rPr>
        <w:t xml:space="preserve"> employment related benefits (as discussed in chapters </w:t>
      </w:r>
      <w:r w:rsidR="00785D5C">
        <w:rPr>
          <w:lang w:bidi="fa-IR"/>
        </w:rPr>
        <w:t>three</w:t>
      </w:r>
      <w:r w:rsidR="0001348D">
        <w:rPr>
          <w:lang w:bidi="fa-IR"/>
        </w:rPr>
        <w:t xml:space="preserve"> and </w:t>
      </w:r>
      <w:r w:rsidR="00785D5C">
        <w:rPr>
          <w:lang w:bidi="fa-IR"/>
        </w:rPr>
        <w:t>seven</w:t>
      </w:r>
      <w:r w:rsidR="0001348D">
        <w:rPr>
          <w:lang w:bidi="fa-IR"/>
        </w:rPr>
        <w:t>)</w:t>
      </w:r>
      <w:r w:rsidR="00785D5C">
        <w:rPr>
          <w:lang w:bidi="fa-IR"/>
        </w:rPr>
        <w:t xml:space="preserve">. </w:t>
      </w:r>
      <w:r w:rsidR="00942B7A">
        <w:rPr>
          <w:lang w:bidi="fa-IR"/>
        </w:rPr>
        <w:t xml:space="preserve">However, there was not enough information to inform a reliable estimate on the extent of these benefits. </w:t>
      </w:r>
    </w:p>
    <w:p w14:paraId="5A41BF5E" w14:textId="77777777" w:rsidR="002B1CC2" w:rsidRDefault="00942B7A" w:rsidP="002B1CC2">
      <w:pPr>
        <w:pStyle w:val="BodyText"/>
        <w:rPr>
          <w:lang w:bidi="fa-IR"/>
        </w:rPr>
      </w:pPr>
      <w:r>
        <w:rPr>
          <w:lang w:bidi="fa-IR"/>
        </w:rPr>
        <w:t>I</w:t>
      </w:r>
      <w:r w:rsidR="0001348D">
        <w:rPr>
          <w:lang w:bidi="fa-IR"/>
        </w:rPr>
        <w:t>n the interests of providing broader information that may be useful to decision makers when considering distributional impacts</w:t>
      </w:r>
      <w:r w:rsidR="002B1CC2">
        <w:rPr>
          <w:lang w:bidi="fa-IR"/>
        </w:rPr>
        <w:t>, these issues have been further explored in sensitivity tests.</w:t>
      </w:r>
    </w:p>
    <w:p w14:paraId="27575D54" w14:textId="77777777" w:rsidR="0001348D" w:rsidRDefault="002B1CC2" w:rsidP="00B97915">
      <w:pPr>
        <w:pStyle w:val="Heading3"/>
        <w:rPr>
          <w:lang w:bidi="fa-IR"/>
        </w:rPr>
      </w:pPr>
      <w:r>
        <w:rPr>
          <w:lang w:bidi="fa-IR"/>
        </w:rPr>
        <w:t>Sensitivity testing</w:t>
      </w:r>
    </w:p>
    <w:p w14:paraId="5DA433BC" w14:textId="77777777" w:rsidR="007865EC" w:rsidRDefault="0001348D" w:rsidP="0001348D">
      <w:pPr>
        <w:pStyle w:val="BodyText"/>
        <w:rPr>
          <w:lang w:bidi="fa-IR"/>
        </w:rPr>
      </w:pPr>
      <w:r>
        <w:rPr>
          <w:lang w:bidi="fa-IR"/>
        </w:rPr>
        <w:t xml:space="preserve">Table 4 shows the results of the CBA using the same benefits as outlined in table 3 plus the estimated benefits associated with positive societal and employment outcomes. It shows that the costs outweigh the benefits for all </w:t>
      </w:r>
      <w:r w:rsidR="002B1CC2">
        <w:rPr>
          <w:lang w:bidi="fa-IR"/>
        </w:rPr>
        <w:t>regulatory o</w:t>
      </w:r>
      <w:r>
        <w:rPr>
          <w:lang w:bidi="fa-IR"/>
        </w:rPr>
        <w:t>ptions.</w:t>
      </w:r>
    </w:p>
    <w:p w14:paraId="7F61936D" w14:textId="77777777" w:rsidR="007B0ED3" w:rsidRDefault="007B0ED3" w:rsidP="007B0ED3">
      <w:pPr>
        <w:pStyle w:val="BodyText"/>
        <w:rPr>
          <w:lang w:bidi="fa-IR"/>
        </w:rPr>
      </w:pPr>
      <w:r>
        <w:rPr>
          <w:lang w:bidi="fa-IR"/>
        </w:rPr>
        <w:t>To further test the robustness of the CBA the following was undertaken:</w:t>
      </w:r>
    </w:p>
    <w:p w14:paraId="5D61BE86" w14:textId="77777777" w:rsidR="007B0ED3" w:rsidRDefault="007B0ED3" w:rsidP="007B0ED3">
      <w:pPr>
        <w:pStyle w:val="ListBullet"/>
        <w:rPr>
          <w:lang w:bidi="fa-IR"/>
        </w:rPr>
      </w:pPr>
      <w:r>
        <w:rPr>
          <w:b/>
          <w:bCs/>
          <w:lang w:bidi="fa-IR"/>
        </w:rPr>
        <w:t>Break-even analysis</w:t>
      </w:r>
      <w:r>
        <w:rPr>
          <w:lang w:bidi="fa-IR"/>
        </w:rPr>
        <w:t xml:space="preserve"> - to determine how much the costs per dwelling of each option would need to change for the benefits to exceed the cost. </w:t>
      </w:r>
    </w:p>
    <w:p w14:paraId="09D6F353" w14:textId="77777777" w:rsidR="00CB7EBF" w:rsidRDefault="007B0ED3" w:rsidP="007B0ED3">
      <w:pPr>
        <w:pStyle w:val="ListBullet"/>
        <w:rPr>
          <w:lang w:bidi="fa-IR"/>
        </w:rPr>
      </w:pPr>
      <w:r>
        <w:rPr>
          <w:b/>
          <w:bCs/>
          <w:lang w:bidi="fa-IR"/>
        </w:rPr>
        <w:t>Sensitivity analysis</w:t>
      </w:r>
      <w:r>
        <w:rPr>
          <w:lang w:bidi="fa-IR"/>
        </w:rPr>
        <w:t xml:space="preserve"> - the assumptions within the CBA (as outlined in chapters three, six and seven) were varied to test if different assumptions and scenarios changed the </w:t>
      </w:r>
      <w:r w:rsidR="00CB7EBF">
        <w:rPr>
          <w:lang w:bidi="fa-IR"/>
        </w:rPr>
        <w:t xml:space="preserve">overall </w:t>
      </w:r>
      <w:r>
        <w:rPr>
          <w:lang w:bidi="fa-IR"/>
        </w:rPr>
        <w:t xml:space="preserve">outcomes of the CBA. </w:t>
      </w:r>
      <w:r w:rsidR="00CB7EBF">
        <w:rPr>
          <w:lang w:bidi="fa-IR"/>
        </w:rPr>
        <w:t>Individual a</w:t>
      </w:r>
      <w:r>
        <w:rPr>
          <w:lang w:bidi="fa-IR"/>
        </w:rPr>
        <w:t xml:space="preserve">ssumptions varied </w:t>
      </w:r>
      <w:r w:rsidR="00B97915">
        <w:rPr>
          <w:lang w:bidi="fa-IR"/>
        </w:rPr>
        <w:t xml:space="preserve">and tested </w:t>
      </w:r>
      <w:r>
        <w:rPr>
          <w:lang w:bidi="fa-IR"/>
        </w:rPr>
        <w:t>include</w:t>
      </w:r>
      <w:r w:rsidR="00CB7EBF">
        <w:rPr>
          <w:lang w:bidi="fa-IR"/>
        </w:rPr>
        <w:t>:</w:t>
      </w:r>
    </w:p>
    <w:p w14:paraId="1641660F" w14:textId="77777777" w:rsidR="00B97915" w:rsidRDefault="00B97915" w:rsidP="00CB7EBF">
      <w:pPr>
        <w:pStyle w:val="ListBullet2"/>
        <w:rPr>
          <w:lang w:bidi="fa-IR"/>
        </w:rPr>
      </w:pPr>
      <w:r>
        <w:rPr>
          <w:lang w:bidi="fa-IR"/>
        </w:rPr>
        <w:t>d</w:t>
      </w:r>
      <w:r w:rsidR="007B0ED3">
        <w:rPr>
          <w:lang w:bidi="fa-IR"/>
        </w:rPr>
        <w:t>ifferent estimates of the size of the problem</w:t>
      </w:r>
      <w:r>
        <w:rPr>
          <w:lang w:bidi="fa-IR"/>
        </w:rPr>
        <w:t xml:space="preserve"> (combining all upper/lower bound estimates of the problems under the status quo)</w:t>
      </w:r>
    </w:p>
    <w:p w14:paraId="65F51C0C" w14:textId="77777777" w:rsidR="00B97915" w:rsidRDefault="00B97915" w:rsidP="00CB7EBF">
      <w:pPr>
        <w:pStyle w:val="ListBullet2"/>
        <w:rPr>
          <w:lang w:bidi="fa-IR"/>
        </w:rPr>
      </w:pPr>
      <w:r>
        <w:rPr>
          <w:lang w:bidi="fa-IR"/>
        </w:rPr>
        <w:t>occupation</w:t>
      </w:r>
      <w:r w:rsidR="007B0ED3">
        <w:rPr>
          <w:lang w:bidi="fa-IR"/>
        </w:rPr>
        <w:t xml:space="preserve"> of properties</w:t>
      </w:r>
    </w:p>
    <w:p w14:paraId="0741E6F5" w14:textId="77777777" w:rsidR="00B97915" w:rsidRDefault="007B0ED3" w:rsidP="00CB7EBF">
      <w:pPr>
        <w:pStyle w:val="ListBullet2"/>
        <w:rPr>
          <w:lang w:bidi="fa-IR"/>
        </w:rPr>
      </w:pPr>
      <w:r>
        <w:rPr>
          <w:lang w:bidi="fa-IR"/>
        </w:rPr>
        <w:t>discount rates</w:t>
      </w:r>
    </w:p>
    <w:p w14:paraId="0645FC61" w14:textId="77777777" w:rsidR="00B97915" w:rsidRDefault="007B0ED3" w:rsidP="00CB7EBF">
      <w:pPr>
        <w:pStyle w:val="ListBullet2"/>
        <w:rPr>
          <w:lang w:bidi="fa-IR"/>
        </w:rPr>
      </w:pPr>
      <w:r>
        <w:rPr>
          <w:lang w:bidi="fa-IR"/>
        </w:rPr>
        <w:t>regulatory period and</w:t>
      </w:r>
    </w:p>
    <w:p w14:paraId="45EFD1A1" w14:textId="77777777" w:rsidR="007B0ED3" w:rsidRDefault="007B0ED3" w:rsidP="00CB7EBF">
      <w:pPr>
        <w:pStyle w:val="ListBullet2"/>
        <w:rPr>
          <w:lang w:bidi="fa-IR"/>
        </w:rPr>
      </w:pPr>
      <w:r>
        <w:rPr>
          <w:lang w:bidi="fa-IR"/>
        </w:rPr>
        <w:t xml:space="preserve">estimated life of </w:t>
      </w:r>
      <w:r w:rsidR="00B97915">
        <w:rPr>
          <w:lang w:bidi="fa-IR"/>
        </w:rPr>
        <w:t xml:space="preserve">the </w:t>
      </w:r>
      <w:r>
        <w:rPr>
          <w:lang w:bidi="fa-IR"/>
        </w:rPr>
        <w:t>dwelling.</w:t>
      </w:r>
    </w:p>
    <w:p w14:paraId="1C49F6C4" w14:textId="77777777" w:rsidR="00FC76F2" w:rsidRDefault="00FC76F2" w:rsidP="00FC76F2">
      <w:pPr>
        <w:pStyle w:val="BodyText"/>
        <w:rPr>
          <w:lang w:bidi="fa-IR"/>
        </w:rPr>
      </w:pPr>
      <w:r w:rsidRPr="009C414F">
        <w:rPr>
          <w:lang w:bidi="fa-IR"/>
        </w:rPr>
        <w:t>T</w:t>
      </w:r>
      <w:r>
        <w:rPr>
          <w:lang w:bidi="fa-IR"/>
        </w:rPr>
        <w:t xml:space="preserve">hese </w:t>
      </w:r>
      <w:r w:rsidR="00B97915">
        <w:rPr>
          <w:lang w:bidi="fa-IR"/>
        </w:rPr>
        <w:t>test</w:t>
      </w:r>
      <w:r>
        <w:rPr>
          <w:lang w:bidi="fa-IR"/>
        </w:rPr>
        <w:t xml:space="preserve">s were </w:t>
      </w:r>
      <w:r w:rsidR="00B97915">
        <w:rPr>
          <w:lang w:bidi="fa-IR"/>
        </w:rPr>
        <w:t>repeated</w:t>
      </w:r>
      <w:r>
        <w:rPr>
          <w:lang w:bidi="fa-IR"/>
        </w:rPr>
        <w:t xml:space="preserve"> </w:t>
      </w:r>
      <w:r w:rsidR="00B97915">
        <w:rPr>
          <w:lang w:bidi="fa-IR"/>
        </w:rPr>
        <w:t>under a further</w:t>
      </w:r>
      <w:r>
        <w:rPr>
          <w:lang w:bidi="fa-IR"/>
        </w:rPr>
        <w:t xml:space="preserve"> scenario analysis that included employment and productivity benefits and societal benefits.</w:t>
      </w:r>
    </w:p>
    <w:p w14:paraId="5C8C788B" w14:textId="77777777" w:rsidR="007B0ED3" w:rsidRDefault="007B0ED3" w:rsidP="007B0ED3">
      <w:pPr>
        <w:pStyle w:val="BodyText"/>
        <w:rPr>
          <w:lang w:bidi="fa-IR"/>
        </w:rPr>
      </w:pPr>
      <w:r>
        <w:rPr>
          <w:lang w:bidi="fa-IR"/>
        </w:rPr>
        <w:t xml:space="preserve">Key findings from the sensitivity and break-even analysis </w:t>
      </w:r>
      <w:r w:rsidR="002C4053">
        <w:rPr>
          <w:lang w:bidi="fa-IR"/>
        </w:rPr>
        <w:t>include:</w:t>
      </w:r>
    </w:p>
    <w:p w14:paraId="13F9674E" w14:textId="77777777" w:rsidR="007B0ED3" w:rsidRDefault="007B0ED3" w:rsidP="007B0ED3">
      <w:pPr>
        <w:pStyle w:val="ListBullet"/>
        <w:numPr>
          <w:ilvl w:val="0"/>
          <w:numId w:val="42"/>
        </w:numPr>
        <w:rPr>
          <w:lang w:bidi="fa-IR"/>
        </w:rPr>
      </w:pPr>
      <w:r>
        <w:rPr>
          <w:lang w:bidi="fa-IR"/>
        </w:rPr>
        <w:t xml:space="preserve">When the community’s preference for more equitable housing outcomes for people with disability is included in the CBA, the costs are still estimated to outweigh the benefits. While this is one way of considering benefits related to equity, human rights </w:t>
      </w:r>
      <w:r>
        <w:rPr>
          <w:lang w:bidi="fa-IR"/>
        </w:rPr>
        <w:lastRenderedPageBreak/>
        <w:t>and social justice within a CBA, weighing up these benefits against the net costs imposed on other members of the community is ultimately a matter for decision</w:t>
      </w:r>
      <w:r>
        <w:rPr>
          <w:lang w:bidi="fa-IR"/>
        </w:rPr>
        <w:noBreakHyphen/>
        <w:t>makers.</w:t>
      </w:r>
    </w:p>
    <w:p w14:paraId="61FCEA02" w14:textId="77777777" w:rsidR="00447C66" w:rsidRDefault="00447C66" w:rsidP="00447C66">
      <w:pPr>
        <w:pStyle w:val="ListBullet"/>
        <w:numPr>
          <w:ilvl w:val="0"/>
          <w:numId w:val="42"/>
        </w:numPr>
        <w:rPr>
          <w:lang w:bidi="fa-IR"/>
        </w:rPr>
      </w:pPr>
      <w:r>
        <w:rPr>
          <w:lang w:bidi="fa-IR"/>
        </w:rPr>
        <w:t>Where upper bound productivity and employment impacts are included as a sensitivity test, the benefit-cost ratio improves, yet they aren’t sufficient to change the outcome of the CBA.</w:t>
      </w:r>
    </w:p>
    <w:p w14:paraId="3EAA444A" w14:textId="77B649A8" w:rsidR="0001348D" w:rsidRDefault="00076C9B" w:rsidP="0001348D">
      <w:pPr>
        <w:pStyle w:val="Caption"/>
      </w:pPr>
      <w:bookmarkStart w:id="21" w:name="_Toc70505491"/>
      <w:r>
        <w:t>4</w:t>
      </w:r>
      <w:r w:rsidR="0001348D">
        <w:tab/>
        <w:t>Net benefits/costs including societal and employment-related benefits</w:t>
      </w:r>
      <w:bookmarkEnd w:id="21"/>
    </w:p>
    <w:tbl>
      <w:tblPr>
        <w:tblW w:w="7938" w:type="dxa"/>
        <w:tblLayout w:type="fixed"/>
        <w:tblLook w:val="04A0" w:firstRow="1" w:lastRow="0" w:firstColumn="1" w:lastColumn="0" w:noHBand="0" w:noVBand="1"/>
        <w:tblCaption w:val="Table 4: Net benefits/costs including societal and employment-related benefits"/>
        <w:tblDescription w:val="Table 4 shows the results of cost-benefit analysis using the same benefits as outlined in table 3 (based on the central case) plus the estimated benefits associated with positive societal and employment outcomes. The table shows that the costs of each of the regulatory options (Options 1 – 4) exceed the benefits, even with these additions. "/>
      </w:tblPr>
      <w:tblGrid>
        <w:gridCol w:w="3665"/>
        <w:gridCol w:w="1069"/>
        <w:gridCol w:w="1068"/>
        <w:gridCol w:w="1068"/>
        <w:gridCol w:w="1068"/>
      </w:tblGrid>
      <w:tr w:rsidR="0001348D" w14:paraId="0EBC676E" w14:textId="77777777" w:rsidTr="001F4E3F">
        <w:trPr>
          <w:trHeight w:val="490"/>
          <w:tblHeader/>
        </w:trPr>
        <w:tc>
          <w:tcPr>
            <w:tcW w:w="3402" w:type="dxa"/>
            <w:tcBorders>
              <w:top w:val="nil"/>
              <w:left w:val="nil"/>
              <w:bottom w:val="single" w:sz="8" w:space="0" w:color="FFFFFF" w:themeColor="background1"/>
              <w:right w:val="nil"/>
            </w:tcBorders>
            <w:shd w:val="clear" w:color="auto" w:fill="6F6652"/>
            <w:tcMar>
              <w:top w:w="0" w:type="dxa"/>
              <w:left w:w="57" w:type="dxa"/>
              <w:bottom w:w="0" w:type="dxa"/>
              <w:right w:w="57" w:type="dxa"/>
            </w:tcMar>
          </w:tcPr>
          <w:p w14:paraId="250AA480" w14:textId="77777777" w:rsidR="0001348D" w:rsidRDefault="00447C66">
            <w:pPr>
              <w:pStyle w:val="TableDataColumnHeading"/>
              <w:jc w:val="left"/>
            </w:pPr>
            <w:r>
              <w:t>Benefits</w:t>
            </w:r>
          </w:p>
        </w:tc>
        <w:tc>
          <w:tcPr>
            <w:tcW w:w="99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4557F45" w14:textId="77777777" w:rsidR="0001348D" w:rsidRDefault="0001348D">
            <w:pPr>
              <w:pStyle w:val="TableDataColumnHeading"/>
            </w:pPr>
            <w:r>
              <w:t xml:space="preserve">Option 1 </w:t>
            </w:r>
            <w:r w:rsidR="006468CD">
              <w:br/>
            </w:r>
            <w:r>
              <w:t>($ million)</w:t>
            </w:r>
          </w:p>
        </w:tc>
        <w:tc>
          <w:tcPr>
            <w:tcW w:w="99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F003974" w14:textId="77777777" w:rsidR="0001348D" w:rsidRDefault="0001348D">
            <w:pPr>
              <w:pStyle w:val="TableDataColumnHeading"/>
            </w:pPr>
            <w:r>
              <w:t xml:space="preserve">Option 2 </w:t>
            </w:r>
            <w:r w:rsidR="006468CD">
              <w:br/>
            </w:r>
            <w:r>
              <w:t>($ million)</w:t>
            </w:r>
          </w:p>
        </w:tc>
        <w:tc>
          <w:tcPr>
            <w:tcW w:w="99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6A90A9B" w14:textId="77777777" w:rsidR="0001348D" w:rsidRDefault="0001348D">
            <w:pPr>
              <w:pStyle w:val="TableDataColumnHeading"/>
            </w:pPr>
            <w:r>
              <w:t xml:space="preserve">Option 3 </w:t>
            </w:r>
            <w:r w:rsidR="006468CD">
              <w:br/>
            </w:r>
            <w:r>
              <w:t>($ million)</w:t>
            </w:r>
          </w:p>
        </w:tc>
        <w:tc>
          <w:tcPr>
            <w:tcW w:w="99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E08B2B3" w14:textId="77777777" w:rsidR="0001348D" w:rsidRDefault="0001348D">
            <w:pPr>
              <w:pStyle w:val="TableDataColumnHeading"/>
            </w:pPr>
            <w:r>
              <w:t xml:space="preserve">Option 4 </w:t>
            </w:r>
            <w:r w:rsidR="006468CD">
              <w:br/>
            </w:r>
            <w:r>
              <w:t>($ million)</w:t>
            </w:r>
          </w:p>
        </w:tc>
      </w:tr>
      <w:tr w:rsidR="0001348D" w14:paraId="73A46677" w14:textId="77777777" w:rsidTr="001F4E3F">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D897BD" w14:textId="77777777" w:rsidR="0001348D" w:rsidRDefault="0001348D">
            <w:pPr>
              <w:pStyle w:val="TableDataEntries"/>
              <w:jc w:val="left"/>
            </w:pPr>
            <w:r>
              <w:t>Benefits included in central case</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C421104" w14:textId="77777777" w:rsidR="0001348D" w:rsidRDefault="0001348D">
            <w:pPr>
              <w:pStyle w:val="TableDataEntries"/>
            </w:pPr>
            <w:r>
              <w:t>2 680.50</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D939AE6" w14:textId="77777777" w:rsidR="0001348D" w:rsidRDefault="0001348D">
            <w:pPr>
              <w:pStyle w:val="TableDataEntries"/>
            </w:pPr>
            <w:r>
              <w:t>4 570.28</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2AA383B" w14:textId="77777777" w:rsidR="0001348D" w:rsidRDefault="0001348D">
            <w:pPr>
              <w:pStyle w:val="TableDataEntries"/>
            </w:pPr>
            <w:r>
              <w:t>4 586.61</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73BFEA3" w14:textId="77777777" w:rsidR="0001348D" w:rsidRDefault="0001348D">
            <w:pPr>
              <w:pStyle w:val="TableDataEntries"/>
            </w:pPr>
            <w:r>
              <w:t>1 759.95</w:t>
            </w:r>
          </w:p>
        </w:tc>
      </w:tr>
      <w:tr w:rsidR="0001348D" w14:paraId="05AB5650" w14:textId="77777777" w:rsidTr="001F4E3F">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FBC65D" w14:textId="77777777" w:rsidR="0001348D" w:rsidRDefault="0001348D">
            <w:pPr>
              <w:pStyle w:val="TableDataEntries"/>
              <w:jc w:val="left"/>
            </w:pPr>
            <w:r>
              <w:t>Societal benefits</w:t>
            </w:r>
            <w:r>
              <w:rPr>
                <w:rStyle w:val="NoteLabel"/>
              </w:rPr>
              <w:t xml:space="preserve"> a</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9F59D40" w14:textId="77777777" w:rsidR="0001348D" w:rsidRDefault="0001348D">
            <w:pPr>
              <w:pStyle w:val="TableDataEntries"/>
            </w:pPr>
            <w:r>
              <w:t xml:space="preserve"> 666.62</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E9E7451" w14:textId="77777777" w:rsidR="0001348D" w:rsidRDefault="0001348D">
            <w:pPr>
              <w:pStyle w:val="TableDataEntries"/>
            </w:pPr>
            <w:r>
              <w:t xml:space="preserve"> 794.92</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FE13FFC" w14:textId="77777777" w:rsidR="0001348D" w:rsidRDefault="0001348D">
            <w:pPr>
              <w:pStyle w:val="TableDataEntries"/>
            </w:pPr>
            <w:r>
              <w:t xml:space="preserve"> 794.92</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F608A6E" w14:textId="77777777" w:rsidR="0001348D" w:rsidRDefault="0001348D">
            <w:pPr>
              <w:pStyle w:val="TableDataEntries"/>
            </w:pPr>
            <w:r>
              <w:t xml:space="preserve"> 301.46</w:t>
            </w:r>
          </w:p>
        </w:tc>
      </w:tr>
      <w:tr w:rsidR="0001348D" w14:paraId="3B2DC639" w14:textId="77777777" w:rsidTr="001F4E3F">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91ADEF5" w14:textId="77777777" w:rsidR="0001348D" w:rsidRDefault="0001348D">
            <w:pPr>
              <w:pStyle w:val="TableDataEntries"/>
              <w:jc w:val="left"/>
            </w:pPr>
            <w:r>
              <w:t>Employment benefits</w:t>
            </w:r>
            <w:r>
              <w:rPr>
                <w:rStyle w:val="NoteLabel"/>
              </w:rPr>
              <w:t xml:space="preserve"> a</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36E810B5" w14:textId="77777777" w:rsidR="0001348D" w:rsidRDefault="0001348D">
            <w:pPr>
              <w:pStyle w:val="TableDataEntries"/>
            </w:pPr>
            <w:r>
              <w:t xml:space="preserve"> 342.67</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FD5AFF7" w14:textId="77777777" w:rsidR="0001348D" w:rsidRDefault="0001348D">
            <w:pPr>
              <w:pStyle w:val="TableDataEntries"/>
            </w:pPr>
            <w:r>
              <w:t xml:space="preserve"> 532.17</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3CC8A1F" w14:textId="77777777" w:rsidR="0001348D" w:rsidRDefault="0001348D">
            <w:pPr>
              <w:pStyle w:val="TableDataEntries"/>
            </w:pPr>
            <w:r>
              <w:t xml:space="preserve"> 534.07</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8DB969D" w14:textId="77777777" w:rsidR="0001348D" w:rsidRDefault="0001348D">
            <w:pPr>
              <w:pStyle w:val="TableDataEntries"/>
            </w:pPr>
            <w:r>
              <w:t xml:space="preserve"> 208.73</w:t>
            </w:r>
          </w:p>
        </w:tc>
      </w:tr>
      <w:tr w:rsidR="0001348D" w14:paraId="5518D94E" w14:textId="77777777" w:rsidTr="001F4E3F">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61A5398" w14:textId="77777777" w:rsidR="0001348D" w:rsidRDefault="0001348D">
            <w:pPr>
              <w:pStyle w:val="TableDataEntries"/>
              <w:jc w:val="left"/>
            </w:pPr>
            <w:r>
              <w:t>Total benefits (including both societal and employment benefits)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B05D4B9" w14:textId="77777777" w:rsidR="0001348D" w:rsidRDefault="0001348D">
            <w:pPr>
              <w:pStyle w:val="TableDataEntries"/>
            </w:pPr>
            <w:r>
              <w:t>3 689.79</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9BE8344" w14:textId="77777777" w:rsidR="0001348D" w:rsidRDefault="0001348D">
            <w:pPr>
              <w:pStyle w:val="TableDataEntries"/>
            </w:pPr>
            <w:r>
              <w:t>5 897.37</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CBE9B2D" w14:textId="77777777" w:rsidR="0001348D" w:rsidRDefault="0001348D">
            <w:pPr>
              <w:pStyle w:val="TableDataEntries"/>
            </w:pPr>
            <w:r>
              <w:t>5 915.59</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753CE2A" w14:textId="77777777" w:rsidR="0001348D" w:rsidRDefault="0001348D">
            <w:pPr>
              <w:pStyle w:val="TableDataEntries"/>
            </w:pPr>
            <w:r>
              <w:t>2 270.14</w:t>
            </w:r>
          </w:p>
        </w:tc>
      </w:tr>
      <w:tr w:rsidR="0001348D" w14:paraId="51B65807" w14:textId="77777777" w:rsidTr="001F4E3F">
        <w:trPr>
          <w:trHeight w:val="245"/>
        </w:trPr>
        <w:tc>
          <w:tcPr>
            <w:tcW w:w="340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555A15" w14:textId="77777777" w:rsidR="0001348D" w:rsidRDefault="0001348D">
            <w:pPr>
              <w:pStyle w:val="TableDataEntries"/>
              <w:jc w:val="left"/>
            </w:pPr>
            <w:r>
              <w:t>Estimated costs</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66D9BD1" w14:textId="77777777" w:rsidR="0001348D" w:rsidRDefault="0001348D">
            <w:pPr>
              <w:pStyle w:val="TableDataEntries"/>
            </w:pPr>
            <w:r>
              <w:t>-6 817.44</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5FF5FA4" w14:textId="77777777" w:rsidR="0001348D" w:rsidRDefault="0001348D">
            <w:pPr>
              <w:pStyle w:val="TableDataEntries"/>
            </w:pPr>
            <w:r>
              <w:t>-25 935.33</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104F1B1" w14:textId="77777777" w:rsidR="0001348D" w:rsidRDefault="0001348D">
            <w:pPr>
              <w:pStyle w:val="TableDataEntries"/>
            </w:pPr>
            <w:r>
              <w:t>-33 303.98</w:t>
            </w:r>
          </w:p>
        </w:tc>
        <w:tc>
          <w:tcPr>
            <w:tcW w:w="99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75B8E857" w14:textId="77777777" w:rsidR="0001348D" w:rsidRDefault="0001348D">
            <w:pPr>
              <w:pStyle w:val="TableDataEntries"/>
            </w:pPr>
            <w:r>
              <w:t>-12 409.06</w:t>
            </w:r>
          </w:p>
        </w:tc>
      </w:tr>
      <w:tr w:rsidR="0001348D" w14:paraId="247451DB" w14:textId="77777777" w:rsidTr="001F4E3F">
        <w:trPr>
          <w:trHeight w:val="245"/>
        </w:trPr>
        <w:tc>
          <w:tcPr>
            <w:tcW w:w="340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5B5BD949" w14:textId="77777777" w:rsidR="0001348D" w:rsidRDefault="0001348D">
            <w:pPr>
              <w:pStyle w:val="TableDataEntries"/>
              <w:jc w:val="left"/>
              <w:rPr>
                <w:rFonts w:ascii="Franklin Gothic Demi" w:hAnsi="Franklin Gothic Demi"/>
              </w:rPr>
            </w:pPr>
            <w:r>
              <w:rPr>
                <w:rFonts w:ascii="Franklin Gothic Demi" w:hAnsi="Franklin Gothic Demi"/>
              </w:rPr>
              <w:t>Net benefits/costs</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DABB011" w14:textId="77777777" w:rsidR="0001348D" w:rsidRDefault="0001348D">
            <w:pPr>
              <w:pStyle w:val="TableDataEntries"/>
              <w:rPr>
                <w:rFonts w:ascii="Franklin Gothic Demi" w:hAnsi="Franklin Gothic Demi"/>
              </w:rPr>
            </w:pPr>
            <w:r>
              <w:rPr>
                <w:rFonts w:ascii="Franklin Gothic Demi" w:hAnsi="Franklin Gothic Demi"/>
              </w:rPr>
              <w:t>-3 127.65</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E8E6140" w14:textId="77777777" w:rsidR="0001348D" w:rsidRDefault="0001348D">
            <w:pPr>
              <w:pStyle w:val="TableDataEntries"/>
              <w:rPr>
                <w:rFonts w:ascii="Franklin Gothic Demi" w:hAnsi="Franklin Gothic Demi"/>
              </w:rPr>
            </w:pPr>
            <w:r>
              <w:rPr>
                <w:rFonts w:ascii="Franklin Gothic Demi" w:hAnsi="Franklin Gothic Demi"/>
              </w:rPr>
              <w:t>-20 037.96</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735D5CD" w14:textId="77777777" w:rsidR="0001348D" w:rsidRDefault="0001348D">
            <w:pPr>
              <w:pStyle w:val="TableDataEntries"/>
              <w:rPr>
                <w:rFonts w:ascii="Franklin Gothic Demi" w:hAnsi="Franklin Gothic Demi"/>
              </w:rPr>
            </w:pPr>
            <w:r>
              <w:rPr>
                <w:rFonts w:ascii="Franklin Gothic Demi" w:hAnsi="Franklin Gothic Demi"/>
              </w:rPr>
              <w:t>-27 388.39</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1757F590" w14:textId="77777777" w:rsidR="0001348D" w:rsidRDefault="0001348D">
            <w:pPr>
              <w:pStyle w:val="TableDataEntries"/>
              <w:rPr>
                <w:rFonts w:ascii="Franklin Gothic Demi" w:hAnsi="Franklin Gothic Demi"/>
              </w:rPr>
            </w:pPr>
            <w:r>
              <w:rPr>
                <w:rFonts w:ascii="Franklin Gothic Demi" w:hAnsi="Franklin Gothic Demi"/>
              </w:rPr>
              <w:t>-10 138.92</w:t>
            </w:r>
          </w:p>
        </w:tc>
      </w:tr>
      <w:tr w:rsidR="0001348D" w14:paraId="2C1316AA" w14:textId="77777777" w:rsidTr="001F4E3F">
        <w:trPr>
          <w:trHeight w:val="245"/>
        </w:trPr>
        <w:tc>
          <w:tcPr>
            <w:tcW w:w="340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1D750F69" w14:textId="77777777" w:rsidR="0001348D" w:rsidRDefault="0001348D">
            <w:pPr>
              <w:pStyle w:val="TableDataEntries"/>
              <w:jc w:val="left"/>
              <w:rPr>
                <w:rFonts w:ascii="Franklin Gothic Demi" w:hAnsi="Franklin Gothic Demi"/>
              </w:rPr>
            </w:pPr>
            <w:r>
              <w:rPr>
                <w:rFonts w:ascii="Franklin Gothic Demi" w:hAnsi="Franklin Gothic Demi"/>
              </w:rPr>
              <w:t>Benefit-cost ratio</w:t>
            </w:r>
          </w:p>
        </w:tc>
        <w:tc>
          <w:tcPr>
            <w:tcW w:w="993"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2EDCE23F" w14:textId="77777777" w:rsidR="0001348D" w:rsidRDefault="0001348D">
            <w:pPr>
              <w:pStyle w:val="TableDataEntries"/>
              <w:rPr>
                <w:rFonts w:ascii="Franklin Gothic Demi" w:hAnsi="Franklin Gothic Demi"/>
              </w:rPr>
            </w:pPr>
            <w:r>
              <w:rPr>
                <w:rFonts w:ascii="Franklin Gothic Demi" w:hAnsi="Franklin Gothic Demi"/>
              </w:rPr>
              <w:t>0.54</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6AE06014" w14:textId="77777777" w:rsidR="0001348D" w:rsidRDefault="0001348D">
            <w:pPr>
              <w:pStyle w:val="TableDataEntries"/>
              <w:rPr>
                <w:rFonts w:ascii="Franklin Gothic Demi" w:hAnsi="Franklin Gothic Demi"/>
              </w:rPr>
            </w:pPr>
            <w:r>
              <w:rPr>
                <w:rFonts w:ascii="Franklin Gothic Demi" w:hAnsi="Franklin Gothic Demi"/>
              </w:rPr>
              <w:t>0.23</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3CD2CD43" w14:textId="77777777" w:rsidR="0001348D" w:rsidRDefault="0001348D">
            <w:pPr>
              <w:pStyle w:val="TableDataEntries"/>
              <w:rPr>
                <w:rFonts w:ascii="Franklin Gothic Demi" w:hAnsi="Franklin Gothic Demi"/>
              </w:rPr>
            </w:pPr>
            <w:r>
              <w:rPr>
                <w:rFonts w:ascii="Franklin Gothic Demi" w:hAnsi="Franklin Gothic Demi"/>
              </w:rPr>
              <w:t>0.18</w:t>
            </w:r>
          </w:p>
        </w:tc>
        <w:tc>
          <w:tcPr>
            <w:tcW w:w="992"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vAlign w:val="bottom"/>
            <w:hideMark/>
          </w:tcPr>
          <w:p w14:paraId="7E194FB0" w14:textId="77777777" w:rsidR="0001348D" w:rsidRDefault="0001348D">
            <w:pPr>
              <w:pStyle w:val="TableDataEntries"/>
              <w:rPr>
                <w:rFonts w:ascii="Franklin Gothic Demi" w:hAnsi="Franklin Gothic Demi"/>
              </w:rPr>
            </w:pPr>
            <w:r>
              <w:rPr>
                <w:rFonts w:ascii="Franklin Gothic Demi" w:hAnsi="Franklin Gothic Demi"/>
              </w:rPr>
              <w:t>0.18</w:t>
            </w:r>
          </w:p>
        </w:tc>
      </w:tr>
    </w:tbl>
    <w:p w14:paraId="735937D2" w14:textId="77777777" w:rsidR="0001348D" w:rsidRDefault="0001348D" w:rsidP="0001348D">
      <w:pPr>
        <w:pStyle w:val="Source"/>
      </w:pPr>
      <w:r>
        <w:rPr>
          <w:rStyle w:val="NoteLabel"/>
        </w:rPr>
        <w:t>a</w:t>
      </w:r>
      <w:r>
        <w:t xml:space="preserve"> As with other benefits, the estimates of the societal and employment benefits differ across options because each option provides different levels of accessibility.</w:t>
      </w:r>
    </w:p>
    <w:p w14:paraId="40BF58BE" w14:textId="77777777" w:rsidR="0001348D" w:rsidRDefault="0001348D" w:rsidP="0001348D">
      <w:pPr>
        <w:pStyle w:val="Note"/>
        <w:rPr>
          <w:lang w:bidi="fa-IR"/>
        </w:rPr>
      </w:pPr>
      <w:r>
        <w:t xml:space="preserve">The net benefits/costs analysis within the RIS includes preliminary analysis of Option 5. As this has been done for comparison purposes it has not been included in this summary table for the Executive Summary. </w:t>
      </w:r>
    </w:p>
    <w:p w14:paraId="07BC48C5" w14:textId="77777777" w:rsidR="0001348D" w:rsidRDefault="0001348D" w:rsidP="0001348D">
      <w:pPr>
        <w:pStyle w:val="Note"/>
        <w:rPr>
          <w:lang w:bidi="fa-IR"/>
        </w:rPr>
      </w:pPr>
      <w:r w:rsidRPr="00DA6093">
        <w:t>Note:</w:t>
      </w:r>
      <w:r>
        <w:t xml:space="preserve"> The cost-benefit analysis includes the lifetime costs and benefits of all dwellings constructed over a 10</w:t>
      </w:r>
      <w:r>
        <w:noBreakHyphen/>
        <w:t>year regulatory period from 2022 to 2031 (including the lifetime benefits of these dwellings over 40 years), using a discount rate of 7 per cent.</w:t>
      </w:r>
    </w:p>
    <w:p w14:paraId="5D405594" w14:textId="77777777" w:rsidR="0001348D" w:rsidRDefault="0001348D" w:rsidP="0001348D">
      <w:pPr>
        <w:pStyle w:val="Source"/>
        <w:rPr>
          <w:lang w:bidi="fa-IR"/>
        </w:rPr>
      </w:pPr>
      <w:r w:rsidRPr="00DA6093">
        <w:rPr>
          <w:lang w:bidi="fa-IR"/>
        </w:rPr>
        <w:t>Source:</w:t>
      </w:r>
      <w:r>
        <w:rPr>
          <w:lang w:bidi="fa-IR"/>
        </w:rPr>
        <w:t xml:space="preserve"> CIE estimates.</w:t>
      </w:r>
    </w:p>
    <w:p w14:paraId="081FE875" w14:textId="77777777" w:rsidR="000B4DAA" w:rsidRDefault="000B4DAA" w:rsidP="000B4DAA">
      <w:pPr>
        <w:pStyle w:val="BodyText"/>
        <w:rPr>
          <w:lang w:bidi="fa-IR"/>
        </w:rPr>
      </w:pPr>
      <w:r>
        <w:rPr>
          <w:lang w:bidi="fa-IR"/>
        </w:rPr>
        <w:t>Other key findings include:</w:t>
      </w:r>
    </w:p>
    <w:p w14:paraId="4B25943D" w14:textId="77777777" w:rsidR="0001348D" w:rsidRDefault="0001348D" w:rsidP="0001348D">
      <w:pPr>
        <w:pStyle w:val="ListBullet"/>
        <w:numPr>
          <w:ilvl w:val="0"/>
          <w:numId w:val="42"/>
        </w:numPr>
        <w:rPr>
          <w:lang w:bidi="fa-IR"/>
        </w:rPr>
      </w:pPr>
      <w:r>
        <w:rPr>
          <w:lang w:bidi="fa-IR"/>
        </w:rPr>
        <w:t>Under all scenarios tested, the costs associated with all of the regulatory options (</w:t>
      </w:r>
      <w:r w:rsidR="000B4DAA">
        <w:rPr>
          <w:lang w:bidi="fa-IR"/>
        </w:rPr>
        <w:t>Options 1-4)</w:t>
      </w:r>
      <w:r>
        <w:rPr>
          <w:lang w:bidi="fa-IR"/>
        </w:rPr>
        <w:t xml:space="preserve"> are estimated to outweigh the benefits, suggesting </w:t>
      </w:r>
      <w:r w:rsidR="00865244">
        <w:rPr>
          <w:lang w:bidi="fa-IR"/>
        </w:rPr>
        <w:t>the</w:t>
      </w:r>
      <w:r>
        <w:rPr>
          <w:lang w:bidi="fa-IR"/>
        </w:rPr>
        <w:t xml:space="preserve"> finding</w:t>
      </w:r>
      <w:r w:rsidR="00865244">
        <w:rPr>
          <w:lang w:bidi="fa-IR"/>
        </w:rPr>
        <w:t>s are</w:t>
      </w:r>
      <w:r>
        <w:rPr>
          <w:lang w:bidi="fa-IR"/>
        </w:rPr>
        <w:t xml:space="preserve"> reasonably robust.</w:t>
      </w:r>
    </w:p>
    <w:p w14:paraId="7BB4C9CA" w14:textId="77777777" w:rsidR="0001348D" w:rsidRDefault="0001348D" w:rsidP="0001348D">
      <w:pPr>
        <w:pStyle w:val="ListBullet2"/>
        <w:rPr>
          <w:lang w:bidi="fa-IR"/>
        </w:rPr>
      </w:pPr>
      <w:r>
        <w:rPr>
          <w:lang w:bidi="fa-IR"/>
        </w:rPr>
        <w:t>The CBA results are relatively sensitive to assumption</w:t>
      </w:r>
      <w:r w:rsidR="00B97915">
        <w:rPr>
          <w:lang w:bidi="fa-IR"/>
        </w:rPr>
        <w:t>s</w:t>
      </w:r>
      <w:r>
        <w:rPr>
          <w:lang w:bidi="fa-IR"/>
        </w:rPr>
        <w:t xml:space="preserve"> around the allocation of housing.</w:t>
      </w:r>
    </w:p>
    <w:p w14:paraId="61AE3E38" w14:textId="77777777" w:rsidR="0001348D" w:rsidRDefault="0001348D" w:rsidP="0001348D">
      <w:pPr>
        <w:pStyle w:val="ListBullet2"/>
        <w:rPr>
          <w:lang w:bidi="fa-IR"/>
        </w:rPr>
      </w:pPr>
      <w:r>
        <w:rPr>
          <w:lang w:bidi="fa-IR"/>
        </w:rPr>
        <w:t>Extending the period over which the proposed regulatory changes are analysed tends to result in a modest improvement in the CBA results. This reflects two factors: the size of the problem is estimated to increase over time; and changes to the NCC become more effective in addressing the problem as the share of accessible dwellings in the stock increases.</w:t>
      </w:r>
    </w:p>
    <w:p w14:paraId="7495E3A6" w14:textId="77777777" w:rsidR="0001348D" w:rsidRDefault="0001348D" w:rsidP="0001348D">
      <w:pPr>
        <w:pStyle w:val="ListBullet"/>
        <w:numPr>
          <w:ilvl w:val="0"/>
          <w:numId w:val="42"/>
        </w:numPr>
        <w:rPr>
          <w:lang w:bidi="fa-IR"/>
        </w:rPr>
      </w:pPr>
      <w:r>
        <w:rPr>
          <w:lang w:bidi="fa-IR"/>
        </w:rPr>
        <w:t>For a proposal to break</w:t>
      </w:r>
      <w:r w:rsidR="00B97915">
        <w:rPr>
          <w:lang w:bidi="fa-IR"/>
        </w:rPr>
        <w:t>-</w:t>
      </w:r>
      <w:r>
        <w:rPr>
          <w:lang w:bidi="fa-IR"/>
        </w:rPr>
        <w:t>even, the cost of the proposals would need to be significantly lower, or the benefits significantly higher (more than $3000 per dwelling on average for Silver). This is considered to be unlikely.</w:t>
      </w:r>
    </w:p>
    <w:p w14:paraId="354B5A6E" w14:textId="77777777" w:rsidR="0001348D" w:rsidRPr="00233C02" w:rsidRDefault="0001348D" w:rsidP="0001348D">
      <w:pPr>
        <w:pStyle w:val="Heading2"/>
        <w:numPr>
          <w:ilvl w:val="0"/>
          <w:numId w:val="0"/>
        </w:numPr>
        <w:rPr>
          <w:bCs/>
          <w:lang w:bidi="fa-IR"/>
        </w:rPr>
      </w:pPr>
      <w:bookmarkStart w:id="22" w:name="_Toc70505084"/>
      <w:r w:rsidRPr="00233C02">
        <w:rPr>
          <w:bCs/>
          <w:lang w:bidi="fa-IR"/>
        </w:rPr>
        <w:t>Conclusions</w:t>
      </w:r>
      <w:bookmarkEnd w:id="22"/>
    </w:p>
    <w:p w14:paraId="26D90302" w14:textId="77777777" w:rsidR="0001348D" w:rsidRDefault="0001348D" w:rsidP="0001348D">
      <w:pPr>
        <w:pStyle w:val="BodyText"/>
      </w:pPr>
      <w:r>
        <w:rPr>
          <w:lang w:bidi="fa-IR"/>
        </w:rPr>
        <w:t>T</w:t>
      </w:r>
      <w:r>
        <w:t xml:space="preserve">his RIS has investigated the inclusion of minimum accessibility housing standards in the NCC. It considers the costs and benefits of options to ensure housing is built to meet </w:t>
      </w:r>
      <w:r>
        <w:lastRenderedPageBreak/>
        <w:t>the needs of all Australians, drawing on the best available information, supported by important lived experiences and information received during consultation.</w:t>
      </w:r>
    </w:p>
    <w:p w14:paraId="6E551D6B" w14:textId="77777777" w:rsidR="0001348D" w:rsidRDefault="0001348D" w:rsidP="0001348D">
      <w:pPr>
        <w:pStyle w:val="BodyText"/>
        <w:rPr>
          <w:lang w:bidi="fa-IR"/>
        </w:rPr>
      </w:pPr>
      <w:r>
        <w:rPr>
          <w:lang w:bidi="fa-IR"/>
        </w:rPr>
        <w:t>Although a lack of accessible housing imposes a significant and growing cost on the community (incurred mostly by people with disability and older people), this RIS concludes that</w:t>
      </w:r>
      <w:r w:rsidR="000F62E9">
        <w:rPr>
          <w:lang w:bidi="fa-IR"/>
        </w:rPr>
        <w:t xml:space="preserve"> regulatory</w:t>
      </w:r>
      <w:r>
        <w:rPr>
          <w:lang w:bidi="fa-IR"/>
        </w:rPr>
        <w:t xml:space="preserve"> options to amend the NCC</w:t>
      </w:r>
      <w:r w:rsidR="000F62E9">
        <w:rPr>
          <w:lang w:bidi="fa-IR"/>
        </w:rPr>
        <w:t xml:space="preserve"> for all new houses and apartments based on </w:t>
      </w:r>
      <w:r>
        <w:rPr>
          <w:lang w:bidi="fa-IR"/>
        </w:rPr>
        <w:t>Silver</w:t>
      </w:r>
      <w:r w:rsidR="000F62E9">
        <w:rPr>
          <w:lang w:bidi="fa-IR"/>
        </w:rPr>
        <w:t>, Gold</w:t>
      </w:r>
      <w:r>
        <w:rPr>
          <w:lang w:bidi="fa-IR"/>
        </w:rPr>
        <w:t xml:space="preserve"> and Gold</w:t>
      </w:r>
      <w:r w:rsidR="000F62E9">
        <w:rPr>
          <w:lang w:bidi="fa-IR"/>
        </w:rPr>
        <w:t xml:space="preserve"> +</w:t>
      </w:r>
      <w:r w:rsidR="00E56F58">
        <w:rPr>
          <w:lang w:bidi="fa-IR"/>
        </w:rPr>
        <w:t xml:space="preserve"> </w:t>
      </w:r>
      <w:r>
        <w:rPr>
          <w:lang w:bidi="fa-IR"/>
        </w:rPr>
        <w:t>impose costs that outweigh the benefits.</w:t>
      </w:r>
    </w:p>
    <w:p w14:paraId="52568CD4" w14:textId="77777777" w:rsidR="0001348D" w:rsidRDefault="0001348D" w:rsidP="0001348D">
      <w:pPr>
        <w:pStyle w:val="BodyText"/>
        <w:rPr>
          <w:lang w:bidi="fa-IR"/>
        </w:rPr>
      </w:pPr>
      <w:r>
        <w:rPr>
          <w:lang w:bidi="fa-IR"/>
        </w:rPr>
        <w:t xml:space="preserve">The CBA provides quantitative information to inform policy decisions. In an effort to provide further information, the RIS also discusses broader impacts to society including employment and productivity benefits and the community’s preference for more equitable outcomes in housing.  </w:t>
      </w:r>
    </w:p>
    <w:p w14:paraId="5D657DB3" w14:textId="77777777" w:rsidR="0001348D" w:rsidRDefault="00E56F58" w:rsidP="007865EC">
      <w:pPr>
        <w:pStyle w:val="BodyText"/>
      </w:pPr>
      <w:r>
        <w:rPr>
          <w:lang w:bidi="fa-IR"/>
        </w:rPr>
        <w:t>Finally</w:t>
      </w:r>
      <w:r w:rsidR="0001348D">
        <w:rPr>
          <w:lang w:bidi="fa-IR"/>
        </w:rPr>
        <w:t xml:space="preserve">, </w:t>
      </w:r>
      <w:r>
        <w:rPr>
          <w:lang w:bidi="fa-IR"/>
        </w:rPr>
        <w:t xml:space="preserve">the </w:t>
      </w:r>
      <w:r w:rsidR="0001348D">
        <w:rPr>
          <w:lang w:bidi="fa-IR"/>
        </w:rPr>
        <w:t xml:space="preserve">CBA is not the only input to decision making. </w:t>
      </w:r>
      <w:r w:rsidR="0001348D">
        <w:rPr>
          <w:lang w:eastAsia="en-US" w:bidi="fa-IR"/>
        </w:rPr>
        <w:t>Decision</w:t>
      </w:r>
      <w:r w:rsidR="0001348D">
        <w:rPr>
          <w:lang w:eastAsia="en-US" w:bidi="fa-IR"/>
        </w:rPr>
        <w:noBreakHyphen/>
        <w:t>makers are best placed to weigh up factors, such as social justice for people with disability</w:t>
      </w:r>
      <w:r>
        <w:rPr>
          <w:lang w:eastAsia="en-US" w:bidi="fa-IR"/>
        </w:rPr>
        <w:t xml:space="preserve"> supporting</w:t>
      </w:r>
      <w:r w:rsidR="00337510">
        <w:rPr>
          <w:lang w:eastAsia="en-US" w:bidi="fa-IR"/>
        </w:rPr>
        <w:t xml:space="preserve"> more inclusive communities and ageing in place, as well as Australia’s</w:t>
      </w:r>
      <w:r w:rsidR="0001348D">
        <w:rPr>
          <w:lang w:eastAsia="en-US" w:bidi="fa-IR"/>
        </w:rPr>
        <w:t xml:space="preserve"> future progress towards international human rights treaties, against the net cost imposed on other members of the community.</w:t>
      </w:r>
    </w:p>
    <w:p w14:paraId="19943052" w14:textId="77777777" w:rsidR="004E736E" w:rsidRPr="00F51AF6" w:rsidRDefault="004E736E" w:rsidP="00231B7C">
      <w:pPr>
        <w:pStyle w:val="Heading1"/>
        <w:numPr>
          <w:ilvl w:val="0"/>
          <w:numId w:val="22"/>
        </w:numPr>
      </w:pPr>
      <w:bookmarkStart w:id="23" w:name="_Toc70505085"/>
      <w:bookmarkEnd w:id="9"/>
      <w:r>
        <w:lastRenderedPageBreak/>
        <w:t>Background and introduction</w:t>
      </w:r>
      <w:bookmarkEnd w:id="10"/>
      <w:bookmarkEnd w:id="11"/>
      <w:bookmarkEnd w:id="12"/>
      <w:bookmarkEnd w:id="23"/>
    </w:p>
    <w:p w14:paraId="650E69AB" w14:textId="77777777" w:rsidR="00486B43" w:rsidRDefault="00486B43" w:rsidP="00486B43">
      <w:pPr>
        <w:pStyle w:val="Heading2"/>
        <w:numPr>
          <w:ilvl w:val="1"/>
          <w:numId w:val="5"/>
        </w:numPr>
      </w:pPr>
      <w:bookmarkStart w:id="24" w:name="_Toc22117097"/>
      <w:bookmarkStart w:id="25" w:name="_Toc32321741"/>
      <w:bookmarkStart w:id="26" w:name="_Toc44598430"/>
      <w:bookmarkStart w:id="27" w:name="_Toc45654061"/>
      <w:bookmarkStart w:id="28" w:name="_Toc70505086"/>
      <w:r>
        <w:t>Background</w:t>
      </w:r>
      <w:bookmarkEnd w:id="24"/>
      <w:bookmarkEnd w:id="25"/>
      <w:bookmarkEnd w:id="26"/>
      <w:bookmarkEnd w:id="27"/>
      <w:bookmarkEnd w:id="28"/>
    </w:p>
    <w:p w14:paraId="74F8A194" w14:textId="77777777" w:rsidR="00486B43" w:rsidRDefault="00486B43" w:rsidP="00486B43">
      <w:pPr>
        <w:pStyle w:val="BodyText"/>
      </w:pPr>
      <w:r>
        <w:rPr>
          <w:shd w:val="clear" w:color="auto" w:fill="FFFFFF"/>
        </w:rPr>
        <w:t xml:space="preserve">In late 2009, the National Dialogue on Universal Housing Design brought together key stakeholders from the residential building and property industry, the ageing, disability and community support sector and all levels of government to discuss how housing could be designed and built to better respond to the changing needs and abilities of people over their lifetime. </w:t>
      </w:r>
      <w:r>
        <w:t>Members of the Dialogue were:</w:t>
      </w:r>
    </w:p>
    <w:p w14:paraId="015BB084" w14:textId="77777777" w:rsidR="00486B43" w:rsidRDefault="00486B43" w:rsidP="00486B43">
      <w:pPr>
        <w:pStyle w:val="ListBullet"/>
        <w:numPr>
          <w:ilvl w:val="0"/>
          <w:numId w:val="16"/>
        </w:numPr>
        <w:rPr>
          <w:shd w:val="clear" w:color="auto" w:fill="FFFFFF"/>
        </w:rPr>
      </w:pPr>
      <w:r>
        <w:rPr>
          <w:shd w:val="clear" w:color="auto" w:fill="FFFFFF"/>
        </w:rPr>
        <w:t>Australian Human Rights Commission</w:t>
      </w:r>
      <w:r w:rsidR="001F678D">
        <w:rPr>
          <w:shd w:val="clear" w:color="auto" w:fill="FFFFFF"/>
        </w:rPr>
        <w:t xml:space="preserve"> (AHRC)</w:t>
      </w:r>
    </w:p>
    <w:p w14:paraId="358F7445" w14:textId="77777777" w:rsidR="00486B43" w:rsidRDefault="00486B43" w:rsidP="00486B43">
      <w:pPr>
        <w:pStyle w:val="ListBullet"/>
        <w:numPr>
          <w:ilvl w:val="0"/>
          <w:numId w:val="16"/>
        </w:numPr>
        <w:rPr>
          <w:shd w:val="clear" w:color="auto" w:fill="FFFFFF"/>
        </w:rPr>
      </w:pPr>
      <w:r>
        <w:rPr>
          <w:shd w:val="clear" w:color="auto" w:fill="FFFFFF"/>
        </w:rPr>
        <w:t>Australian Institute of Architects</w:t>
      </w:r>
    </w:p>
    <w:p w14:paraId="5B6C5D5F" w14:textId="77777777" w:rsidR="00486B43" w:rsidRDefault="00486B43" w:rsidP="00486B43">
      <w:pPr>
        <w:pStyle w:val="ListBullet"/>
        <w:numPr>
          <w:ilvl w:val="0"/>
          <w:numId w:val="16"/>
        </w:numPr>
        <w:rPr>
          <w:shd w:val="clear" w:color="auto" w:fill="FFFFFF"/>
        </w:rPr>
      </w:pPr>
      <w:r w:rsidRPr="005C585E">
        <w:rPr>
          <w:shd w:val="clear" w:color="auto" w:fill="FFFFFF"/>
        </w:rPr>
        <w:t>Australian Local Government Association</w:t>
      </w:r>
    </w:p>
    <w:p w14:paraId="6746F6CD" w14:textId="77777777" w:rsidR="00486B43" w:rsidRDefault="00486B43" w:rsidP="00486B43">
      <w:pPr>
        <w:pStyle w:val="ListBullet"/>
        <w:numPr>
          <w:ilvl w:val="0"/>
          <w:numId w:val="16"/>
        </w:numPr>
        <w:rPr>
          <w:shd w:val="clear" w:color="auto" w:fill="FFFFFF"/>
        </w:rPr>
      </w:pPr>
      <w:r w:rsidRPr="005C585E">
        <w:rPr>
          <w:shd w:val="clear" w:color="auto" w:fill="FFFFFF"/>
        </w:rPr>
        <w:t>Australian Network for Universal Housing Design</w:t>
      </w:r>
      <w:r>
        <w:rPr>
          <w:shd w:val="clear" w:color="auto" w:fill="FFFFFF"/>
        </w:rPr>
        <w:t xml:space="preserve"> (ANUHD)</w:t>
      </w:r>
    </w:p>
    <w:p w14:paraId="287708E4" w14:textId="77777777" w:rsidR="00486B43" w:rsidRDefault="00486B43" w:rsidP="00486B43">
      <w:pPr>
        <w:pStyle w:val="ListBullet"/>
        <w:numPr>
          <w:ilvl w:val="0"/>
          <w:numId w:val="16"/>
        </w:numPr>
        <w:rPr>
          <w:shd w:val="clear" w:color="auto" w:fill="FFFFFF"/>
        </w:rPr>
      </w:pPr>
      <w:r w:rsidRPr="005C585E">
        <w:rPr>
          <w:shd w:val="clear" w:color="auto" w:fill="FFFFFF"/>
        </w:rPr>
        <w:t>Building Commission Victoria</w:t>
      </w:r>
    </w:p>
    <w:p w14:paraId="799CD450" w14:textId="77777777" w:rsidR="00486B43" w:rsidRDefault="00486B43" w:rsidP="00486B43">
      <w:pPr>
        <w:pStyle w:val="ListBullet"/>
        <w:numPr>
          <w:ilvl w:val="0"/>
          <w:numId w:val="16"/>
        </w:numPr>
        <w:rPr>
          <w:shd w:val="clear" w:color="auto" w:fill="FFFFFF"/>
        </w:rPr>
      </w:pPr>
      <w:r w:rsidRPr="005C585E">
        <w:rPr>
          <w:shd w:val="clear" w:color="auto" w:fill="FFFFFF"/>
        </w:rPr>
        <w:t>COTA Australia</w:t>
      </w:r>
    </w:p>
    <w:p w14:paraId="1089F7D4" w14:textId="77777777" w:rsidR="00486B43" w:rsidRDefault="00486B43" w:rsidP="00486B43">
      <w:pPr>
        <w:pStyle w:val="ListBullet"/>
        <w:numPr>
          <w:ilvl w:val="0"/>
          <w:numId w:val="16"/>
        </w:numPr>
        <w:rPr>
          <w:shd w:val="clear" w:color="auto" w:fill="FFFFFF"/>
        </w:rPr>
      </w:pPr>
      <w:r w:rsidRPr="005C585E">
        <w:rPr>
          <w:shd w:val="clear" w:color="auto" w:fill="FFFFFF"/>
        </w:rPr>
        <w:t>Grocon</w:t>
      </w:r>
    </w:p>
    <w:p w14:paraId="17F52FBF" w14:textId="77777777" w:rsidR="00486B43" w:rsidRDefault="00486B43" w:rsidP="00486B43">
      <w:pPr>
        <w:pStyle w:val="ListBullet"/>
        <w:numPr>
          <w:ilvl w:val="0"/>
          <w:numId w:val="16"/>
        </w:numPr>
        <w:rPr>
          <w:shd w:val="clear" w:color="auto" w:fill="FFFFFF"/>
        </w:rPr>
      </w:pPr>
      <w:r w:rsidRPr="005C585E">
        <w:rPr>
          <w:shd w:val="clear" w:color="auto" w:fill="FFFFFF"/>
        </w:rPr>
        <w:t>Housing Industry Association</w:t>
      </w:r>
    </w:p>
    <w:p w14:paraId="343580EA" w14:textId="77777777" w:rsidR="00486B43" w:rsidRDefault="00486B43" w:rsidP="00486B43">
      <w:pPr>
        <w:pStyle w:val="ListBullet"/>
        <w:numPr>
          <w:ilvl w:val="0"/>
          <w:numId w:val="16"/>
        </w:numPr>
        <w:rPr>
          <w:shd w:val="clear" w:color="auto" w:fill="FFFFFF"/>
        </w:rPr>
      </w:pPr>
      <w:r w:rsidRPr="005C585E">
        <w:rPr>
          <w:shd w:val="clear" w:color="auto" w:fill="FFFFFF"/>
        </w:rPr>
        <w:t>Lend Lease</w:t>
      </w:r>
    </w:p>
    <w:p w14:paraId="039F5246" w14:textId="77777777" w:rsidR="00486B43" w:rsidRDefault="00486B43" w:rsidP="00486B43">
      <w:pPr>
        <w:pStyle w:val="ListBullet"/>
        <w:numPr>
          <w:ilvl w:val="0"/>
          <w:numId w:val="16"/>
        </w:numPr>
        <w:rPr>
          <w:shd w:val="clear" w:color="auto" w:fill="FFFFFF"/>
        </w:rPr>
      </w:pPr>
      <w:r w:rsidRPr="005C585E">
        <w:rPr>
          <w:shd w:val="clear" w:color="auto" w:fill="FFFFFF"/>
        </w:rPr>
        <w:t>Master Builders Australia</w:t>
      </w:r>
    </w:p>
    <w:p w14:paraId="122402ED" w14:textId="77777777" w:rsidR="00486B43" w:rsidRDefault="00486B43" w:rsidP="00486B43">
      <w:pPr>
        <w:pStyle w:val="ListBullet"/>
        <w:numPr>
          <w:ilvl w:val="0"/>
          <w:numId w:val="16"/>
        </w:numPr>
        <w:rPr>
          <w:shd w:val="clear" w:color="auto" w:fill="FFFFFF"/>
        </w:rPr>
      </w:pPr>
      <w:r w:rsidRPr="005C585E">
        <w:rPr>
          <w:shd w:val="clear" w:color="auto" w:fill="FFFFFF"/>
        </w:rPr>
        <w:t>National People with Disabilities and Carers Council</w:t>
      </w:r>
    </w:p>
    <w:p w14:paraId="0A90FA1E" w14:textId="77777777" w:rsidR="00486B43" w:rsidRDefault="00486B43" w:rsidP="00486B43">
      <w:pPr>
        <w:pStyle w:val="ListBullet"/>
        <w:numPr>
          <w:ilvl w:val="0"/>
          <w:numId w:val="16"/>
        </w:numPr>
        <w:rPr>
          <w:shd w:val="clear" w:color="auto" w:fill="FFFFFF"/>
        </w:rPr>
      </w:pPr>
      <w:r w:rsidRPr="005C585E">
        <w:rPr>
          <w:shd w:val="clear" w:color="auto" w:fill="FFFFFF"/>
        </w:rPr>
        <w:t>Office of the Disability Council of NSW</w:t>
      </w:r>
    </w:p>
    <w:p w14:paraId="76D81754" w14:textId="77777777" w:rsidR="00486B43" w:rsidRDefault="00486B43" w:rsidP="00486B43">
      <w:pPr>
        <w:pStyle w:val="ListBullet"/>
        <w:numPr>
          <w:ilvl w:val="0"/>
          <w:numId w:val="16"/>
        </w:numPr>
        <w:rPr>
          <w:shd w:val="clear" w:color="auto" w:fill="FFFFFF"/>
        </w:rPr>
      </w:pPr>
      <w:r w:rsidRPr="005C585E">
        <w:rPr>
          <w:shd w:val="clear" w:color="auto" w:fill="FFFFFF"/>
        </w:rPr>
        <w:t>Property Council of Australia</w:t>
      </w:r>
    </w:p>
    <w:p w14:paraId="5B03E7D3" w14:textId="77777777" w:rsidR="00486B43" w:rsidRDefault="00486B43" w:rsidP="00486B43">
      <w:pPr>
        <w:pStyle w:val="ListBullet"/>
        <w:numPr>
          <w:ilvl w:val="0"/>
          <w:numId w:val="16"/>
        </w:numPr>
        <w:rPr>
          <w:shd w:val="clear" w:color="auto" w:fill="FFFFFF"/>
        </w:rPr>
      </w:pPr>
      <w:r w:rsidRPr="005C585E">
        <w:rPr>
          <w:shd w:val="clear" w:color="auto" w:fill="FFFFFF"/>
        </w:rPr>
        <w:t>Real Estate Institute of Australia</w:t>
      </w:r>
    </w:p>
    <w:p w14:paraId="3FE182A9" w14:textId="77777777" w:rsidR="00486B43" w:rsidRPr="005C585E" w:rsidRDefault="00486B43" w:rsidP="00486B43">
      <w:pPr>
        <w:pStyle w:val="ListBullet"/>
        <w:numPr>
          <w:ilvl w:val="0"/>
          <w:numId w:val="16"/>
        </w:numPr>
        <w:rPr>
          <w:shd w:val="clear" w:color="auto" w:fill="FFFFFF"/>
        </w:rPr>
      </w:pPr>
      <w:r w:rsidRPr="005C585E">
        <w:rPr>
          <w:shd w:val="clear" w:color="auto" w:fill="FFFFFF"/>
        </w:rPr>
        <w:t>Stockland.</w:t>
      </w:r>
    </w:p>
    <w:p w14:paraId="495E74A5" w14:textId="77777777" w:rsidR="00486B43" w:rsidRDefault="00486B43" w:rsidP="00486B43">
      <w:pPr>
        <w:pStyle w:val="BodyText"/>
      </w:pPr>
      <w:r>
        <w:t>National Dialogue members:</w:t>
      </w:r>
    </w:p>
    <w:p w14:paraId="47ADC352" w14:textId="77777777" w:rsidR="00486B43" w:rsidRDefault="00486B43" w:rsidP="00486B43">
      <w:pPr>
        <w:pStyle w:val="ListBullet"/>
        <w:numPr>
          <w:ilvl w:val="0"/>
          <w:numId w:val="16"/>
        </w:numPr>
      </w:pPr>
      <w:r>
        <w:t>recognised that traditionally most homes have not been designed or built in a way that can easily accommodate the changing needs of households over their lifetime</w:t>
      </w:r>
    </w:p>
    <w:p w14:paraId="702AF169" w14:textId="77777777" w:rsidR="00486B43" w:rsidRDefault="00486B43" w:rsidP="00486B43">
      <w:pPr>
        <w:pStyle w:val="ListBullet"/>
        <w:numPr>
          <w:ilvl w:val="0"/>
          <w:numId w:val="16"/>
        </w:numPr>
      </w:pPr>
      <w:r>
        <w:t>agreed that there is a need to develop a national approach to the issue of Universal Housing Design. Such an approach would resolve the confusion of definitions and approaches to improving access in and around homes making them easier and safer to live in for all people, regardless of age or ability</w:t>
      </w:r>
    </w:p>
    <w:p w14:paraId="3A7C3411" w14:textId="77777777" w:rsidR="00486B43" w:rsidRDefault="00486B43" w:rsidP="00486B43">
      <w:pPr>
        <w:pStyle w:val="ListBullet"/>
        <w:numPr>
          <w:ilvl w:val="0"/>
          <w:numId w:val="16"/>
        </w:numPr>
      </w:pPr>
      <w:r>
        <w:t>believed it is important that the community at large is informed and educated about the benefits of Universal Housing Design</w:t>
      </w:r>
    </w:p>
    <w:p w14:paraId="49E651CF" w14:textId="77777777" w:rsidR="00486B43" w:rsidRDefault="00486B43" w:rsidP="00486B43">
      <w:pPr>
        <w:pStyle w:val="ListBullet"/>
        <w:numPr>
          <w:ilvl w:val="0"/>
          <w:numId w:val="16"/>
        </w:numPr>
      </w:pPr>
      <w:r>
        <w:t xml:space="preserve">agreed to work together to explain to the Australian community the benefits of Universal Housing Design – that it is about making homes easier and safer for young </w:t>
      </w:r>
      <w:r>
        <w:lastRenderedPageBreak/>
        <w:t>families, people who have short or long</w:t>
      </w:r>
      <w:r>
        <w:noBreakHyphen/>
        <w:t>term injuries or illnesses, as well as senior Australians and people with disability.</w:t>
      </w:r>
      <w:r>
        <w:rPr>
          <w:rStyle w:val="FootnoteReference"/>
        </w:rPr>
        <w:footnoteReference w:id="11"/>
      </w:r>
    </w:p>
    <w:p w14:paraId="23DD3FAD" w14:textId="77777777" w:rsidR="00486B43" w:rsidRDefault="00486B43" w:rsidP="00486B43">
      <w:pPr>
        <w:pStyle w:val="BodyText"/>
      </w:pPr>
      <w:r>
        <w:t xml:space="preserve">The National Dialogue members also agreed to pursue an aspirational target that all new homes will be of an agreed Universal Housing Design standard by 2020 with interim targets to be set within that 10-year period. A strategic plan was released in 2010 to support the achievement of the aspirational targets — a key milestone in that plan was the release of the LHDG and </w:t>
      </w:r>
      <w:r w:rsidR="005135A9">
        <w:t xml:space="preserve">the </w:t>
      </w:r>
      <w:r w:rsidR="00616CEB">
        <w:t>National</w:t>
      </w:r>
      <w:r w:rsidR="007D7594">
        <w:t xml:space="preserve"> </w:t>
      </w:r>
      <w:r w:rsidR="000C2083">
        <w:t xml:space="preserve">Dialogue on Universal Housing Design 2010, </w:t>
      </w:r>
      <w:r w:rsidRPr="000C2083">
        <w:t>Strategic Plan.</w:t>
      </w:r>
    </w:p>
    <w:p w14:paraId="79E0A2A4" w14:textId="77777777" w:rsidR="00486B43" w:rsidRDefault="00F76823" w:rsidP="00486B43">
      <w:pPr>
        <w:pStyle w:val="BodyText"/>
      </w:pPr>
      <w:r>
        <w:t>These aspirations have not been met, with estimates of new homes built to the LHDG ranging between 5 and 10 per cent.</w:t>
      </w:r>
    </w:p>
    <w:p w14:paraId="39CC62C4" w14:textId="77777777" w:rsidR="00B921D7" w:rsidRDefault="00486B43" w:rsidP="00486B43">
      <w:pPr>
        <w:spacing w:before="139" w:line="280" w:lineRule="exact"/>
        <w:ind w:right="72"/>
        <w:textAlignment w:val="baseline"/>
        <w:rPr>
          <w:rFonts w:eastAsia="Calisto MT"/>
          <w:color w:val="000000"/>
          <w:lang w:val="en-US"/>
        </w:rPr>
      </w:pPr>
      <w:r>
        <w:t xml:space="preserve">During </w:t>
      </w:r>
      <w:r w:rsidR="00C146DD">
        <w:t xml:space="preserve">the </w:t>
      </w:r>
      <w:r w:rsidR="007C30CE">
        <w:t>Australian Building Code Board’s (</w:t>
      </w:r>
      <w:r>
        <w:t>ABCB</w:t>
      </w:r>
      <w:r w:rsidR="007C30CE">
        <w:t>)</w:t>
      </w:r>
      <w:r>
        <w:t xml:space="preserve"> consultation process, some stakeholders noted the role of the United Nations Convention on the Rights of Persons with Disabilities (</w:t>
      </w:r>
      <w:r w:rsidR="00006135">
        <w:t>UN</w:t>
      </w:r>
      <w:r>
        <w:t>C</w:t>
      </w:r>
      <w:r w:rsidR="007C30CE">
        <w:t>R</w:t>
      </w:r>
      <w:r>
        <w:t>PD) (see box </w:t>
      </w:r>
      <w:r w:rsidR="007C30CE">
        <w:t>1.1</w:t>
      </w:r>
      <w:r>
        <w:t xml:space="preserve">), in the context of considering a minimum accessibility standard. </w:t>
      </w:r>
      <w:r>
        <w:rPr>
          <w:rFonts w:eastAsia="Calisto MT"/>
          <w:color w:val="000000"/>
          <w:lang w:val="en-US"/>
        </w:rPr>
        <w:t xml:space="preserve">Australia ratified the </w:t>
      </w:r>
      <w:r w:rsidR="00A92E4B">
        <w:rPr>
          <w:rFonts w:eastAsia="Calisto MT"/>
          <w:color w:val="000000"/>
          <w:lang w:val="en-US"/>
        </w:rPr>
        <w:t>UN</w:t>
      </w:r>
      <w:r>
        <w:rPr>
          <w:rFonts w:eastAsia="Calisto MT"/>
          <w:color w:val="000000"/>
          <w:lang w:val="en-US"/>
        </w:rPr>
        <w:t>CRPD in 2008, reflecting the Australian Government’s commitment to promoting and supporting the equal and active participation by people with disabilit</w:t>
      </w:r>
      <w:r w:rsidR="009709FC">
        <w:rPr>
          <w:rFonts w:eastAsia="Calisto MT"/>
          <w:color w:val="000000"/>
          <w:lang w:val="en-US"/>
        </w:rPr>
        <w:t>y</w:t>
      </w:r>
      <w:r>
        <w:rPr>
          <w:rFonts w:eastAsia="Calisto MT"/>
          <w:color w:val="000000"/>
          <w:lang w:val="en-US"/>
        </w:rPr>
        <w:t xml:space="preserve"> in all areas of public life. The obligations under the </w:t>
      </w:r>
      <w:r w:rsidR="00612C01">
        <w:rPr>
          <w:rFonts w:eastAsia="Calisto MT"/>
          <w:color w:val="000000"/>
          <w:lang w:val="en-US"/>
        </w:rPr>
        <w:t>UN</w:t>
      </w:r>
      <w:r>
        <w:rPr>
          <w:rFonts w:eastAsia="Calisto MT"/>
          <w:color w:val="000000"/>
          <w:lang w:val="en-US"/>
        </w:rPr>
        <w:t xml:space="preserve">CRPD with respect to accessible housing are progressively </w:t>
      </w:r>
      <w:r w:rsidR="00FB51A7">
        <w:rPr>
          <w:rFonts w:eastAsia="Calisto MT"/>
          <w:color w:val="000000"/>
          <w:lang w:val="en-US"/>
        </w:rPr>
        <w:t>realisable and</w:t>
      </w:r>
      <w:r>
        <w:rPr>
          <w:rFonts w:eastAsia="Calisto MT"/>
          <w:color w:val="000000"/>
          <w:lang w:val="en-US"/>
        </w:rPr>
        <w:t xml:space="preserve"> Australian governments are obliged</w:t>
      </w:r>
      <w:r w:rsidR="00826A9F">
        <w:rPr>
          <w:rFonts w:eastAsia="Calisto MT"/>
          <w:color w:val="000000"/>
          <w:lang w:val="en-US"/>
        </w:rPr>
        <w:t xml:space="preserve"> </w:t>
      </w:r>
      <w:r>
        <w:rPr>
          <w:rFonts w:eastAsia="Calisto MT"/>
          <w:color w:val="000000"/>
          <w:lang w:val="en-US"/>
        </w:rPr>
        <w:t>to take steps</w:t>
      </w:r>
      <w:r w:rsidR="00826A9F">
        <w:rPr>
          <w:rFonts w:eastAsia="Calisto MT"/>
          <w:color w:val="000000"/>
          <w:lang w:val="en-US"/>
        </w:rPr>
        <w:t>,</w:t>
      </w:r>
      <w:r>
        <w:rPr>
          <w:rFonts w:eastAsia="Calisto MT"/>
          <w:color w:val="000000"/>
          <w:lang w:val="en-US"/>
        </w:rPr>
        <w:t xml:space="preserve"> to the maximum of available resources</w:t>
      </w:r>
      <w:r w:rsidR="00826A9F">
        <w:rPr>
          <w:rFonts w:eastAsia="Calisto MT"/>
          <w:color w:val="000000"/>
          <w:lang w:val="en-US"/>
        </w:rPr>
        <w:t>,</w:t>
      </w:r>
      <w:r>
        <w:rPr>
          <w:rFonts w:eastAsia="Calisto MT"/>
          <w:color w:val="000000"/>
          <w:lang w:val="en-US"/>
        </w:rPr>
        <w:t xml:space="preserve"> </w:t>
      </w:r>
      <w:r w:rsidR="00826A9F">
        <w:rPr>
          <w:rFonts w:eastAsia="Calisto MT"/>
          <w:color w:val="000000"/>
          <w:lang w:val="en-US"/>
        </w:rPr>
        <w:t xml:space="preserve">to </w:t>
      </w:r>
      <w:r>
        <w:rPr>
          <w:rFonts w:eastAsia="Calisto MT"/>
          <w:color w:val="000000"/>
          <w:lang w:val="en-US"/>
        </w:rPr>
        <w:t>realis</w:t>
      </w:r>
      <w:r w:rsidR="00826A9F">
        <w:rPr>
          <w:rFonts w:eastAsia="Calisto MT"/>
          <w:color w:val="000000"/>
          <w:lang w:val="en-US"/>
        </w:rPr>
        <w:t>e</w:t>
      </w:r>
      <w:r>
        <w:rPr>
          <w:rFonts w:eastAsia="Calisto MT"/>
          <w:color w:val="000000"/>
          <w:lang w:val="en-US"/>
        </w:rPr>
        <w:t xml:space="preserve"> the</w:t>
      </w:r>
      <w:r w:rsidR="00826A9F">
        <w:rPr>
          <w:rFonts w:eastAsia="Calisto MT"/>
          <w:color w:val="000000"/>
          <w:lang w:val="en-US"/>
        </w:rPr>
        <w:t>se</w:t>
      </w:r>
      <w:r>
        <w:rPr>
          <w:rFonts w:eastAsia="Calisto MT"/>
          <w:color w:val="000000"/>
          <w:lang w:val="en-US"/>
        </w:rPr>
        <w:t xml:space="preserve"> right</w:t>
      </w:r>
      <w:r w:rsidR="00826A9F">
        <w:rPr>
          <w:rFonts w:eastAsia="Calisto MT"/>
          <w:color w:val="000000"/>
          <w:lang w:val="en-US"/>
        </w:rPr>
        <w:t>s</w:t>
      </w:r>
      <w:r>
        <w:rPr>
          <w:rFonts w:eastAsia="Calisto MT"/>
          <w:color w:val="000000"/>
          <w:lang w:val="en-US"/>
        </w:rPr>
        <w:t xml:space="preserve"> over time. </w:t>
      </w:r>
    </w:p>
    <w:p w14:paraId="70F5D656" w14:textId="77777777" w:rsidR="00486B43" w:rsidRDefault="00486B43" w:rsidP="00486B43">
      <w:pPr>
        <w:spacing w:before="139" w:line="280" w:lineRule="exact"/>
        <w:ind w:right="72"/>
        <w:textAlignment w:val="baseline"/>
        <w:rPr>
          <w:rFonts w:eastAsia="Calisto MT"/>
          <w:color w:val="000000"/>
          <w:lang w:val="en-US"/>
        </w:rPr>
      </w:pPr>
      <w:r>
        <w:rPr>
          <w:rFonts w:eastAsia="Calisto MT"/>
          <w:color w:val="000000"/>
          <w:lang w:val="en-US"/>
        </w:rPr>
        <w:t>All Australian governments have a range of measures in place to support the provision of housing for people with disabilit</w:t>
      </w:r>
      <w:r w:rsidR="008C3750">
        <w:rPr>
          <w:rFonts w:eastAsia="Calisto MT"/>
          <w:color w:val="000000"/>
          <w:lang w:val="en-US"/>
        </w:rPr>
        <w:t>y</w:t>
      </w:r>
      <w:r>
        <w:rPr>
          <w:rFonts w:eastAsia="Calisto MT"/>
          <w:color w:val="000000"/>
          <w:lang w:val="en-US"/>
        </w:rPr>
        <w:t>.</w:t>
      </w:r>
    </w:p>
    <w:p w14:paraId="222C98FB" w14:textId="77777777" w:rsidR="00486B43" w:rsidRDefault="00486B43" w:rsidP="00486B43">
      <w:pPr>
        <w:spacing w:before="139" w:line="280" w:lineRule="exact"/>
        <w:ind w:right="72"/>
        <w:textAlignment w:val="baseline"/>
        <w:rPr>
          <w:rFonts w:eastAsia="Calisto MT"/>
          <w:color w:val="000000"/>
          <w:lang w:val="en-US"/>
        </w:rPr>
      </w:pPr>
      <w:r>
        <w:rPr>
          <w:rFonts w:eastAsia="Calisto MT"/>
          <w:color w:val="000000"/>
          <w:lang w:val="en-US"/>
        </w:rPr>
        <w:t xml:space="preserve">The </w:t>
      </w:r>
      <w:r>
        <w:rPr>
          <w:rFonts w:eastAsia="Calisto MT"/>
          <w:i/>
          <w:color w:val="000000"/>
          <w:lang w:val="en-US"/>
        </w:rPr>
        <w:t>National Disability Strategy 2010-2020</w:t>
      </w:r>
      <w:r>
        <w:rPr>
          <w:rFonts w:eastAsia="Calisto MT"/>
          <w:color w:val="000000"/>
          <w:lang w:val="en-US"/>
        </w:rPr>
        <w:t>, an initiative of the Council of Australian Governments</w:t>
      </w:r>
      <w:r w:rsidR="0026037B">
        <w:rPr>
          <w:rFonts w:eastAsia="Calisto MT"/>
          <w:color w:val="000000"/>
          <w:lang w:val="en-US"/>
        </w:rPr>
        <w:t xml:space="preserve"> (COAG)</w:t>
      </w:r>
      <w:r>
        <w:rPr>
          <w:rFonts w:eastAsia="Calisto MT"/>
          <w:color w:val="000000"/>
          <w:lang w:val="en-US"/>
        </w:rPr>
        <w:t>, provides a high</w:t>
      </w:r>
      <w:r>
        <w:rPr>
          <w:rFonts w:eastAsia="Calisto MT"/>
          <w:color w:val="000000"/>
          <w:lang w:val="en-US"/>
        </w:rPr>
        <w:noBreakHyphen/>
        <w:t xml:space="preserve">level policy framework for disability policy in Australia and aligns to the international obligations of the </w:t>
      </w:r>
      <w:r w:rsidR="00A92E4B">
        <w:rPr>
          <w:rFonts w:eastAsia="Calisto MT"/>
          <w:color w:val="000000"/>
          <w:lang w:val="en-US"/>
        </w:rPr>
        <w:t>UN</w:t>
      </w:r>
      <w:r>
        <w:rPr>
          <w:rFonts w:eastAsia="Calisto MT"/>
          <w:color w:val="000000"/>
          <w:lang w:val="en-US"/>
        </w:rPr>
        <w:t>CRPD. The National Disability Strategy</w:t>
      </w:r>
      <w:r w:rsidR="0026037B">
        <w:rPr>
          <w:rFonts w:eastAsia="Calisto MT"/>
          <w:color w:val="000000"/>
          <w:lang w:val="en-US"/>
        </w:rPr>
        <w:t xml:space="preserve"> (NDS)</w:t>
      </w:r>
      <w:r>
        <w:rPr>
          <w:rFonts w:eastAsia="Calisto MT"/>
          <w:color w:val="000000"/>
          <w:lang w:val="en-US"/>
        </w:rPr>
        <w:t xml:space="preserve"> has six outcomes, each </w:t>
      </w:r>
      <w:r w:rsidR="008C3750">
        <w:rPr>
          <w:rFonts w:eastAsia="Calisto MT"/>
          <w:color w:val="000000"/>
          <w:lang w:val="en-US"/>
        </w:rPr>
        <w:t>with</w:t>
      </w:r>
      <w:r>
        <w:rPr>
          <w:rFonts w:eastAsia="Calisto MT"/>
          <w:color w:val="000000"/>
          <w:lang w:val="en-US"/>
        </w:rPr>
        <w:t xml:space="preserve"> a number of Policy Directions which governments should have regard to when developing programs. Accessible housing falls under Outcome One and Policy Direction Three:</w:t>
      </w:r>
    </w:p>
    <w:p w14:paraId="23F592DA" w14:textId="77777777" w:rsidR="00486B43" w:rsidRDefault="00486B43" w:rsidP="00486B43">
      <w:pPr>
        <w:pStyle w:val="Quote"/>
        <w:rPr>
          <w:rFonts w:eastAsia="Calisto MT"/>
          <w:lang w:val="en-US"/>
        </w:rPr>
      </w:pPr>
      <w:r>
        <w:rPr>
          <w:rFonts w:eastAsia="Calisto MT"/>
          <w:lang w:val="en-US"/>
        </w:rPr>
        <w:t xml:space="preserve">Outcome 1: Inclusive and accessible communities. </w:t>
      </w:r>
    </w:p>
    <w:p w14:paraId="1F0F7B7B" w14:textId="77777777" w:rsidR="00486B43" w:rsidRDefault="00486B43" w:rsidP="00486B43">
      <w:pPr>
        <w:pStyle w:val="Quote"/>
        <w:rPr>
          <w:rFonts w:eastAsia="Calisto MT"/>
          <w:lang w:val="en-US"/>
        </w:rPr>
      </w:pPr>
      <w:r>
        <w:rPr>
          <w:rFonts w:eastAsia="Calisto MT"/>
          <w:lang w:val="en-US"/>
        </w:rPr>
        <w:t>People with disability live in accessible and well-designed communities with opportunity for full inclusion in social, economic, sporting and cultural life.</w:t>
      </w:r>
    </w:p>
    <w:p w14:paraId="3000DFB2" w14:textId="77777777" w:rsidR="00486B43" w:rsidRDefault="00486B43" w:rsidP="00486B43">
      <w:pPr>
        <w:pStyle w:val="Quote"/>
        <w:rPr>
          <w:rFonts w:eastAsia="Calisto MT"/>
          <w:lang w:val="en-US"/>
        </w:rPr>
      </w:pPr>
      <w:r>
        <w:rPr>
          <w:rFonts w:eastAsia="Calisto MT"/>
          <w:lang w:val="en-US"/>
        </w:rPr>
        <w:t>Policy Direction 3 — Improved provision of accessible and well-designed housing with choice for people with disability about where they live.</w:t>
      </w:r>
    </w:p>
    <w:p w14:paraId="2C928A7B" w14:textId="77777777" w:rsidR="00486B43" w:rsidRDefault="00486B43" w:rsidP="00486B43">
      <w:pPr>
        <w:spacing w:before="139" w:line="280" w:lineRule="exact"/>
        <w:ind w:right="72"/>
        <w:textAlignment w:val="baseline"/>
        <w:rPr>
          <w:rFonts w:eastAsia="Calisto MT"/>
          <w:color w:val="000000"/>
          <w:lang w:val="en-US"/>
        </w:rPr>
      </w:pPr>
      <w:r>
        <w:rPr>
          <w:rFonts w:eastAsia="Calisto MT"/>
          <w:color w:val="000000"/>
          <w:lang w:val="en-US"/>
        </w:rPr>
        <w:t xml:space="preserve">The </w:t>
      </w:r>
      <w:r w:rsidR="00C27A9A">
        <w:rPr>
          <w:rFonts w:eastAsia="Calisto MT"/>
          <w:color w:val="000000"/>
          <w:lang w:val="en-US"/>
        </w:rPr>
        <w:t>NDS</w:t>
      </w:r>
      <w:r>
        <w:rPr>
          <w:rFonts w:eastAsia="Calisto MT"/>
          <w:color w:val="000000"/>
          <w:lang w:val="en-US"/>
        </w:rPr>
        <w:t xml:space="preserve"> discusses the importance of taking a universal design approach to programs, services and facilities as an effective way to remove barriers that exclude people with disability.</w:t>
      </w:r>
    </w:p>
    <w:p w14:paraId="0CD749DB" w14:textId="77777777" w:rsidR="00486B43" w:rsidRDefault="00486B43" w:rsidP="00486B43">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1.1: United Nations Convention on the Rights of Persons with Disabilities"/>
        <w:tblDescription w:val="A list of the general principles of the United Nations Convention on the Rights of Persons with Disabilities that are relevant to housing."/>
      </w:tblPr>
      <w:tblGrid>
        <w:gridCol w:w="7938"/>
      </w:tblGrid>
      <w:tr w:rsidR="00486B43" w:rsidRPr="00E05C8C" w14:paraId="3CA9C5C2" w14:textId="77777777" w:rsidTr="0034576A">
        <w:trPr>
          <w:tblHeader/>
        </w:trPr>
        <w:tc>
          <w:tcPr>
            <w:tcW w:w="7938" w:type="dxa"/>
            <w:shd w:val="clear" w:color="auto" w:fill="C6BFAB" w:themeFill="accent3"/>
          </w:tcPr>
          <w:p w14:paraId="3A3920BD" w14:textId="4D391943" w:rsidR="00486B43" w:rsidRPr="00E05C8C" w:rsidRDefault="00076C9B" w:rsidP="00233C02">
            <w:pPr>
              <w:pStyle w:val="Caption"/>
              <w:numPr>
                <w:ilvl w:val="0"/>
                <w:numId w:val="13"/>
              </w:numPr>
              <w:spacing w:before="120" w:after="100"/>
              <w:ind w:left="568" w:hanging="568"/>
            </w:pPr>
            <w:bookmarkStart w:id="29" w:name="_Toc44598482"/>
            <w:bookmarkStart w:id="30" w:name="_Toc45654113"/>
            <w:bookmarkStart w:id="31" w:name="_Toc57643578"/>
            <w:bookmarkStart w:id="32" w:name="_Toc70505492"/>
            <w:r>
              <w:t>1.1</w:t>
            </w:r>
            <w:r w:rsidR="00486B43" w:rsidRPr="00E05C8C">
              <w:tab/>
            </w:r>
            <w:r w:rsidR="00486B43">
              <w:t>United Nations Convention on the Rights of Persons with Disabilities</w:t>
            </w:r>
            <w:bookmarkEnd w:id="29"/>
            <w:bookmarkEnd w:id="30"/>
            <w:bookmarkEnd w:id="31"/>
            <w:r w:rsidR="00A92E4B">
              <w:t xml:space="preserve"> (UNCRPD)</w:t>
            </w:r>
            <w:bookmarkEnd w:id="32"/>
          </w:p>
        </w:tc>
      </w:tr>
      <w:tr w:rsidR="00486B43" w14:paraId="43D4F900" w14:textId="77777777" w:rsidTr="0034576A">
        <w:tc>
          <w:tcPr>
            <w:tcW w:w="7938" w:type="dxa"/>
            <w:tcBorders>
              <w:bottom w:val="single" w:sz="4" w:space="0" w:color="9B917E" w:themeColor="accent4"/>
            </w:tcBorders>
            <w:shd w:val="clear" w:color="auto" w:fill="E9E8E5" w:themeFill="background2"/>
          </w:tcPr>
          <w:p w14:paraId="581467CF" w14:textId="77777777" w:rsidR="00486B43" w:rsidRDefault="00486B43" w:rsidP="0034576A">
            <w:pPr>
              <w:pStyle w:val="BodyText"/>
            </w:pPr>
            <w:r w:rsidRPr="0000447C">
              <w:t>As set out in the AHRC submission</w:t>
            </w:r>
            <w:r>
              <w:t xml:space="preserve"> to </w:t>
            </w:r>
            <w:r w:rsidR="00313786">
              <w:t xml:space="preserve">the </w:t>
            </w:r>
            <w:r>
              <w:t>ABCB’s Options Paper,</w:t>
            </w:r>
            <w:r>
              <w:rPr>
                <w:rStyle w:val="FootnoteReference"/>
              </w:rPr>
              <w:footnoteReference w:id="12"/>
            </w:r>
            <w:r>
              <w:t xml:space="preserve"> the general principles of the Convention on the Rights of Persons with Disabilities (set out in Article 3) that are relevant to housing include:</w:t>
            </w:r>
          </w:p>
          <w:p w14:paraId="21DF6337" w14:textId="77777777" w:rsidR="00486B43" w:rsidRDefault="00486B43" w:rsidP="00486B43">
            <w:pPr>
              <w:pStyle w:val="ListBullet"/>
              <w:numPr>
                <w:ilvl w:val="0"/>
                <w:numId w:val="16"/>
              </w:numPr>
            </w:pPr>
            <w:r>
              <w:t>full and effective participation and inclusion in society</w:t>
            </w:r>
          </w:p>
          <w:p w14:paraId="11EE07DB" w14:textId="77777777" w:rsidR="00486B43" w:rsidRDefault="00486B43" w:rsidP="00486B43">
            <w:pPr>
              <w:pStyle w:val="ListBullet"/>
              <w:numPr>
                <w:ilvl w:val="0"/>
                <w:numId w:val="16"/>
              </w:numPr>
            </w:pPr>
            <w:r>
              <w:t>respect for difference and acceptance of persons with disabilities as part of human diversity and humanity</w:t>
            </w:r>
          </w:p>
          <w:p w14:paraId="73B00BFC" w14:textId="77777777" w:rsidR="00486B43" w:rsidRDefault="00486B43" w:rsidP="00486B43">
            <w:pPr>
              <w:pStyle w:val="ListBullet"/>
              <w:numPr>
                <w:ilvl w:val="0"/>
                <w:numId w:val="16"/>
              </w:numPr>
            </w:pPr>
            <w:r>
              <w:t>equality of opportunity</w:t>
            </w:r>
          </w:p>
          <w:p w14:paraId="43C8C1ED" w14:textId="77777777" w:rsidR="00486B43" w:rsidRDefault="00486B43" w:rsidP="00486B43">
            <w:pPr>
              <w:pStyle w:val="ListBullet"/>
              <w:numPr>
                <w:ilvl w:val="0"/>
                <w:numId w:val="16"/>
              </w:numPr>
            </w:pPr>
            <w:r>
              <w:t>accessibility.</w:t>
            </w:r>
          </w:p>
          <w:p w14:paraId="07C472D9" w14:textId="77777777" w:rsidR="00486B43" w:rsidRDefault="00486B43" w:rsidP="0034576A">
            <w:pPr>
              <w:pStyle w:val="BodyText"/>
            </w:pPr>
            <w:r w:rsidRPr="0000447C">
              <w:t>The AHRC also noted in its submission</w:t>
            </w:r>
            <w:r>
              <w:t xml:space="preserve"> other relevant articles of the </w:t>
            </w:r>
            <w:r w:rsidR="007F7490">
              <w:t>UN</w:t>
            </w:r>
            <w:r>
              <w:t>CPRD:</w:t>
            </w:r>
            <w:r>
              <w:rPr>
                <w:rStyle w:val="FootnoteReference"/>
              </w:rPr>
              <w:footnoteReference w:id="13"/>
            </w:r>
          </w:p>
          <w:p w14:paraId="1676A8D4" w14:textId="77777777" w:rsidR="00486B43" w:rsidRDefault="00486B43" w:rsidP="00486B43">
            <w:pPr>
              <w:pStyle w:val="ListBullet"/>
              <w:numPr>
                <w:ilvl w:val="0"/>
                <w:numId w:val="16"/>
              </w:numPr>
            </w:pPr>
            <w:r>
              <w:t>State Parties (under Article 4(f)), undertake to:</w:t>
            </w:r>
          </w:p>
          <w:p w14:paraId="6137971E" w14:textId="77777777" w:rsidR="00486B43" w:rsidRDefault="00486B43" w:rsidP="00B240BC">
            <w:pPr>
              <w:pStyle w:val="ListBullet2"/>
            </w:pPr>
            <w:r>
              <w:t>promote research and development of universally designed goods, services, equipment and facilities which should require the minimum possible adaptation and the least cost to meet the specific needs of a person with disabilities</w:t>
            </w:r>
          </w:p>
          <w:p w14:paraId="2CAD4C64" w14:textId="77777777" w:rsidR="00486B43" w:rsidRDefault="00486B43" w:rsidP="00B240BC">
            <w:pPr>
              <w:pStyle w:val="ListBullet2"/>
            </w:pPr>
            <w:r>
              <w:t>promote universal design in the development of standards and guidelines.</w:t>
            </w:r>
          </w:p>
          <w:p w14:paraId="0F5860C9" w14:textId="77777777" w:rsidR="00486B43" w:rsidRPr="00B240BC" w:rsidRDefault="00486B43" w:rsidP="00B240BC">
            <w:pPr>
              <w:pStyle w:val="ListBullet"/>
            </w:pPr>
            <w:r w:rsidRPr="00B240BC">
              <w:t>State Parties shall take appropriate measures to ensure persons with disabilities have access to, on an equal basis with others, the physical environment, including housing. These measures shall include the identification and elimination of obstacles and barriers to accessibility (Article 9).</w:t>
            </w:r>
          </w:p>
          <w:p w14:paraId="4C85CB4C" w14:textId="77777777" w:rsidR="00486B43" w:rsidRPr="00BF2F67" w:rsidRDefault="00486B43" w:rsidP="00486B43">
            <w:pPr>
              <w:pStyle w:val="ListBullet"/>
              <w:numPr>
                <w:ilvl w:val="0"/>
                <w:numId w:val="16"/>
              </w:numPr>
              <w:spacing w:after="120"/>
            </w:pPr>
            <w:r>
              <w:t>State Parties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This will include by ensuring that persons with disabilities have the opportunity to choose their place of residence and where and with whom they live on an equal basis with others and are not obliged to live in a particular living arrangement (Article 19).</w:t>
            </w:r>
          </w:p>
        </w:tc>
      </w:tr>
      <w:tr w:rsidR="00486B43" w14:paraId="1E95A333" w14:textId="77777777" w:rsidTr="0034576A">
        <w:trPr>
          <w:trHeight w:hRule="exact" w:val="198"/>
        </w:trPr>
        <w:tc>
          <w:tcPr>
            <w:tcW w:w="7938" w:type="dxa"/>
          </w:tcPr>
          <w:p w14:paraId="5C615F66" w14:textId="77777777" w:rsidR="00486B43" w:rsidRDefault="00486B43" w:rsidP="0034576A"/>
        </w:tc>
      </w:tr>
    </w:tbl>
    <w:p w14:paraId="6DA29884" w14:textId="77777777" w:rsidR="00D454C9" w:rsidRDefault="00486B43" w:rsidP="00486B43">
      <w:pPr>
        <w:pStyle w:val="BodyText"/>
      </w:pPr>
      <w:r>
        <w:t>In mid</w:t>
      </w:r>
      <w:r>
        <w:noBreakHyphen/>
        <w:t>2017, the Prime Minister, on behalf of the Building Ministers’ Forum (BMF), proposed to the COAG that a national Regulation Impact Statement (RIS) be prepared to consider applying a minimum accessibility standard for private new dwellings in Australia through the National Construction Code (NCC).</w:t>
      </w:r>
      <w:r>
        <w:rPr>
          <w:rStyle w:val="FootnoteReference"/>
        </w:rPr>
        <w:footnoteReference w:id="14"/>
      </w:r>
      <w:r>
        <w:t xml:space="preserve"> This was subsequently agreed by COAG. </w:t>
      </w:r>
    </w:p>
    <w:p w14:paraId="11C1FA9D" w14:textId="77777777" w:rsidR="00486B43" w:rsidRDefault="00486B43" w:rsidP="00486B43">
      <w:pPr>
        <w:pStyle w:val="BodyText"/>
      </w:pPr>
      <w:r>
        <w:t>The BMF confirmed in October 2017 that the RIS would</w:t>
      </w:r>
      <w:r w:rsidRPr="00FC6926">
        <w:t xml:space="preserve">, in consultation with Disability Ministers, examine the </w:t>
      </w:r>
      <w:r w:rsidR="00796431">
        <w:t xml:space="preserve">LHDG </w:t>
      </w:r>
      <w:r w:rsidRPr="00FC6926">
        <w:t xml:space="preserve">silver and gold performance levels as options for a minimum </w:t>
      </w:r>
      <w:r w:rsidRPr="00A5227D">
        <w:t>accessible standard; use a sensitivity approach; and be informed by appropriate case studies.</w:t>
      </w:r>
    </w:p>
    <w:p w14:paraId="59B819D9" w14:textId="77777777" w:rsidR="00486B43" w:rsidRDefault="00486B43" w:rsidP="00486B43">
      <w:pPr>
        <w:spacing w:before="139" w:line="280" w:lineRule="exact"/>
        <w:ind w:right="72"/>
        <w:textAlignment w:val="baseline"/>
        <w:rPr>
          <w:rFonts w:eastAsia="Calisto MT"/>
          <w:color w:val="000000"/>
          <w:lang w:val="en-US"/>
        </w:rPr>
      </w:pPr>
      <w:r>
        <w:rPr>
          <w:rFonts w:eastAsia="Calisto MT"/>
          <w:color w:val="000000"/>
          <w:lang w:val="en-US"/>
        </w:rPr>
        <w:lastRenderedPageBreak/>
        <w:t xml:space="preserve">The accessibility of housing in Australia was recently raised by the </w:t>
      </w:r>
      <w:r w:rsidR="00D603EC">
        <w:rPr>
          <w:rFonts w:eastAsia="Calisto MT"/>
          <w:color w:val="000000"/>
          <w:lang w:val="en-US"/>
        </w:rPr>
        <w:t xml:space="preserve">United Nations </w:t>
      </w:r>
      <w:r>
        <w:rPr>
          <w:rFonts w:eastAsia="Calisto MT"/>
          <w:color w:val="000000"/>
          <w:lang w:val="en-US"/>
        </w:rPr>
        <w:t xml:space="preserve">Committee on the Rights of Persons with Disabilities (the Committee) in its Concluding Observations on the combined second and third periodic reports of Australia (Concluding Observations), following Australia’s appearance before the Committee in September 2019. Concluding Observations are non-binding recommendations that do not extend or amend Australia’s obligation under the </w:t>
      </w:r>
      <w:r w:rsidR="0028037D">
        <w:rPr>
          <w:rFonts w:eastAsia="Calisto MT"/>
          <w:color w:val="000000"/>
          <w:lang w:val="en-US"/>
        </w:rPr>
        <w:t>UN</w:t>
      </w:r>
      <w:r>
        <w:rPr>
          <w:rFonts w:eastAsia="Calisto MT"/>
          <w:color w:val="000000"/>
          <w:lang w:val="en-US"/>
        </w:rPr>
        <w:t xml:space="preserve">CRPD. In its Concluding Observations the Committee expressed concerns about the proportion of existing inaccessible built environment and the lack of mandated national access requirements for housing in the </w:t>
      </w:r>
      <w:r w:rsidR="00BB14B4">
        <w:rPr>
          <w:rFonts w:eastAsia="Calisto MT"/>
          <w:color w:val="000000"/>
          <w:lang w:val="en-US"/>
        </w:rPr>
        <w:t>NCC</w:t>
      </w:r>
      <w:r>
        <w:rPr>
          <w:rFonts w:eastAsia="Calisto MT"/>
          <w:color w:val="000000"/>
          <w:lang w:val="en-US"/>
        </w:rPr>
        <w:t xml:space="preserve">. </w:t>
      </w:r>
      <w:r w:rsidR="00D603EC">
        <w:rPr>
          <w:rFonts w:eastAsia="Calisto MT"/>
          <w:color w:val="000000"/>
          <w:lang w:val="en-US"/>
        </w:rPr>
        <w:t>T</w:t>
      </w:r>
      <w:r>
        <w:rPr>
          <w:rFonts w:eastAsia="Calisto MT"/>
          <w:color w:val="000000"/>
          <w:lang w:val="en-US"/>
        </w:rPr>
        <w:t xml:space="preserve">he Committee recommended that Australia amend its federal law to include mandatory rules on access for all new and extensively modified housing. </w:t>
      </w:r>
    </w:p>
    <w:p w14:paraId="06C4783F" w14:textId="77777777" w:rsidR="00486B43" w:rsidRDefault="002B53AA" w:rsidP="002B53AA">
      <w:pPr>
        <w:spacing w:before="139" w:line="280" w:lineRule="exact"/>
        <w:ind w:right="72"/>
        <w:textAlignment w:val="baseline"/>
        <w:rPr>
          <w:rFonts w:eastAsia="Calisto MT"/>
          <w:lang w:val="en-US"/>
        </w:rPr>
      </w:pPr>
      <w:r>
        <w:rPr>
          <w:rFonts w:eastAsia="Calisto MT"/>
          <w:lang w:val="en-US"/>
        </w:rPr>
        <w:t>T</w:t>
      </w:r>
      <w:r w:rsidR="00486B43">
        <w:rPr>
          <w:rFonts w:eastAsia="Calisto MT"/>
          <w:lang w:val="en-US"/>
        </w:rPr>
        <w:t>he Australian Government</w:t>
      </w:r>
      <w:r>
        <w:rPr>
          <w:rFonts w:eastAsia="Calisto MT"/>
          <w:lang w:val="en-US"/>
        </w:rPr>
        <w:t xml:space="preserve"> considers all recommendations of the Committee</w:t>
      </w:r>
      <w:r w:rsidR="00486B43">
        <w:rPr>
          <w:rFonts w:eastAsia="Calisto MT"/>
          <w:lang w:val="en-US"/>
        </w:rPr>
        <w:t xml:space="preserve">, </w:t>
      </w:r>
      <w:r>
        <w:rPr>
          <w:rFonts w:eastAsia="Calisto MT"/>
          <w:lang w:val="en-US"/>
        </w:rPr>
        <w:t xml:space="preserve">but notes that </w:t>
      </w:r>
      <w:r w:rsidR="00486B43" w:rsidRPr="00CE4947">
        <w:rPr>
          <w:rFonts w:eastAsia="Calisto MT"/>
          <w:lang w:val="en-US"/>
        </w:rPr>
        <w:t>the Committee’s recommendat</w:t>
      </w:r>
      <w:r w:rsidR="00486B43" w:rsidRPr="000D4919">
        <w:rPr>
          <w:rFonts w:eastAsia="Calisto MT"/>
          <w:lang w:val="en-US"/>
        </w:rPr>
        <w:t>ions (including those made as part of the Committee’s Concluding Observations in October 2019) are no</w:t>
      </w:r>
      <w:r w:rsidR="00486B43">
        <w:rPr>
          <w:rFonts w:eastAsia="Calisto MT"/>
          <w:lang w:val="en-US"/>
        </w:rPr>
        <w:t xml:space="preserve">t legally </w:t>
      </w:r>
      <w:r w:rsidR="00486B43" w:rsidRPr="000D4919">
        <w:rPr>
          <w:rFonts w:eastAsia="Calisto MT"/>
          <w:lang w:val="en-US"/>
        </w:rPr>
        <w:t>binding</w:t>
      </w:r>
      <w:r w:rsidR="00486B43" w:rsidRPr="00F36A14">
        <w:rPr>
          <w:rFonts w:eastAsia="Calisto MT"/>
          <w:lang w:val="en-US"/>
        </w:rPr>
        <w:t xml:space="preserve"> </w:t>
      </w:r>
      <w:r w:rsidR="008A3171">
        <w:rPr>
          <w:rFonts w:eastAsia="Calisto MT"/>
          <w:lang w:val="en-US"/>
        </w:rPr>
        <w:t xml:space="preserve">but </w:t>
      </w:r>
      <w:r w:rsidR="00486B43" w:rsidRPr="00F36A14">
        <w:rPr>
          <w:rFonts w:eastAsia="Calisto MT"/>
          <w:lang w:val="en-US"/>
        </w:rPr>
        <w:t>rather the committee’s views in regard to how Australia is progressing with implementing treaty obligations</w:t>
      </w:r>
      <w:r w:rsidR="00486B43" w:rsidRPr="002B53AA">
        <w:rPr>
          <w:rFonts w:eastAsia="Calisto MT"/>
          <w:lang w:val="en-US"/>
        </w:rPr>
        <w:t>.</w:t>
      </w:r>
      <w:r w:rsidR="00486B43" w:rsidRPr="00761993">
        <w:rPr>
          <w:rStyle w:val="FootnoteReference"/>
          <w:rFonts w:eastAsia="Times New Roman"/>
        </w:rPr>
        <w:footnoteReference w:id="15"/>
      </w:r>
      <w:r w:rsidR="00486B43" w:rsidRPr="00761993">
        <w:rPr>
          <w:rStyle w:val="FootnoteReference"/>
          <w:rFonts w:eastAsia="Times New Roman"/>
        </w:rPr>
        <w:t xml:space="preserve"> </w:t>
      </w:r>
    </w:p>
    <w:p w14:paraId="3A45B745" w14:textId="77777777" w:rsidR="00486B43" w:rsidRPr="002B53AA" w:rsidRDefault="002B53AA" w:rsidP="002B53AA">
      <w:pPr>
        <w:spacing w:before="139" w:line="280" w:lineRule="exact"/>
        <w:ind w:right="72"/>
        <w:textAlignment w:val="baseline"/>
        <w:rPr>
          <w:rFonts w:eastAsia="Calisto MT"/>
          <w:lang w:val="en-US"/>
        </w:rPr>
      </w:pPr>
      <w:r>
        <w:rPr>
          <w:rFonts w:eastAsia="Calisto MT"/>
          <w:lang w:val="en-US"/>
        </w:rPr>
        <w:t>During consultation, some</w:t>
      </w:r>
      <w:r w:rsidR="00486B43" w:rsidRPr="002B53AA">
        <w:rPr>
          <w:rFonts w:eastAsia="Calisto MT"/>
          <w:lang w:val="en-US"/>
        </w:rPr>
        <w:t xml:space="preserve"> stakeholders advocated the view that Australia has a legal obligation under the CRPD to implement the Committee’s recommendations.</w:t>
      </w:r>
      <w:r>
        <w:rPr>
          <w:rFonts w:eastAsia="Calisto MT"/>
          <w:lang w:val="en-US"/>
        </w:rPr>
        <w:t xml:space="preserve"> This view is noted in the report to inform decision makers as they consider the </w:t>
      </w:r>
      <w:r w:rsidR="00E95C9F">
        <w:rPr>
          <w:rFonts w:eastAsia="Calisto MT"/>
          <w:lang w:val="en-US"/>
        </w:rPr>
        <w:t xml:space="preserve">outcomes </w:t>
      </w:r>
      <w:r>
        <w:rPr>
          <w:rFonts w:eastAsia="Calisto MT"/>
          <w:lang w:val="en-US"/>
        </w:rPr>
        <w:t>of th</w:t>
      </w:r>
      <w:r w:rsidR="00E95C9F">
        <w:rPr>
          <w:rFonts w:eastAsia="Calisto MT"/>
          <w:lang w:val="en-US"/>
        </w:rPr>
        <w:t xml:space="preserve">is </w:t>
      </w:r>
      <w:r>
        <w:rPr>
          <w:rFonts w:eastAsia="Calisto MT"/>
          <w:lang w:val="en-US"/>
        </w:rPr>
        <w:t>RIS.</w:t>
      </w:r>
    </w:p>
    <w:p w14:paraId="1F949641" w14:textId="77777777" w:rsidR="00486B43" w:rsidRDefault="00486B43" w:rsidP="00486B43">
      <w:pPr>
        <w:pStyle w:val="Heading3"/>
        <w:numPr>
          <w:ilvl w:val="2"/>
          <w:numId w:val="5"/>
        </w:numPr>
      </w:pPr>
      <w:r>
        <w:t>Development of the proposal and stakeholder consultation</w:t>
      </w:r>
    </w:p>
    <w:p w14:paraId="2254FA55" w14:textId="77777777" w:rsidR="00486B43" w:rsidRPr="00A11D37" w:rsidRDefault="002B53AA" w:rsidP="00486B43">
      <w:pPr>
        <w:pStyle w:val="BodyText"/>
      </w:pPr>
      <w:r>
        <w:t xml:space="preserve">To guide the objectives, options and terminology to be considered in the RIS, </w:t>
      </w:r>
      <w:r w:rsidR="00900989">
        <w:t xml:space="preserve">the </w:t>
      </w:r>
      <w:r w:rsidR="00486B43" w:rsidRPr="00A11D37">
        <w:t>ABCB released an Options Paper</w:t>
      </w:r>
      <w:r>
        <w:t xml:space="preserve"> in </w:t>
      </w:r>
      <w:r w:rsidRPr="00A11D37">
        <w:t>September 2018</w:t>
      </w:r>
      <w:r w:rsidR="00EB23FE">
        <w:t>,</w:t>
      </w:r>
      <w:r w:rsidR="00486B43" w:rsidRPr="00A11D37">
        <w:t xml:space="preserve"> </w:t>
      </w:r>
      <w:r>
        <w:t>including</w:t>
      </w:r>
      <w:r w:rsidR="00486B43" w:rsidRPr="00A11D37">
        <w:t xml:space="preserve"> a preliminary menu of options and costings </w:t>
      </w:r>
      <w:r>
        <w:t xml:space="preserve">as </w:t>
      </w:r>
      <w:r w:rsidR="009D7035">
        <w:t>the basis for receiving feedback from stakeholders. Stakeholders were invited to provide feedback on the Options Paper through the following channels</w:t>
      </w:r>
      <w:r w:rsidR="00486B43" w:rsidRPr="00A11D37">
        <w:t>:</w:t>
      </w:r>
    </w:p>
    <w:p w14:paraId="311443A1" w14:textId="77777777" w:rsidR="00486B43" w:rsidRDefault="00486B43" w:rsidP="00486B43">
      <w:pPr>
        <w:pStyle w:val="ListBullet"/>
        <w:numPr>
          <w:ilvl w:val="0"/>
          <w:numId w:val="16"/>
        </w:numPr>
      </w:pPr>
      <w:r>
        <w:t xml:space="preserve">consultation forums — </w:t>
      </w:r>
      <w:r w:rsidR="00900989">
        <w:t xml:space="preserve">the </w:t>
      </w:r>
      <w:r>
        <w:t>ABCB held consultation forums in each capital city during October and November 2018</w:t>
      </w:r>
      <w:r w:rsidR="009D7035">
        <w:t>; and</w:t>
      </w:r>
    </w:p>
    <w:p w14:paraId="71734C87" w14:textId="77777777" w:rsidR="00486B43" w:rsidRDefault="00486B43" w:rsidP="00486B43">
      <w:pPr>
        <w:pStyle w:val="ListBullet"/>
        <w:numPr>
          <w:ilvl w:val="0"/>
          <w:numId w:val="16"/>
        </w:numPr>
      </w:pPr>
      <w:r>
        <w:t xml:space="preserve">written stakeholder submissions — </w:t>
      </w:r>
      <w:r w:rsidR="00900989">
        <w:t xml:space="preserve">the </w:t>
      </w:r>
      <w:r>
        <w:t>ABCB received 179 submissions from a wide range of organisations and individuals between September 19 and 30 November 2018.</w:t>
      </w:r>
    </w:p>
    <w:p w14:paraId="6F4BDD76" w14:textId="77777777" w:rsidR="00486B43" w:rsidRDefault="00900989" w:rsidP="00486B43">
      <w:pPr>
        <w:pStyle w:val="BodyText"/>
      </w:pPr>
      <w:r>
        <w:t xml:space="preserve">The </w:t>
      </w:r>
      <w:r w:rsidR="00486B43">
        <w:t xml:space="preserve">ABCB released a </w:t>
      </w:r>
      <w:r w:rsidR="00486B43" w:rsidRPr="00B9716D">
        <w:t>Consultation Report summarising</w:t>
      </w:r>
      <w:r w:rsidR="00486B43">
        <w:t xml:space="preserve"> stakeholder feedback on the Options Paper in April 2019.</w:t>
      </w:r>
    </w:p>
    <w:p w14:paraId="4C7BF2F9" w14:textId="77777777" w:rsidR="00486B43" w:rsidRDefault="00900989" w:rsidP="00486B43">
      <w:pPr>
        <w:pStyle w:val="BodyText"/>
      </w:pPr>
      <w:r>
        <w:t xml:space="preserve">The </w:t>
      </w:r>
      <w:r w:rsidR="00486B43">
        <w:t>ABCB has subsequently developed a formal proposal</w:t>
      </w:r>
      <w:r w:rsidR="00734840">
        <w:t xml:space="preserve"> featuring</w:t>
      </w:r>
      <w:r w:rsidR="00486B43">
        <w:t xml:space="preserve"> 3 </w:t>
      </w:r>
      <w:r w:rsidR="0000447C">
        <w:t xml:space="preserve">regulatory </w:t>
      </w:r>
      <w:r w:rsidR="00486B43">
        <w:t>options for minimum accessibility standards for Class 1a (houses) and Class 2 (apartments) dwellings that broadly align with the LHDG produced by Livable Housing Australia</w:t>
      </w:r>
      <w:r w:rsidR="00043C39">
        <w:t xml:space="preserve"> (LHA)</w:t>
      </w:r>
      <w:r w:rsidR="00486B43">
        <w:t xml:space="preserve">. Other accommodation types are </w:t>
      </w:r>
      <w:r w:rsidR="00734840">
        <w:t>out of</w:t>
      </w:r>
      <w:r w:rsidR="00486B43">
        <w:t xml:space="preserve"> scope on the basis that they are </w:t>
      </w:r>
      <w:r w:rsidR="009967E6">
        <w:t>covered by current NCC accessibility requirements</w:t>
      </w:r>
      <w:r w:rsidR="00486B43">
        <w:t xml:space="preserve"> or are for specific purposes such as </w:t>
      </w:r>
      <w:r w:rsidR="009967E6">
        <w:t xml:space="preserve">a </w:t>
      </w:r>
      <w:r w:rsidR="00486B43">
        <w:t>caretaker’s residences.</w:t>
      </w:r>
    </w:p>
    <w:p w14:paraId="4A252514" w14:textId="77777777" w:rsidR="00486B43" w:rsidRDefault="00486B43" w:rsidP="00486B43">
      <w:pPr>
        <w:pStyle w:val="ListBullet"/>
        <w:numPr>
          <w:ilvl w:val="0"/>
          <w:numId w:val="16"/>
        </w:numPr>
      </w:pPr>
      <w:r>
        <w:t>Option 1 is based on the LHDG silver standard</w:t>
      </w:r>
    </w:p>
    <w:p w14:paraId="0E0C5C51" w14:textId="77777777" w:rsidR="00486B43" w:rsidRDefault="00486B43" w:rsidP="00486B43">
      <w:pPr>
        <w:pStyle w:val="ListBullet"/>
        <w:numPr>
          <w:ilvl w:val="0"/>
          <w:numId w:val="16"/>
        </w:numPr>
      </w:pPr>
      <w:r>
        <w:t>Option 2 is based on the LHDG gold standard</w:t>
      </w:r>
    </w:p>
    <w:p w14:paraId="0B3E400F" w14:textId="77777777" w:rsidR="00486B43" w:rsidRDefault="00486B43" w:rsidP="00486B43">
      <w:pPr>
        <w:pStyle w:val="ListBullet"/>
        <w:numPr>
          <w:ilvl w:val="0"/>
          <w:numId w:val="16"/>
        </w:numPr>
      </w:pPr>
      <w:r>
        <w:lastRenderedPageBreak/>
        <w:t>Option 3 is based on the LHDG gold standard, plus some additional features from the platinum standard.</w:t>
      </w:r>
    </w:p>
    <w:p w14:paraId="6E2C2E80" w14:textId="77777777" w:rsidR="00486B43" w:rsidRPr="00806AAD" w:rsidRDefault="00486B43" w:rsidP="00486B43">
      <w:pPr>
        <w:pStyle w:val="BodyText"/>
      </w:pPr>
      <w:r>
        <w:t>Th</w:t>
      </w:r>
      <w:r w:rsidR="00850BD8">
        <w:t>is</w:t>
      </w:r>
      <w:r>
        <w:t xml:space="preserve"> proposal w</w:t>
      </w:r>
      <w:r w:rsidR="00850BD8">
        <w:t>as</w:t>
      </w:r>
      <w:r>
        <w:t xml:space="preserve"> </w:t>
      </w:r>
      <w:r w:rsidR="00850BD8">
        <w:t>informed by</w:t>
      </w:r>
      <w:r>
        <w:t xml:space="preserve"> feedback from the Options Paper and </w:t>
      </w:r>
      <w:r w:rsidR="00850BD8">
        <w:t xml:space="preserve">outcomes </w:t>
      </w:r>
      <w:r>
        <w:t xml:space="preserve">of </w:t>
      </w:r>
      <w:r w:rsidR="00850BD8">
        <w:t xml:space="preserve">a </w:t>
      </w:r>
      <w:r>
        <w:t xml:space="preserve">technical review </w:t>
      </w:r>
      <w:r w:rsidR="00850BD8">
        <w:t>by</w:t>
      </w:r>
      <w:r>
        <w:t xml:space="preserve"> a reference group comprised of </w:t>
      </w:r>
      <w:r w:rsidR="00E97F1B">
        <w:t xml:space="preserve">the ABCB’s </w:t>
      </w:r>
      <w:r>
        <w:t xml:space="preserve">Building Codes Committee members and other experts. Reference group membership </w:t>
      </w:r>
      <w:r w:rsidR="00C771AE">
        <w:t>included</w:t>
      </w:r>
      <w:r>
        <w:t>:</w:t>
      </w:r>
    </w:p>
    <w:p w14:paraId="3000E767" w14:textId="77777777" w:rsidR="00486B43" w:rsidRPr="00FC6926" w:rsidRDefault="00486B43" w:rsidP="00486B43">
      <w:pPr>
        <w:pStyle w:val="ListBullet"/>
        <w:numPr>
          <w:ilvl w:val="0"/>
          <w:numId w:val="16"/>
        </w:numPr>
      </w:pPr>
      <w:r w:rsidRPr="00FC6926">
        <w:t>Australian Institute of Architects (AIA)</w:t>
      </w:r>
    </w:p>
    <w:p w14:paraId="2DBA1A7C" w14:textId="77777777" w:rsidR="00486B43" w:rsidRPr="00FC6926" w:rsidRDefault="00486B43" w:rsidP="00486B43">
      <w:pPr>
        <w:pStyle w:val="ListBullet"/>
        <w:numPr>
          <w:ilvl w:val="0"/>
          <w:numId w:val="16"/>
        </w:numPr>
      </w:pPr>
      <w:r w:rsidRPr="00FC6926">
        <w:t>Australian Institute of Building Surveyors (AIBS)</w:t>
      </w:r>
    </w:p>
    <w:p w14:paraId="5796C623" w14:textId="77777777" w:rsidR="00486B43" w:rsidRPr="00FC6926" w:rsidRDefault="00486B43" w:rsidP="00486B43">
      <w:pPr>
        <w:pStyle w:val="ListBullet"/>
        <w:numPr>
          <w:ilvl w:val="0"/>
          <w:numId w:val="16"/>
        </w:numPr>
      </w:pPr>
      <w:r w:rsidRPr="00FC6926">
        <w:t>Housing Industry Association (HIA)</w:t>
      </w:r>
    </w:p>
    <w:p w14:paraId="4E3C044E" w14:textId="77777777" w:rsidR="00486B43" w:rsidRDefault="00486B43" w:rsidP="00486B43">
      <w:pPr>
        <w:pStyle w:val="ListBullet"/>
        <w:numPr>
          <w:ilvl w:val="0"/>
          <w:numId w:val="16"/>
        </w:numPr>
      </w:pPr>
      <w:r w:rsidRPr="00FC6926">
        <w:t>Master Builders Australia (MBA)</w:t>
      </w:r>
    </w:p>
    <w:p w14:paraId="6F7E0B23" w14:textId="77777777" w:rsidR="005E7491" w:rsidRPr="00FC6926" w:rsidRDefault="005E7491" w:rsidP="00486B43">
      <w:pPr>
        <w:pStyle w:val="ListBullet"/>
        <w:numPr>
          <w:ilvl w:val="0"/>
          <w:numId w:val="16"/>
        </w:numPr>
      </w:pPr>
      <w:r>
        <w:t>New South Wales Building Administration</w:t>
      </w:r>
    </w:p>
    <w:p w14:paraId="517E1FA5" w14:textId="77777777" w:rsidR="00486B43" w:rsidRPr="00FC6926" w:rsidRDefault="00486B43" w:rsidP="00486B43">
      <w:pPr>
        <w:pStyle w:val="ListBullet"/>
        <w:numPr>
          <w:ilvl w:val="0"/>
          <w:numId w:val="16"/>
        </w:numPr>
      </w:pPr>
      <w:r>
        <w:t>Two a</w:t>
      </w:r>
      <w:r w:rsidRPr="00FC6926">
        <w:t xml:space="preserve">ccess </w:t>
      </w:r>
      <w:r>
        <w:t>c</w:t>
      </w:r>
      <w:r w:rsidRPr="00FC6926">
        <w:t>onsultant</w:t>
      </w:r>
      <w:r>
        <w:t>s.</w:t>
      </w:r>
    </w:p>
    <w:p w14:paraId="6E90E65D" w14:textId="77777777" w:rsidR="00486B43" w:rsidRDefault="00486B43" w:rsidP="00B240BC">
      <w:pPr>
        <w:pStyle w:val="Heading2"/>
      </w:pPr>
      <w:bookmarkStart w:id="33" w:name="_Toc22117098"/>
      <w:bookmarkStart w:id="34" w:name="_Toc70505087"/>
      <w:r>
        <w:t>The RIS process</w:t>
      </w:r>
      <w:bookmarkEnd w:id="33"/>
      <w:bookmarkEnd w:id="34"/>
    </w:p>
    <w:p w14:paraId="47E26D6E" w14:textId="77777777" w:rsidR="00486B43" w:rsidRDefault="00FB5BD5" w:rsidP="00486B43">
      <w:pPr>
        <w:pStyle w:val="BodyText"/>
      </w:pPr>
      <w:r>
        <w:t>Before any decision is made with respect to this</w:t>
      </w:r>
      <w:r w:rsidR="00EC0801">
        <w:t xml:space="preserve"> </w:t>
      </w:r>
      <w:r w:rsidR="00486B43">
        <w:t xml:space="preserve">proposal to change the NCC, </w:t>
      </w:r>
      <w:r>
        <w:t>a Regulation Impact Statement (RIS) is required</w:t>
      </w:r>
      <w:r w:rsidR="00486B43">
        <w:t>. The RIS process is designed to ensure that regulatory decisions are consistent with the Principles of Best Practice Regulation agreed by COAG (box </w:t>
      </w:r>
      <w:r w:rsidR="00B36C01">
        <w:t>1.2</w:t>
      </w:r>
      <w:r w:rsidR="00486B43">
        <w:t>).</w:t>
      </w:r>
    </w:p>
    <w:p w14:paraId="548CE150" w14:textId="77777777" w:rsidR="00486B43" w:rsidRDefault="00486B43" w:rsidP="00486B43">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1.2: Principles of Best Practice Regulation"/>
        <w:tblDescription w:val="The Principles of Best Practice Regulation as agreed by COAG."/>
      </w:tblPr>
      <w:tblGrid>
        <w:gridCol w:w="7938"/>
      </w:tblGrid>
      <w:tr w:rsidR="00486B43" w:rsidRPr="00E05C8C" w14:paraId="6739F082" w14:textId="77777777" w:rsidTr="00EC65E7">
        <w:trPr>
          <w:tblHeader/>
        </w:trPr>
        <w:tc>
          <w:tcPr>
            <w:tcW w:w="7938" w:type="dxa"/>
            <w:shd w:val="clear" w:color="auto" w:fill="C6BFAB" w:themeFill="accent3"/>
          </w:tcPr>
          <w:p w14:paraId="3BAC976C" w14:textId="4DE6DC27" w:rsidR="00486B43" w:rsidRPr="00E05C8C" w:rsidRDefault="00076C9B" w:rsidP="0034576A">
            <w:pPr>
              <w:pStyle w:val="Caption"/>
              <w:numPr>
                <w:ilvl w:val="0"/>
                <w:numId w:val="13"/>
              </w:numPr>
              <w:spacing w:before="120" w:after="100"/>
            </w:pPr>
            <w:bookmarkStart w:id="35" w:name="_Toc22117110"/>
            <w:bookmarkStart w:id="36" w:name="_Toc44598483"/>
            <w:bookmarkStart w:id="37" w:name="_Toc45654114"/>
            <w:bookmarkStart w:id="38" w:name="_Toc57643579"/>
            <w:bookmarkStart w:id="39" w:name="_Toc70505493"/>
            <w:r>
              <w:t>1.2</w:t>
            </w:r>
            <w:r w:rsidR="00486B43" w:rsidRPr="00E05C8C">
              <w:tab/>
            </w:r>
            <w:r w:rsidR="00486B43">
              <w:t>Principles of Best Practice Regulation</w:t>
            </w:r>
            <w:r w:rsidR="00486B43">
              <w:rPr>
                <w:rStyle w:val="FootnoteReference"/>
              </w:rPr>
              <w:footnoteReference w:id="16"/>
            </w:r>
            <w:bookmarkEnd w:id="35"/>
            <w:bookmarkEnd w:id="36"/>
            <w:bookmarkEnd w:id="37"/>
            <w:bookmarkEnd w:id="38"/>
            <w:bookmarkEnd w:id="39"/>
          </w:p>
        </w:tc>
      </w:tr>
      <w:tr w:rsidR="00486B43" w14:paraId="52059B9E" w14:textId="77777777" w:rsidTr="00EC65E7">
        <w:trPr>
          <w:tblHeader/>
        </w:trPr>
        <w:tc>
          <w:tcPr>
            <w:tcW w:w="7938" w:type="dxa"/>
            <w:tcBorders>
              <w:bottom w:val="single" w:sz="4" w:space="0" w:color="9B917E" w:themeColor="accent4"/>
            </w:tcBorders>
            <w:shd w:val="clear" w:color="auto" w:fill="E9E8E5"/>
          </w:tcPr>
          <w:p w14:paraId="34CCA91B" w14:textId="77777777" w:rsidR="00486B43" w:rsidRDefault="00486B43" w:rsidP="0034576A">
            <w:pPr>
              <w:pStyle w:val="BodyText"/>
              <w:spacing w:before="60"/>
            </w:pPr>
            <w:r>
              <w:t>COAG has agreed that all governments will ensure that regulatory processes in their jurisdiction are consistent with the following principles:</w:t>
            </w:r>
          </w:p>
          <w:p w14:paraId="2A8050A5" w14:textId="77777777" w:rsidR="00486B43" w:rsidRDefault="00486B43" w:rsidP="0034576A">
            <w:pPr>
              <w:pStyle w:val="ListNumber"/>
              <w:numPr>
                <w:ilvl w:val="0"/>
                <w:numId w:val="10"/>
              </w:numPr>
            </w:pPr>
            <w:r>
              <w:t>establishing a case for action before addressing a problem</w:t>
            </w:r>
          </w:p>
          <w:p w14:paraId="17A289A2" w14:textId="77777777" w:rsidR="00486B43" w:rsidRDefault="00486B43" w:rsidP="0034576A">
            <w:pPr>
              <w:pStyle w:val="ListNumber"/>
              <w:numPr>
                <w:ilvl w:val="0"/>
                <w:numId w:val="10"/>
              </w:numPr>
            </w:pPr>
            <w:r>
              <w:t>a range of feasible policy options must be considered, including self-regulatory, co-regulatory and non-regulatory approaches, and their benefits and costs assessed</w:t>
            </w:r>
          </w:p>
          <w:p w14:paraId="5186CE76" w14:textId="77777777" w:rsidR="00486B43" w:rsidRDefault="00486B43" w:rsidP="0034576A">
            <w:pPr>
              <w:pStyle w:val="ListNumber"/>
              <w:numPr>
                <w:ilvl w:val="0"/>
                <w:numId w:val="10"/>
              </w:numPr>
            </w:pPr>
            <w:r>
              <w:t>adopting the option that generates the greatest net benefit for the community</w:t>
            </w:r>
          </w:p>
          <w:p w14:paraId="3BAB7110" w14:textId="77777777" w:rsidR="00486B43" w:rsidRDefault="00486B43" w:rsidP="0034576A">
            <w:pPr>
              <w:pStyle w:val="ListNumber"/>
              <w:numPr>
                <w:ilvl w:val="0"/>
                <w:numId w:val="10"/>
              </w:numPr>
            </w:pPr>
            <w:r>
              <w:t xml:space="preserve">in accordance with the Competition Principles Agreement, legislation should not restrict competition unless it can be demonstrated that: </w:t>
            </w:r>
          </w:p>
          <w:p w14:paraId="3B1D57BE" w14:textId="77777777" w:rsidR="00486B43" w:rsidRDefault="00486B43" w:rsidP="0034576A">
            <w:pPr>
              <w:pStyle w:val="ListNumber2"/>
              <w:numPr>
                <w:ilvl w:val="1"/>
                <w:numId w:val="10"/>
              </w:numPr>
            </w:pPr>
            <w:r>
              <w:t>the benefits of the restrictions to the community as a whole outweigh the costs, and</w:t>
            </w:r>
          </w:p>
          <w:p w14:paraId="6FBBE132" w14:textId="77777777" w:rsidR="00486B43" w:rsidRDefault="00486B43" w:rsidP="0034576A">
            <w:pPr>
              <w:pStyle w:val="ListNumber2"/>
              <w:numPr>
                <w:ilvl w:val="1"/>
                <w:numId w:val="10"/>
              </w:numPr>
            </w:pPr>
            <w:r>
              <w:t>the objectives of the regulation can only be achieved by restricting competition</w:t>
            </w:r>
          </w:p>
          <w:p w14:paraId="15BB3ED1" w14:textId="77777777" w:rsidR="00486B43" w:rsidRDefault="00486B43" w:rsidP="0034576A">
            <w:pPr>
              <w:pStyle w:val="ListNumber"/>
              <w:numPr>
                <w:ilvl w:val="0"/>
                <w:numId w:val="10"/>
              </w:numPr>
            </w:pPr>
            <w:r>
              <w:t>providing effective guidance to relevant regulators and regulated parties in order to ensure that the policy intent and expected compliance requirements of the regulation are clear</w:t>
            </w:r>
          </w:p>
          <w:p w14:paraId="4B6590F2" w14:textId="77777777" w:rsidR="00486B43" w:rsidRDefault="00486B43" w:rsidP="0034576A">
            <w:pPr>
              <w:pStyle w:val="ListNumber"/>
              <w:numPr>
                <w:ilvl w:val="0"/>
                <w:numId w:val="10"/>
              </w:numPr>
            </w:pPr>
            <w:r>
              <w:t>ensuring that regulation remains relevant and effective over time</w:t>
            </w:r>
          </w:p>
          <w:p w14:paraId="12767686" w14:textId="77777777" w:rsidR="00486B43" w:rsidRDefault="00486B43" w:rsidP="0034576A">
            <w:pPr>
              <w:pStyle w:val="ListNumber"/>
              <w:numPr>
                <w:ilvl w:val="0"/>
                <w:numId w:val="10"/>
              </w:numPr>
            </w:pPr>
            <w:r>
              <w:t>consulting effectively with affected key stakeholders at all stages of the regulatory cycle, and</w:t>
            </w:r>
          </w:p>
          <w:p w14:paraId="65ADA7A7" w14:textId="77777777" w:rsidR="00486B43" w:rsidRPr="00BF2F67" w:rsidRDefault="00486B43" w:rsidP="0034576A">
            <w:pPr>
              <w:pStyle w:val="ListNumber"/>
              <w:numPr>
                <w:ilvl w:val="0"/>
                <w:numId w:val="10"/>
              </w:numPr>
              <w:spacing w:after="120"/>
            </w:pPr>
            <w:r>
              <w:t>government action should be effective and proportional to the issue being addressed.</w:t>
            </w:r>
          </w:p>
        </w:tc>
      </w:tr>
      <w:tr w:rsidR="00486B43" w14:paraId="114EFE71" w14:textId="77777777" w:rsidTr="00EC65E7">
        <w:trPr>
          <w:trHeight w:hRule="exact" w:val="198"/>
          <w:tblHeader/>
        </w:trPr>
        <w:tc>
          <w:tcPr>
            <w:tcW w:w="7938" w:type="dxa"/>
          </w:tcPr>
          <w:p w14:paraId="3C2FD018" w14:textId="77777777" w:rsidR="00486B43" w:rsidRDefault="00486B43" w:rsidP="0034576A"/>
        </w:tc>
      </w:tr>
    </w:tbl>
    <w:p w14:paraId="1E83E0BD" w14:textId="77777777" w:rsidR="00D163A3" w:rsidRDefault="00900989" w:rsidP="00FB225F">
      <w:pPr>
        <w:pStyle w:val="BodyText"/>
        <w:spacing w:before="0"/>
      </w:pPr>
      <w:bookmarkStart w:id="40" w:name="_Toc22117099"/>
      <w:r>
        <w:lastRenderedPageBreak/>
        <w:t xml:space="preserve">The </w:t>
      </w:r>
      <w:r w:rsidR="00B240BC">
        <w:t>ABCB engaged the Centre for International Economics (CIE) to prepare a RIS (</w:t>
      </w:r>
      <w:r w:rsidR="00D163A3">
        <w:t>this document</w:t>
      </w:r>
      <w:r w:rsidR="00B240BC">
        <w:t xml:space="preserve">). </w:t>
      </w:r>
    </w:p>
    <w:p w14:paraId="4451622A" w14:textId="77777777" w:rsidR="00B240BC" w:rsidRDefault="00B240BC" w:rsidP="00486B43">
      <w:pPr>
        <w:pStyle w:val="BodyText"/>
        <w:rPr>
          <w:lang w:bidi="fa-IR"/>
        </w:rPr>
      </w:pPr>
      <w:r>
        <w:t>A</w:t>
      </w:r>
      <w:r w:rsidR="00D163A3">
        <w:t>s part of this process a</w:t>
      </w:r>
      <w:r>
        <w:t xml:space="preserve"> Consultation RIS was released for public comment in July 2020.</w:t>
      </w:r>
    </w:p>
    <w:p w14:paraId="012FC53F" w14:textId="77777777" w:rsidR="0034576A" w:rsidRDefault="0034576A" w:rsidP="00486B43">
      <w:pPr>
        <w:pStyle w:val="Heading3"/>
        <w:numPr>
          <w:ilvl w:val="2"/>
          <w:numId w:val="5"/>
        </w:numPr>
        <w:rPr>
          <w:lang w:bidi="fa-IR"/>
        </w:rPr>
      </w:pPr>
      <w:r>
        <w:rPr>
          <w:lang w:bidi="fa-IR"/>
        </w:rPr>
        <w:t>Consultations</w:t>
      </w:r>
    </w:p>
    <w:p w14:paraId="20AEA927" w14:textId="77777777" w:rsidR="00D163A3" w:rsidRDefault="00D163A3" w:rsidP="0034576A">
      <w:pPr>
        <w:pStyle w:val="BodyText"/>
        <w:rPr>
          <w:lang w:bidi="fa-IR"/>
        </w:rPr>
      </w:pPr>
      <w:r>
        <w:rPr>
          <w:lang w:bidi="fa-IR"/>
        </w:rPr>
        <w:t>C</w:t>
      </w:r>
      <w:r w:rsidR="0034576A">
        <w:rPr>
          <w:lang w:bidi="fa-IR"/>
        </w:rPr>
        <w:t xml:space="preserve">onsultation </w:t>
      </w:r>
      <w:r>
        <w:rPr>
          <w:lang w:bidi="fa-IR"/>
        </w:rPr>
        <w:t xml:space="preserve">with stakeholders informed the </w:t>
      </w:r>
      <w:r w:rsidR="0034576A">
        <w:rPr>
          <w:lang w:bidi="fa-IR"/>
        </w:rPr>
        <w:t xml:space="preserve">preparation of this </w:t>
      </w:r>
      <w:r>
        <w:rPr>
          <w:lang w:bidi="fa-IR"/>
        </w:rPr>
        <w:t>Decision RIS</w:t>
      </w:r>
      <w:r w:rsidR="0034576A">
        <w:rPr>
          <w:lang w:bidi="fa-IR"/>
        </w:rPr>
        <w:t xml:space="preserve">. </w:t>
      </w:r>
      <w:r>
        <w:rPr>
          <w:lang w:bidi="fa-IR"/>
        </w:rPr>
        <w:t>This consultation was undertaken in two stages:</w:t>
      </w:r>
    </w:p>
    <w:p w14:paraId="679BF789" w14:textId="77777777" w:rsidR="00D163A3" w:rsidRDefault="00D163A3" w:rsidP="00D163A3">
      <w:pPr>
        <w:pStyle w:val="ListBullet"/>
        <w:rPr>
          <w:lang w:bidi="fa-IR"/>
        </w:rPr>
      </w:pPr>
      <w:r>
        <w:rPr>
          <w:lang w:bidi="fa-IR"/>
        </w:rPr>
        <w:t>A</w:t>
      </w:r>
      <w:r w:rsidR="0034576A">
        <w:rPr>
          <w:lang w:bidi="fa-IR"/>
        </w:rPr>
        <w:t xml:space="preserve"> targeted stakeholder consultation </w:t>
      </w:r>
      <w:r>
        <w:rPr>
          <w:lang w:bidi="fa-IR"/>
        </w:rPr>
        <w:t>informed the development of</w:t>
      </w:r>
      <w:r w:rsidR="0034576A">
        <w:rPr>
          <w:lang w:bidi="fa-IR"/>
        </w:rPr>
        <w:t xml:space="preserve"> the Consultation RIS</w:t>
      </w:r>
      <w:r>
        <w:rPr>
          <w:lang w:bidi="fa-IR"/>
        </w:rPr>
        <w:t xml:space="preserve"> between November 2019 and May 2020</w:t>
      </w:r>
    </w:p>
    <w:p w14:paraId="65743B37" w14:textId="77777777" w:rsidR="0034576A" w:rsidRPr="0034576A" w:rsidRDefault="00D163A3" w:rsidP="00D163A3">
      <w:pPr>
        <w:pStyle w:val="ListBullet"/>
        <w:rPr>
          <w:lang w:bidi="fa-IR"/>
        </w:rPr>
      </w:pPr>
      <w:r>
        <w:rPr>
          <w:lang w:bidi="fa-IR"/>
        </w:rPr>
        <w:t>P</w:t>
      </w:r>
      <w:r w:rsidR="0034576A">
        <w:rPr>
          <w:lang w:bidi="fa-IR"/>
        </w:rPr>
        <w:t xml:space="preserve">ublic consultation </w:t>
      </w:r>
      <w:r w:rsidR="00E30369">
        <w:rPr>
          <w:lang w:bidi="fa-IR"/>
        </w:rPr>
        <w:t>on</w:t>
      </w:r>
      <w:r w:rsidR="0034576A">
        <w:rPr>
          <w:lang w:bidi="fa-IR"/>
        </w:rPr>
        <w:t xml:space="preserve"> the Consultation RIS </w:t>
      </w:r>
      <w:r>
        <w:rPr>
          <w:lang w:bidi="fa-IR"/>
        </w:rPr>
        <w:t xml:space="preserve">extended </w:t>
      </w:r>
      <w:r w:rsidR="0034576A">
        <w:rPr>
          <w:lang w:bidi="fa-IR"/>
        </w:rPr>
        <w:t xml:space="preserve">from </w:t>
      </w:r>
      <w:r w:rsidR="00523C02">
        <w:rPr>
          <w:lang w:bidi="fa-IR"/>
        </w:rPr>
        <w:t>6 July to 31 August 2020.</w:t>
      </w:r>
    </w:p>
    <w:p w14:paraId="3710997A" w14:textId="77777777" w:rsidR="00486B43" w:rsidRDefault="00486B43" w:rsidP="0034576A">
      <w:pPr>
        <w:pStyle w:val="Heading4"/>
        <w:rPr>
          <w:lang w:bidi="fa-IR"/>
        </w:rPr>
      </w:pPr>
      <w:r>
        <w:rPr>
          <w:lang w:bidi="fa-IR"/>
        </w:rPr>
        <w:t>Targeted stakeholder consultation</w:t>
      </w:r>
    </w:p>
    <w:p w14:paraId="12DCB7C3" w14:textId="43F58FF2" w:rsidR="00486B43" w:rsidRDefault="00486B43" w:rsidP="00486B43">
      <w:pPr>
        <w:pStyle w:val="BodyText"/>
        <w:rPr>
          <w:lang w:bidi="fa-IR"/>
        </w:rPr>
      </w:pPr>
      <w:r>
        <w:rPr>
          <w:lang w:bidi="fa-IR"/>
        </w:rPr>
        <w:t>To inform the development of the Consultation RIS, CIE undert</w:t>
      </w:r>
      <w:r w:rsidR="00D163A3">
        <w:rPr>
          <w:lang w:bidi="fa-IR"/>
        </w:rPr>
        <w:t>ook</w:t>
      </w:r>
      <w:r>
        <w:rPr>
          <w:lang w:bidi="fa-IR"/>
        </w:rPr>
        <w:t xml:space="preserve"> a targeted consultation process </w:t>
      </w:r>
      <w:r w:rsidR="00A51593">
        <w:rPr>
          <w:lang w:bidi="fa-IR"/>
        </w:rPr>
        <w:t>between</w:t>
      </w:r>
      <w:r>
        <w:rPr>
          <w:lang w:bidi="fa-IR"/>
        </w:rPr>
        <w:t xml:space="preserve"> November 2019 </w:t>
      </w:r>
      <w:r w:rsidR="00A51593">
        <w:rPr>
          <w:lang w:bidi="fa-IR"/>
        </w:rPr>
        <w:t>and</w:t>
      </w:r>
      <w:r>
        <w:rPr>
          <w:lang w:bidi="fa-IR"/>
        </w:rPr>
        <w:t xml:space="preserve"> May 2020. Consultations were guided by an Issues Paper setting out CIE’s preliminary views on the issues that need to be addressed in the RIS. Table </w:t>
      </w:r>
      <w:r w:rsidR="00587754">
        <w:rPr>
          <w:lang w:bidi="fa-IR"/>
        </w:rPr>
        <w:t>1.3</w:t>
      </w:r>
      <w:r>
        <w:rPr>
          <w:lang w:bidi="fa-IR"/>
        </w:rPr>
        <w:t xml:space="preserve"> summarises the consultations </w:t>
      </w:r>
      <w:r w:rsidR="00A51593">
        <w:rPr>
          <w:lang w:bidi="fa-IR"/>
        </w:rPr>
        <w:t>that informed</w:t>
      </w:r>
      <w:r>
        <w:rPr>
          <w:lang w:bidi="fa-IR"/>
        </w:rPr>
        <w:t xml:space="preserve"> the preparation of the Consultation RIS. </w:t>
      </w:r>
      <w:bookmarkStart w:id="41" w:name="_Hlk32940848"/>
      <w:r>
        <w:rPr>
          <w:lang w:bidi="fa-IR"/>
        </w:rPr>
        <w:t xml:space="preserve">More details </w:t>
      </w:r>
      <w:r w:rsidR="00CD12E1">
        <w:rPr>
          <w:lang w:bidi="fa-IR"/>
        </w:rPr>
        <w:t>we</w:t>
      </w:r>
      <w:r>
        <w:rPr>
          <w:lang w:bidi="fa-IR"/>
        </w:rPr>
        <w:t>re provided in appendix </w:t>
      </w:r>
      <w:r w:rsidR="00CD12E1">
        <w:rPr>
          <w:lang w:bidi="fa-IR"/>
        </w:rPr>
        <w:t>M</w:t>
      </w:r>
      <w:r w:rsidR="002F228E">
        <w:rPr>
          <w:lang w:bidi="fa-IR"/>
        </w:rPr>
        <w:t xml:space="preserve"> of the Consultation RIS</w:t>
      </w:r>
      <w:r>
        <w:rPr>
          <w:lang w:bidi="fa-IR"/>
        </w:rPr>
        <w:t>.</w:t>
      </w:r>
      <w:bookmarkEnd w:id="41"/>
    </w:p>
    <w:p w14:paraId="38827088" w14:textId="00DDF52F" w:rsidR="00486B43" w:rsidRDefault="00076C9B" w:rsidP="00486B43">
      <w:pPr>
        <w:pStyle w:val="Caption"/>
      </w:pPr>
      <w:bookmarkStart w:id="42" w:name="_Toc32321791"/>
      <w:bookmarkStart w:id="43" w:name="_Toc34122436"/>
      <w:bookmarkStart w:id="44" w:name="_Toc44598484"/>
      <w:bookmarkStart w:id="45" w:name="_Toc45654115"/>
      <w:bookmarkStart w:id="46" w:name="_Toc57643580"/>
      <w:bookmarkStart w:id="47" w:name="_Toc70505494"/>
      <w:r>
        <w:t>1.3</w:t>
      </w:r>
      <w:r w:rsidR="00486B43" w:rsidRPr="00695C93">
        <w:tab/>
      </w:r>
      <w:r w:rsidR="00486B43">
        <w:t>Summary of stakeholder consultations</w:t>
      </w:r>
      <w:bookmarkEnd w:id="42"/>
      <w:bookmarkEnd w:id="43"/>
      <w:bookmarkEnd w:id="44"/>
      <w:bookmarkEnd w:id="45"/>
      <w:bookmarkEnd w:id="46"/>
      <w:bookmarkEnd w:id="4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1.3: Summary of stakeholder consultations"/>
        <w:tblDescription w:val="Summary of stakeholder consultations held between November 2019 and May 2020, including the type of consultation and the stakeholder group for each discussion."/>
      </w:tblPr>
      <w:tblGrid>
        <w:gridCol w:w="1985"/>
        <w:gridCol w:w="3306"/>
        <w:gridCol w:w="2646"/>
      </w:tblGrid>
      <w:tr w:rsidR="00486B43" w14:paraId="1443B937" w14:textId="77777777" w:rsidTr="0034576A">
        <w:trPr>
          <w:tblHeader/>
        </w:trPr>
        <w:tc>
          <w:tcPr>
            <w:tcW w:w="1985" w:type="dxa"/>
            <w:tcBorders>
              <w:bottom w:val="single" w:sz="8" w:space="0" w:color="FFFFFF" w:themeColor="background1"/>
            </w:tcBorders>
            <w:shd w:val="clear" w:color="auto" w:fill="6F6652" w:themeFill="accent5"/>
          </w:tcPr>
          <w:p w14:paraId="7F23F030" w14:textId="77777777" w:rsidR="00486B43" w:rsidRDefault="00486B43" w:rsidP="0034576A">
            <w:pPr>
              <w:pStyle w:val="TableTextColumnHeading"/>
              <w:rPr>
                <w:lang w:bidi="fa-IR"/>
              </w:rPr>
            </w:pPr>
            <w:r>
              <w:rPr>
                <w:lang w:bidi="fa-IR"/>
              </w:rPr>
              <w:t>Consultation format</w:t>
            </w:r>
          </w:p>
        </w:tc>
        <w:tc>
          <w:tcPr>
            <w:tcW w:w="3306" w:type="dxa"/>
            <w:tcBorders>
              <w:bottom w:val="single" w:sz="8" w:space="0" w:color="FFFFFF" w:themeColor="background1"/>
            </w:tcBorders>
            <w:shd w:val="clear" w:color="auto" w:fill="6F6652" w:themeFill="accent5"/>
          </w:tcPr>
          <w:p w14:paraId="20C25906" w14:textId="77777777" w:rsidR="00486B43" w:rsidRDefault="00486B43" w:rsidP="0034576A">
            <w:pPr>
              <w:pStyle w:val="TableTextColumnHeading"/>
              <w:rPr>
                <w:lang w:bidi="fa-IR"/>
              </w:rPr>
            </w:pPr>
            <w:r>
              <w:rPr>
                <w:lang w:bidi="fa-IR"/>
              </w:rPr>
              <w:t>Stakeholder group</w:t>
            </w:r>
          </w:p>
        </w:tc>
        <w:tc>
          <w:tcPr>
            <w:tcW w:w="2646" w:type="dxa"/>
            <w:tcBorders>
              <w:bottom w:val="single" w:sz="8" w:space="0" w:color="FFFFFF" w:themeColor="background1"/>
            </w:tcBorders>
            <w:shd w:val="clear" w:color="auto" w:fill="6F6652" w:themeFill="accent5"/>
          </w:tcPr>
          <w:p w14:paraId="5ADE111F" w14:textId="77777777" w:rsidR="00486B43" w:rsidRDefault="00486B43" w:rsidP="0034576A">
            <w:pPr>
              <w:pStyle w:val="TableTextColumnHeading"/>
              <w:jc w:val="right"/>
              <w:rPr>
                <w:lang w:bidi="fa-IR"/>
              </w:rPr>
            </w:pPr>
            <w:r>
              <w:rPr>
                <w:lang w:bidi="fa-IR"/>
              </w:rPr>
              <w:t>Date of discussion</w:t>
            </w:r>
          </w:p>
        </w:tc>
      </w:tr>
      <w:tr w:rsidR="00486B43" w14:paraId="6E057F7F"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5253C7D" w14:textId="77777777" w:rsidR="00486B43" w:rsidRDefault="00486B43" w:rsidP="0034576A">
            <w:pPr>
              <w:pStyle w:val="TableTextEntries"/>
              <w:rPr>
                <w:lang w:bidi="fa-IR"/>
              </w:rPr>
            </w:pPr>
            <w:r>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14:paraId="008E4228" w14:textId="77777777" w:rsidR="00486B43" w:rsidRDefault="00486B43" w:rsidP="0034576A">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14:paraId="6C8CBB97" w14:textId="77777777" w:rsidR="00486B43" w:rsidRDefault="00486B43" w:rsidP="0034576A">
            <w:pPr>
              <w:pStyle w:val="TableTextEntries"/>
              <w:jc w:val="right"/>
              <w:rPr>
                <w:lang w:bidi="fa-IR"/>
              </w:rPr>
            </w:pPr>
            <w:r>
              <w:rPr>
                <w:lang w:bidi="fa-IR"/>
              </w:rPr>
              <w:t>29 November 2019</w:t>
            </w:r>
          </w:p>
        </w:tc>
      </w:tr>
      <w:tr w:rsidR="00486B43" w14:paraId="5289B083"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63F9293D" w14:textId="77777777" w:rsidR="00486B43" w:rsidRDefault="00486B43" w:rsidP="0034576A">
            <w:pPr>
              <w:pStyle w:val="TableTextEntries"/>
              <w:rPr>
                <w:lang w:bidi="fa-IR"/>
              </w:rPr>
            </w:pPr>
            <w:r w:rsidRPr="008248DF">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14:paraId="68AFFDF9" w14:textId="77777777" w:rsidR="00486B43" w:rsidRDefault="00486B43" w:rsidP="0034576A">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14:paraId="42AF1A1D" w14:textId="77777777" w:rsidR="00486B43" w:rsidRDefault="00486B43" w:rsidP="0034576A">
            <w:pPr>
              <w:pStyle w:val="TableTextEntries"/>
              <w:jc w:val="right"/>
              <w:rPr>
                <w:lang w:bidi="fa-IR"/>
              </w:rPr>
            </w:pPr>
            <w:r>
              <w:rPr>
                <w:lang w:bidi="fa-IR"/>
              </w:rPr>
              <w:t>29 November 2019</w:t>
            </w:r>
          </w:p>
        </w:tc>
      </w:tr>
      <w:tr w:rsidR="00486B43" w14:paraId="519E6AD9"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745739A" w14:textId="77777777" w:rsidR="00486B43" w:rsidRDefault="00486B43" w:rsidP="0034576A">
            <w:pPr>
              <w:pStyle w:val="TableTextEntries"/>
              <w:rPr>
                <w:lang w:bidi="fa-IR"/>
              </w:rPr>
            </w:pPr>
            <w:r w:rsidRPr="008248DF">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14:paraId="0E707E8A" w14:textId="77777777" w:rsidR="00486B43" w:rsidRDefault="00486B43" w:rsidP="0034576A">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14:paraId="0CB33254" w14:textId="77777777" w:rsidR="00486B43" w:rsidRDefault="00486B43" w:rsidP="0034576A">
            <w:pPr>
              <w:pStyle w:val="TableTextEntries"/>
              <w:jc w:val="right"/>
              <w:rPr>
                <w:lang w:bidi="fa-IR"/>
              </w:rPr>
            </w:pPr>
            <w:r>
              <w:rPr>
                <w:lang w:bidi="fa-IR"/>
              </w:rPr>
              <w:t>29 November 2019</w:t>
            </w:r>
          </w:p>
        </w:tc>
      </w:tr>
      <w:tr w:rsidR="00486B43" w14:paraId="2975900D"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4575F8B9" w14:textId="77777777" w:rsidR="00486B43" w:rsidRDefault="00A51593" w:rsidP="0034576A">
            <w:pPr>
              <w:pStyle w:val="TableTextEntries"/>
              <w:rPr>
                <w:lang w:bidi="fa-IR"/>
              </w:rPr>
            </w:pPr>
            <w:r>
              <w:rPr>
                <w:lang w:bidi="fa-IR"/>
              </w:rPr>
              <w:t>One-on-one</w:t>
            </w:r>
            <w:r w:rsidR="00486B43">
              <w:rPr>
                <w:lang w:bidi="fa-IR"/>
              </w:rPr>
              <w:t xml:space="preserve"> discussions</w:t>
            </w:r>
          </w:p>
        </w:tc>
        <w:tc>
          <w:tcPr>
            <w:tcW w:w="3306" w:type="dxa"/>
            <w:tcBorders>
              <w:top w:val="single" w:sz="8" w:space="0" w:color="FFFFFF" w:themeColor="background1"/>
              <w:bottom w:val="single" w:sz="8" w:space="0" w:color="FFFFFF" w:themeColor="background1"/>
            </w:tcBorders>
            <w:shd w:val="clear" w:color="auto" w:fill="E9E8E5" w:themeFill="background2"/>
          </w:tcPr>
          <w:p w14:paraId="59D3AEA4" w14:textId="77777777" w:rsidR="00486B43" w:rsidRDefault="00486B43" w:rsidP="0034576A">
            <w:pPr>
              <w:pStyle w:val="TableTextEntries"/>
              <w:rPr>
                <w:lang w:bidi="fa-IR"/>
              </w:rPr>
            </w:pPr>
            <w:r>
              <w:rPr>
                <w:lang w:bidi="fa-IR"/>
              </w:rPr>
              <w:t>Australian Network of Universal Housing Design (ANUHD)</w:t>
            </w:r>
          </w:p>
        </w:tc>
        <w:tc>
          <w:tcPr>
            <w:tcW w:w="2646" w:type="dxa"/>
            <w:tcBorders>
              <w:top w:val="single" w:sz="8" w:space="0" w:color="FFFFFF" w:themeColor="background1"/>
              <w:bottom w:val="single" w:sz="8" w:space="0" w:color="FFFFFF" w:themeColor="background1"/>
            </w:tcBorders>
            <w:shd w:val="clear" w:color="auto" w:fill="E9E8E5" w:themeFill="background2"/>
          </w:tcPr>
          <w:p w14:paraId="28DFB6D3" w14:textId="77777777" w:rsidR="00486B43" w:rsidRDefault="00486B43" w:rsidP="0034576A">
            <w:pPr>
              <w:pStyle w:val="TableTextEntries"/>
              <w:jc w:val="right"/>
              <w:rPr>
                <w:lang w:bidi="fa-IR"/>
              </w:rPr>
            </w:pPr>
            <w:r>
              <w:rPr>
                <w:lang w:bidi="fa-IR"/>
              </w:rPr>
              <w:t>26 November 2019</w:t>
            </w:r>
          </w:p>
        </w:tc>
      </w:tr>
      <w:tr w:rsidR="00486B43" w14:paraId="6D9883D4"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1E23FC92"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659D2934" w14:textId="77777777" w:rsidR="00486B43" w:rsidRDefault="00486B43" w:rsidP="0034576A">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14:paraId="5942AA9F" w14:textId="77777777" w:rsidR="00486B43" w:rsidRDefault="00486B43" w:rsidP="0034576A">
            <w:pPr>
              <w:pStyle w:val="TableTextEntries"/>
              <w:jc w:val="right"/>
              <w:rPr>
                <w:lang w:bidi="fa-IR"/>
              </w:rPr>
            </w:pPr>
            <w:r>
              <w:rPr>
                <w:lang w:bidi="fa-IR"/>
              </w:rPr>
              <w:t>29 November 2019</w:t>
            </w:r>
          </w:p>
        </w:tc>
      </w:tr>
      <w:tr w:rsidR="00486B43" w14:paraId="1C91870F"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F0655B4"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01128D45" w14:textId="77777777" w:rsidR="00486B43" w:rsidRDefault="00486B43" w:rsidP="0034576A">
            <w:pPr>
              <w:pStyle w:val="TableTextEntries"/>
              <w:rPr>
                <w:lang w:bidi="fa-IR"/>
              </w:rPr>
            </w:pPr>
            <w:r>
              <w:rPr>
                <w:lang w:bidi="fa-IR"/>
              </w:rPr>
              <w:t>University of NSW</w:t>
            </w:r>
          </w:p>
        </w:tc>
        <w:tc>
          <w:tcPr>
            <w:tcW w:w="2646" w:type="dxa"/>
            <w:tcBorders>
              <w:top w:val="single" w:sz="8" w:space="0" w:color="FFFFFF" w:themeColor="background1"/>
              <w:bottom w:val="single" w:sz="8" w:space="0" w:color="FFFFFF" w:themeColor="background1"/>
            </w:tcBorders>
            <w:shd w:val="clear" w:color="auto" w:fill="E9E8E5" w:themeFill="background2"/>
          </w:tcPr>
          <w:p w14:paraId="3FC2505B" w14:textId="77777777" w:rsidR="00486B43" w:rsidRDefault="00486B43" w:rsidP="0034576A">
            <w:pPr>
              <w:pStyle w:val="TableTextEntries"/>
              <w:jc w:val="right"/>
              <w:rPr>
                <w:lang w:bidi="fa-IR"/>
              </w:rPr>
            </w:pPr>
            <w:r>
              <w:rPr>
                <w:lang w:bidi="fa-IR"/>
              </w:rPr>
              <w:t>9 December 2019</w:t>
            </w:r>
          </w:p>
        </w:tc>
      </w:tr>
      <w:tr w:rsidR="00486B43" w14:paraId="163330B7"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15F6FAC8"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3EFF8434" w14:textId="77777777" w:rsidR="00486B43" w:rsidRDefault="00486B43" w:rsidP="0034576A">
            <w:pPr>
              <w:pStyle w:val="TableTextEntries"/>
              <w:rPr>
                <w:lang w:bidi="fa-IR"/>
              </w:rPr>
            </w:pPr>
            <w:r>
              <w:rPr>
                <w:lang w:bidi="fa-IR"/>
              </w:rPr>
              <w:t>Centre for Universal Design Australia</w:t>
            </w:r>
          </w:p>
        </w:tc>
        <w:tc>
          <w:tcPr>
            <w:tcW w:w="2646" w:type="dxa"/>
            <w:tcBorders>
              <w:top w:val="single" w:sz="8" w:space="0" w:color="FFFFFF" w:themeColor="background1"/>
              <w:bottom w:val="single" w:sz="8" w:space="0" w:color="FFFFFF" w:themeColor="background1"/>
            </w:tcBorders>
            <w:shd w:val="clear" w:color="auto" w:fill="E9E8E5" w:themeFill="background2"/>
          </w:tcPr>
          <w:p w14:paraId="6B7F858C" w14:textId="77777777" w:rsidR="00486B43" w:rsidRDefault="00486B43" w:rsidP="0034576A">
            <w:pPr>
              <w:pStyle w:val="TableTextEntries"/>
              <w:jc w:val="right"/>
              <w:rPr>
                <w:lang w:bidi="fa-IR"/>
              </w:rPr>
            </w:pPr>
            <w:r>
              <w:rPr>
                <w:lang w:bidi="fa-IR"/>
              </w:rPr>
              <w:t>9 December 2019</w:t>
            </w:r>
          </w:p>
        </w:tc>
      </w:tr>
      <w:tr w:rsidR="00486B43" w14:paraId="01156690"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44E0A2D7"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78D3DB15" w14:textId="77777777" w:rsidR="00486B43" w:rsidRDefault="00486B43" w:rsidP="0034576A">
            <w:pPr>
              <w:pStyle w:val="TableTextEntries"/>
              <w:rPr>
                <w:lang w:bidi="fa-IR"/>
              </w:rPr>
            </w:pPr>
            <w:r>
              <w:rPr>
                <w:lang w:bidi="fa-IR"/>
              </w:rPr>
              <w:t>ADACAS</w:t>
            </w:r>
          </w:p>
        </w:tc>
        <w:tc>
          <w:tcPr>
            <w:tcW w:w="2646" w:type="dxa"/>
            <w:tcBorders>
              <w:top w:val="single" w:sz="8" w:space="0" w:color="FFFFFF" w:themeColor="background1"/>
              <w:bottom w:val="single" w:sz="8" w:space="0" w:color="FFFFFF" w:themeColor="background1"/>
            </w:tcBorders>
            <w:shd w:val="clear" w:color="auto" w:fill="E9E8E5" w:themeFill="background2"/>
          </w:tcPr>
          <w:p w14:paraId="7288B1AE" w14:textId="77777777" w:rsidR="00486B43" w:rsidRDefault="00486B43" w:rsidP="0034576A">
            <w:pPr>
              <w:pStyle w:val="TableTextEntries"/>
              <w:jc w:val="right"/>
              <w:rPr>
                <w:lang w:bidi="fa-IR"/>
              </w:rPr>
            </w:pPr>
            <w:r>
              <w:rPr>
                <w:lang w:bidi="fa-IR"/>
              </w:rPr>
              <w:t>17 December 2019</w:t>
            </w:r>
          </w:p>
        </w:tc>
      </w:tr>
      <w:tr w:rsidR="00486B43" w14:paraId="735D33E1"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2D0C49A7"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4B724D02" w14:textId="77777777" w:rsidR="00486B43" w:rsidRDefault="00486B43" w:rsidP="0034576A">
            <w:pPr>
              <w:pStyle w:val="TableTextEntries"/>
              <w:rPr>
                <w:lang w:bidi="fa-IR"/>
              </w:rPr>
            </w:pPr>
            <w:r>
              <w:rPr>
                <w:lang w:bidi="fa-IR"/>
              </w:rPr>
              <w:t>Department of Social Services</w:t>
            </w:r>
          </w:p>
        </w:tc>
        <w:tc>
          <w:tcPr>
            <w:tcW w:w="2646" w:type="dxa"/>
            <w:tcBorders>
              <w:top w:val="single" w:sz="8" w:space="0" w:color="FFFFFF" w:themeColor="background1"/>
              <w:bottom w:val="single" w:sz="8" w:space="0" w:color="FFFFFF" w:themeColor="background1"/>
            </w:tcBorders>
            <w:shd w:val="clear" w:color="auto" w:fill="E9E8E5" w:themeFill="background2"/>
          </w:tcPr>
          <w:p w14:paraId="7B0113B0" w14:textId="77777777" w:rsidR="00486B43" w:rsidRDefault="00486B43" w:rsidP="0034576A">
            <w:pPr>
              <w:pStyle w:val="TableTextEntries"/>
              <w:jc w:val="right"/>
              <w:rPr>
                <w:lang w:bidi="fa-IR"/>
              </w:rPr>
            </w:pPr>
            <w:r>
              <w:rPr>
                <w:lang w:bidi="fa-IR"/>
              </w:rPr>
              <w:t>4 December 2019</w:t>
            </w:r>
          </w:p>
        </w:tc>
      </w:tr>
      <w:tr w:rsidR="00486B43" w14:paraId="7B01B38D"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599C4323"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5AC86E0E" w14:textId="77777777" w:rsidR="00486B43" w:rsidRDefault="00486B43" w:rsidP="0034576A">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14:paraId="5632EED8" w14:textId="77777777" w:rsidR="00486B43" w:rsidRDefault="00486B43" w:rsidP="0034576A">
            <w:pPr>
              <w:pStyle w:val="TableTextEntries"/>
              <w:jc w:val="right"/>
              <w:rPr>
                <w:lang w:bidi="fa-IR"/>
              </w:rPr>
            </w:pPr>
            <w:r>
              <w:rPr>
                <w:lang w:bidi="fa-IR"/>
              </w:rPr>
              <w:t>12 December 2019</w:t>
            </w:r>
          </w:p>
        </w:tc>
      </w:tr>
      <w:tr w:rsidR="00486B43" w14:paraId="63304A06"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B521552"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6708B03F" w14:textId="77777777" w:rsidR="00486B43" w:rsidRDefault="00486B43" w:rsidP="0034576A">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14:paraId="535E4956" w14:textId="77777777" w:rsidR="00486B43" w:rsidRDefault="00486B43" w:rsidP="0034576A">
            <w:pPr>
              <w:pStyle w:val="TableTextEntries"/>
              <w:jc w:val="right"/>
              <w:rPr>
                <w:lang w:bidi="fa-IR"/>
              </w:rPr>
            </w:pPr>
            <w:r>
              <w:rPr>
                <w:lang w:bidi="fa-IR"/>
              </w:rPr>
              <w:t>13 December 2019</w:t>
            </w:r>
          </w:p>
        </w:tc>
      </w:tr>
      <w:tr w:rsidR="00486B43" w14:paraId="0909E1F6"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4E94A397" w14:textId="77777777" w:rsidR="00486B43" w:rsidRDefault="00A51593"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3754C8C6" w14:textId="77777777" w:rsidR="00486B43" w:rsidRDefault="00486B43" w:rsidP="0034576A">
            <w:pPr>
              <w:pStyle w:val="TableTextEntries"/>
              <w:rPr>
                <w:lang w:bidi="fa-IR"/>
              </w:rPr>
            </w:pPr>
            <w:r>
              <w:rPr>
                <w:lang w:bidi="fa-IR"/>
              </w:rPr>
              <w:t>Occupational Therap</w:t>
            </w:r>
            <w:r w:rsidR="0091103C">
              <w:rPr>
                <w:lang w:bidi="fa-IR"/>
              </w:rPr>
              <w:t>y</w:t>
            </w:r>
            <w:r>
              <w:rPr>
                <w:lang w:bidi="fa-IR"/>
              </w:rPr>
              <w:t xml:space="preserve"> Australia</w:t>
            </w:r>
          </w:p>
        </w:tc>
        <w:tc>
          <w:tcPr>
            <w:tcW w:w="2646" w:type="dxa"/>
            <w:tcBorders>
              <w:top w:val="single" w:sz="8" w:space="0" w:color="FFFFFF" w:themeColor="background1"/>
              <w:bottom w:val="single" w:sz="8" w:space="0" w:color="FFFFFF" w:themeColor="background1"/>
            </w:tcBorders>
            <w:shd w:val="clear" w:color="auto" w:fill="E9E8E5" w:themeFill="background2"/>
          </w:tcPr>
          <w:p w14:paraId="4AA72381" w14:textId="77777777" w:rsidR="00486B43" w:rsidRDefault="00486B43" w:rsidP="0034576A">
            <w:pPr>
              <w:pStyle w:val="TableTextEntries"/>
              <w:jc w:val="right"/>
              <w:rPr>
                <w:lang w:bidi="fa-IR"/>
              </w:rPr>
            </w:pPr>
            <w:r>
              <w:rPr>
                <w:lang w:bidi="fa-IR"/>
              </w:rPr>
              <w:t>13 December 2019</w:t>
            </w:r>
          </w:p>
        </w:tc>
      </w:tr>
      <w:tr w:rsidR="00486B43" w14:paraId="21EA3234"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5B2E4287"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18BB1CAC" w14:textId="77777777" w:rsidR="00486B43" w:rsidRDefault="00486B43" w:rsidP="0034576A">
            <w:pPr>
              <w:pStyle w:val="TableTextEntries"/>
              <w:rPr>
                <w:lang w:bidi="fa-IR"/>
              </w:rPr>
            </w:pPr>
            <w:r>
              <w:rPr>
                <w:lang w:bidi="fa-IR"/>
              </w:rPr>
              <w:t>Australian Association of Gerontology</w:t>
            </w:r>
          </w:p>
        </w:tc>
        <w:tc>
          <w:tcPr>
            <w:tcW w:w="2646" w:type="dxa"/>
            <w:tcBorders>
              <w:top w:val="single" w:sz="8" w:space="0" w:color="FFFFFF" w:themeColor="background1"/>
              <w:bottom w:val="single" w:sz="8" w:space="0" w:color="FFFFFF" w:themeColor="background1"/>
            </w:tcBorders>
            <w:shd w:val="clear" w:color="auto" w:fill="E9E8E5" w:themeFill="background2"/>
          </w:tcPr>
          <w:p w14:paraId="5D47ADFA" w14:textId="77777777" w:rsidR="00486B43" w:rsidRDefault="00486B43" w:rsidP="0034576A">
            <w:pPr>
              <w:pStyle w:val="TableTextEntries"/>
              <w:jc w:val="right"/>
              <w:rPr>
                <w:lang w:bidi="fa-IR"/>
              </w:rPr>
            </w:pPr>
            <w:r>
              <w:rPr>
                <w:lang w:bidi="fa-IR"/>
              </w:rPr>
              <w:t>18 December 2019</w:t>
            </w:r>
          </w:p>
        </w:tc>
      </w:tr>
      <w:tr w:rsidR="00486B43" w14:paraId="5C8338BC"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3094BB53"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54E32F1A" w14:textId="77777777" w:rsidR="00486B43" w:rsidRDefault="00486B43" w:rsidP="0034576A">
            <w:pPr>
              <w:pStyle w:val="TableTextEntries"/>
              <w:rPr>
                <w:lang w:bidi="fa-IR"/>
              </w:rPr>
            </w:pPr>
            <w:r>
              <w:rPr>
                <w:lang w:bidi="fa-IR"/>
              </w:rPr>
              <w:t>University of Technology Sydney</w:t>
            </w:r>
          </w:p>
        </w:tc>
        <w:tc>
          <w:tcPr>
            <w:tcW w:w="2646" w:type="dxa"/>
            <w:tcBorders>
              <w:top w:val="single" w:sz="8" w:space="0" w:color="FFFFFF" w:themeColor="background1"/>
              <w:bottom w:val="single" w:sz="8" w:space="0" w:color="FFFFFF" w:themeColor="background1"/>
            </w:tcBorders>
            <w:shd w:val="clear" w:color="auto" w:fill="E9E8E5" w:themeFill="background2"/>
          </w:tcPr>
          <w:p w14:paraId="2A92CB05" w14:textId="77777777" w:rsidR="00486B43" w:rsidRDefault="00486B43" w:rsidP="0034576A">
            <w:pPr>
              <w:pStyle w:val="TableTextEntries"/>
              <w:jc w:val="right"/>
              <w:rPr>
                <w:lang w:bidi="fa-IR"/>
              </w:rPr>
            </w:pPr>
            <w:r>
              <w:rPr>
                <w:lang w:bidi="fa-IR"/>
              </w:rPr>
              <w:t>18 December 2019</w:t>
            </w:r>
          </w:p>
        </w:tc>
      </w:tr>
      <w:tr w:rsidR="00486B43" w14:paraId="68151264" w14:textId="77777777" w:rsidTr="00FB225F">
        <w:trPr>
          <w:cantSplit/>
        </w:trPr>
        <w:tc>
          <w:tcPr>
            <w:tcW w:w="1985" w:type="dxa"/>
            <w:tcBorders>
              <w:top w:val="single" w:sz="8" w:space="0" w:color="FFFFFF" w:themeColor="background1"/>
              <w:bottom w:val="single" w:sz="8" w:space="0" w:color="FFFFFF" w:themeColor="background1"/>
            </w:tcBorders>
            <w:shd w:val="clear" w:color="auto" w:fill="E9E8E5" w:themeFill="background2"/>
          </w:tcPr>
          <w:p w14:paraId="31246DCC"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5D94FB5B" w14:textId="77777777" w:rsidR="00486B43" w:rsidRDefault="00486B43" w:rsidP="0034576A">
            <w:pPr>
              <w:pStyle w:val="TableTextEntries"/>
              <w:rPr>
                <w:lang w:bidi="fa-IR"/>
              </w:rPr>
            </w:pPr>
            <w:r>
              <w:rPr>
                <w:lang w:bidi="fa-IR"/>
              </w:rPr>
              <w:t>Australian Human Rights Commission</w:t>
            </w:r>
          </w:p>
        </w:tc>
        <w:tc>
          <w:tcPr>
            <w:tcW w:w="2646" w:type="dxa"/>
            <w:tcBorders>
              <w:top w:val="single" w:sz="8" w:space="0" w:color="FFFFFF" w:themeColor="background1"/>
              <w:bottom w:val="single" w:sz="8" w:space="0" w:color="FFFFFF" w:themeColor="background1"/>
            </w:tcBorders>
            <w:shd w:val="clear" w:color="auto" w:fill="E9E8E5" w:themeFill="background2"/>
          </w:tcPr>
          <w:p w14:paraId="377BC081" w14:textId="77777777" w:rsidR="00486B43" w:rsidRDefault="00486B43" w:rsidP="0034576A">
            <w:pPr>
              <w:pStyle w:val="TableTextEntries"/>
              <w:jc w:val="right"/>
              <w:rPr>
                <w:lang w:bidi="fa-IR"/>
              </w:rPr>
            </w:pPr>
            <w:r>
              <w:rPr>
                <w:lang w:bidi="fa-IR"/>
              </w:rPr>
              <w:t>18 December 2019</w:t>
            </w:r>
          </w:p>
          <w:p w14:paraId="2194E4AA" w14:textId="77777777" w:rsidR="00486B43" w:rsidRDefault="00486B43" w:rsidP="0034576A">
            <w:pPr>
              <w:pStyle w:val="TableTextEntries"/>
              <w:jc w:val="right"/>
              <w:rPr>
                <w:lang w:bidi="fa-IR"/>
              </w:rPr>
            </w:pPr>
            <w:r>
              <w:rPr>
                <w:lang w:bidi="fa-IR"/>
              </w:rPr>
              <w:t>14 May 2020</w:t>
            </w:r>
          </w:p>
        </w:tc>
      </w:tr>
      <w:tr w:rsidR="00486B43" w14:paraId="7BF80320"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B6F6EDB" w14:textId="77777777" w:rsidR="00486B43" w:rsidRDefault="00C70960" w:rsidP="0034576A">
            <w:pPr>
              <w:pStyle w:val="TableTextEntries"/>
              <w:rPr>
                <w:lang w:bidi="fa-IR"/>
              </w:rPr>
            </w:pPr>
            <w:r>
              <w:rPr>
                <w:lang w:bidi="fa-IR"/>
              </w:rPr>
              <w:lastRenderedPageBreak/>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4CFC89F2" w14:textId="77777777" w:rsidR="00486B43" w:rsidRDefault="00486B43" w:rsidP="0034576A">
            <w:pPr>
              <w:pStyle w:val="TableTextEntries"/>
              <w:rPr>
                <w:lang w:bidi="fa-IR"/>
              </w:rPr>
            </w:pPr>
            <w:r>
              <w:rPr>
                <w:lang w:bidi="fa-IR"/>
              </w:rPr>
              <w:t>National Disability Insurance Agency</w:t>
            </w:r>
          </w:p>
        </w:tc>
        <w:tc>
          <w:tcPr>
            <w:tcW w:w="2646" w:type="dxa"/>
            <w:tcBorders>
              <w:top w:val="single" w:sz="8" w:space="0" w:color="FFFFFF" w:themeColor="background1"/>
              <w:bottom w:val="single" w:sz="8" w:space="0" w:color="FFFFFF" w:themeColor="background1"/>
            </w:tcBorders>
            <w:shd w:val="clear" w:color="auto" w:fill="E9E8E5" w:themeFill="background2"/>
          </w:tcPr>
          <w:p w14:paraId="0F44E035" w14:textId="77777777" w:rsidR="00486B43" w:rsidRDefault="00486B43" w:rsidP="0034576A">
            <w:pPr>
              <w:pStyle w:val="TableTextEntries"/>
              <w:jc w:val="right"/>
              <w:rPr>
                <w:lang w:bidi="fa-IR"/>
              </w:rPr>
            </w:pPr>
            <w:r>
              <w:rPr>
                <w:lang w:bidi="fa-IR"/>
              </w:rPr>
              <w:t>19 December 2019</w:t>
            </w:r>
          </w:p>
          <w:p w14:paraId="605A1C2E" w14:textId="77777777" w:rsidR="00486B43" w:rsidRDefault="00486B43" w:rsidP="0034576A">
            <w:pPr>
              <w:pStyle w:val="TableTextEntries"/>
              <w:jc w:val="right"/>
              <w:rPr>
                <w:lang w:bidi="fa-IR"/>
              </w:rPr>
            </w:pPr>
            <w:r>
              <w:rPr>
                <w:lang w:bidi="fa-IR"/>
              </w:rPr>
              <w:t>31 January 2020</w:t>
            </w:r>
          </w:p>
        </w:tc>
      </w:tr>
      <w:tr w:rsidR="00486B43" w14:paraId="3FDD2B7E"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749CCA79"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3E107ADE" w14:textId="77777777" w:rsidR="00486B43" w:rsidRDefault="00486B43" w:rsidP="0034576A">
            <w:pPr>
              <w:pStyle w:val="TableTextEntries"/>
              <w:rPr>
                <w:lang w:bidi="fa-IR"/>
              </w:rPr>
            </w:pPr>
            <w:r>
              <w:rPr>
                <w:lang w:bidi="fa-IR"/>
              </w:rPr>
              <w:t>Transport Accident Commission (Victoria)</w:t>
            </w:r>
          </w:p>
        </w:tc>
        <w:tc>
          <w:tcPr>
            <w:tcW w:w="2646" w:type="dxa"/>
            <w:tcBorders>
              <w:top w:val="single" w:sz="8" w:space="0" w:color="FFFFFF" w:themeColor="background1"/>
              <w:bottom w:val="single" w:sz="8" w:space="0" w:color="FFFFFF" w:themeColor="background1"/>
            </w:tcBorders>
            <w:shd w:val="clear" w:color="auto" w:fill="E9E8E5" w:themeFill="background2"/>
          </w:tcPr>
          <w:p w14:paraId="19467AAE" w14:textId="77777777" w:rsidR="00486B43" w:rsidRDefault="00486B43" w:rsidP="0034576A">
            <w:pPr>
              <w:pStyle w:val="TableTextEntries"/>
              <w:jc w:val="right"/>
              <w:rPr>
                <w:lang w:bidi="fa-IR"/>
              </w:rPr>
            </w:pPr>
            <w:r>
              <w:rPr>
                <w:lang w:bidi="fa-IR"/>
              </w:rPr>
              <w:t>23 January 2020</w:t>
            </w:r>
          </w:p>
        </w:tc>
      </w:tr>
      <w:tr w:rsidR="00486B43" w14:paraId="26777001"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22DA6927"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3000B19E" w14:textId="77777777" w:rsidR="00486B43" w:rsidRDefault="00486B43" w:rsidP="0034576A">
            <w:pPr>
              <w:pStyle w:val="TableTextEntries"/>
              <w:rPr>
                <w:lang w:bidi="fa-IR"/>
              </w:rPr>
            </w:pPr>
            <w:r>
              <w:rPr>
                <w:lang w:bidi="fa-IR"/>
              </w:rPr>
              <w:t>Sekisui House</w:t>
            </w:r>
          </w:p>
        </w:tc>
        <w:tc>
          <w:tcPr>
            <w:tcW w:w="2646" w:type="dxa"/>
            <w:tcBorders>
              <w:top w:val="single" w:sz="8" w:space="0" w:color="FFFFFF" w:themeColor="background1"/>
              <w:bottom w:val="single" w:sz="8" w:space="0" w:color="FFFFFF" w:themeColor="background1"/>
            </w:tcBorders>
            <w:shd w:val="clear" w:color="auto" w:fill="E9E8E5" w:themeFill="background2"/>
          </w:tcPr>
          <w:p w14:paraId="25AAD9EF" w14:textId="77777777" w:rsidR="00486B43" w:rsidRDefault="00486B43" w:rsidP="0034576A">
            <w:pPr>
              <w:pStyle w:val="TableTextEntries"/>
              <w:jc w:val="right"/>
              <w:rPr>
                <w:lang w:bidi="fa-IR"/>
              </w:rPr>
            </w:pPr>
            <w:r>
              <w:rPr>
                <w:lang w:bidi="fa-IR"/>
              </w:rPr>
              <w:t>24 January 2020</w:t>
            </w:r>
          </w:p>
        </w:tc>
      </w:tr>
      <w:tr w:rsidR="00486B43" w14:paraId="6D311A5D"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4F10A975"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4D41D834" w14:textId="77777777" w:rsidR="00486B43" w:rsidRDefault="00486B43" w:rsidP="0034576A">
            <w:pPr>
              <w:pStyle w:val="TableTextEntries"/>
              <w:rPr>
                <w:lang w:bidi="fa-IR"/>
              </w:rPr>
            </w:pPr>
            <w:r>
              <w:rPr>
                <w:lang w:bidi="fa-IR"/>
              </w:rPr>
              <w:t>Royal Commission into Aged Care Quality and Safety</w:t>
            </w:r>
          </w:p>
        </w:tc>
        <w:tc>
          <w:tcPr>
            <w:tcW w:w="2646" w:type="dxa"/>
            <w:tcBorders>
              <w:top w:val="single" w:sz="8" w:space="0" w:color="FFFFFF" w:themeColor="background1"/>
              <w:bottom w:val="single" w:sz="8" w:space="0" w:color="FFFFFF" w:themeColor="background1"/>
            </w:tcBorders>
            <w:shd w:val="clear" w:color="auto" w:fill="E9E8E5" w:themeFill="background2"/>
          </w:tcPr>
          <w:p w14:paraId="72100F8A" w14:textId="77777777" w:rsidR="00486B43" w:rsidRDefault="00486B43" w:rsidP="0034576A">
            <w:pPr>
              <w:pStyle w:val="TableTextEntries"/>
              <w:jc w:val="right"/>
              <w:rPr>
                <w:lang w:bidi="fa-IR"/>
              </w:rPr>
            </w:pPr>
            <w:r>
              <w:rPr>
                <w:lang w:bidi="fa-IR"/>
              </w:rPr>
              <w:t>19 May 2020</w:t>
            </w:r>
          </w:p>
        </w:tc>
      </w:tr>
      <w:tr w:rsidR="00486B43" w14:paraId="7C0AECE3" w14:textId="77777777" w:rsidTr="0034576A">
        <w:tc>
          <w:tcPr>
            <w:tcW w:w="1985" w:type="dxa"/>
            <w:tcBorders>
              <w:top w:val="single" w:sz="8" w:space="0" w:color="FFFFFF" w:themeColor="background1"/>
              <w:bottom w:val="single" w:sz="8" w:space="0" w:color="FFFFFF" w:themeColor="background1"/>
            </w:tcBorders>
            <w:shd w:val="clear" w:color="auto" w:fill="E9E8E5" w:themeFill="background2"/>
          </w:tcPr>
          <w:p w14:paraId="0FCD5E18"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14:paraId="549F7F62" w14:textId="77777777" w:rsidR="00486B43" w:rsidRDefault="00486B43" w:rsidP="0034576A">
            <w:pPr>
              <w:pStyle w:val="TableTextEntries"/>
              <w:rPr>
                <w:lang w:bidi="fa-IR"/>
              </w:rPr>
            </w:pPr>
            <w:r>
              <w:rPr>
                <w:lang w:bidi="fa-IR"/>
              </w:rPr>
              <w:t>Young People in Nursing Homes</w:t>
            </w:r>
          </w:p>
        </w:tc>
        <w:tc>
          <w:tcPr>
            <w:tcW w:w="2646" w:type="dxa"/>
            <w:tcBorders>
              <w:top w:val="single" w:sz="8" w:space="0" w:color="FFFFFF" w:themeColor="background1"/>
              <w:bottom w:val="single" w:sz="8" w:space="0" w:color="FFFFFF" w:themeColor="background1"/>
            </w:tcBorders>
            <w:shd w:val="clear" w:color="auto" w:fill="E9E8E5" w:themeFill="background2"/>
          </w:tcPr>
          <w:p w14:paraId="05E6A314" w14:textId="77777777" w:rsidR="00486B43" w:rsidRDefault="00486B43" w:rsidP="0034576A">
            <w:pPr>
              <w:pStyle w:val="TableTextEntries"/>
              <w:jc w:val="right"/>
              <w:rPr>
                <w:lang w:bidi="fa-IR"/>
              </w:rPr>
            </w:pPr>
            <w:r>
              <w:rPr>
                <w:lang w:bidi="fa-IR"/>
              </w:rPr>
              <w:t>27 May 2020</w:t>
            </w:r>
          </w:p>
        </w:tc>
      </w:tr>
      <w:tr w:rsidR="00486B43" w14:paraId="466BEA76" w14:textId="77777777" w:rsidTr="0034576A">
        <w:tc>
          <w:tcPr>
            <w:tcW w:w="1985" w:type="dxa"/>
            <w:tcBorders>
              <w:top w:val="single" w:sz="8" w:space="0" w:color="FFFFFF" w:themeColor="background1"/>
              <w:bottom w:val="single" w:sz="4" w:space="0" w:color="6F6652" w:themeColor="accent5"/>
            </w:tcBorders>
            <w:shd w:val="clear" w:color="auto" w:fill="E9E8E5" w:themeFill="background2"/>
          </w:tcPr>
          <w:p w14:paraId="4A2EAA43" w14:textId="77777777" w:rsidR="00486B43" w:rsidRDefault="00C70960" w:rsidP="0034576A">
            <w:pPr>
              <w:pStyle w:val="TableTextEntries"/>
              <w:rPr>
                <w:lang w:bidi="fa-IR"/>
              </w:rPr>
            </w:pPr>
            <w:r>
              <w:rPr>
                <w:lang w:bidi="fa-IR"/>
              </w:rPr>
              <w:t>One-on-one</w:t>
            </w:r>
            <w:r w:rsidR="00486B43" w:rsidRPr="00AC348A">
              <w:rPr>
                <w:lang w:bidi="fa-IR"/>
              </w:rPr>
              <w:t xml:space="preserve"> discussion</w:t>
            </w:r>
            <w:r w:rsidR="00486B43">
              <w:rPr>
                <w:lang w:bidi="fa-IR"/>
              </w:rPr>
              <w:t>s</w:t>
            </w:r>
          </w:p>
        </w:tc>
        <w:tc>
          <w:tcPr>
            <w:tcW w:w="3306" w:type="dxa"/>
            <w:tcBorders>
              <w:top w:val="single" w:sz="8" w:space="0" w:color="FFFFFF" w:themeColor="background1"/>
              <w:bottom w:val="single" w:sz="4" w:space="0" w:color="6F6652" w:themeColor="accent5"/>
            </w:tcBorders>
            <w:shd w:val="clear" w:color="auto" w:fill="E9E8E5" w:themeFill="background2"/>
          </w:tcPr>
          <w:p w14:paraId="7B46B875" w14:textId="77777777" w:rsidR="00486B43" w:rsidRDefault="00486B43" w:rsidP="0034576A">
            <w:pPr>
              <w:pStyle w:val="TableTextEntries"/>
              <w:rPr>
                <w:lang w:bidi="fa-IR"/>
              </w:rPr>
            </w:pPr>
            <w:r>
              <w:rPr>
                <w:lang w:bidi="fa-IR"/>
              </w:rPr>
              <w:t>The Summer Foundation</w:t>
            </w:r>
          </w:p>
        </w:tc>
        <w:tc>
          <w:tcPr>
            <w:tcW w:w="2646" w:type="dxa"/>
            <w:tcBorders>
              <w:top w:val="single" w:sz="8" w:space="0" w:color="FFFFFF" w:themeColor="background1"/>
              <w:bottom w:val="single" w:sz="4" w:space="0" w:color="6F6652" w:themeColor="accent5"/>
            </w:tcBorders>
            <w:shd w:val="clear" w:color="auto" w:fill="E9E8E5" w:themeFill="background2"/>
          </w:tcPr>
          <w:p w14:paraId="631F64D3" w14:textId="77777777" w:rsidR="00486B43" w:rsidRDefault="00486B43" w:rsidP="0034576A">
            <w:pPr>
              <w:pStyle w:val="TableTextEntries"/>
              <w:jc w:val="right"/>
              <w:rPr>
                <w:lang w:bidi="fa-IR"/>
              </w:rPr>
            </w:pPr>
            <w:r>
              <w:rPr>
                <w:lang w:bidi="fa-IR"/>
              </w:rPr>
              <w:t>28 May 2020</w:t>
            </w:r>
          </w:p>
        </w:tc>
      </w:tr>
    </w:tbl>
    <w:p w14:paraId="350E9BB7" w14:textId="77777777" w:rsidR="00486B43" w:rsidRDefault="00486B43" w:rsidP="00DA6093">
      <w:pPr>
        <w:pStyle w:val="Note"/>
        <w:rPr>
          <w:lang w:bidi="fa-IR"/>
        </w:rPr>
      </w:pPr>
      <w:r w:rsidRPr="00DA6093">
        <w:t>Source:</w:t>
      </w:r>
      <w:r>
        <w:rPr>
          <w:lang w:bidi="fa-IR"/>
        </w:rPr>
        <w:t xml:space="preserve"> CIE.</w:t>
      </w:r>
    </w:p>
    <w:p w14:paraId="0C789612" w14:textId="77777777" w:rsidR="00523C02" w:rsidRDefault="00523C02" w:rsidP="00523C02">
      <w:pPr>
        <w:pStyle w:val="Heading4"/>
        <w:rPr>
          <w:lang w:eastAsia="en-US" w:bidi="fa-IR"/>
        </w:rPr>
      </w:pPr>
      <w:r>
        <w:rPr>
          <w:lang w:eastAsia="en-US" w:bidi="fa-IR"/>
        </w:rPr>
        <w:t>Public consultation</w:t>
      </w:r>
    </w:p>
    <w:p w14:paraId="0921FB2C" w14:textId="77777777" w:rsidR="00523C02" w:rsidRDefault="00523C02" w:rsidP="00523C02">
      <w:pPr>
        <w:pStyle w:val="BodyText"/>
        <w:rPr>
          <w:lang w:eastAsia="en-US" w:bidi="fa-IR"/>
        </w:rPr>
      </w:pPr>
      <w:r>
        <w:rPr>
          <w:lang w:eastAsia="en-US" w:bidi="fa-IR"/>
        </w:rPr>
        <w:t xml:space="preserve">Public consultation </w:t>
      </w:r>
      <w:r w:rsidR="00C70960">
        <w:rPr>
          <w:lang w:eastAsia="en-US" w:bidi="fa-IR"/>
        </w:rPr>
        <w:t xml:space="preserve">on the Consultation RIS </w:t>
      </w:r>
      <w:r>
        <w:rPr>
          <w:lang w:eastAsia="en-US" w:bidi="fa-IR"/>
        </w:rPr>
        <w:t xml:space="preserve">was open from 6 July to 31 August 2020 </w:t>
      </w:r>
      <w:r w:rsidR="00C70960">
        <w:rPr>
          <w:lang w:eastAsia="en-US" w:bidi="fa-IR"/>
        </w:rPr>
        <w:t xml:space="preserve">on the </w:t>
      </w:r>
      <w:r>
        <w:rPr>
          <w:lang w:eastAsia="en-US" w:bidi="fa-IR"/>
        </w:rPr>
        <w:t>ABCB’s Consultation Hub platform</w:t>
      </w:r>
      <w:r w:rsidR="00C70960">
        <w:rPr>
          <w:lang w:eastAsia="en-US" w:bidi="fa-IR"/>
        </w:rPr>
        <w:t>.</w:t>
      </w:r>
      <w:r>
        <w:rPr>
          <w:rStyle w:val="FootnoteReference"/>
          <w:lang w:eastAsia="en-US" w:bidi="fa-IR"/>
        </w:rPr>
        <w:footnoteReference w:id="17"/>
      </w:r>
      <w:r>
        <w:rPr>
          <w:lang w:eastAsia="en-US" w:bidi="fa-IR"/>
        </w:rPr>
        <w:t xml:space="preserve"> </w:t>
      </w:r>
      <w:r w:rsidR="00C70960">
        <w:rPr>
          <w:lang w:eastAsia="en-US" w:bidi="fa-IR"/>
        </w:rPr>
        <w:t xml:space="preserve">To assist the public to provide feedback on the Consultation RIS a structured questionnaire covering </w:t>
      </w:r>
      <w:r>
        <w:rPr>
          <w:lang w:eastAsia="en-US" w:bidi="fa-IR"/>
        </w:rPr>
        <w:t xml:space="preserve">36 </w:t>
      </w:r>
      <w:r w:rsidR="00444A1C">
        <w:rPr>
          <w:lang w:eastAsia="en-US" w:bidi="fa-IR"/>
        </w:rPr>
        <w:t>different areas was used</w:t>
      </w:r>
      <w:r>
        <w:rPr>
          <w:lang w:eastAsia="en-US" w:bidi="fa-IR"/>
        </w:rPr>
        <w:t>.</w:t>
      </w:r>
    </w:p>
    <w:p w14:paraId="77AD7729" w14:textId="77777777" w:rsidR="00523C02" w:rsidRDefault="007F493C" w:rsidP="00523C02">
      <w:pPr>
        <w:pStyle w:val="BodyText"/>
        <w:rPr>
          <w:lang w:eastAsia="en-US" w:bidi="fa-IR"/>
        </w:rPr>
      </w:pPr>
      <w:r>
        <w:rPr>
          <w:lang w:eastAsia="en-US" w:bidi="fa-IR"/>
        </w:rPr>
        <w:t xml:space="preserve">203 </w:t>
      </w:r>
      <w:r w:rsidR="00523C02">
        <w:rPr>
          <w:lang w:eastAsia="en-US" w:bidi="fa-IR"/>
        </w:rPr>
        <w:t xml:space="preserve">submissions </w:t>
      </w:r>
      <w:r w:rsidR="00EC0801">
        <w:rPr>
          <w:lang w:eastAsia="en-US" w:bidi="fa-IR"/>
        </w:rPr>
        <w:t xml:space="preserve">were received </w:t>
      </w:r>
      <w:r w:rsidR="00523C02">
        <w:rPr>
          <w:lang w:eastAsia="en-US" w:bidi="fa-IR"/>
        </w:rPr>
        <w:t xml:space="preserve">in total, </w:t>
      </w:r>
      <w:r w:rsidR="008C26D0">
        <w:rPr>
          <w:lang w:eastAsia="en-US" w:bidi="fa-IR"/>
        </w:rPr>
        <w:t>98</w:t>
      </w:r>
      <w:r w:rsidR="00444A1C">
        <w:rPr>
          <w:lang w:eastAsia="en-US" w:bidi="fa-IR"/>
        </w:rPr>
        <w:t xml:space="preserve"> in response to the questions</w:t>
      </w:r>
      <w:r w:rsidR="008C26D0">
        <w:rPr>
          <w:lang w:eastAsia="en-US" w:bidi="fa-IR"/>
        </w:rPr>
        <w:t xml:space="preserve"> </w:t>
      </w:r>
      <w:r w:rsidR="00444A1C">
        <w:rPr>
          <w:lang w:eastAsia="en-US" w:bidi="fa-IR"/>
        </w:rPr>
        <w:t xml:space="preserve">posed </w:t>
      </w:r>
      <w:r w:rsidR="00523C02">
        <w:rPr>
          <w:lang w:eastAsia="en-US" w:bidi="fa-IR"/>
        </w:rPr>
        <w:t xml:space="preserve">through the </w:t>
      </w:r>
      <w:r w:rsidR="0000447C">
        <w:rPr>
          <w:lang w:eastAsia="en-US" w:bidi="fa-IR"/>
        </w:rPr>
        <w:t xml:space="preserve">ABCB’s </w:t>
      </w:r>
      <w:r w:rsidR="00523C02">
        <w:rPr>
          <w:lang w:eastAsia="en-US" w:bidi="fa-IR"/>
        </w:rPr>
        <w:t>Consultation Hub, and the remaining submitted separately (mainly through email).</w:t>
      </w:r>
      <w:r w:rsidR="00CB5691">
        <w:rPr>
          <w:lang w:eastAsia="en-US" w:bidi="fa-IR"/>
        </w:rPr>
        <w:t xml:space="preserve"> Follow-up discussions with individuals and organisations were held </w:t>
      </w:r>
      <w:r w:rsidR="00A97285">
        <w:rPr>
          <w:lang w:eastAsia="en-US" w:bidi="fa-IR"/>
        </w:rPr>
        <w:t xml:space="preserve">in </w:t>
      </w:r>
      <w:r w:rsidR="00CB5691">
        <w:rPr>
          <w:lang w:eastAsia="en-US" w:bidi="fa-IR"/>
        </w:rPr>
        <w:t>November-December 2020 to clarify some issues raised during the public consultation.</w:t>
      </w:r>
    </w:p>
    <w:p w14:paraId="54C1583A" w14:textId="4C5DA6B5" w:rsidR="00523C02" w:rsidRDefault="00444A1C" w:rsidP="00523C02">
      <w:pPr>
        <w:pStyle w:val="BodyText"/>
        <w:rPr>
          <w:lang w:eastAsia="en-US" w:bidi="fa-IR"/>
        </w:rPr>
      </w:pPr>
      <w:r>
        <w:rPr>
          <w:lang w:eastAsia="en-US" w:bidi="fa-IR"/>
        </w:rPr>
        <w:t xml:space="preserve">Feedback received through the consultation process was diverse including new sources of data and insights from a range of lived experiences. All feedback has been taken into consideration in the finalisation of this Decision RIS. </w:t>
      </w:r>
      <w:r w:rsidR="00523C02">
        <w:rPr>
          <w:lang w:eastAsia="en-US" w:bidi="fa-IR"/>
        </w:rPr>
        <w:t xml:space="preserve">The key </w:t>
      </w:r>
      <w:r>
        <w:rPr>
          <w:lang w:eastAsia="en-US" w:bidi="fa-IR"/>
        </w:rPr>
        <w:t>areas of feedback</w:t>
      </w:r>
      <w:r w:rsidR="00523C02">
        <w:rPr>
          <w:lang w:eastAsia="en-US" w:bidi="fa-IR"/>
        </w:rPr>
        <w:t xml:space="preserve"> raised </w:t>
      </w:r>
      <w:r>
        <w:rPr>
          <w:lang w:eastAsia="en-US" w:bidi="fa-IR"/>
        </w:rPr>
        <w:t>during</w:t>
      </w:r>
      <w:r w:rsidR="00523C02">
        <w:rPr>
          <w:lang w:eastAsia="en-US" w:bidi="fa-IR"/>
        </w:rPr>
        <w:t xml:space="preserve"> public consultation </w:t>
      </w:r>
      <w:r>
        <w:rPr>
          <w:lang w:eastAsia="en-US" w:bidi="fa-IR"/>
        </w:rPr>
        <w:t xml:space="preserve">and how these are addressed in this report is outlined </w:t>
      </w:r>
      <w:r w:rsidR="00523C02">
        <w:rPr>
          <w:lang w:eastAsia="en-US" w:bidi="fa-IR"/>
        </w:rPr>
        <w:t xml:space="preserve">in the next chapter. A more detailed summary of </w:t>
      </w:r>
      <w:r>
        <w:rPr>
          <w:lang w:eastAsia="en-US" w:bidi="fa-IR"/>
        </w:rPr>
        <w:t xml:space="preserve">feedback received during </w:t>
      </w:r>
      <w:r w:rsidR="00523C02">
        <w:rPr>
          <w:lang w:eastAsia="en-US" w:bidi="fa-IR"/>
        </w:rPr>
        <w:t>the public consultation</w:t>
      </w:r>
      <w:r>
        <w:rPr>
          <w:lang w:eastAsia="en-US" w:bidi="fa-IR"/>
        </w:rPr>
        <w:t xml:space="preserve"> </w:t>
      </w:r>
      <w:r w:rsidR="00523C02">
        <w:rPr>
          <w:lang w:eastAsia="en-US" w:bidi="fa-IR"/>
        </w:rPr>
        <w:t xml:space="preserve">is provided in appendix </w:t>
      </w:r>
      <w:r w:rsidR="00523C02">
        <w:rPr>
          <w:lang w:eastAsia="en-US" w:bidi="fa-IR"/>
        </w:rPr>
        <w:fldChar w:fldCharType="begin"/>
      </w:r>
      <w:r w:rsidR="00523C02">
        <w:rPr>
          <w:lang w:eastAsia="en-US" w:bidi="fa-IR"/>
        </w:rPr>
        <w:instrText xml:space="preserve"> REF _Ref55121504 \n \h </w:instrText>
      </w:r>
      <w:r w:rsidR="00523C02">
        <w:rPr>
          <w:lang w:eastAsia="en-US" w:bidi="fa-IR"/>
        </w:rPr>
      </w:r>
      <w:r w:rsidR="00523C02">
        <w:rPr>
          <w:lang w:eastAsia="en-US" w:bidi="fa-IR"/>
        </w:rPr>
        <w:fldChar w:fldCharType="separate"/>
      </w:r>
      <w:r w:rsidR="000F445C">
        <w:rPr>
          <w:lang w:eastAsia="en-US" w:bidi="fa-IR"/>
        </w:rPr>
        <w:t>A</w:t>
      </w:r>
      <w:r w:rsidR="00523C02">
        <w:rPr>
          <w:lang w:eastAsia="en-US" w:bidi="fa-IR"/>
        </w:rPr>
        <w:fldChar w:fldCharType="end"/>
      </w:r>
      <w:r w:rsidR="00523C02">
        <w:rPr>
          <w:lang w:eastAsia="en-US" w:bidi="fa-IR"/>
        </w:rPr>
        <w:t>.</w:t>
      </w:r>
    </w:p>
    <w:p w14:paraId="18629E7C" w14:textId="77777777" w:rsidR="00B240BC" w:rsidRDefault="00B240BC" w:rsidP="00B240BC">
      <w:pPr>
        <w:pStyle w:val="Heading3"/>
        <w:rPr>
          <w:lang w:eastAsia="en-US" w:bidi="fa-IR"/>
        </w:rPr>
      </w:pPr>
      <w:bookmarkStart w:id="48" w:name="_Ref64927176"/>
      <w:r>
        <w:rPr>
          <w:lang w:eastAsia="en-US" w:bidi="fa-IR"/>
        </w:rPr>
        <w:t>Approach to the RIS</w:t>
      </w:r>
      <w:bookmarkEnd w:id="48"/>
    </w:p>
    <w:p w14:paraId="1A66C6BA" w14:textId="77777777" w:rsidR="007D6A63" w:rsidRDefault="007D6A63" w:rsidP="00B240BC">
      <w:pPr>
        <w:pStyle w:val="BodyText"/>
        <w:rPr>
          <w:lang w:bidi="fa-IR"/>
        </w:rPr>
      </w:pPr>
      <w:r>
        <w:rPr>
          <w:lang w:bidi="fa-IR"/>
        </w:rPr>
        <w:t>Equity and human rights issues are critically important considerations in a decision on whether to include a minimum accessibility standard in the NCC. This point was highlighted by s</w:t>
      </w:r>
      <w:r w:rsidR="00B240BC">
        <w:rPr>
          <w:lang w:bidi="fa-IR"/>
        </w:rPr>
        <w:t xml:space="preserve">everal stakeholders </w:t>
      </w:r>
      <w:r>
        <w:rPr>
          <w:lang w:bidi="fa-IR"/>
        </w:rPr>
        <w:t>during consultation who felt people with disability should have the same access and housing choices as other member</w:t>
      </w:r>
      <w:r w:rsidR="0091103C">
        <w:rPr>
          <w:lang w:bidi="fa-IR"/>
        </w:rPr>
        <w:t>s</w:t>
      </w:r>
      <w:r>
        <w:rPr>
          <w:lang w:bidi="fa-IR"/>
        </w:rPr>
        <w:t xml:space="preserve"> of the community without segregation to specific housing. These stakeholders also believed strongly in Australia’s obligation under the </w:t>
      </w:r>
      <w:r w:rsidR="00FA25A1">
        <w:rPr>
          <w:lang w:bidi="fa-IR"/>
        </w:rPr>
        <w:t>UN</w:t>
      </w:r>
      <w:r>
        <w:rPr>
          <w:lang w:bidi="fa-IR"/>
        </w:rPr>
        <w:t>CRPD as discussed above.</w:t>
      </w:r>
    </w:p>
    <w:p w14:paraId="73E29294" w14:textId="77777777" w:rsidR="00051E93" w:rsidRDefault="00CC723D" w:rsidP="00CC723D">
      <w:pPr>
        <w:pStyle w:val="BodyText"/>
        <w:rPr>
          <w:lang w:eastAsia="en-US" w:bidi="fa-IR"/>
        </w:rPr>
      </w:pPr>
      <w:r>
        <w:rPr>
          <w:lang w:bidi="fa-IR"/>
        </w:rPr>
        <w:t>Under the COAG RIS Guidelines</w:t>
      </w:r>
      <w:r w:rsidR="007D6A63" w:rsidRPr="00EC0801">
        <w:rPr>
          <w:rStyle w:val="FootnoteReference"/>
          <w:lang w:bidi="fa-IR"/>
        </w:rPr>
        <w:footnoteReference w:id="18"/>
      </w:r>
      <w:r w:rsidR="007D6A63">
        <w:rPr>
          <w:lang w:bidi="fa-IR"/>
        </w:rPr>
        <w:t>,</w:t>
      </w:r>
      <w:r>
        <w:rPr>
          <w:lang w:bidi="fa-IR"/>
        </w:rPr>
        <w:t xml:space="preserve"> </w:t>
      </w:r>
      <w:r w:rsidR="00B240BC">
        <w:rPr>
          <w:lang w:eastAsia="en-US" w:bidi="fa-IR"/>
        </w:rPr>
        <w:t xml:space="preserve">the key analytical tool </w:t>
      </w:r>
      <w:r>
        <w:rPr>
          <w:lang w:eastAsia="en-US" w:bidi="fa-IR"/>
        </w:rPr>
        <w:t xml:space="preserve">for a RIS </w:t>
      </w:r>
      <w:r w:rsidR="00B240BC">
        <w:rPr>
          <w:lang w:eastAsia="en-US" w:bidi="fa-IR"/>
        </w:rPr>
        <w:t>is cost</w:t>
      </w:r>
      <w:r w:rsidR="00B240BC">
        <w:rPr>
          <w:lang w:eastAsia="en-US" w:bidi="fa-IR"/>
        </w:rPr>
        <w:noBreakHyphen/>
        <w:t xml:space="preserve">benefit analysis (CBA). </w:t>
      </w:r>
      <w:r w:rsidR="00DD569B">
        <w:rPr>
          <w:lang w:eastAsia="en-US" w:bidi="fa-IR"/>
        </w:rPr>
        <w:t xml:space="preserve">CBA </w:t>
      </w:r>
      <w:r w:rsidR="004B1ACF">
        <w:rPr>
          <w:lang w:eastAsia="en-US" w:bidi="fa-IR"/>
        </w:rPr>
        <w:t xml:space="preserve">generally </w:t>
      </w:r>
      <w:r w:rsidR="00042222">
        <w:rPr>
          <w:lang w:eastAsia="en-US" w:bidi="fa-IR"/>
        </w:rPr>
        <w:t>focuses on</w:t>
      </w:r>
      <w:r w:rsidR="00FD75A4">
        <w:rPr>
          <w:lang w:eastAsia="en-US" w:bidi="fa-IR"/>
        </w:rPr>
        <w:t xml:space="preserve"> assessing whether a proposal delivers a net gain to society as a whole, rather than who receives the benefits and pays the costs. As </w:t>
      </w:r>
      <w:r w:rsidR="00FD75A4">
        <w:rPr>
          <w:lang w:eastAsia="en-US" w:bidi="fa-IR"/>
        </w:rPr>
        <w:lastRenderedPageBreak/>
        <w:t xml:space="preserve">such, </w:t>
      </w:r>
      <w:r w:rsidR="00DD569B">
        <w:rPr>
          <w:lang w:eastAsia="en-US" w:bidi="fa-IR"/>
        </w:rPr>
        <w:t xml:space="preserve">costs and benefits </w:t>
      </w:r>
      <w:r w:rsidR="00FD75A4">
        <w:rPr>
          <w:lang w:eastAsia="en-US" w:bidi="fa-IR"/>
        </w:rPr>
        <w:t xml:space="preserve">are added </w:t>
      </w:r>
      <w:r w:rsidR="00FD75A4" w:rsidRPr="002F7057">
        <w:rPr>
          <w:lang w:eastAsia="en-US" w:bidi="fa-IR"/>
        </w:rPr>
        <w:t>together</w:t>
      </w:r>
      <w:r w:rsidR="00051E93" w:rsidRPr="002F7057">
        <w:rPr>
          <w:lang w:eastAsia="en-US" w:bidi="fa-IR"/>
        </w:rPr>
        <w:t xml:space="preserve"> without regard to </w:t>
      </w:r>
      <w:r w:rsidR="00FD75A4" w:rsidRPr="002F7057">
        <w:rPr>
          <w:lang w:eastAsia="en-US" w:bidi="fa-IR"/>
        </w:rPr>
        <w:t>equity considerations (i.e.</w:t>
      </w:r>
      <w:r w:rsidR="00FD75A4">
        <w:rPr>
          <w:lang w:eastAsia="en-US" w:bidi="fa-IR"/>
        </w:rPr>
        <w:t xml:space="preserve"> ‘a dollar is a dollar’)</w:t>
      </w:r>
      <w:r w:rsidR="00DD569B">
        <w:rPr>
          <w:lang w:eastAsia="en-US" w:bidi="fa-IR"/>
        </w:rPr>
        <w:t>.</w:t>
      </w:r>
      <w:r w:rsidR="00FD75A4">
        <w:rPr>
          <w:rStyle w:val="FootnoteReference"/>
          <w:lang w:eastAsia="en-US" w:bidi="fa-IR"/>
        </w:rPr>
        <w:footnoteReference w:id="19"/>
      </w:r>
    </w:p>
    <w:p w14:paraId="561E1CC5" w14:textId="77777777" w:rsidR="00DE277A" w:rsidRDefault="00DE277A" w:rsidP="00DE277A">
      <w:pPr>
        <w:pStyle w:val="Quote"/>
      </w:pPr>
      <w:r>
        <w:rPr>
          <w:lang w:eastAsia="en-US" w:bidi="fa-IR"/>
        </w:rPr>
        <w:t>“D</w:t>
      </w:r>
      <w:r>
        <w:t>istributional judgements are properly made at the political level. In the interests of avoiding subjective bias, analysts should, by and large, refrain from attaching distributional weights to cost and benefit streams. Exceptions might be where there are unambiguous government policy objectives to assist specific groups in the community, and where the justification for special assistance to these groups relative to other groups is clearly established. However, for reasons of transparency, decision-makers and the public should be made fully aware of the costs of government action aimed at benefiting particular individuals or groups in the community.”</w:t>
      </w:r>
      <w:r>
        <w:rPr>
          <w:rStyle w:val="FootnoteReference"/>
        </w:rPr>
        <w:footnoteReference w:id="20"/>
      </w:r>
    </w:p>
    <w:p w14:paraId="5C4285B6" w14:textId="77777777" w:rsidR="00FD75A4" w:rsidRDefault="002B7228" w:rsidP="00CC723D">
      <w:pPr>
        <w:pStyle w:val="BodyText"/>
        <w:rPr>
          <w:lang w:eastAsia="en-US" w:bidi="fa-IR"/>
        </w:rPr>
      </w:pPr>
      <w:r>
        <w:rPr>
          <w:lang w:eastAsia="en-US" w:bidi="fa-IR"/>
        </w:rPr>
        <w:t xml:space="preserve">In the Consultation RIS, </w:t>
      </w:r>
      <w:r w:rsidR="00CF6651">
        <w:rPr>
          <w:lang w:eastAsia="en-US" w:bidi="fa-IR"/>
        </w:rPr>
        <w:t>CIE</w:t>
      </w:r>
      <w:r w:rsidR="00DE277A">
        <w:rPr>
          <w:lang w:eastAsia="en-US" w:bidi="fa-IR"/>
        </w:rPr>
        <w:t xml:space="preserve"> </w:t>
      </w:r>
      <w:r w:rsidR="002F7057" w:rsidRPr="00531AEF">
        <w:rPr>
          <w:lang w:eastAsia="en-US" w:bidi="fa-IR"/>
        </w:rPr>
        <w:t>explicitly</w:t>
      </w:r>
      <w:r w:rsidRPr="00531AEF">
        <w:rPr>
          <w:lang w:eastAsia="en-US" w:bidi="fa-IR"/>
        </w:rPr>
        <w:t xml:space="preserve"> </w:t>
      </w:r>
      <w:r w:rsidR="00612162" w:rsidRPr="00531AEF">
        <w:rPr>
          <w:lang w:eastAsia="en-US" w:bidi="fa-IR"/>
        </w:rPr>
        <w:t>incorporate</w:t>
      </w:r>
      <w:r w:rsidR="002F7057" w:rsidRPr="00531AEF">
        <w:rPr>
          <w:lang w:eastAsia="en-US" w:bidi="fa-IR"/>
        </w:rPr>
        <w:t>d</w:t>
      </w:r>
      <w:r w:rsidR="00375374" w:rsidRPr="00531AEF">
        <w:rPr>
          <w:lang w:eastAsia="en-US" w:bidi="fa-IR"/>
        </w:rPr>
        <w:t xml:space="preserve"> </w:t>
      </w:r>
      <w:r w:rsidRPr="00531AEF">
        <w:rPr>
          <w:lang w:eastAsia="en-US" w:bidi="fa-IR"/>
        </w:rPr>
        <w:t>the community’s preference for equal outcomes for disadvantaged memb</w:t>
      </w:r>
      <w:r>
        <w:rPr>
          <w:lang w:eastAsia="en-US" w:bidi="fa-IR"/>
        </w:rPr>
        <w:t xml:space="preserve">ers of the community </w:t>
      </w:r>
      <w:r w:rsidR="00531AEF">
        <w:rPr>
          <w:lang w:eastAsia="en-US" w:bidi="fa-IR"/>
        </w:rPr>
        <w:t xml:space="preserve">into the CBA </w:t>
      </w:r>
      <w:r w:rsidR="00DC7D26">
        <w:rPr>
          <w:lang w:eastAsia="en-US" w:bidi="fa-IR"/>
        </w:rPr>
        <w:t>based on a</w:t>
      </w:r>
      <w:r>
        <w:rPr>
          <w:lang w:eastAsia="en-US" w:bidi="fa-IR"/>
        </w:rPr>
        <w:t xml:space="preserve"> stated preference survey (although many stakeholders argued this did not adequately capture the social justice aspects of the proposal).</w:t>
      </w:r>
      <w:r w:rsidR="00042222">
        <w:rPr>
          <w:lang w:eastAsia="en-US" w:bidi="fa-IR"/>
        </w:rPr>
        <w:t xml:space="preserve"> </w:t>
      </w:r>
      <w:r w:rsidR="00FD75A4">
        <w:rPr>
          <w:lang w:eastAsia="en-US" w:bidi="fa-IR"/>
        </w:rPr>
        <w:t>However, according to OBPR Guidance material,</w:t>
      </w:r>
      <w:r w:rsidR="00D263FF">
        <w:rPr>
          <w:lang w:eastAsia="en-US" w:bidi="fa-IR"/>
        </w:rPr>
        <w:t xml:space="preserve"> equity issues should generally be separated from the CBA and left to decision-makers.</w:t>
      </w:r>
      <w:r w:rsidR="00612162">
        <w:rPr>
          <w:rStyle w:val="FootnoteReference"/>
          <w:lang w:eastAsia="en-US" w:bidi="fa-IR"/>
        </w:rPr>
        <w:footnoteReference w:id="21"/>
      </w:r>
    </w:p>
    <w:p w14:paraId="7F107047" w14:textId="77777777" w:rsidR="00DE277A" w:rsidRPr="00822345" w:rsidRDefault="00DE277A" w:rsidP="00DE277A">
      <w:pPr>
        <w:pStyle w:val="Quote"/>
        <w:rPr>
          <w:lang w:eastAsia="en-US" w:bidi="fa-IR"/>
        </w:rPr>
      </w:pPr>
      <w:r w:rsidRPr="00822345">
        <w:rPr>
          <w:lang w:eastAsia="en-US" w:bidi="fa-IR"/>
        </w:rPr>
        <w:t>“Ultimately, it is up to decision makers to decide the trade</w:t>
      </w:r>
      <w:r w:rsidRPr="00822345">
        <w:rPr>
          <w:lang w:eastAsia="en-US" w:bidi="fa-IR"/>
        </w:rPr>
        <w:noBreakHyphen/>
        <w:t>off between equity and efficiency.”</w:t>
      </w:r>
      <w:r>
        <w:rPr>
          <w:rStyle w:val="FootnoteReference"/>
          <w:lang w:eastAsia="en-US" w:bidi="fa-IR"/>
        </w:rPr>
        <w:footnoteReference w:id="22"/>
      </w:r>
    </w:p>
    <w:p w14:paraId="34B059D7" w14:textId="77777777" w:rsidR="00042222" w:rsidRDefault="00526F2A" w:rsidP="00CC723D">
      <w:pPr>
        <w:pStyle w:val="BodyText"/>
        <w:rPr>
          <w:lang w:eastAsia="en-US" w:bidi="fa-IR"/>
        </w:rPr>
      </w:pPr>
      <w:r>
        <w:rPr>
          <w:lang w:eastAsia="en-US" w:bidi="fa-IR"/>
        </w:rPr>
        <w:t xml:space="preserve">This is not to downplay the importance of equity and human rights issues in policy decisions. </w:t>
      </w:r>
      <w:r w:rsidR="00612162">
        <w:rPr>
          <w:lang w:eastAsia="en-US" w:bidi="fa-IR"/>
        </w:rPr>
        <w:t>Consistent with the view of many advocates, the OBPR material</w:t>
      </w:r>
      <w:r>
        <w:rPr>
          <w:lang w:eastAsia="en-US" w:bidi="fa-IR"/>
        </w:rPr>
        <w:t xml:space="preserve"> explicitly notes that </w:t>
      </w:r>
      <w:r w:rsidR="00822345">
        <w:rPr>
          <w:lang w:eastAsia="en-US" w:bidi="fa-IR"/>
        </w:rPr>
        <w:t>the distribution of benefits and costs across various groups is an important consideration.</w:t>
      </w:r>
      <w:r w:rsidR="00822345">
        <w:rPr>
          <w:rStyle w:val="FootnoteReference"/>
          <w:lang w:eastAsia="en-US" w:bidi="fa-IR"/>
        </w:rPr>
        <w:footnoteReference w:id="23"/>
      </w:r>
      <w:r w:rsidR="00822345">
        <w:rPr>
          <w:lang w:eastAsia="en-US" w:bidi="fa-IR"/>
        </w:rPr>
        <w:t xml:space="preserve"> However, how these equity considerations are weighed up against efficiency considerations is best left to decision-makers.</w:t>
      </w:r>
    </w:p>
    <w:p w14:paraId="6C73654B" w14:textId="77777777" w:rsidR="002B7228" w:rsidRPr="00523C02" w:rsidRDefault="002B7228" w:rsidP="00523C02">
      <w:pPr>
        <w:pStyle w:val="BodyText"/>
        <w:rPr>
          <w:lang w:eastAsia="en-US" w:bidi="fa-IR"/>
        </w:rPr>
      </w:pPr>
      <w:r>
        <w:rPr>
          <w:lang w:eastAsia="en-US" w:bidi="fa-IR"/>
        </w:rPr>
        <w:t xml:space="preserve">Consistent with this guidance, estimates of the community’s preference for equal outcomes for members of the community </w:t>
      </w:r>
      <w:r w:rsidR="00900989">
        <w:rPr>
          <w:lang w:eastAsia="en-US" w:bidi="fa-IR"/>
        </w:rPr>
        <w:t xml:space="preserve">with disability and older Australians </w:t>
      </w:r>
      <w:r w:rsidR="00C32439">
        <w:rPr>
          <w:lang w:eastAsia="en-US" w:bidi="fa-IR"/>
        </w:rPr>
        <w:t xml:space="preserve">have been excluded </w:t>
      </w:r>
      <w:r>
        <w:rPr>
          <w:lang w:eastAsia="en-US" w:bidi="fa-IR"/>
        </w:rPr>
        <w:t>from the central case estimates</w:t>
      </w:r>
      <w:r w:rsidR="00DE277A">
        <w:rPr>
          <w:lang w:eastAsia="en-US" w:bidi="fa-IR"/>
        </w:rPr>
        <w:t xml:space="preserve"> of CBA</w:t>
      </w:r>
      <w:r w:rsidR="0004364D">
        <w:rPr>
          <w:lang w:eastAsia="en-US" w:bidi="fa-IR"/>
        </w:rPr>
        <w:t xml:space="preserve"> </w:t>
      </w:r>
      <w:r w:rsidR="00DE277A">
        <w:rPr>
          <w:lang w:eastAsia="en-US" w:bidi="fa-IR"/>
        </w:rPr>
        <w:t xml:space="preserve">in this report </w:t>
      </w:r>
      <w:r w:rsidR="0004364D">
        <w:rPr>
          <w:lang w:eastAsia="en-US" w:bidi="fa-IR"/>
        </w:rPr>
        <w:t xml:space="preserve">on the basis that equity considerations are best left to decision-makers. </w:t>
      </w:r>
      <w:r w:rsidR="00C32439">
        <w:rPr>
          <w:lang w:eastAsia="en-US" w:bidi="fa-IR"/>
        </w:rPr>
        <w:t>H</w:t>
      </w:r>
      <w:r w:rsidR="0004364D">
        <w:rPr>
          <w:lang w:eastAsia="en-US" w:bidi="fa-IR"/>
        </w:rPr>
        <w:t>owever</w:t>
      </w:r>
      <w:r w:rsidR="00822345">
        <w:rPr>
          <w:lang w:eastAsia="en-US" w:bidi="fa-IR"/>
        </w:rPr>
        <w:t>,</w:t>
      </w:r>
      <w:r w:rsidR="0004364D">
        <w:rPr>
          <w:lang w:eastAsia="en-US" w:bidi="fa-IR"/>
        </w:rPr>
        <w:t xml:space="preserve"> these benefits</w:t>
      </w:r>
      <w:r w:rsidR="007B7358">
        <w:rPr>
          <w:lang w:eastAsia="en-US" w:bidi="fa-IR"/>
        </w:rPr>
        <w:t xml:space="preserve"> are inc</w:t>
      </w:r>
      <w:r w:rsidR="00CC6E3F">
        <w:rPr>
          <w:lang w:eastAsia="en-US" w:bidi="fa-IR"/>
        </w:rPr>
        <w:t>l</w:t>
      </w:r>
      <w:r w:rsidR="007B7358">
        <w:rPr>
          <w:lang w:eastAsia="en-US" w:bidi="fa-IR"/>
        </w:rPr>
        <w:t>uded</w:t>
      </w:r>
      <w:r w:rsidR="0004364D">
        <w:rPr>
          <w:lang w:eastAsia="en-US" w:bidi="fa-IR"/>
        </w:rPr>
        <w:t xml:space="preserve"> in the </w:t>
      </w:r>
      <w:r w:rsidR="00CE479D">
        <w:rPr>
          <w:lang w:eastAsia="en-US" w:bidi="fa-IR"/>
        </w:rPr>
        <w:t xml:space="preserve">sensitivity </w:t>
      </w:r>
      <w:r w:rsidR="0004364D">
        <w:rPr>
          <w:lang w:eastAsia="en-US" w:bidi="fa-IR"/>
        </w:rPr>
        <w:t>analysis to provide some guidance to decision-makers.</w:t>
      </w:r>
    </w:p>
    <w:p w14:paraId="2201E66F" w14:textId="77777777" w:rsidR="00E417A5" w:rsidRDefault="00E417A5" w:rsidP="00486B43">
      <w:pPr>
        <w:pStyle w:val="Heading2"/>
        <w:numPr>
          <w:ilvl w:val="1"/>
          <w:numId w:val="5"/>
        </w:numPr>
        <w:rPr>
          <w:lang w:bidi="fa-IR"/>
        </w:rPr>
      </w:pPr>
      <w:bookmarkStart w:id="49" w:name="_Ref64927185"/>
      <w:bookmarkStart w:id="50" w:name="_Toc70505088"/>
      <w:bookmarkStart w:id="51" w:name="_Toc32321743"/>
      <w:bookmarkStart w:id="52" w:name="_Toc44598431"/>
      <w:bookmarkStart w:id="53" w:name="_Toc45654062"/>
      <w:r>
        <w:rPr>
          <w:lang w:bidi="fa-IR"/>
        </w:rPr>
        <w:lastRenderedPageBreak/>
        <w:t>Terminology</w:t>
      </w:r>
      <w:bookmarkEnd w:id="49"/>
      <w:bookmarkEnd w:id="50"/>
    </w:p>
    <w:p w14:paraId="3DF1F14A" w14:textId="77777777" w:rsidR="00E417A5" w:rsidRDefault="00E417A5" w:rsidP="00E417A5">
      <w:pPr>
        <w:pStyle w:val="BodyText"/>
        <w:rPr>
          <w:lang w:bidi="fa-IR"/>
        </w:rPr>
      </w:pPr>
      <w:r>
        <w:rPr>
          <w:lang w:bidi="fa-IR"/>
        </w:rPr>
        <w:t>In this RIS, the term ‘accessible’ is used to describe the housing features that are being proposed, which are based on universal design principles.</w:t>
      </w:r>
      <w:r>
        <w:rPr>
          <w:rStyle w:val="FootnoteReference"/>
          <w:lang w:bidi="fa-IR"/>
        </w:rPr>
        <w:footnoteReference w:id="24"/>
      </w:r>
      <w:r>
        <w:rPr>
          <w:lang w:bidi="fa-IR"/>
        </w:rPr>
        <w:t xml:space="preserve"> It is acknowledged that this may not be the most appropriate term given that the changes being proposed are intended for the mainstream housing market, rather than being in any way specialised or separated from that market. </w:t>
      </w:r>
    </w:p>
    <w:p w14:paraId="05C269DF" w14:textId="77777777" w:rsidR="00E417A5" w:rsidRPr="00E417A5" w:rsidRDefault="00E417A5" w:rsidP="00E417A5">
      <w:pPr>
        <w:pStyle w:val="BodyText"/>
        <w:rPr>
          <w:lang w:bidi="fa-IR"/>
        </w:rPr>
      </w:pPr>
      <w:r>
        <w:rPr>
          <w:lang w:bidi="fa-IR"/>
        </w:rPr>
        <w:t>The term ‘accessible’ has been retained simply to provide for consistent terminology between this RIS and earlier documents issued by the ABCB in relation to the proposal. It is not intended that the term ‘accessible housing’ would be used in the text of any change to the NCC.</w:t>
      </w:r>
    </w:p>
    <w:p w14:paraId="0E643627" w14:textId="77777777" w:rsidR="00486B43" w:rsidRDefault="00486B43" w:rsidP="00486B43">
      <w:pPr>
        <w:pStyle w:val="Heading2"/>
        <w:numPr>
          <w:ilvl w:val="1"/>
          <w:numId w:val="5"/>
        </w:numPr>
        <w:rPr>
          <w:lang w:bidi="fa-IR"/>
        </w:rPr>
      </w:pPr>
      <w:bookmarkStart w:id="54" w:name="_Toc70505089"/>
      <w:r>
        <w:rPr>
          <w:lang w:bidi="fa-IR"/>
        </w:rPr>
        <w:t>This report</w:t>
      </w:r>
      <w:bookmarkEnd w:id="40"/>
      <w:bookmarkEnd w:id="51"/>
      <w:bookmarkEnd w:id="52"/>
      <w:bookmarkEnd w:id="53"/>
      <w:bookmarkEnd w:id="54"/>
    </w:p>
    <w:p w14:paraId="357E3B1A" w14:textId="77777777" w:rsidR="007D08E8" w:rsidRDefault="00486B43" w:rsidP="00F17765">
      <w:pPr>
        <w:pStyle w:val="BodyText"/>
        <w:rPr>
          <w:lang w:bidi="fa-IR"/>
        </w:rPr>
      </w:pPr>
      <w:r>
        <w:rPr>
          <w:lang w:bidi="fa-IR"/>
        </w:rPr>
        <w:t xml:space="preserve">This report is a Decision RIS for the proposal to include </w:t>
      </w:r>
      <w:r w:rsidR="00607579">
        <w:rPr>
          <w:lang w:bidi="fa-IR"/>
        </w:rPr>
        <w:t xml:space="preserve">minimum </w:t>
      </w:r>
      <w:r>
        <w:rPr>
          <w:lang w:bidi="fa-IR"/>
        </w:rPr>
        <w:t xml:space="preserve">accessible housing standards in the NCC. </w:t>
      </w:r>
      <w:r w:rsidR="007D08E8">
        <w:rPr>
          <w:lang w:bidi="fa-IR"/>
        </w:rPr>
        <w:t xml:space="preserve">It supersedes the Consultation RIS based on feedback obtained during consultation </w:t>
      </w:r>
      <w:r w:rsidR="00F31FC6">
        <w:rPr>
          <w:lang w:bidi="fa-IR"/>
        </w:rPr>
        <w:t>which provided</w:t>
      </w:r>
      <w:r w:rsidR="007D08E8">
        <w:rPr>
          <w:lang w:bidi="fa-IR"/>
        </w:rPr>
        <w:t xml:space="preserve"> further information and prom</w:t>
      </w:r>
      <w:r w:rsidR="00286479">
        <w:rPr>
          <w:lang w:bidi="fa-IR"/>
        </w:rPr>
        <w:t>oted</w:t>
      </w:r>
      <w:r w:rsidR="007D08E8">
        <w:rPr>
          <w:lang w:bidi="fa-IR"/>
        </w:rPr>
        <w:t xml:space="preserve"> additional analysis.</w:t>
      </w:r>
    </w:p>
    <w:p w14:paraId="46AE327B" w14:textId="77777777" w:rsidR="00486B43" w:rsidRDefault="00486B43" w:rsidP="00486B43">
      <w:pPr>
        <w:pStyle w:val="BodyText"/>
        <w:rPr>
          <w:lang w:bidi="fa-IR"/>
        </w:rPr>
      </w:pPr>
      <w:r>
        <w:rPr>
          <w:lang w:bidi="fa-IR"/>
        </w:rPr>
        <w:t>The remainder of this report is structured as follows.</w:t>
      </w:r>
    </w:p>
    <w:p w14:paraId="23D370F3" w14:textId="77777777" w:rsidR="00486B43" w:rsidRDefault="00486B43" w:rsidP="00486B43">
      <w:pPr>
        <w:pStyle w:val="ListBullet"/>
        <w:numPr>
          <w:ilvl w:val="0"/>
          <w:numId w:val="16"/>
        </w:numPr>
        <w:rPr>
          <w:lang w:bidi="fa-IR"/>
        </w:rPr>
      </w:pPr>
      <w:r>
        <w:rPr>
          <w:lang w:bidi="fa-IR"/>
        </w:rPr>
        <w:t xml:space="preserve">Chapter </w:t>
      </w:r>
      <w:r w:rsidR="007A6812">
        <w:rPr>
          <w:lang w:bidi="fa-IR"/>
        </w:rPr>
        <w:t>two</w:t>
      </w:r>
      <w:r>
        <w:rPr>
          <w:lang w:bidi="fa-IR"/>
        </w:rPr>
        <w:t xml:space="preserve"> discusses the </w:t>
      </w:r>
      <w:r w:rsidR="007D08E8">
        <w:rPr>
          <w:lang w:bidi="fa-IR"/>
        </w:rPr>
        <w:t>feedback received during</w:t>
      </w:r>
      <w:r>
        <w:rPr>
          <w:lang w:bidi="fa-IR"/>
        </w:rPr>
        <w:t xml:space="preserve"> public consultation and the methodology to </w:t>
      </w:r>
      <w:r w:rsidR="007D08E8">
        <w:rPr>
          <w:lang w:bidi="fa-IR"/>
        </w:rPr>
        <w:t>respond to this feedback</w:t>
      </w:r>
    </w:p>
    <w:p w14:paraId="01A0F312" w14:textId="77777777" w:rsidR="00486B43" w:rsidRDefault="00486B43" w:rsidP="00486B43">
      <w:pPr>
        <w:pStyle w:val="ListBullet"/>
        <w:numPr>
          <w:ilvl w:val="0"/>
          <w:numId w:val="16"/>
        </w:numPr>
        <w:rPr>
          <w:lang w:bidi="fa-IR"/>
        </w:rPr>
      </w:pPr>
      <w:r>
        <w:rPr>
          <w:lang w:bidi="fa-IR"/>
        </w:rPr>
        <w:t xml:space="preserve">Chapter </w:t>
      </w:r>
      <w:r w:rsidR="007A6812">
        <w:rPr>
          <w:lang w:bidi="fa-IR"/>
        </w:rPr>
        <w:t>three</w:t>
      </w:r>
      <w:r>
        <w:rPr>
          <w:lang w:bidi="fa-IR"/>
        </w:rPr>
        <w:t xml:space="preserve"> sets out the problem</w:t>
      </w:r>
    </w:p>
    <w:p w14:paraId="1699B662" w14:textId="77777777" w:rsidR="00486B43" w:rsidRDefault="00486B43" w:rsidP="00486B43">
      <w:pPr>
        <w:pStyle w:val="ListBullet"/>
        <w:numPr>
          <w:ilvl w:val="0"/>
          <w:numId w:val="16"/>
        </w:numPr>
        <w:rPr>
          <w:lang w:bidi="fa-IR"/>
        </w:rPr>
      </w:pPr>
      <w:r>
        <w:rPr>
          <w:lang w:bidi="fa-IR"/>
        </w:rPr>
        <w:t xml:space="preserve">Chapter </w:t>
      </w:r>
      <w:r w:rsidR="007A6812">
        <w:rPr>
          <w:lang w:bidi="fa-IR"/>
        </w:rPr>
        <w:t>four</w:t>
      </w:r>
      <w:r>
        <w:rPr>
          <w:lang w:bidi="fa-IR"/>
        </w:rPr>
        <w:t xml:space="preserve"> specifies the objectives and a range </w:t>
      </w:r>
      <w:r w:rsidR="00286479">
        <w:rPr>
          <w:lang w:bidi="fa-IR"/>
        </w:rPr>
        <w:t xml:space="preserve">of </w:t>
      </w:r>
      <w:r>
        <w:rPr>
          <w:lang w:bidi="fa-IR"/>
        </w:rPr>
        <w:t>options for achieving the objectives</w:t>
      </w:r>
    </w:p>
    <w:p w14:paraId="21F693F6" w14:textId="77777777" w:rsidR="00486B43" w:rsidRDefault="00486B43" w:rsidP="00486B43">
      <w:pPr>
        <w:pStyle w:val="ListBullet"/>
        <w:numPr>
          <w:ilvl w:val="0"/>
          <w:numId w:val="16"/>
        </w:numPr>
        <w:rPr>
          <w:lang w:bidi="fa-IR"/>
        </w:rPr>
      </w:pPr>
      <w:r>
        <w:rPr>
          <w:lang w:bidi="fa-IR"/>
        </w:rPr>
        <w:t xml:space="preserve">Chapter </w:t>
      </w:r>
      <w:r w:rsidR="007A6812">
        <w:rPr>
          <w:lang w:bidi="fa-IR"/>
        </w:rPr>
        <w:t>five</w:t>
      </w:r>
      <w:r>
        <w:rPr>
          <w:lang w:bidi="fa-IR"/>
        </w:rPr>
        <w:t xml:space="preserve"> identifies the impacts of the proposed options and sets out the </w:t>
      </w:r>
      <w:r w:rsidR="00286479">
        <w:rPr>
          <w:lang w:bidi="fa-IR"/>
        </w:rPr>
        <w:t>CBA</w:t>
      </w:r>
      <w:r>
        <w:rPr>
          <w:lang w:bidi="fa-IR"/>
        </w:rPr>
        <w:t xml:space="preserve"> framework used to assess them</w:t>
      </w:r>
    </w:p>
    <w:p w14:paraId="0B9718DA" w14:textId="77777777" w:rsidR="00486B43" w:rsidRDefault="00486B43" w:rsidP="00486B43">
      <w:pPr>
        <w:pStyle w:val="ListBullet"/>
        <w:numPr>
          <w:ilvl w:val="0"/>
          <w:numId w:val="16"/>
        </w:numPr>
        <w:rPr>
          <w:lang w:bidi="fa-IR"/>
        </w:rPr>
      </w:pPr>
      <w:r>
        <w:rPr>
          <w:lang w:bidi="fa-IR"/>
        </w:rPr>
        <w:t xml:space="preserve">Chapter </w:t>
      </w:r>
      <w:r w:rsidR="007A6812">
        <w:rPr>
          <w:lang w:bidi="fa-IR"/>
        </w:rPr>
        <w:t>six</w:t>
      </w:r>
      <w:r>
        <w:rPr>
          <w:lang w:bidi="fa-IR"/>
        </w:rPr>
        <w:t xml:space="preserve"> estimates the costs associated with each option</w:t>
      </w:r>
    </w:p>
    <w:p w14:paraId="3EA1222C" w14:textId="77777777" w:rsidR="00486B43" w:rsidRDefault="00486B43" w:rsidP="00486B43">
      <w:pPr>
        <w:pStyle w:val="ListBullet"/>
        <w:numPr>
          <w:ilvl w:val="0"/>
          <w:numId w:val="16"/>
        </w:numPr>
        <w:rPr>
          <w:lang w:bidi="fa-IR"/>
        </w:rPr>
      </w:pPr>
      <w:r>
        <w:rPr>
          <w:lang w:bidi="fa-IR"/>
        </w:rPr>
        <w:t xml:space="preserve">Chapter </w:t>
      </w:r>
      <w:r w:rsidR="007A6812">
        <w:rPr>
          <w:lang w:bidi="fa-IR"/>
        </w:rPr>
        <w:t>seven</w:t>
      </w:r>
      <w:r>
        <w:rPr>
          <w:lang w:bidi="fa-IR"/>
        </w:rPr>
        <w:t xml:space="preserve"> estimates the benefits associated with each option</w:t>
      </w:r>
    </w:p>
    <w:p w14:paraId="46A8D24E" w14:textId="77777777" w:rsidR="00486B43" w:rsidRDefault="00486B43" w:rsidP="00486B43">
      <w:pPr>
        <w:pStyle w:val="ListBullet"/>
        <w:numPr>
          <w:ilvl w:val="0"/>
          <w:numId w:val="16"/>
        </w:numPr>
        <w:rPr>
          <w:lang w:bidi="fa-IR"/>
        </w:rPr>
      </w:pPr>
      <w:r>
        <w:rPr>
          <w:lang w:bidi="fa-IR"/>
        </w:rPr>
        <w:t xml:space="preserve">Chapter </w:t>
      </w:r>
      <w:r w:rsidR="007A6812">
        <w:rPr>
          <w:lang w:bidi="fa-IR"/>
        </w:rPr>
        <w:t>eight</w:t>
      </w:r>
      <w:r>
        <w:rPr>
          <w:lang w:bidi="fa-IR"/>
        </w:rPr>
        <w:t xml:space="preserve"> brings together the costs and benefits in a </w:t>
      </w:r>
      <w:r w:rsidR="00B6259E">
        <w:rPr>
          <w:lang w:bidi="fa-IR"/>
        </w:rPr>
        <w:t>CBA</w:t>
      </w:r>
      <w:r>
        <w:rPr>
          <w:lang w:bidi="fa-IR"/>
        </w:rPr>
        <w:t xml:space="preserve"> framework</w:t>
      </w:r>
    </w:p>
    <w:p w14:paraId="5598D419" w14:textId="77777777" w:rsidR="00486B43" w:rsidRDefault="00486B43" w:rsidP="00486B43">
      <w:pPr>
        <w:pStyle w:val="ListBullet"/>
        <w:numPr>
          <w:ilvl w:val="0"/>
          <w:numId w:val="16"/>
        </w:numPr>
        <w:rPr>
          <w:lang w:bidi="fa-IR"/>
        </w:rPr>
      </w:pPr>
      <w:r>
        <w:rPr>
          <w:lang w:bidi="fa-IR"/>
        </w:rPr>
        <w:t xml:space="preserve">Chapter </w:t>
      </w:r>
      <w:r w:rsidR="007A6812">
        <w:rPr>
          <w:lang w:bidi="fa-IR"/>
        </w:rPr>
        <w:t>nine</w:t>
      </w:r>
      <w:r>
        <w:rPr>
          <w:lang w:bidi="fa-IR"/>
        </w:rPr>
        <w:t xml:space="preserve"> concludes</w:t>
      </w:r>
      <w:r w:rsidR="00B6259E">
        <w:rPr>
          <w:lang w:bidi="fa-IR"/>
        </w:rPr>
        <w:t xml:space="preserve"> this RIS</w:t>
      </w:r>
      <w:r>
        <w:rPr>
          <w:lang w:bidi="fa-IR"/>
        </w:rPr>
        <w:t>.</w:t>
      </w:r>
    </w:p>
    <w:p w14:paraId="630DB426" w14:textId="77777777" w:rsidR="00F17765" w:rsidRDefault="00F17765" w:rsidP="00F17765">
      <w:pPr>
        <w:pStyle w:val="BodyText"/>
        <w:rPr>
          <w:lang w:bidi="fa-IR"/>
        </w:rPr>
      </w:pPr>
      <w:r w:rsidRPr="00530589">
        <w:rPr>
          <w:lang w:bidi="fa-IR"/>
        </w:rPr>
        <w:t>It may assist readers in navigat</w:t>
      </w:r>
      <w:r>
        <w:rPr>
          <w:lang w:bidi="fa-IR"/>
        </w:rPr>
        <w:t>ing</w:t>
      </w:r>
      <w:r w:rsidRPr="00530589">
        <w:rPr>
          <w:lang w:bidi="fa-IR"/>
        </w:rPr>
        <w:t xml:space="preserve"> the analysis</w:t>
      </w:r>
      <w:r>
        <w:rPr>
          <w:lang w:bidi="fa-IR"/>
        </w:rPr>
        <w:t xml:space="preserve"> to understand that issues are discussed in </w:t>
      </w:r>
      <w:r w:rsidRPr="00530589">
        <w:rPr>
          <w:lang w:bidi="fa-IR"/>
        </w:rPr>
        <w:t>increasing detail</w:t>
      </w:r>
      <w:r>
        <w:rPr>
          <w:lang w:bidi="fa-IR"/>
        </w:rPr>
        <w:t xml:space="preserve"> from the:</w:t>
      </w:r>
    </w:p>
    <w:p w14:paraId="1FC4F351" w14:textId="77777777" w:rsidR="00F17765" w:rsidRDefault="00F17765" w:rsidP="00D704BE">
      <w:pPr>
        <w:pStyle w:val="ListBullet"/>
        <w:rPr>
          <w:lang w:bidi="fa-IR"/>
        </w:rPr>
      </w:pPr>
      <w:r>
        <w:rPr>
          <w:lang w:bidi="fa-IR"/>
        </w:rPr>
        <w:t>E</w:t>
      </w:r>
      <w:r w:rsidRPr="00530589">
        <w:rPr>
          <w:lang w:bidi="fa-IR"/>
        </w:rPr>
        <w:t>xecutive summary</w:t>
      </w:r>
      <w:r w:rsidR="007529F1">
        <w:rPr>
          <w:lang w:bidi="fa-IR"/>
        </w:rPr>
        <w:t>,</w:t>
      </w:r>
      <w:r w:rsidRPr="00530589">
        <w:rPr>
          <w:lang w:bidi="fa-IR"/>
        </w:rPr>
        <w:t xml:space="preserve"> </w:t>
      </w:r>
      <w:r w:rsidR="007529F1">
        <w:rPr>
          <w:lang w:bidi="fa-IR"/>
        </w:rPr>
        <w:t xml:space="preserve">which </w:t>
      </w:r>
      <w:r>
        <w:rPr>
          <w:lang w:bidi="fa-IR"/>
        </w:rPr>
        <w:t xml:space="preserve">provides </w:t>
      </w:r>
      <w:r w:rsidRPr="00530589">
        <w:rPr>
          <w:lang w:bidi="fa-IR"/>
        </w:rPr>
        <w:t xml:space="preserve">a higher level </w:t>
      </w:r>
      <w:r>
        <w:rPr>
          <w:lang w:bidi="fa-IR"/>
        </w:rPr>
        <w:t xml:space="preserve">summary </w:t>
      </w:r>
    </w:p>
    <w:p w14:paraId="61B73846" w14:textId="77777777" w:rsidR="00F17765" w:rsidRDefault="00F17765" w:rsidP="00D704BE">
      <w:pPr>
        <w:pStyle w:val="ListBullet"/>
        <w:rPr>
          <w:lang w:bidi="fa-IR"/>
        </w:rPr>
      </w:pPr>
      <w:r>
        <w:rPr>
          <w:lang w:bidi="fa-IR"/>
        </w:rPr>
        <w:t xml:space="preserve">The main body of the report (Chapters </w:t>
      </w:r>
      <w:r w:rsidR="00B57D3F">
        <w:rPr>
          <w:lang w:bidi="fa-IR"/>
        </w:rPr>
        <w:t>one</w:t>
      </w:r>
      <w:r>
        <w:rPr>
          <w:lang w:bidi="fa-IR"/>
        </w:rPr>
        <w:t>-</w:t>
      </w:r>
      <w:r w:rsidR="00B57D3F">
        <w:rPr>
          <w:lang w:bidi="fa-IR"/>
        </w:rPr>
        <w:t>nine</w:t>
      </w:r>
      <w:r>
        <w:rPr>
          <w:lang w:bidi="fa-IR"/>
        </w:rPr>
        <w:t>)</w:t>
      </w:r>
      <w:r w:rsidR="007529F1">
        <w:rPr>
          <w:lang w:bidi="fa-IR"/>
        </w:rPr>
        <w:t>, which</w:t>
      </w:r>
      <w:r>
        <w:rPr>
          <w:lang w:bidi="fa-IR"/>
        </w:rPr>
        <w:t xml:space="preserve"> expands </w:t>
      </w:r>
      <w:r w:rsidR="004B4749">
        <w:rPr>
          <w:lang w:bidi="fa-IR"/>
        </w:rPr>
        <w:t>the discussion along the elements of the RIS guidelines</w:t>
      </w:r>
    </w:p>
    <w:p w14:paraId="4CF6CB11" w14:textId="77777777" w:rsidR="004E736E" w:rsidRDefault="00F17765" w:rsidP="00D704BE">
      <w:pPr>
        <w:pStyle w:val="ListBullet"/>
        <w:rPr>
          <w:lang w:bidi="fa-IR"/>
        </w:rPr>
      </w:pPr>
      <w:r>
        <w:rPr>
          <w:lang w:bidi="fa-IR"/>
        </w:rPr>
        <w:t>T</w:t>
      </w:r>
      <w:r w:rsidRPr="00530589">
        <w:rPr>
          <w:lang w:bidi="fa-IR"/>
        </w:rPr>
        <w:t>he appendices</w:t>
      </w:r>
      <w:r w:rsidR="009E6ED0">
        <w:rPr>
          <w:lang w:bidi="fa-IR"/>
        </w:rPr>
        <w:t>, which</w:t>
      </w:r>
      <w:r w:rsidRPr="00530589">
        <w:rPr>
          <w:lang w:bidi="fa-IR"/>
        </w:rPr>
        <w:t xml:space="preserve"> </w:t>
      </w:r>
      <w:r>
        <w:rPr>
          <w:lang w:bidi="fa-IR"/>
        </w:rPr>
        <w:t xml:space="preserve">provide </w:t>
      </w:r>
      <w:r w:rsidRPr="00530589">
        <w:rPr>
          <w:lang w:bidi="fa-IR"/>
        </w:rPr>
        <w:t>detail</w:t>
      </w:r>
      <w:r>
        <w:rPr>
          <w:lang w:bidi="fa-IR"/>
        </w:rPr>
        <w:t>ed assumptions and discussion</w:t>
      </w:r>
      <w:r w:rsidRPr="00530589">
        <w:rPr>
          <w:lang w:bidi="fa-IR"/>
        </w:rPr>
        <w:t>.</w:t>
      </w:r>
    </w:p>
    <w:p w14:paraId="32D92BC2" w14:textId="77777777" w:rsidR="00DD5DAA" w:rsidRDefault="00E86459" w:rsidP="00DD5DAA">
      <w:pPr>
        <w:pStyle w:val="Heading1"/>
        <w:numPr>
          <w:ilvl w:val="0"/>
          <w:numId w:val="5"/>
        </w:numPr>
        <w:rPr>
          <w:lang w:bidi="fa-IR"/>
        </w:rPr>
      </w:pPr>
      <w:bookmarkStart w:id="55" w:name="_Toc54024070"/>
      <w:bookmarkStart w:id="56" w:name="_Ref56623832"/>
      <w:bookmarkStart w:id="57" w:name="_Ref59977895"/>
      <w:bookmarkStart w:id="58" w:name="_Ref60149075"/>
      <w:bookmarkStart w:id="59" w:name="_Toc70505090"/>
      <w:r>
        <w:rPr>
          <w:lang w:bidi="fa-IR"/>
        </w:rPr>
        <w:lastRenderedPageBreak/>
        <w:t>Feedback on the</w:t>
      </w:r>
      <w:r w:rsidR="00DD5DAA">
        <w:rPr>
          <w:lang w:bidi="fa-IR"/>
        </w:rPr>
        <w:t xml:space="preserve"> </w:t>
      </w:r>
      <w:r>
        <w:rPr>
          <w:lang w:bidi="fa-IR"/>
        </w:rPr>
        <w:t>C</w:t>
      </w:r>
      <w:r w:rsidR="00DD5DAA">
        <w:rPr>
          <w:lang w:bidi="fa-IR"/>
        </w:rPr>
        <w:t>onsultation</w:t>
      </w:r>
      <w:bookmarkEnd w:id="55"/>
      <w:bookmarkEnd w:id="56"/>
      <w:bookmarkEnd w:id="57"/>
      <w:bookmarkEnd w:id="58"/>
      <w:r w:rsidR="00DD5DAA">
        <w:rPr>
          <w:lang w:bidi="fa-IR"/>
        </w:rPr>
        <w:t xml:space="preserve"> </w:t>
      </w:r>
      <w:r>
        <w:rPr>
          <w:lang w:bidi="fa-IR"/>
        </w:rPr>
        <w:t>RIS</w:t>
      </w:r>
      <w:bookmarkEnd w:id="59"/>
    </w:p>
    <w:p w14:paraId="5070907C" w14:textId="77777777" w:rsidR="00DD5DAA" w:rsidRDefault="00E86459" w:rsidP="00DD5DAA">
      <w:pPr>
        <w:pStyle w:val="BodyText"/>
        <w:rPr>
          <w:lang w:bidi="fa-IR"/>
        </w:rPr>
      </w:pPr>
      <w:r>
        <w:rPr>
          <w:lang w:bidi="fa-IR"/>
        </w:rPr>
        <w:t xml:space="preserve">As a key step in preparing the RIS for the proposal to include minimum accessibility standards for housing in the National Construction Code (NCC) </w:t>
      </w:r>
      <w:r w:rsidR="00DD5DAA">
        <w:rPr>
          <w:lang w:bidi="fa-IR"/>
        </w:rPr>
        <w:t xml:space="preserve">CIE prepared </w:t>
      </w:r>
      <w:r>
        <w:rPr>
          <w:lang w:bidi="fa-IR"/>
        </w:rPr>
        <w:t>a</w:t>
      </w:r>
      <w:r w:rsidR="00DD5DAA">
        <w:rPr>
          <w:lang w:bidi="fa-IR"/>
        </w:rPr>
        <w:t xml:space="preserve"> Consultation RIS.</w:t>
      </w:r>
      <w:r w:rsidR="00DD5DAA">
        <w:rPr>
          <w:rStyle w:val="FootnoteReference"/>
          <w:lang w:bidi="fa-IR"/>
        </w:rPr>
        <w:footnoteReference w:id="25"/>
      </w:r>
    </w:p>
    <w:p w14:paraId="0963CB2E" w14:textId="77777777" w:rsidR="00DD5DAA" w:rsidRDefault="00DD5DAA" w:rsidP="00DD5DAA">
      <w:pPr>
        <w:pStyle w:val="BodyText"/>
        <w:rPr>
          <w:lang w:bidi="fa-IR"/>
        </w:rPr>
      </w:pPr>
      <w:r>
        <w:rPr>
          <w:lang w:bidi="fa-IR"/>
        </w:rPr>
        <w:t xml:space="preserve">Public consultation </w:t>
      </w:r>
      <w:r w:rsidR="00042A87">
        <w:rPr>
          <w:lang w:bidi="fa-IR"/>
        </w:rPr>
        <w:t xml:space="preserve">on the Consultation RIS </w:t>
      </w:r>
      <w:r>
        <w:rPr>
          <w:lang w:bidi="fa-IR"/>
        </w:rPr>
        <w:t xml:space="preserve">was open from 6 July to 31 August 2020 </w:t>
      </w:r>
      <w:r w:rsidR="00042A87">
        <w:rPr>
          <w:lang w:bidi="fa-IR"/>
        </w:rPr>
        <w:t xml:space="preserve">and </w:t>
      </w:r>
      <w:r>
        <w:rPr>
          <w:lang w:bidi="fa-IR"/>
        </w:rPr>
        <w:t xml:space="preserve">conducted through </w:t>
      </w:r>
      <w:r w:rsidR="00900989">
        <w:rPr>
          <w:lang w:bidi="fa-IR"/>
        </w:rPr>
        <w:t xml:space="preserve">the </w:t>
      </w:r>
      <w:r>
        <w:rPr>
          <w:lang w:bidi="fa-IR"/>
        </w:rPr>
        <w:t>ABCB’s Consultation Hub platform</w:t>
      </w:r>
      <w:r w:rsidR="00042A87">
        <w:rPr>
          <w:lang w:bidi="fa-IR"/>
        </w:rPr>
        <w:t>.</w:t>
      </w:r>
      <w:r>
        <w:rPr>
          <w:rStyle w:val="FootnoteReference"/>
          <w:lang w:bidi="fa-IR"/>
        </w:rPr>
        <w:footnoteReference w:id="26"/>
      </w:r>
      <w:r>
        <w:rPr>
          <w:lang w:bidi="fa-IR"/>
        </w:rPr>
        <w:t xml:space="preserve"> </w:t>
      </w:r>
      <w:r w:rsidR="00042A87">
        <w:rPr>
          <w:lang w:bidi="fa-IR"/>
        </w:rPr>
        <w:t>Consultation particularly focussed around</w:t>
      </w:r>
      <w:r>
        <w:rPr>
          <w:lang w:bidi="fa-IR"/>
        </w:rPr>
        <w:t xml:space="preserve"> 36 structured questions to assist the public to provide </w:t>
      </w:r>
      <w:r w:rsidR="00042A87">
        <w:rPr>
          <w:lang w:bidi="fa-IR"/>
        </w:rPr>
        <w:t>feedback</w:t>
      </w:r>
      <w:r>
        <w:rPr>
          <w:lang w:bidi="fa-IR"/>
        </w:rPr>
        <w:t xml:space="preserve"> on the C</w:t>
      </w:r>
      <w:r w:rsidR="00042A87">
        <w:rPr>
          <w:lang w:bidi="fa-IR"/>
        </w:rPr>
        <w:t xml:space="preserve">onsultation </w:t>
      </w:r>
      <w:r>
        <w:rPr>
          <w:lang w:bidi="fa-IR"/>
        </w:rPr>
        <w:t>RIS.</w:t>
      </w:r>
    </w:p>
    <w:p w14:paraId="547646ED" w14:textId="77777777" w:rsidR="00DD5DAA" w:rsidRDefault="00DD5DAA" w:rsidP="00DD5DAA">
      <w:pPr>
        <w:pStyle w:val="BodyText"/>
        <w:rPr>
          <w:lang w:bidi="fa-IR"/>
        </w:rPr>
      </w:pPr>
      <w:r>
        <w:rPr>
          <w:lang w:bidi="fa-IR"/>
        </w:rPr>
        <w:t xml:space="preserve">There are </w:t>
      </w:r>
      <w:r w:rsidR="00611243">
        <w:rPr>
          <w:lang w:bidi="fa-IR"/>
        </w:rPr>
        <w:t xml:space="preserve">203 </w:t>
      </w:r>
      <w:r>
        <w:rPr>
          <w:lang w:bidi="fa-IR"/>
        </w:rPr>
        <w:t xml:space="preserve">submissions in total, with </w:t>
      </w:r>
      <w:r w:rsidR="008C26D0">
        <w:rPr>
          <w:lang w:bidi="fa-IR"/>
        </w:rPr>
        <w:t xml:space="preserve">98 </w:t>
      </w:r>
      <w:r>
        <w:rPr>
          <w:lang w:bidi="fa-IR"/>
        </w:rPr>
        <w:t xml:space="preserve">being made through the Consultation Hub, and another </w:t>
      </w:r>
      <w:r w:rsidR="00611243">
        <w:rPr>
          <w:lang w:bidi="fa-IR"/>
        </w:rPr>
        <w:t>105</w:t>
      </w:r>
      <w:r w:rsidR="008C26D0">
        <w:rPr>
          <w:lang w:bidi="fa-IR"/>
        </w:rPr>
        <w:t xml:space="preserve"> </w:t>
      </w:r>
      <w:r>
        <w:rPr>
          <w:lang w:bidi="fa-IR"/>
        </w:rPr>
        <w:t>being submitted separately (mainly through email).</w:t>
      </w:r>
      <w:r w:rsidR="00094D8F">
        <w:rPr>
          <w:lang w:bidi="fa-IR"/>
        </w:rPr>
        <w:t xml:space="preserve"> Non-confidential submissions were published on the ABCB website </w:t>
      </w:r>
      <w:hyperlink r:id="rId23" w:tooltip="More information can be found at the website via this link" w:history="1">
        <w:r w:rsidR="00C0749D" w:rsidRPr="00031844">
          <w:rPr>
            <w:rStyle w:val="Hyperlink"/>
            <w:lang w:bidi="fa-IR"/>
          </w:rPr>
          <w:t>www.abcb.gov.au</w:t>
        </w:r>
      </w:hyperlink>
      <w:r w:rsidR="00094D8F">
        <w:rPr>
          <w:lang w:bidi="fa-IR"/>
        </w:rPr>
        <w:t>.</w:t>
      </w:r>
      <w:r w:rsidR="00C0749D">
        <w:rPr>
          <w:lang w:bidi="fa-IR"/>
        </w:rPr>
        <w:t xml:space="preserve"> </w:t>
      </w:r>
      <w:r w:rsidR="002B0892">
        <w:rPr>
          <w:lang w:bidi="fa-IR"/>
        </w:rPr>
        <w:t xml:space="preserve">Confidential submissions are not </w:t>
      </w:r>
      <w:r w:rsidR="002B0892" w:rsidRPr="00351299">
        <w:rPr>
          <w:lang w:bidi="fa-IR"/>
        </w:rPr>
        <w:t>published and are not identified explicitly in this RIS. The phrase ‘a</w:t>
      </w:r>
      <w:r w:rsidR="002B0892">
        <w:rPr>
          <w:lang w:bidi="fa-IR"/>
        </w:rPr>
        <w:t>/</w:t>
      </w:r>
      <w:r w:rsidR="002B0892" w:rsidRPr="00351299">
        <w:rPr>
          <w:lang w:bidi="fa-IR"/>
        </w:rPr>
        <w:t>one submission’ is used when referencing feedback from a confidential submission.</w:t>
      </w:r>
    </w:p>
    <w:p w14:paraId="588BDA2C" w14:textId="77777777" w:rsidR="00542040" w:rsidRDefault="006A5E5F" w:rsidP="00542040">
      <w:pPr>
        <w:pStyle w:val="BodyText"/>
        <w:rPr>
          <w:lang w:bidi="fa-IR"/>
        </w:rPr>
      </w:pPr>
      <w:r>
        <w:rPr>
          <w:lang w:bidi="fa-IR"/>
        </w:rPr>
        <w:t>Feedback provided as part of the</w:t>
      </w:r>
      <w:r w:rsidR="00542040">
        <w:rPr>
          <w:lang w:bidi="fa-IR"/>
        </w:rPr>
        <w:t xml:space="preserve"> consultations </w:t>
      </w:r>
      <w:r>
        <w:rPr>
          <w:lang w:bidi="fa-IR"/>
        </w:rPr>
        <w:t xml:space="preserve">was diverse and on a number of issues </w:t>
      </w:r>
      <w:r w:rsidR="00094D8F">
        <w:rPr>
          <w:lang w:bidi="fa-IR"/>
        </w:rPr>
        <w:t xml:space="preserve">opinion </w:t>
      </w:r>
      <w:r>
        <w:rPr>
          <w:lang w:bidi="fa-IR"/>
        </w:rPr>
        <w:t>was</w:t>
      </w:r>
      <w:r w:rsidR="00542040">
        <w:rPr>
          <w:lang w:bidi="fa-IR"/>
        </w:rPr>
        <w:t xml:space="preserve"> polarised. </w:t>
      </w:r>
      <w:r>
        <w:rPr>
          <w:lang w:bidi="fa-IR"/>
        </w:rPr>
        <w:t>Feedback included new data sources and insights from a range of lived experiences.</w:t>
      </w:r>
      <w:r w:rsidR="00094D8F">
        <w:rPr>
          <w:lang w:bidi="fa-IR"/>
        </w:rPr>
        <w:t xml:space="preserve"> </w:t>
      </w:r>
      <w:r>
        <w:rPr>
          <w:lang w:bidi="fa-IR"/>
        </w:rPr>
        <w:t>All feedback has been taken into consideration in preparing this Decision RIS.</w:t>
      </w:r>
      <w:r w:rsidR="00094D8F" w:rsidRPr="00094D8F">
        <w:rPr>
          <w:lang w:bidi="fa-IR"/>
        </w:rPr>
        <w:t xml:space="preserve"> </w:t>
      </w:r>
      <w:r w:rsidR="00094D8F">
        <w:rPr>
          <w:lang w:bidi="fa-IR"/>
        </w:rPr>
        <w:t>Personal stories and industry insights provided during consultation have been used as case studies to support the discussion of relevant issues in the Decision RIS.</w:t>
      </w:r>
    </w:p>
    <w:p w14:paraId="083DAF4B" w14:textId="77777777" w:rsidR="00542040" w:rsidRDefault="00542040" w:rsidP="00542040">
      <w:pPr>
        <w:pStyle w:val="BodyText"/>
      </w:pPr>
      <w:r>
        <w:rPr>
          <w:lang w:bidi="fa-IR"/>
        </w:rPr>
        <w:t xml:space="preserve">After reviewing all </w:t>
      </w:r>
      <w:r w:rsidR="00900989">
        <w:rPr>
          <w:lang w:bidi="fa-IR"/>
        </w:rPr>
        <w:t xml:space="preserve">of </w:t>
      </w:r>
      <w:r>
        <w:rPr>
          <w:lang w:bidi="fa-IR"/>
        </w:rPr>
        <w:t>the submissions, CIE ha</w:t>
      </w:r>
      <w:r w:rsidR="00900989">
        <w:rPr>
          <w:lang w:bidi="fa-IR"/>
        </w:rPr>
        <w:t>s</w:t>
      </w:r>
      <w:r>
        <w:rPr>
          <w:lang w:bidi="fa-IR"/>
        </w:rPr>
        <w:t xml:space="preserve"> identified key issues</w:t>
      </w:r>
      <w:r w:rsidR="00D2630D">
        <w:rPr>
          <w:lang w:bidi="fa-IR"/>
        </w:rPr>
        <w:t xml:space="preserve"> for </w:t>
      </w:r>
      <w:r>
        <w:rPr>
          <w:lang w:bidi="fa-IR"/>
        </w:rPr>
        <w:t>the analysis</w:t>
      </w:r>
      <w:r w:rsidR="00B749AA">
        <w:rPr>
          <w:lang w:bidi="fa-IR"/>
        </w:rPr>
        <w:t>,</w:t>
      </w:r>
      <w:r>
        <w:rPr>
          <w:lang w:bidi="fa-IR"/>
        </w:rPr>
        <w:t xml:space="preserve"> </w:t>
      </w:r>
      <w:r w:rsidR="00B749AA">
        <w:rPr>
          <w:lang w:bidi="fa-IR"/>
        </w:rPr>
        <w:t xml:space="preserve">considered </w:t>
      </w:r>
      <w:r w:rsidR="00D2630D">
        <w:rPr>
          <w:lang w:bidi="fa-IR"/>
        </w:rPr>
        <w:t xml:space="preserve">the evidence and </w:t>
      </w:r>
      <w:r w:rsidR="00B749AA">
        <w:rPr>
          <w:lang w:bidi="fa-IR"/>
        </w:rPr>
        <w:t xml:space="preserve">developed the </w:t>
      </w:r>
      <w:r w:rsidR="00D2630D">
        <w:rPr>
          <w:lang w:bidi="fa-IR"/>
        </w:rPr>
        <w:t xml:space="preserve">rationale for the approach taken to </w:t>
      </w:r>
      <w:r>
        <w:rPr>
          <w:lang w:bidi="fa-IR"/>
        </w:rPr>
        <w:t xml:space="preserve">address them. </w:t>
      </w:r>
      <w:r>
        <w:t xml:space="preserve">The below chapter </w:t>
      </w:r>
      <w:r w:rsidR="00BA432E">
        <w:t xml:space="preserve">first </w:t>
      </w:r>
      <w:r>
        <w:t xml:space="preserve">engages with the key issues and </w:t>
      </w:r>
      <w:r w:rsidR="00BA432E">
        <w:t>then specific methodological issues</w:t>
      </w:r>
      <w:r>
        <w:t xml:space="preserve"> raised and their supporting evidence received through the consultation process and further research.</w:t>
      </w:r>
    </w:p>
    <w:p w14:paraId="417A738A" w14:textId="79332F63" w:rsidR="00DD5DAA" w:rsidRPr="0072584F" w:rsidRDefault="00622A10" w:rsidP="00DD5DAA">
      <w:pPr>
        <w:pStyle w:val="BodyText"/>
        <w:rPr>
          <w:lang w:bidi="fa-IR"/>
        </w:rPr>
      </w:pPr>
      <w:r>
        <w:rPr>
          <w:lang w:bidi="fa-IR"/>
        </w:rPr>
        <w:t xml:space="preserve">A more detailed summary of the consultation submissions is provided in </w:t>
      </w:r>
      <w:r w:rsidR="001C6B9C">
        <w:rPr>
          <w:lang w:bidi="fa-IR"/>
        </w:rPr>
        <w:t>a</w:t>
      </w:r>
      <w:r>
        <w:rPr>
          <w:lang w:bidi="fa-IR"/>
        </w:rPr>
        <w:t xml:space="preserve">ppendix </w:t>
      </w:r>
      <w:r>
        <w:rPr>
          <w:lang w:bidi="fa-IR"/>
        </w:rPr>
        <w:fldChar w:fldCharType="begin"/>
      </w:r>
      <w:r>
        <w:rPr>
          <w:lang w:bidi="fa-IR"/>
        </w:rPr>
        <w:instrText xml:space="preserve"> REF _Ref55121504 \n \h </w:instrText>
      </w:r>
      <w:r>
        <w:rPr>
          <w:lang w:bidi="fa-IR"/>
        </w:rPr>
      </w:r>
      <w:r>
        <w:rPr>
          <w:lang w:bidi="fa-IR"/>
        </w:rPr>
        <w:fldChar w:fldCharType="separate"/>
      </w:r>
      <w:r w:rsidR="000F445C">
        <w:rPr>
          <w:lang w:bidi="fa-IR"/>
        </w:rPr>
        <w:t>A</w:t>
      </w:r>
      <w:r>
        <w:rPr>
          <w:lang w:bidi="fa-IR"/>
        </w:rPr>
        <w:fldChar w:fldCharType="end"/>
      </w:r>
      <w:r>
        <w:rPr>
          <w:lang w:bidi="fa-IR"/>
        </w:rPr>
        <w:t>.</w:t>
      </w:r>
    </w:p>
    <w:p w14:paraId="11AF3DD1" w14:textId="77777777" w:rsidR="00DD5DAA" w:rsidRDefault="00DD5DAA" w:rsidP="00DD5DAA">
      <w:pPr>
        <w:pStyle w:val="Heading2"/>
        <w:numPr>
          <w:ilvl w:val="1"/>
          <w:numId w:val="5"/>
        </w:numPr>
        <w:rPr>
          <w:lang w:bidi="fa-IR"/>
        </w:rPr>
      </w:pPr>
      <w:bookmarkStart w:id="60" w:name="_Toc54024071"/>
      <w:bookmarkStart w:id="61" w:name="_Toc70505091"/>
      <w:r>
        <w:rPr>
          <w:lang w:bidi="fa-IR"/>
        </w:rPr>
        <w:t>Key issues</w:t>
      </w:r>
      <w:bookmarkEnd w:id="60"/>
      <w:r w:rsidR="00BA432E">
        <w:rPr>
          <w:lang w:bidi="fa-IR"/>
        </w:rPr>
        <w:t xml:space="preserve"> raised in consultation</w:t>
      </w:r>
      <w:bookmarkEnd w:id="61"/>
    </w:p>
    <w:p w14:paraId="0AE335C0" w14:textId="77777777" w:rsidR="00DD5DAA" w:rsidRDefault="00BA432E" w:rsidP="00DD5DAA">
      <w:pPr>
        <w:pStyle w:val="BodyText"/>
        <w:rPr>
          <w:lang w:bidi="fa-IR"/>
        </w:rPr>
      </w:pPr>
      <w:r>
        <w:rPr>
          <w:lang w:bidi="fa-IR"/>
        </w:rPr>
        <w:t>In considering feedback received during consultation, CIE identified the following areas of feedback that had the potential to significantly impact the Decision RIS:</w:t>
      </w:r>
    </w:p>
    <w:p w14:paraId="4991AA6A" w14:textId="77777777" w:rsidR="00DD5DAA" w:rsidRDefault="00BA432E" w:rsidP="00DD5DAA">
      <w:pPr>
        <w:pStyle w:val="ListBullet"/>
        <w:rPr>
          <w:lang w:bidi="fa-IR"/>
        </w:rPr>
      </w:pPr>
      <w:r>
        <w:rPr>
          <w:lang w:bidi="fa-IR"/>
        </w:rPr>
        <w:t xml:space="preserve">the importance of </w:t>
      </w:r>
      <w:r w:rsidR="00DD5DAA">
        <w:rPr>
          <w:lang w:bidi="fa-IR"/>
        </w:rPr>
        <w:t>symmetry in reporting costs and benefits</w:t>
      </w:r>
    </w:p>
    <w:p w14:paraId="74439007" w14:textId="77777777" w:rsidR="00BA432E" w:rsidRDefault="00BA432E" w:rsidP="00BA432E">
      <w:pPr>
        <w:pStyle w:val="ListBullet"/>
        <w:rPr>
          <w:lang w:bidi="fa-IR"/>
        </w:rPr>
      </w:pPr>
      <w:r>
        <w:rPr>
          <w:lang w:bidi="fa-IR"/>
        </w:rPr>
        <w:lastRenderedPageBreak/>
        <w:t>employment and productivity impacts</w:t>
      </w:r>
    </w:p>
    <w:p w14:paraId="5EF94F7B" w14:textId="77777777" w:rsidR="00DD5DAA" w:rsidRDefault="00BA432E" w:rsidP="00DD5DAA">
      <w:pPr>
        <w:pStyle w:val="ListBullet"/>
        <w:rPr>
          <w:lang w:bidi="fa-IR"/>
        </w:rPr>
      </w:pPr>
      <w:r>
        <w:rPr>
          <w:lang w:bidi="fa-IR"/>
        </w:rPr>
        <w:t xml:space="preserve">the need for more </w:t>
      </w:r>
      <w:r w:rsidR="00DD5DAA">
        <w:rPr>
          <w:lang w:bidi="fa-IR"/>
        </w:rPr>
        <w:t>qualitative analysis</w:t>
      </w:r>
    </w:p>
    <w:p w14:paraId="1D6B141A" w14:textId="77777777" w:rsidR="00DD5DAA" w:rsidRDefault="00DD5DAA" w:rsidP="00DD5DAA">
      <w:pPr>
        <w:pStyle w:val="ListBullet"/>
        <w:rPr>
          <w:lang w:bidi="fa-IR"/>
        </w:rPr>
      </w:pPr>
      <w:r>
        <w:rPr>
          <w:lang w:bidi="fa-IR"/>
        </w:rPr>
        <w:t>social justice consideration</w:t>
      </w:r>
      <w:r w:rsidR="00BA432E">
        <w:rPr>
          <w:lang w:bidi="fa-IR"/>
        </w:rPr>
        <w:t>s</w:t>
      </w:r>
    </w:p>
    <w:p w14:paraId="2FEEEAEF" w14:textId="77777777" w:rsidR="00DD5DAA" w:rsidRDefault="00DD5DAA" w:rsidP="00DD5DAA">
      <w:pPr>
        <w:pStyle w:val="ListBullet"/>
        <w:rPr>
          <w:lang w:bidi="fa-IR"/>
        </w:rPr>
      </w:pPr>
      <w:r>
        <w:rPr>
          <w:lang w:bidi="fa-IR"/>
        </w:rPr>
        <w:t>impacts on and of other government programs</w:t>
      </w:r>
    </w:p>
    <w:p w14:paraId="7BB7A338" w14:textId="77777777" w:rsidR="00DD5DAA" w:rsidRDefault="00DD5DAA" w:rsidP="00DD5DAA">
      <w:pPr>
        <w:pStyle w:val="ListBullet"/>
        <w:rPr>
          <w:lang w:bidi="fa-IR"/>
        </w:rPr>
      </w:pPr>
      <w:r>
        <w:rPr>
          <w:lang w:bidi="fa-IR"/>
        </w:rPr>
        <w:t>alternative methodological approaches</w:t>
      </w:r>
      <w:r w:rsidR="00FB225F">
        <w:rPr>
          <w:lang w:bidi="fa-IR"/>
        </w:rPr>
        <w:t>,</w:t>
      </w:r>
      <w:r>
        <w:rPr>
          <w:lang w:bidi="fa-IR"/>
        </w:rPr>
        <w:t xml:space="preserve"> and</w:t>
      </w:r>
    </w:p>
    <w:p w14:paraId="4EFD97B9" w14:textId="77777777" w:rsidR="00DD5DAA" w:rsidRDefault="00DD5DAA" w:rsidP="00DD5DAA">
      <w:pPr>
        <w:pStyle w:val="ListBullet"/>
        <w:rPr>
          <w:lang w:bidi="fa-IR"/>
        </w:rPr>
      </w:pPr>
      <w:r>
        <w:rPr>
          <w:lang w:bidi="fa-IR"/>
        </w:rPr>
        <w:t>technical issues.</w:t>
      </w:r>
    </w:p>
    <w:p w14:paraId="71B28220" w14:textId="77777777" w:rsidR="0046310B" w:rsidRDefault="003A6489" w:rsidP="0046310B">
      <w:pPr>
        <w:pStyle w:val="BodyText"/>
        <w:rPr>
          <w:lang w:bidi="fa-IR"/>
        </w:rPr>
      </w:pPr>
      <w:r>
        <w:rPr>
          <w:lang w:bidi="fa-IR"/>
        </w:rPr>
        <w:t>These matters are addressed in turn</w:t>
      </w:r>
      <w:r w:rsidR="00BA432E">
        <w:rPr>
          <w:lang w:bidi="fa-IR"/>
        </w:rPr>
        <w:t xml:space="preserve"> in this section</w:t>
      </w:r>
      <w:r>
        <w:rPr>
          <w:lang w:bidi="fa-IR"/>
        </w:rPr>
        <w:t xml:space="preserve">. </w:t>
      </w:r>
    </w:p>
    <w:p w14:paraId="6836F15F" w14:textId="77777777" w:rsidR="00BA432E" w:rsidRDefault="00BA432E" w:rsidP="0046310B">
      <w:pPr>
        <w:pStyle w:val="BodyText"/>
        <w:rPr>
          <w:lang w:bidi="fa-IR"/>
        </w:rPr>
      </w:pPr>
      <w:r>
        <w:rPr>
          <w:lang w:bidi="fa-IR"/>
        </w:rPr>
        <w:t xml:space="preserve">Consultation feedback has also identified some other factors such as discount rate, excavation cost and space cost </w:t>
      </w:r>
      <w:r w:rsidR="00A22B04">
        <w:rPr>
          <w:lang w:bidi="fa-IR"/>
        </w:rPr>
        <w:t xml:space="preserve">which </w:t>
      </w:r>
      <w:r w:rsidR="001C3B97">
        <w:rPr>
          <w:lang w:bidi="fa-IR"/>
        </w:rPr>
        <w:t>had been identified by the Consultation RIS through sensitivity analysis</w:t>
      </w:r>
      <w:r w:rsidR="00A22B04">
        <w:rPr>
          <w:lang w:bidi="fa-IR"/>
        </w:rPr>
        <w:t>.</w:t>
      </w:r>
      <w:r w:rsidR="001C3B97">
        <w:rPr>
          <w:lang w:bidi="fa-IR"/>
        </w:rPr>
        <w:t xml:space="preserve"> </w:t>
      </w:r>
      <w:r w:rsidR="00A22B04">
        <w:rPr>
          <w:lang w:bidi="fa-IR"/>
        </w:rPr>
        <w:t>They</w:t>
      </w:r>
      <w:r w:rsidR="001C3B97">
        <w:rPr>
          <w:lang w:bidi="fa-IR"/>
        </w:rPr>
        <w:t xml:space="preserve"> will be discussed in the specific methodological issues section of this chapter.</w:t>
      </w:r>
    </w:p>
    <w:p w14:paraId="1ED6AB25" w14:textId="77777777" w:rsidR="00DD5DAA" w:rsidRDefault="00DD5DAA" w:rsidP="00DD5DAA">
      <w:pPr>
        <w:pStyle w:val="Heading3"/>
        <w:numPr>
          <w:ilvl w:val="2"/>
          <w:numId w:val="5"/>
        </w:numPr>
        <w:rPr>
          <w:lang w:bidi="fa-IR"/>
        </w:rPr>
      </w:pPr>
      <w:r>
        <w:rPr>
          <w:lang w:bidi="fa-IR"/>
        </w:rPr>
        <w:t>Symmetry in reporting costs and benefits</w:t>
      </w:r>
    </w:p>
    <w:p w14:paraId="2C7077EB" w14:textId="77777777" w:rsidR="00DD5DAA" w:rsidRDefault="00C32439" w:rsidP="00DD5DAA">
      <w:pPr>
        <w:pStyle w:val="BodyText"/>
        <w:rPr>
          <w:lang w:bidi="fa-IR"/>
        </w:rPr>
      </w:pPr>
      <w:r>
        <w:rPr>
          <w:lang w:bidi="fa-IR"/>
        </w:rPr>
        <w:t xml:space="preserve">The </w:t>
      </w:r>
      <w:r w:rsidR="005F62EB">
        <w:rPr>
          <w:lang w:bidi="fa-IR"/>
        </w:rPr>
        <w:t xml:space="preserve">importance of symmetry in reporting costs and benefits was raised by the </w:t>
      </w:r>
      <w:r>
        <w:rPr>
          <w:lang w:bidi="fa-IR"/>
        </w:rPr>
        <w:t>s</w:t>
      </w:r>
      <w:r w:rsidR="00DD5DAA">
        <w:rPr>
          <w:lang w:bidi="fa-IR"/>
        </w:rPr>
        <w:t xml:space="preserve">ubmission </w:t>
      </w:r>
      <w:r w:rsidR="005F62EB">
        <w:rPr>
          <w:lang w:bidi="fa-IR"/>
        </w:rPr>
        <w:t xml:space="preserve">from </w:t>
      </w:r>
      <w:r w:rsidR="00DD5DAA">
        <w:rPr>
          <w:lang w:bidi="fa-IR"/>
        </w:rPr>
        <w:t>Melbourne Disability Institute (MDI) and Summer Foundation</w:t>
      </w:r>
      <w:r w:rsidR="005F62EB">
        <w:rPr>
          <w:lang w:bidi="fa-IR"/>
        </w:rPr>
        <w:t>. An accompanying paper</w:t>
      </w:r>
      <w:r w:rsidR="00DD5DAA">
        <w:rPr>
          <w:lang w:bidi="fa-IR"/>
        </w:rPr>
        <w:t xml:space="preserve"> prepared by Associate Professor Andrew Dalton and Emeritus Professor Rob Cart</w:t>
      </w:r>
      <w:r>
        <w:rPr>
          <w:lang w:bidi="fa-IR"/>
        </w:rPr>
        <w:t>er</w:t>
      </w:r>
      <w:r w:rsidR="00DD5DAA">
        <w:rPr>
          <w:lang w:bidi="fa-IR"/>
        </w:rPr>
        <w:t xml:space="preserve"> from Deakin Health Economics, Deakin University (Dalton and Carter 2020</w:t>
      </w:r>
      <w:r w:rsidR="00F631D5">
        <w:rPr>
          <w:lang w:bidi="fa-IR"/>
        </w:rPr>
        <w:t>a</w:t>
      </w:r>
      <w:r w:rsidR="00DD5DAA">
        <w:rPr>
          <w:lang w:bidi="fa-IR"/>
        </w:rPr>
        <w:t>)</w:t>
      </w:r>
      <w:r w:rsidR="00DD5DAA">
        <w:rPr>
          <w:rStyle w:val="FootnoteReference"/>
          <w:lang w:bidi="fa-IR"/>
        </w:rPr>
        <w:footnoteReference w:id="27"/>
      </w:r>
      <w:r w:rsidR="00DD5DAA">
        <w:rPr>
          <w:lang w:bidi="fa-IR"/>
        </w:rPr>
        <w:t xml:space="preserve">, </w:t>
      </w:r>
      <w:r w:rsidR="002B12E7">
        <w:rPr>
          <w:lang w:bidi="fa-IR"/>
        </w:rPr>
        <w:t>noted that</w:t>
      </w:r>
      <w:r w:rsidR="00DD5DAA">
        <w:rPr>
          <w:lang w:bidi="fa-IR"/>
        </w:rPr>
        <w:t xml:space="preserve"> the costs and benefits should be reported in a symmetric</w:t>
      </w:r>
      <w:r w:rsidR="00DB7CB4">
        <w:rPr>
          <w:lang w:bidi="fa-IR"/>
        </w:rPr>
        <w:t>al</w:t>
      </w:r>
      <w:r w:rsidR="00DD5DAA">
        <w:rPr>
          <w:lang w:bidi="fa-IR"/>
        </w:rPr>
        <w:t xml:space="preserve"> way to avoid bias or confounding. Dalton and Carter (2020</w:t>
      </w:r>
      <w:r w:rsidR="00EF70E1">
        <w:rPr>
          <w:lang w:bidi="fa-IR"/>
        </w:rPr>
        <w:t>a</w:t>
      </w:r>
      <w:r w:rsidR="00DD5DAA">
        <w:rPr>
          <w:lang w:bidi="fa-IR"/>
        </w:rPr>
        <w:t xml:space="preserve">) </w:t>
      </w:r>
      <w:r w:rsidR="002B12E7">
        <w:t>suggest that</w:t>
      </w:r>
      <w:r w:rsidR="00DD5DAA">
        <w:rPr>
          <w:lang w:bidi="fa-IR"/>
        </w:rPr>
        <w:t xml:space="preserve"> </w:t>
      </w:r>
      <w:r w:rsidR="002B12E7">
        <w:rPr>
          <w:lang w:bidi="fa-IR"/>
        </w:rPr>
        <w:t>the</w:t>
      </w:r>
      <w:r w:rsidR="00DD5DAA">
        <w:rPr>
          <w:lang w:bidi="fa-IR"/>
        </w:rPr>
        <w:t xml:space="preserve"> symmetrical view of the benefits and costs in the</w:t>
      </w:r>
      <w:r w:rsidR="002B12E7">
        <w:rPr>
          <w:lang w:bidi="fa-IR"/>
        </w:rPr>
        <w:t xml:space="preserve"> Consultation RIS is compromised as</w:t>
      </w:r>
      <w:r w:rsidR="00DD5DAA">
        <w:rPr>
          <w:lang w:bidi="fa-IR"/>
        </w:rPr>
        <w:t xml:space="preserve"> the ‘problem reduction approach’ over-counts the cost side while the ‘willingness to pay’</w:t>
      </w:r>
      <w:r w:rsidR="00FC0403">
        <w:rPr>
          <w:lang w:bidi="fa-IR"/>
        </w:rPr>
        <w:t xml:space="preserve"> (WTP)</w:t>
      </w:r>
      <w:r w:rsidR="00DD5DAA">
        <w:rPr>
          <w:lang w:bidi="fa-IR"/>
        </w:rPr>
        <w:t xml:space="preserve"> approach under-counts the benefit side. The</w:t>
      </w:r>
      <w:r w:rsidR="002B12E7">
        <w:rPr>
          <w:lang w:bidi="fa-IR"/>
        </w:rPr>
        <w:t>ir paper suggests that most items listed are different under the different</w:t>
      </w:r>
      <w:r w:rsidR="00DD5DAA">
        <w:rPr>
          <w:lang w:bidi="fa-IR"/>
        </w:rPr>
        <w:t xml:space="preserve"> approaches </w:t>
      </w:r>
      <w:r w:rsidR="00515B43">
        <w:rPr>
          <w:lang w:bidi="fa-IR"/>
        </w:rPr>
        <w:t xml:space="preserve">and </w:t>
      </w:r>
      <w:r w:rsidR="002B12E7">
        <w:rPr>
          <w:lang w:bidi="fa-IR"/>
        </w:rPr>
        <w:t xml:space="preserve">therefore benefits in these two approaches are </w:t>
      </w:r>
      <w:r w:rsidR="00DD5DAA">
        <w:rPr>
          <w:lang w:bidi="fa-IR"/>
        </w:rPr>
        <w:t>additive with minimal overlap</w:t>
      </w:r>
      <w:r w:rsidR="002B12E7">
        <w:rPr>
          <w:lang w:bidi="fa-IR"/>
        </w:rPr>
        <w:t>.</w:t>
      </w:r>
      <w:r w:rsidR="00DD5DAA">
        <w:rPr>
          <w:lang w:bidi="fa-IR"/>
        </w:rPr>
        <w:t xml:space="preserve"> Dalton and Carter </w:t>
      </w:r>
      <w:r w:rsidR="002B12E7">
        <w:rPr>
          <w:lang w:bidi="fa-IR"/>
        </w:rPr>
        <w:t>prefer</w:t>
      </w:r>
      <w:r w:rsidR="00DD5DAA">
        <w:rPr>
          <w:lang w:bidi="fa-IR"/>
        </w:rPr>
        <w:t xml:space="preserve"> the no overlap</w:t>
      </w:r>
      <w:r w:rsidR="00A22B04">
        <w:rPr>
          <w:lang w:bidi="fa-IR"/>
        </w:rPr>
        <w:t xml:space="preserve"> or </w:t>
      </w:r>
      <w:r w:rsidR="00DD5DAA">
        <w:rPr>
          <w:lang w:bidi="fa-IR"/>
        </w:rPr>
        <w:t>25</w:t>
      </w:r>
      <w:r w:rsidR="00A22B04">
        <w:rPr>
          <w:lang w:bidi="fa-IR"/>
        </w:rPr>
        <w:t xml:space="preserve"> per cent</w:t>
      </w:r>
      <w:r w:rsidR="00DD5DAA">
        <w:rPr>
          <w:lang w:bidi="fa-IR"/>
        </w:rPr>
        <w:t xml:space="preserve"> overlap results.</w:t>
      </w:r>
      <w:r w:rsidR="00DD5DAA">
        <w:rPr>
          <w:rStyle w:val="FootnoteReference"/>
          <w:lang w:bidi="fa-IR"/>
        </w:rPr>
        <w:footnoteReference w:id="28"/>
      </w:r>
      <w:r w:rsidR="00DD5DAA">
        <w:rPr>
          <w:lang w:bidi="fa-IR"/>
        </w:rPr>
        <w:t xml:space="preserve"> </w:t>
      </w:r>
    </w:p>
    <w:p w14:paraId="71B5452A" w14:textId="77777777" w:rsidR="00DD5DAA" w:rsidRDefault="00DD5DAA" w:rsidP="00DD5DAA">
      <w:pPr>
        <w:pStyle w:val="BodyText"/>
        <w:rPr>
          <w:lang w:bidi="fa-IR"/>
        </w:rPr>
      </w:pPr>
      <w:r>
        <w:rPr>
          <w:lang w:bidi="fa-IR"/>
        </w:rPr>
        <w:t xml:space="preserve">In the supplementary information provided later, they </w:t>
      </w:r>
      <w:r w:rsidR="0047396D">
        <w:rPr>
          <w:lang w:bidi="fa-IR"/>
        </w:rPr>
        <w:t>suggest</w:t>
      </w:r>
      <w:r>
        <w:rPr>
          <w:lang w:bidi="fa-IR"/>
        </w:rPr>
        <w:t xml:space="preserve"> that only private costs may be entered into the WTP estimates, and at the maximum, reduced costs associated with loneliness, home modification, carer related costs and incidence of moving</w:t>
      </w:r>
      <w:r>
        <w:rPr>
          <w:rStyle w:val="FootnoteReference"/>
          <w:lang w:bidi="fa-IR"/>
        </w:rPr>
        <w:footnoteReference w:id="29"/>
      </w:r>
      <w:r>
        <w:rPr>
          <w:lang w:bidi="fa-IR"/>
        </w:rPr>
        <w:t xml:space="preserve"> in the problem reduction approach overlap with the WTP approach.</w:t>
      </w:r>
    </w:p>
    <w:p w14:paraId="522B5172" w14:textId="77777777" w:rsidR="00DD5DAA" w:rsidRDefault="0047396D" w:rsidP="00DD5DAA">
      <w:pPr>
        <w:pStyle w:val="BodyText"/>
        <w:rPr>
          <w:lang w:bidi="fa-IR"/>
        </w:rPr>
      </w:pPr>
      <w:r>
        <w:rPr>
          <w:lang w:bidi="fa-IR"/>
        </w:rPr>
        <w:lastRenderedPageBreak/>
        <w:t>The principle of symmetry is a key feature of estimating the benefits and cost</w:t>
      </w:r>
      <w:r w:rsidR="006E7292">
        <w:rPr>
          <w:lang w:bidi="fa-IR"/>
        </w:rPr>
        <w:t>s</w:t>
      </w:r>
      <w:r>
        <w:rPr>
          <w:lang w:bidi="fa-IR"/>
        </w:rPr>
        <w:t xml:space="preserve"> associated with regulatory impacts. In response to feedback</w:t>
      </w:r>
      <w:r w:rsidR="006E7292">
        <w:rPr>
          <w:lang w:bidi="fa-IR"/>
        </w:rPr>
        <w:t>,</w:t>
      </w:r>
      <w:r>
        <w:rPr>
          <w:lang w:bidi="fa-IR"/>
        </w:rPr>
        <w:t xml:space="preserve"> the application of this principle to this RIS has been further reviewed. CIE has made some modifications with respect to the problem reduction approach as it relates to the elements incorporated into the WTP approach. Otherwise, the review concluded the analysis appropriately reflects the principle of symmetry. A more detailed explanation of this analysis and revised methodology is provided </w:t>
      </w:r>
      <w:r w:rsidR="00F64172">
        <w:rPr>
          <w:lang w:bidi="fa-IR"/>
        </w:rPr>
        <w:t>in the</w:t>
      </w:r>
      <w:r>
        <w:rPr>
          <w:lang w:bidi="fa-IR"/>
        </w:rPr>
        <w:t xml:space="preserve"> next two sections.</w:t>
      </w:r>
    </w:p>
    <w:p w14:paraId="62E05F8C" w14:textId="77777777" w:rsidR="00DD5DAA" w:rsidRDefault="00DD5DAA" w:rsidP="00DD5DAA">
      <w:pPr>
        <w:pStyle w:val="Heading3"/>
        <w:numPr>
          <w:ilvl w:val="2"/>
          <w:numId w:val="5"/>
        </w:numPr>
        <w:rPr>
          <w:lang w:bidi="fa-IR"/>
        </w:rPr>
      </w:pPr>
      <w:r>
        <w:rPr>
          <w:lang w:bidi="fa-IR"/>
        </w:rPr>
        <w:t>Employment and productivity impacts</w:t>
      </w:r>
    </w:p>
    <w:p w14:paraId="54BE7598" w14:textId="77777777" w:rsidR="00DD5DAA" w:rsidRDefault="00DD5DAA" w:rsidP="00DD5DAA">
      <w:pPr>
        <w:pStyle w:val="BodyText"/>
        <w:rPr>
          <w:lang w:bidi="fa-IR"/>
        </w:rPr>
      </w:pPr>
      <w:r>
        <w:rPr>
          <w:lang w:bidi="fa-IR"/>
        </w:rPr>
        <w:t>Dalton and Carter (2020</w:t>
      </w:r>
      <w:r w:rsidR="00B132BA">
        <w:rPr>
          <w:lang w:bidi="fa-IR"/>
        </w:rPr>
        <w:t>a</w:t>
      </w:r>
      <w:r>
        <w:rPr>
          <w:lang w:bidi="fa-IR"/>
        </w:rPr>
        <w:t xml:space="preserve">) also </w:t>
      </w:r>
      <w:r w:rsidR="00EB6A05">
        <w:rPr>
          <w:lang w:bidi="fa-IR"/>
        </w:rPr>
        <w:t>highlight the impact on</w:t>
      </w:r>
      <w:r>
        <w:rPr>
          <w:lang w:bidi="fa-IR"/>
        </w:rPr>
        <w:t xml:space="preserve"> employment and productivity of premature retirement, premature death and morbidity (section 1.7.3, p.10; section 3.5.3, p.27) and the productivity impact for people not in the paid workforce (section 3.5.3, p.27).</w:t>
      </w:r>
    </w:p>
    <w:p w14:paraId="29B22C1A" w14:textId="77777777" w:rsidR="00DD5DAA" w:rsidRDefault="00DD5DAA" w:rsidP="00DD5DAA">
      <w:pPr>
        <w:pStyle w:val="BodyText"/>
      </w:pPr>
      <w:r>
        <w:rPr>
          <w:lang w:bidi="fa-IR"/>
        </w:rPr>
        <w:t>The</w:t>
      </w:r>
      <w:r>
        <w:t xml:space="preserve"> submission from </w:t>
      </w:r>
      <w:r w:rsidR="00EB6A05">
        <w:t xml:space="preserve">MDI and </w:t>
      </w:r>
      <w:r>
        <w:t xml:space="preserve">the Summer Foundation provides </w:t>
      </w:r>
      <w:r w:rsidRPr="008871F6">
        <w:t>valuable insights into</w:t>
      </w:r>
      <w:r>
        <w:t xml:space="preserve"> how accessible housing can affect productivity and work opportunities. In particular, the submission identifies four primary ways through which housing design features can reduce productivity and work opportunities for people with mobility restrictions.</w:t>
      </w:r>
    </w:p>
    <w:p w14:paraId="335299CB" w14:textId="77777777" w:rsidR="00DD5DAA" w:rsidRDefault="00DD5DAA" w:rsidP="00DD5DAA">
      <w:pPr>
        <w:pStyle w:val="ListBullet"/>
      </w:pPr>
      <w:r>
        <w:t>Housing design features can limit the ability of some people with disability to work from home.</w:t>
      </w:r>
    </w:p>
    <w:p w14:paraId="02E2CB01" w14:textId="77777777" w:rsidR="00DD5DAA" w:rsidRDefault="00DD5DAA" w:rsidP="00DD5DAA">
      <w:pPr>
        <w:pStyle w:val="ListBullet"/>
      </w:pPr>
      <w:r>
        <w:t xml:space="preserve">A lack of accessible housing </w:t>
      </w:r>
      <w:r w:rsidR="00F64172">
        <w:t xml:space="preserve">can </w:t>
      </w:r>
      <w:r>
        <w:t>limit the ability of some people with disability to move closer to employment opportunities.</w:t>
      </w:r>
    </w:p>
    <w:p w14:paraId="51929910" w14:textId="77777777" w:rsidR="00DD5DAA" w:rsidRDefault="00DD5DAA" w:rsidP="00DD5DAA">
      <w:pPr>
        <w:pStyle w:val="ListBullet"/>
      </w:pPr>
      <w:r>
        <w:t>Fatigue from living in an inaccessible home and the additional time and energy spent on self</w:t>
      </w:r>
      <w:r>
        <w:noBreakHyphen/>
        <w:t>care and homecare reduces productivity, motivation, self</w:t>
      </w:r>
      <w:r>
        <w:noBreakHyphen/>
        <w:t>confidence and capacity to work, study and volunteer.</w:t>
      </w:r>
    </w:p>
    <w:p w14:paraId="0006E165" w14:textId="77777777" w:rsidR="00DD5DAA" w:rsidRDefault="00DD5DAA" w:rsidP="00DD5DAA">
      <w:pPr>
        <w:pStyle w:val="ListBullet"/>
      </w:pPr>
      <w:r>
        <w:t>Inaccessible housing increases reliance on paid and unpaid support with personal and domestic activities, limiting ability to take on employment.</w:t>
      </w:r>
    </w:p>
    <w:p w14:paraId="23019D5C" w14:textId="04730429" w:rsidR="002C37AB" w:rsidRDefault="00DD5DAA" w:rsidP="00DD5DAA">
      <w:pPr>
        <w:pStyle w:val="BodyText"/>
      </w:pPr>
      <w:r>
        <w:t xml:space="preserve">The above </w:t>
      </w:r>
      <w:r w:rsidR="00EB6A05">
        <w:t>information is drawn from a survey undertaken by MDI and is</w:t>
      </w:r>
      <w:r>
        <w:t xml:space="preserve"> an important contribution to understanding the linkages between accessible housing and employment outcomes. </w:t>
      </w:r>
      <w:r w:rsidR="00FF3B04">
        <w:t>I</w:t>
      </w:r>
      <w:r w:rsidR="00EB6A05">
        <w:t>n recognition that survey respondents were identified on a self-select basis and it is not clear to what extent one can extrapolate the survey findings across the broader population with mobility limitation, the results have been used to inform a qualitative discussion of the impact in the Decision RIS</w:t>
      </w:r>
      <w:r>
        <w:t>.</w:t>
      </w:r>
      <w:r w:rsidR="00EB6A05">
        <w:t xml:space="preserve"> </w:t>
      </w:r>
      <w:r w:rsidR="00EB6A05">
        <w:rPr>
          <w:lang w:bidi="fa-IR"/>
        </w:rPr>
        <w:t>The next subsection (</w:t>
      </w:r>
      <w:r w:rsidR="00EB6A05">
        <w:rPr>
          <w:lang w:bidi="fa-IR"/>
        </w:rPr>
        <w:fldChar w:fldCharType="begin"/>
      </w:r>
      <w:r w:rsidR="00EB6A05">
        <w:rPr>
          <w:lang w:bidi="fa-IR"/>
        </w:rPr>
        <w:instrText xml:space="preserve"> REF _Ref56604139 \h </w:instrText>
      </w:r>
      <w:r w:rsidR="00EB6A05">
        <w:rPr>
          <w:lang w:bidi="fa-IR"/>
        </w:rPr>
      </w:r>
      <w:r w:rsidR="00EB6A05">
        <w:rPr>
          <w:lang w:bidi="fa-IR"/>
        </w:rPr>
        <w:fldChar w:fldCharType="separate"/>
      </w:r>
      <w:r w:rsidR="000F445C">
        <w:rPr>
          <w:lang w:bidi="fa-IR"/>
        </w:rPr>
        <w:t>Qualitative analysis</w:t>
      </w:r>
      <w:r w:rsidR="00EB6A05">
        <w:rPr>
          <w:lang w:bidi="fa-IR"/>
        </w:rPr>
        <w:fldChar w:fldCharType="end"/>
      </w:r>
      <w:r w:rsidR="00EB6A05">
        <w:rPr>
          <w:lang w:bidi="fa-IR"/>
        </w:rPr>
        <w:t>), the section (</w:t>
      </w:r>
      <w:r w:rsidR="00EB6A05">
        <w:rPr>
          <w:lang w:bidi="fa-IR"/>
        </w:rPr>
        <w:fldChar w:fldCharType="begin"/>
      </w:r>
      <w:r w:rsidR="00EB6A05">
        <w:rPr>
          <w:lang w:bidi="fa-IR"/>
        </w:rPr>
        <w:instrText xml:space="preserve"> REF _Ref56615356 \h </w:instrText>
      </w:r>
      <w:r w:rsidR="00EB6A05">
        <w:rPr>
          <w:lang w:bidi="fa-IR"/>
        </w:rPr>
      </w:r>
      <w:r w:rsidR="00EB6A05">
        <w:rPr>
          <w:lang w:bidi="fa-IR"/>
        </w:rPr>
        <w:fldChar w:fldCharType="separate"/>
      </w:r>
      <w:r w:rsidR="000F445C">
        <w:rPr>
          <w:lang w:eastAsia="en-US" w:bidi="fa-IR"/>
        </w:rPr>
        <w:t>Employment and productivity impacts</w:t>
      </w:r>
      <w:r w:rsidR="00EB6A05">
        <w:rPr>
          <w:lang w:bidi="fa-IR"/>
        </w:rPr>
        <w:fldChar w:fldCharType="end"/>
      </w:r>
      <w:r w:rsidR="00EB6A05">
        <w:rPr>
          <w:lang w:bidi="fa-IR"/>
        </w:rPr>
        <w:t>, page</w:t>
      </w:r>
      <w:r w:rsidR="00231B7C">
        <w:rPr>
          <w:lang w:bidi="fa-IR"/>
        </w:rPr>
        <w:t> </w:t>
      </w:r>
      <w:r w:rsidR="00334BFA">
        <w:rPr>
          <w:lang w:bidi="fa-IR"/>
        </w:rPr>
        <w:fldChar w:fldCharType="begin"/>
      </w:r>
      <w:r w:rsidR="00334BFA">
        <w:rPr>
          <w:lang w:bidi="fa-IR"/>
        </w:rPr>
        <w:instrText xml:space="preserve"> PAGEREF _Ref56615356 \h </w:instrText>
      </w:r>
      <w:r w:rsidR="00334BFA">
        <w:rPr>
          <w:lang w:bidi="fa-IR"/>
        </w:rPr>
      </w:r>
      <w:r w:rsidR="00334BFA">
        <w:rPr>
          <w:lang w:bidi="fa-IR"/>
        </w:rPr>
        <w:fldChar w:fldCharType="separate"/>
      </w:r>
      <w:r w:rsidR="000F445C">
        <w:rPr>
          <w:noProof/>
          <w:lang w:bidi="fa-IR"/>
        </w:rPr>
        <w:t>115</w:t>
      </w:r>
      <w:r w:rsidR="00334BFA">
        <w:rPr>
          <w:lang w:bidi="fa-IR"/>
        </w:rPr>
        <w:fldChar w:fldCharType="end"/>
      </w:r>
      <w:r w:rsidR="00EB6A05">
        <w:rPr>
          <w:lang w:bidi="fa-IR"/>
        </w:rPr>
        <w:t xml:space="preserve">) in chapter </w:t>
      </w:r>
      <w:r w:rsidR="00B57D3F">
        <w:rPr>
          <w:lang w:bidi="fa-IR"/>
        </w:rPr>
        <w:t>three</w:t>
      </w:r>
      <w:r w:rsidR="00EB6A05">
        <w:rPr>
          <w:lang w:bidi="fa-IR"/>
        </w:rPr>
        <w:t xml:space="preserve"> and appendix </w:t>
      </w:r>
      <w:r w:rsidR="00EB6A05">
        <w:rPr>
          <w:lang w:bidi="fa-IR"/>
        </w:rPr>
        <w:fldChar w:fldCharType="begin"/>
      </w:r>
      <w:r w:rsidR="00EB6A05">
        <w:rPr>
          <w:lang w:bidi="fa-IR"/>
        </w:rPr>
        <w:instrText xml:space="preserve"> REF _Ref56268185 \n \h </w:instrText>
      </w:r>
      <w:r w:rsidR="00EB6A05">
        <w:rPr>
          <w:lang w:bidi="fa-IR"/>
        </w:rPr>
      </w:r>
      <w:r w:rsidR="00EB6A05">
        <w:rPr>
          <w:lang w:bidi="fa-IR"/>
        </w:rPr>
        <w:fldChar w:fldCharType="separate"/>
      </w:r>
      <w:r w:rsidR="000F445C">
        <w:rPr>
          <w:lang w:bidi="fa-IR"/>
        </w:rPr>
        <w:t>J</w:t>
      </w:r>
      <w:r w:rsidR="00EB6A05">
        <w:rPr>
          <w:lang w:bidi="fa-IR"/>
        </w:rPr>
        <w:fldChar w:fldCharType="end"/>
      </w:r>
      <w:r w:rsidR="00EB6A05">
        <w:rPr>
          <w:lang w:bidi="fa-IR"/>
        </w:rPr>
        <w:t xml:space="preserve"> provide more discussion on this.</w:t>
      </w:r>
    </w:p>
    <w:p w14:paraId="0FFE98B6" w14:textId="77777777" w:rsidR="00502254" w:rsidRDefault="00502254" w:rsidP="00DD5DAA">
      <w:pPr>
        <w:pStyle w:val="BodyText"/>
      </w:pPr>
    </w:p>
    <w:tbl>
      <w:tblPr>
        <w:tblW w:w="7935"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4A0" w:firstRow="1" w:lastRow="0" w:firstColumn="1" w:lastColumn="0" w:noHBand="0" w:noVBand="1"/>
        <w:tblCaption w:val="Box 2.1: Treatment of evidence from the Melbourne Disability Institute survey"/>
        <w:tblDescription w:val="Reasons that the information from the Melbourne Disability Institute survey is treated as qualitative information. It is not clear how representative the survey is of all people with disability. In the survey, 'accessibility' is self-assessed and may not align with the NCC proposal."/>
      </w:tblPr>
      <w:tblGrid>
        <w:gridCol w:w="7935"/>
      </w:tblGrid>
      <w:tr w:rsidR="002C37AB" w14:paraId="5335777A" w14:textId="77777777" w:rsidTr="00233C02">
        <w:trPr>
          <w:cantSplit/>
        </w:trPr>
        <w:tc>
          <w:tcPr>
            <w:tcW w:w="7935" w:type="dxa"/>
            <w:tcBorders>
              <w:top w:val="nil"/>
              <w:left w:val="nil"/>
              <w:bottom w:val="nil"/>
              <w:right w:val="nil"/>
            </w:tcBorders>
            <w:shd w:val="clear" w:color="auto" w:fill="C6BFAB" w:themeFill="accent3"/>
            <w:hideMark/>
          </w:tcPr>
          <w:p w14:paraId="35352767" w14:textId="1C713DC6" w:rsidR="002C37AB" w:rsidRDefault="00076C9B" w:rsidP="00231B7C">
            <w:pPr>
              <w:pStyle w:val="Caption"/>
              <w:numPr>
                <w:ilvl w:val="0"/>
                <w:numId w:val="19"/>
              </w:numPr>
              <w:spacing w:before="120" w:after="100"/>
            </w:pPr>
            <w:bookmarkStart w:id="62" w:name="_Ref61279079"/>
            <w:bookmarkStart w:id="63" w:name="_Toc70505495"/>
            <w:r>
              <w:lastRenderedPageBreak/>
              <w:t>2.1</w:t>
            </w:r>
            <w:r w:rsidR="002C37AB">
              <w:tab/>
              <w:t>Treatment of evidence from the Melbourne Disability Institute survey</w:t>
            </w:r>
            <w:bookmarkEnd w:id="62"/>
            <w:bookmarkEnd w:id="63"/>
          </w:p>
        </w:tc>
      </w:tr>
      <w:tr w:rsidR="002C37AB" w14:paraId="7480A17E" w14:textId="77777777" w:rsidTr="00233C02">
        <w:trPr>
          <w:cantSplit/>
        </w:trPr>
        <w:tc>
          <w:tcPr>
            <w:tcW w:w="7935" w:type="dxa"/>
            <w:tcBorders>
              <w:top w:val="nil"/>
              <w:left w:val="nil"/>
              <w:bottom w:val="nil"/>
              <w:right w:val="nil"/>
            </w:tcBorders>
            <w:shd w:val="clear" w:color="auto" w:fill="E9E8E5" w:themeFill="background2"/>
            <w:hideMark/>
          </w:tcPr>
          <w:p w14:paraId="45357416" w14:textId="77777777" w:rsidR="002C37AB" w:rsidRDefault="002C37AB">
            <w:pPr>
              <w:pStyle w:val="BodyText"/>
            </w:pPr>
            <w:r>
              <w:t>The MDI survey is an important contribution to understanding the lived experiences of individuals and the impacts of an accessible dwelling on their lives. However, consistent with the treatment of a similar survey in a study by the London School of Economics and Political Science (LSE) and Centre for Analysis of Social Exclusion (CASE), the information from the MDI survey is treated as qualitative for the following reasons.</w:t>
            </w:r>
            <w:r>
              <w:rPr>
                <w:rStyle w:val="FootnoteReference"/>
              </w:rPr>
              <w:footnoteReference w:id="30"/>
            </w:r>
          </w:p>
          <w:p w14:paraId="2EB357FE" w14:textId="77777777" w:rsidR="002C37AB" w:rsidRDefault="002C37AB" w:rsidP="00231B7C">
            <w:pPr>
              <w:pStyle w:val="ListBullet"/>
              <w:numPr>
                <w:ilvl w:val="0"/>
                <w:numId w:val="18"/>
              </w:numPr>
            </w:pPr>
            <w:r>
              <w:t>It is not clear to what extent the survey is representative of the experiences of all people with disability. The online component of the survey was distributed via email through disability services and advocacy networks. While this was a logical approach to targeting people with disability (particularly within the timeframe for submissions), it is possible that this could lead to a biased sample because:</w:t>
            </w:r>
          </w:p>
          <w:p w14:paraId="3143899C" w14:textId="77777777" w:rsidR="002C37AB" w:rsidRDefault="002C37AB" w:rsidP="00231B7C">
            <w:pPr>
              <w:pStyle w:val="ListBullet2"/>
              <w:numPr>
                <w:ilvl w:val="1"/>
                <w:numId w:val="18"/>
              </w:numPr>
            </w:pPr>
            <w:r>
              <w:t>people who received the survey are more likely to be those that have accessibility issues</w:t>
            </w:r>
          </w:p>
          <w:p w14:paraId="0702F374" w14:textId="77777777" w:rsidR="002C37AB" w:rsidRDefault="002C37AB" w:rsidP="00231B7C">
            <w:pPr>
              <w:pStyle w:val="ListBullet2"/>
              <w:numPr>
                <w:ilvl w:val="1"/>
                <w:numId w:val="18"/>
              </w:numPr>
            </w:pPr>
            <w:r>
              <w:t>people with accessibility issues may have been more inclined to respond to the survey.</w:t>
            </w:r>
          </w:p>
          <w:p w14:paraId="17424B16" w14:textId="77777777" w:rsidR="002C37AB" w:rsidRDefault="00B42E7D" w:rsidP="00231B7C">
            <w:pPr>
              <w:pStyle w:val="ListBullet"/>
              <w:numPr>
                <w:ilvl w:val="0"/>
                <w:numId w:val="18"/>
              </w:numPr>
              <w:rPr>
                <w:lang w:bidi="fa-IR"/>
              </w:rPr>
            </w:pPr>
            <w:r>
              <w:rPr>
                <w:lang w:bidi="fa-IR"/>
              </w:rPr>
              <w:t>T</w:t>
            </w:r>
            <w:r w:rsidR="002C37AB">
              <w:rPr>
                <w:lang w:bidi="fa-IR"/>
              </w:rPr>
              <w:t>he survey invites inferences on the benefits of ‘accessible housing’ to be drawn based on a comparison between the experiences of those living in ‘accessible housing’ and those living in ‘inaccessible housing’. However, houses are categorised as accessible/inaccessible based on a self</w:t>
            </w:r>
            <w:r w:rsidR="002C37AB">
              <w:rPr>
                <w:lang w:bidi="fa-IR"/>
              </w:rPr>
              <w:noBreakHyphen/>
              <w:t>assessment that is not necessarily linked to the features that would be covered by the NCC proposal.</w:t>
            </w:r>
          </w:p>
          <w:p w14:paraId="65474955" w14:textId="77777777" w:rsidR="002C37AB" w:rsidRDefault="002C37AB" w:rsidP="00231B7C">
            <w:pPr>
              <w:pStyle w:val="ListBullet2"/>
              <w:numPr>
                <w:ilvl w:val="1"/>
                <w:numId w:val="18"/>
              </w:numPr>
              <w:rPr>
                <w:lang w:bidi="fa-IR"/>
              </w:rPr>
            </w:pPr>
            <w:r>
              <w:rPr>
                <w:lang w:bidi="fa-IR"/>
              </w:rPr>
              <w:t>It is self</w:t>
            </w:r>
            <w:r>
              <w:rPr>
                <w:lang w:bidi="fa-IR"/>
              </w:rPr>
              <w:noBreakHyphen/>
              <w:t>evident that:</w:t>
            </w:r>
          </w:p>
          <w:p w14:paraId="7AD52083" w14:textId="77777777" w:rsidR="002C37AB" w:rsidRDefault="002C37AB" w:rsidP="00231B7C">
            <w:pPr>
              <w:pStyle w:val="ListBullet3"/>
              <w:numPr>
                <w:ilvl w:val="2"/>
                <w:numId w:val="18"/>
              </w:numPr>
              <w:rPr>
                <w:lang w:bidi="fa-IR"/>
              </w:rPr>
            </w:pPr>
            <w:r>
              <w:rPr>
                <w:lang w:bidi="fa-IR"/>
              </w:rPr>
              <w:t>those who have indicated that their house meets their accessibility needs report having fewer issues relating to the accessibility of their house</w:t>
            </w:r>
          </w:p>
          <w:p w14:paraId="5D4D2B3D" w14:textId="77777777" w:rsidR="002C37AB" w:rsidRDefault="002C37AB" w:rsidP="00231B7C">
            <w:pPr>
              <w:pStyle w:val="ListBullet3"/>
              <w:numPr>
                <w:ilvl w:val="2"/>
                <w:numId w:val="18"/>
              </w:numPr>
            </w:pPr>
            <w:r>
              <w:t>those who have indicated that their house does not fully meet their accessibility needs</w:t>
            </w:r>
            <w:r>
              <w:rPr>
                <w:lang w:bidi="fa-IR"/>
              </w:rPr>
              <w:t xml:space="preserve"> are more likely to experience accessibility issues relating to their house.</w:t>
            </w:r>
          </w:p>
        </w:tc>
      </w:tr>
      <w:tr w:rsidR="002C37AB" w14:paraId="3E39A377" w14:textId="77777777" w:rsidTr="00233C02">
        <w:trPr>
          <w:cantSplit/>
          <w:trHeight w:val="142"/>
        </w:trPr>
        <w:tc>
          <w:tcPr>
            <w:tcW w:w="7935" w:type="dxa"/>
            <w:tcBorders>
              <w:top w:val="nil"/>
              <w:left w:val="nil"/>
              <w:bottom w:val="single" w:sz="6" w:space="0" w:color="9B917E" w:themeColor="accent4"/>
              <w:right w:val="nil"/>
            </w:tcBorders>
            <w:shd w:val="clear" w:color="auto" w:fill="E9E8E5" w:themeFill="background2"/>
          </w:tcPr>
          <w:p w14:paraId="05C052EB" w14:textId="4E02ED36" w:rsidR="002C37AB" w:rsidRDefault="00B42E7D" w:rsidP="00233C02">
            <w:pPr>
              <w:pStyle w:val="ListBullet2"/>
              <w:numPr>
                <w:ilvl w:val="1"/>
                <w:numId w:val="18"/>
              </w:numPr>
              <w:spacing w:after="120"/>
            </w:pPr>
            <w:r>
              <w:rPr>
                <w:lang w:bidi="fa-IR"/>
              </w:rPr>
              <w:t>It should be noted that</w:t>
            </w:r>
            <w:r w:rsidR="00231B7C">
              <w:rPr>
                <w:lang w:bidi="fa-IR"/>
              </w:rPr>
              <w:t xml:space="preserve"> houses assessed as ‘accessible’ were more likely to include the sorts of features covered by the proposed changes to the NCC than houses assessed as ‘inaccessible’ (chart </w:t>
            </w:r>
            <w:r w:rsidR="00587754">
              <w:rPr>
                <w:lang w:bidi="fa-IR"/>
              </w:rPr>
              <w:t>2.2</w:t>
            </w:r>
            <w:r w:rsidR="00231B7C">
              <w:rPr>
                <w:lang w:bidi="fa-IR"/>
              </w:rPr>
              <w:t xml:space="preserve">). This </w:t>
            </w:r>
            <w:r>
              <w:rPr>
                <w:lang w:bidi="fa-IR"/>
              </w:rPr>
              <w:t>suggest</w:t>
            </w:r>
            <w:r w:rsidR="00231B7C">
              <w:rPr>
                <w:lang w:bidi="fa-IR"/>
              </w:rPr>
              <w:t>s that features covered by the NCC proposal (Options 1</w:t>
            </w:r>
            <w:r w:rsidR="00231B7C">
              <w:rPr>
                <w:lang w:bidi="fa-IR"/>
              </w:rPr>
              <w:noBreakHyphen/>
              <w:t xml:space="preserve">3) are likely to make a home more accessible for people with mobility </w:t>
            </w:r>
            <w:r w:rsidR="00F71348">
              <w:rPr>
                <w:lang w:bidi="fa-IR"/>
              </w:rPr>
              <w:t>limitation</w:t>
            </w:r>
            <w:r w:rsidR="00231B7C">
              <w:rPr>
                <w:lang w:bidi="fa-IR"/>
              </w:rPr>
              <w:t>.</w:t>
            </w:r>
          </w:p>
        </w:tc>
      </w:tr>
    </w:tbl>
    <w:p w14:paraId="4440D882" w14:textId="77777777" w:rsidR="0055702E" w:rsidRDefault="0055702E" w:rsidP="00DD5DAA">
      <w:pPr>
        <w:pStyle w:val="BodyText"/>
      </w:pPr>
    </w:p>
    <w:p w14:paraId="06BEC99F" w14:textId="15591095" w:rsidR="00DD5DAA" w:rsidRDefault="00076C9B" w:rsidP="00DD5DAA">
      <w:pPr>
        <w:pStyle w:val="Caption"/>
      </w:pPr>
      <w:bookmarkStart w:id="64" w:name="_Toc57643581"/>
      <w:bookmarkStart w:id="65" w:name="_Toc70505496"/>
      <w:r>
        <w:lastRenderedPageBreak/>
        <w:t>2.2</w:t>
      </w:r>
      <w:r w:rsidR="00DD5DAA" w:rsidRPr="00695C93">
        <w:tab/>
      </w:r>
      <w:r w:rsidR="00DD5DAA">
        <w:t>Accessibility features in respondents homes</w:t>
      </w:r>
      <w:bookmarkEnd w:id="64"/>
      <w:bookmarkEnd w:id="65"/>
    </w:p>
    <w:p w14:paraId="60499CCC" w14:textId="77777777" w:rsidR="00233C02" w:rsidRDefault="00233C02" w:rsidP="00233C02">
      <w:pPr>
        <w:pStyle w:val="Subtitlebox"/>
      </w:pPr>
      <w:r w:rsidRPr="0096253E">
        <w:rPr>
          <w:noProof/>
        </w:rPr>
        <w:drawing>
          <wp:inline distT="0" distB="0" distL="0" distR="0" wp14:anchorId="33BCC032" wp14:editId="6B25FEC0">
            <wp:extent cx="5038725" cy="2432050"/>
            <wp:effectExtent l="76200" t="76200" r="85725" b="82550"/>
            <wp:docPr id="2" name="Picture 2" descr="A bar chart indicating features such as steps, toilet and shower access, grabrails and handrails in the homes of respondents to the Melbourne Disability Institute survey, and whether they are accessible or inaccessible. " title="Chart 2.2: Accessibility features in respondents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725" cy="2432050"/>
                    </a:xfrm>
                    <a:prstGeom prst="rect">
                      <a:avLst/>
                    </a:prstGeom>
                    <a:noFill/>
                    <a:ln w="76200">
                      <a:solidFill>
                        <a:schemeClr val="bg2"/>
                      </a:solidFill>
                    </a:ln>
                  </pic:spPr>
                </pic:pic>
              </a:graphicData>
            </a:graphic>
          </wp:inline>
        </w:drawing>
      </w:r>
    </w:p>
    <w:p w14:paraId="03111541" w14:textId="77777777" w:rsidR="00DD5DAA" w:rsidRDefault="00DD5DAA" w:rsidP="00DA6093">
      <w:pPr>
        <w:pStyle w:val="Note"/>
      </w:pPr>
      <w:r w:rsidRPr="00DA6093">
        <w:t>Data source:</w:t>
      </w:r>
      <w:r>
        <w:t xml:space="preserve"> Wiesel, I. </w:t>
      </w:r>
      <w:r w:rsidRPr="00DA6093">
        <w:t>Lived experience and social, health and economic impacts of inaccessible housing</w:t>
      </w:r>
      <w:r>
        <w:t xml:space="preserve">, </w:t>
      </w:r>
      <w:r w:rsidR="00B3197F">
        <w:t>prepared for the Melbourne Disability Institute, University of Melbourne and the Summer Foundation, 18 August 2020, as Appendix 2 of the submission by Melbourne Disability Institute (MDI) and Summer Foundation</w:t>
      </w:r>
      <w:r>
        <w:t>.</w:t>
      </w:r>
    </w:p>
    <w:p w14:paraId="41691B9B" w14:textId="77777777" w:rsidR="00DD5DAA" w:rsidRDefault="00B42E7D" w:rsidP="00DD5DAA">
      <w:pPr>
        <w:pStyle w:val="BodyText"/>
        <w:rPr>
          <w:lang w:bidi="fa-IR"/>
        </w:rPr>
      </w:pPr>
      <w:r>
        <w:rPr>
          <w:lang w:bidi="fa-IR"/>
        </w:rPr>
        <w:t>The survey results provided as part of the consultation response incorporated useful case studies. The following points are noted with respect to the case studies</w:t>
      </w:r>
      <w:r w:rsidR="00DD5DAA">
        <w:rPr>
          <w:lang w:bidi="fa-IR"/>
        </w:rPr>
        <w:t>.</w:t>
      </w:r>
    </w:p>
    <w:p w14:paraId="7854DD9A" w14:textId="77777777" w:rsidR="00DD5DAA" w:rsidRDefault="008871F6" w:rsidP="00DD5DAA">
      <w:pPr>
        <w:pStyle w:val="ListBullet"/>
        <w:rPr>
          <w:lang w:bidi="fa-IR"/>
        </w:rPr>
      </w:pPr>
      <w:r>
        <w:rPr>
          <w:lang w:bidi="fa-IR"/>
        </w:rPr>
        <w:t xml:space="preserve">While wheelchair users </w:t>
      </w:r>
      <w:r w:rsidR="00602602">
        <w:rPr>
          <w:lang w:bidi="fa-IR"/>
        </w:rPr>
        <w:t>account for</w:t>
      </w:r>
      <w:r>
        <w:rPr>
          <w:lang w:bidi="fa-IR"/>
        </w:rPr>
        <w:t xml:space="preserve"> around 6 per cent of all people with a mobility limitation due to disability</w:t>
      </w:r>
      <w:r w:rsidR="00FB2E79">
        <w:rPr>
          <w:lang w:bidi="fa-IR"/>
        </w:rPr>
        <w:t>,</w:t>
      </w:r>
      <w:r w:rsidR="003E0645">
        <w:rPr>
          <w:lang w:bidi="fa-IR"/>
        </w:rPr>
        <w:t xml:space="preserve"> the majority of case studies (</w:t>
      </w:r>
      <w:r w:rsidR="00612C19">
        <w:rPr>
          <w:lang w:bidi="fa-IR"/>
        </w:rPr>
        <w:t xml:space="preserve">7 of </w:t>
      </w:r>
      <w:r w:rsidR="00E02E2F">
        <w:rPr>
          <w:lang w:bidi="fa-IR"/>
        </w:rPr>
        <w:t>9</w:t>
      </w:r>
      <w:r w:rsidR="003E0645">
        <w:rPr>
          <w:lang w:bidi="fa-IR"/>
        </w:rPr>
        <w:t>)</w:t>
      </w:r>
      <w:r w:rsidR="00E02E2F">
        <w:rPr>
          <w:lang w:bidi="fa-IR"/>
        </w:rPr>
        <w:t xml:space="preserve"> </w:t>
      </w:r>
      <w:r w:rsidR="005C4E7D">
        <w:rPr>
          <w:lang w:bidi="fa-IR"/>
        </w:rPr>
        <w:t>provided in the joint submission by MDI and Summer Foundation</w:t>
      </w:r>
      <w:r w:rsidR="00DD5DAA">
        <w:rPr>
          <w:lang w:bidi="fa-IR"/>
        </w:rPr>
        <w:t>, referred to the experiences of wheelchair users.</w:t>
      </w:r>
      <w:r w:rsidR="00E02E2F">
        <w:rPr>
          <w:rStyle w:val="FootnoteReference"/>
          <w:lang w:bidi="fa-IR"/>
        </w:rPr>
        <w:footnoteReference w:id="31"/>
      </w:r>
      <w:r w:rsidR="00DD5DAA">
        <w:rPr>
          <w:lang w:bidi="fa-IR"/>
        </w:rPr>
        <w:t xml:space="preserve"> .</w:t>
      </w:r>
    </w:p>
    <w:p w14:paraId="6AC65B0C" w14:textId="77777777" w:rsidR="00DD5DAA" w:rsidRDefault="00DD5DAA" w:rsidP="00B42E7D">
      <w:pPr>
        <w:pStyle w:val="ListBullet"/>
        <w:rPr>
          <w:lang w:bidi="fa-IR"/>
        </w:rPr>
      </w:pPr>
      <w:r>
        <w:rPr>
          <w:lang w:bidi="fa-IR"/>
        </w:rPr>
        <w:t xml:space="preserve">Some case studies refer to challenges experienced working from home. However, the types of design features that the case studies indicate </w:t>
      </w:r>
      <w:r w:rsidRPr="00612C19">
        <w:rPr>
          <w:lang w:bidi="fa-IR"/>
        </w:rPr>
        <w:t>would assist ar</w:t>
      </w:r>
      <w:r>
        <w:rPr>
          <w:lang w:bidi="fa-IR"/>
        </w:rPr>
        <w:t xml:space="preserve">e not necessarily the features that would be provided under the NCC proposal. </w:t>
      </w:r>
      <w:r w:rsidR="00B42E7D">
        <w:rPr>
          <w:lang w:bidi="fa-IR"/>
        </w:rPr>
        <w:t>E</w:t>
      </w:r>
      <w:r>
        <w:rPr>
          <w:lang w:bidi="fa-IR"/>
        </w:rPr>
        <w:t>xample</w:t>
      </w:r>
      <w:r w:rsidR="00B42E7D">
        <w:rPr>
          <w:lang w:bidi="fa-IR"/>
        </w:rPr>
        <w:t xml:space="preserve">s of this include a </w:t>
      </w:r>
      <w:r>
        <w:rPr>
          <w:lang w:bidi="fa-IR"/>
        </w:rPr>
        <w:t>h</w:t>
      </w:r>
      <w:r w:rsidR="00B42E7D">
        <w:rPr>
          <w:lang w:bidi="fa-IR"/>
        </w:rPr>
        <w:t>e</w:t>
      </w:r>
      <w:r>
        <w:rPr>
          <w:lang w:bidi="fa-IR"/>
        </w:rPr>
        <w:t>igh</w:t>
      </w:r>
      <w:r w:rsidR="00B42E7D">
        <w:rPr>
          <w:lang w:bidi="fa-IR"/>
        </w:rPr>
        <w:t>t</w:t>
      </w:r>
      <w:r>
        <w:rPr>
          <w:lang w:bidi="fa-IR"/>
        </w:rPr>
        <w:t xml:space="preserve"> adjustable table, multiple computer screens, a microphone for dictation and adequate space for a wheelchair to enable work/studying from home and </w:t>
      </w:r>
      <w:r w:rsidR="00B42E7D">
        <w:rPr>
          <w:lang w:bidi="fa-IR"/>
        </w:rPr>
        <w:t>adjustable kitchen shelves.</w:t>
      </w:r>
    </w:p>
    <w:p w14:paraId="569FD02C" w14:textId="77777777" w:rsidR="00DD5DAA" w:rsidRDefault="00DD5DAA" w:rsidP="00DD5DAA">
      <w:pPr>
        <w:pStyle w:val="Heading3"/>
        <w:numPr>
          <w:ilvl w:val="2"/>
          <w:numId w:val="5"/>
        </w:numPr>
        <w:rPr>
          <w:lang w:bidi="fa-IR"/>
        </w:rPr>
      </w:pPr>
      <w:bookmarkStart w:id="66" w:name="_Ref56604139"/>
      <w:r>
        <w:rPr>
          <w:lang w:bidi="fa-IR"/>
        </w:rPr>
        <w:t>Qualitative analysis</w:t>
      </w:r>
      <w:bookmarkEnd w:id="66"/>
    </w:p>
    <w:p w14:paraId="4C0208B7" w14:textId="77777777" w:rsidR="00DD5DAA" w:rsidRDefault="00E57134" w:rsidP="00DD5DAA">
      <w:pPr>
        <w:pStyle w:val="BodyText"/>
        <w:rPr>
          <w:lang w:bidi="fa-IR"/>
        </w:rPr>
      </w:pPr>
      <w:r>
        <w:rPr>
          <w:lang w:bidi="fa-IR"/>
        </w:rPr>
        <w:t xml:space="preserve">A key theme presented during the consultation period, is the need for more </w:t>
      </w:r>
      <w:r w:rsidR="00DD5DAA">
        <w:rPr>
          <w:lang w:bidi="fa-IR"/>
        </w:rPr>
        <w:t>qualitative analysis</w:t>
      </w:r>
      <w:r>
        <w:rPr>
          <w:lang w:bidi="fa-IR"/>
        </w:rPr>
        <w:t xml:space="preserve"> to support the RIS</w:t>
      </w:r>
      <w:r w:rsidR="00DD5DAA">
        <w:rPr>
          <w:lang w:bidi="fa-IR"/>
        </w:rPr>
        <w:t xml:space="preserve">. </w:t>
      </w:r>
      <w:r w:rsidR="00F71348">
        <w:rPr>
          <w:lang w:bidi="fa-IR"/>
        </w:rPr>
        <w:t>Australian Network</w:t>
      </w:r>
      <w:r w:rsidR="00BE43C9">
        <w:rPr>
          <w:lang w:bidi="fa-IR"/>
        </w:rPr>
        <w:t xml:space="preserve"> for Universal Housing Design (</w:t>
      </w:r>
      <w:r w:rsidR="00DD5DAA">
        <w:rPr>
          <w:lang w:bidi="fa-IR"/>
        </w:rPr>
        <w:t>ANUHD</w:t>
      </w:r>
      <w:r w:rsidR="00BE43C9">
        <w:rPr>
          <w:lang w:bidi="fa-IR"/>
        </w:rPr>
        <w:t>)</w:t>
      </w:r>
      <w:r>
        <w:rPr>
          <w:lang w:bidi="fa-IR"/>
        </w:rPr>
        <w:t xml:space="preserve"> </w:t>
      </w:r>
      <w:r w:rsidR="00DD5DAA">
        <w:rPr>
          <w:rStyle w:val="FootnoteReference"/>
          <w:lang w:bidi="fa-IR"/>
        </w:rPr>
        <w:footnoteReference w:id="32"/>
      </w:r>
      <w:r>
        <w:rPr>
          <w:lang w:bidi="fa-IR"/>
        </w:rPr>
        <w:t xml:space="preserve"> stated:</w:t>
      </w:r>
    </w:p>
    <w:p w14:paraId="0515416E" w14:textId="77777777" w:rsidR="00DD5DAA" w:rsidRDefault="00DD5DAA" w:rsidP="00DD5DAA">
      <w:pPr>
        <w:pStyle w:val="Quote"/>
        <w:rPr>
          <w:lang w:bidi="fa-IR"/>
        </w:rPr>
      </w:pPr>
      <w:r>
        <w:rPr>
          <w:lang w:bidi="fa-IR"/>
        </w:rPr>
        <w:lastRenderedPageBreak/>
        <w:t>The consultation RIS repeatedly concedes that the available quantitative data are incomplete and unreliable. We share this concern and add that the Consultation RIS does not provide any qualitative analysis in these areas as required.</w:t>
      </w:r>
    </w:p>
    <w:p w14:paraId="1B7BD07C" w14:textId="77777777" w:rsidR="00DD5DAA" w:rsidRDefault="00DD5DAA" w:rsidP="00DD5DAA">
      <w:pPr>
        <w:pStyle w:val="BodyText"/>
        <w:rPr>
          <w:lang w:bidi="fa-IR"/>
        </w:rPr>
      </w:pPr>
      <w:r>
        <w:rPr>
          <w:lang w:bidi="fa-IR"/>
        </w:rPr>
        <w:t xml:space="preserve">The MDI and Summer Foundation submission echoes this </w:t>
      </w:r>
      <w:r w:rsidR="00E57134">
        <w:rPr>
          <w:lang w:bidi="fa-IR"/>
        </w:rPr>
        <w:t>concern</w:t>
      </w:r>
      <w:r>
        <w:rPr>
          <w:lang w:bidi="fa-IR"/>
        </w:rPr>
        <w:t>, ‘[i]t is notable, however, that they make limited reference to equity considerations and that their analysis does not include any qualitative analysis’.</w:t>
      </w:r>
      <w:r>
        <w:rPr>
          <w:rStyle w:val="FootnoteReference"/>
          <w:lang w:bidi="fa-IR"/>
        </w:rPr>
        <w:footnoteReference w:id="33"/>
      </w:r>
    </w:p>
    <w:p w14:paraId="77F9EF5F" w14:textId="313BD60B" w:rsidR="00DD5DAA" w:rsidRPr="00B0027F" w:rsidRDefault="00E57134" w:rsidP="00DD5DAA">
      <w:pPr>
        <w:pStyle w:val="BodyText"/>
        <w:rPr>
          <w:lang w:bidi="fa-IR"/>
        </w:rPr>
      </w:pPr>
      <w:r>
        <w:rPr>
          <w:lang w:bidi="fa-IR"/>
        </w:rPr>
        <w:t>In response to this feedback</w:t>
      </w:r>
      <w:r w:rsidR="00852F91">
        <w:rPr>
          <w:lang w:bidi="fa-IR"/>
        </w:rPr>
        <w:t>,</w:t>
      </w:r>
      <w:r>
        <w:rPr>
          <w:lang w:bidi="fa-IR"/>
        </w:rPr>
        <w:t xml:space="preserve"> </w:t>
      </w:r>
      <w:r w:rsidR="00362CBE">
        <w:rPr>
          <w:lang w:bidi="fa-IR"/>
        </w:rPr>
        <w:t xml:space="preserve">new information and suggestions </w:t>
      </w:r>
      <w:r w:rsidR="00DD5DAA">
        <w:rPr>
          <w:lang w:bidi="fa-IR"/>
        </w:rPr>
        <w:t xml:space="preserve">to further improve the qualitative analysis </w:t>
      </w:r>
      <w:r>
        <w:rPr>
          <w:lang w:bidi="fa-IR"/>
        </w:rPr>
        <w:t xml:space="preserve">have been developed and are </w:t>
      </w:r>
      <w:r w:rsidR="00DD5DAA">
        <w:rPr>
          <w:lang w:bidi="fa-IR"/>
        </w:rPr>
        <w:t>discuss</w:t>
      </w:r>
      <w:r w:rsidR="00362CBE">
        <w:rPr>
          <w:lang w:bidi="fa-IR"/>
        </w:rPr>
        <w:t>ed</w:t>
      </w:r>
      <w:r w:rsidR="00DD5DAA">
        <w:rPr>
          <w:lang w:bidi="fa-IR"/>
        </w:rPr>
        <w:t xml:space="preserve"> in the next section</w:t>
      </w:r>
      <w:r w:rsidR="00AA07AB">
        <w:rPr>
          <w:lang w:bidi="fa-IR"/>
        </w:rPr>
        <w:t xml:space="preserve"> </w:t>
      </w:r>
      <w:r>
        <w:rPr>
          <w:lang w:bidi="fa-IR"/>
        </w:rPr>
        <w:t>which discusses the Decision RIS approach to economic analysis and CBA (</w:t>
      </w:r>
      <w:r w:rsidR="00AA07AB">
        <w:rPr>
          <w:lang w:bidi="fa-IR"/>
        </w:rPr>
        <w:fldChar w:fldCharType="begin"/>
      </w:r>
      <w:r w:rsidR="00AA07AB">
        <w:rPr>
          <w:lang w:bidi="fa-IR"/>
        </w:rPr>
        <w:instrText xml:space="preserve"> REF _Ref56604324 \h </w:instrText>
      </w:r>
      <w:r w:rsidR="00AA07AB">
        <w:rPr>
          <w:lang w:bidi="fa-IR"/>
        </w:rPr>
      </w:r>
      <w:r w:rsidR="00AA07AB">
        <w:rPr>
          <w:lang w:bidi="fa-IR"/>
        </w:rPr>
        <w:fldChar w:fldCharType="separate"/>
      </w:r>
      <w:r w:rsidR="000F445C" w:rsidRPr="00512E86">
        <w:rPr>
          <w:lang w:bidi="fa-IR"/>
        </w:rPr>
        <w:t>Qualitative analysis</w:t>
      </w:r>
      <w:r w:rsidR="00AA07AB">
        <w:rPr>
          <w:lang w:bidi="fa-IR"/>
        </w:rPr>
        <w:fldChar w:fldCharType="end"/>
      </w:r>
      <w:r w:rsidR="00AA07AB">
        <w:rPr>
          <w:lang w:bidi="fa-IR"/>
        </w:rPr>
        <w:t xml:space="preserve"> </w:t>
      </w:r>
      <w:r w:rsidR="00AA07AB" w:rsidRPr="00A268FA">
        <w:rPr>
          <w:lang w:bidi="fa-IR"/>
        </w:rPr>
        <w:t xml:space="preserve">on </w:t>
      </w:r>
      <w:r w:rsidR="00AA07AB" w:rsidRPr="002636F7">
        <w:t>page</w:t>
      </w:r>
      <w:r w:rsidR="002636F7">
        <w:t> </w:t>
      </w:r>
      <w:r w:rsidR="00334BFA">
        <w:fldChar w:fldCharType="begin"/>
      </w:r>
      <w:r w:rsidR="00334BFA">
        <w:instrText xml:space="preserve"> PAGEREF _Ref56604324 \h </w:instrText>
      </w:r>
      <w:r w:rsidR="00334BFA">
        <w:fldChar w:fldCharType="separate"/>
      </w:r>
      <w:r w:rsidR="000F445C">
        <w:rPr>
          <w:noProof/>
        </w:rPr>
        <w:t>41</w:t>
      </w:r>
      <w:r w:rsidR="00334BFA">
        <w:fldChar w:fldCharType="end"/>
      </w:r>
      <w:r w:rsidRPr="00A268FA">
        <w:rPr>
          <w:lang w:bidi="fa-IR"/>
        </w:rPr>
        <w:t>)</w:t>
      </w:r>
      <w:r w:rsidR="00DD5DAA" w:rsidRPr="00A268FA">
        <w:rPr>
          <w:lang w:bidi="fa-IR"/>
        </w:rPr>
        <w:t>.</w:t>
      </w:r>
    </w:p>
    <w:p w14:paraId="4A6116E8" w14:textId="77777777" w:rsidR="00DD5DAA" w:rsidRDefault="00DD5DAA" w:rsidP="00DD5DAA">
      <w:pPr>
        <w:pStyle w:val="Heading3"/>
        <w:numPr>
          <w:ilvl w:val="2"/>
          <w:numId w:val="5"/>
        </w:numPr>
        <w:rPr>
          <w:lang w:bidi="fa-IR"/>
        </w:rPr>
      </w:pPr>
      <w:r>
        <w:rPr>
          <w:lang w:bidi="fa-IR"/>
        </w:rPr>
        <w:t>Social justice</w:t>
      </w:r>
    </w:p>
    <w:p w14:paraId="09B8A4D1" w14:textId="77777777" w:rsidR="00DD5DAA" w:rsidRDefault="00B20D31" w:rsidP="00DD5DAA">
      <w:pPr>
        <w:pStyle w:val="BodyText"/>
        <w:rPr>
          <w:lang w:bidi="fa-IR"/>
        </w:rPr>
      </w:pPr>
      <w:r>
        <w:rPr>
          <w:lang w:bidi="fa-IR"/>
        </w:rPr>
        <w:t xml:space="preserve">Several submissions highlighted the importance of social justice considerations. </w:t>
      </w:r>
      <w:r w:rsidR="00DD5DAA">
        <w:rPr>
          <w:lang w:bidi="fa-IR"/>
        </w:rPr>
        <w:t>Dalton and Carter (2020</w:t>
      </w:r>
      <w:r w:rsidR="00962896">
        <w:rPr>
          <w:lang w:bidi="fa-IR"/>
        </w:rPr>
        <w:t>a</w:t>
      </w:r>
      <w:r w:rsidR="00DD5DAA">
        <w:rPr>
          <w:lang w:bidi="fa-IR"/>
        </w:rPr>
        <w:t>) discuss social justice</w:t>
      </w:r>
      <w:r w:rsidR="005F328E">
        <w:rPr>
          <w:lang w:bidi="fa-IR"/>
        </w:rPr>
        <w:t xml:space="preserve"> (maximising social welfare function through distributive justice, that is, who receives the goods and services produced)</w:t>
      </w:r>
      <w:r w:rsidR="00DD5DAA">
        <w:rPr>
          <w:lang w:bidi="fa-IR"/>
        </w:rPr>
        <w:t xml:space="preserve"> as a reason for government intervention, links this to the principle of solidarity, and points to the need for social justice in housing in human rights frameworks and in other government reports</w:t>
      </w:r>
      <w:r w:rsidR="000C7375">
        <w:rPr>
          <w:lang w:bidi="fa-IR"/>
        </w:rPr>
        <w:t>.</w:t>
      </w:r>
      <w:r w:rsidR="000C7375">
        <w:rPr>
          <w:rStyle w:val="FootnoteReference"/>
          <w:lang w:bidi="fa-IR"/>
        </w:rPr>
        <w:footnoteReference w:id="34"/>
      </w:r>
    </w:p>
    <w:p w14:paraId="0B9793EF" w14:textId="77777777" w:rsidR="00DD5DAA" w:rsidRDefault="00DD5DAA" w:rsidP="00DD5DAA">
      <w:pPr>
        <w:pStyle w:val="BodyText"/>
        <w:rPr>
          <w:lang w:bidi="fa-IR"/>
        </w:rPr>
      </w:pPr>
      <w:r>
        <w:rPr>
          <w:lang w:bidi="fa-IR"/>
        </w:rPr>
        <w:t xml:space="preserve">The </w:t>
      </w:r>
      <w:r w:rsidR="00025482">
        <w:rPr>
          <w:lang w:bidi="fa-IR"/>
        </w:rPr>
        <w:t xml:space="preserve">RIS is an opportunity to inform decision-makers through an </w:t>
      </w:r>
      <w:r>
        <w:rPr>
          <w:lang w:bidi="fa-IR"/>
        </w:rPr>
        <w:t>assess</w:t>
      </w:r>
      <w:r w:rsidR="00025482">
        <w:rPr>
          <w:lang w:bidi="fa-IR"/>
        </w:rPr>
        <w:t>ment</w:t>
      </w:r>
      <w:r>
        <w:rPr>
          <w:lang w:bidi="fa-IR"/>
        </w:rPr>
        <w:t xml:space="preserve"> </w:t>
      </w:r>
      <w:r w:rsidR="00025482">
        <w:rPr>
          <w:lang w:bidi="fa-IR"/>
        </w:rPr>
        <w:t>of</w:t>
      </w:r>
      <w:r>
        <w:rPr>
          <w:lang w:bidi="fa-IR"/>
        </w:rPr>
        <w:t xml:space="preserve"> the most efficient way to achieve social justice and human rights objectives</w:t>
      </w:r>
      <w:r w:rsidR="00025482">
        <w:rPr>
          <w:lang w:bidi="fa-IR"/>
        </w:rPr>
        <w:t>.</w:t>
      </w:r>
      <w:r>
        <w:rPr>
          <w:lang w:bidi="fa-IR"/>
        </w:rPr>
        <w:t xml:space="preserve"> </w:t>
      </w:r>
    </w:p>
    <w:p w14:paraId="5112FF88" w14:textId="2FAF9995" w:rsidR="00DD5DAA" w:rsidRPr="005331B4" w:rsidRDefault="00DD5DAA" w:rsidP="00025482">
      <w:pPr>
        <w:pStyle w:val="BodyText"/>
        <w:rPr>
          <w:iCs/>
          <w:lang w:bidi="fa-IR"/>
        </w:rPr>
      </w:pPr>
      <w:r>
        <w:rPr>
          <w:lang w:bidi="fa-IR"/>
        </w:rPr>
        <w:t>By quantifying</w:t>
      </w:r>
      <w:r w:rsidR="00025482">
        <w:rPr>
          <w:lang w:bidi="fa-IR"/>
        </w:rPr>
        <w:t>, to the extent possible,</w:t>
      </w:r>
      <w:r>
        <w:rPr>
          <w:lang w:bidi="fa-IR"/>
        </w:rPr>
        <w:t xml:space="preserve"> the likely costs and benefits associated with </w:t>
      </w:r>
      <w:r w:rsidR="00025482">
        <w:rPr>
          <w:lang w:bidi="fa-IR"/>
        </w:rPr>
        <w:t>each</w:t>
      </w:r>
      <w:r>
        <w:rPr>
          <w:lang w:bidi="fa-IR"/>
        </w:rPr>
        <w:t xml:space="preserve"> proposed option the RIS will </w:t>
      </w:r>
      <w:r w:rsidR="0073094C">
        <w:rPr>
          <w:lang w:bidi="fa-IR"/>
        </w:rPr>
        <w:t>assist to inform</w:t>
      </w:r>
      <w:r w:rsidR="00025482">
        <w:rPr>
          <w:lang w:bidi="fa-IR"/>
        </w:rPr>
        <w:t xml:space="preserve"> informed decision making. In this RIS, the</w:t>
      </w:r>
      <w:r>
        <w:rPr>
          <w:lang w:bidi="fa-IR"/>
        </w:rPr>
        <w:t xml:space="preserve"> estimates of costs and benefits </w:t>
      </w:r>
      <w:r w:rsidR="00025482">
        <w:rPr>
          <w:lang w:bidi="fa-IR"/>
        </w:rPr>
        <w:t>are further supported by</w:t>
      </w:r>
      <w:r>
        <w:rPr>
          <w:lang w:bidi="fa-IR"/>
        </w:rPr>
        <w:t xml:space="preserve"> qualitative discussions on unquantifiable non-financial social costs and benefits</w:t>
      </w:r>
      <w:r w:rsidR="00025482">
        <w:rPr>
          <w:lang w:bidi="fa-IR"/>
        </w:rPr>
        <w:t>.</w:t>
      </w:r>
      <w:r>
        <w:rPr>
          <w:lang w:bidi="fa-IR"/>
        </w:rPr>
        <w:t xml:space="preserve"> </w:t>
      </w:r>
      <w:r w:rsidR="00025482">
        <w:rPr>
          <w:lang w:bidi="fa-IR"/>
        </w:rPr>
        <w:t xml:space="preserve">This is discussed in </w:t>
      </w:r>
      <w:r w:rsidRPr="005331B4">
        <w:rPr>
          <w:iCs/>
          <w:lang w:bidi="fa-IR"/>
        </w:rPr>
        <w:t xml:space="preserve">more details </w:t>
      </w:r>
      <w:r w:rsidR="00025482">
        <w:rPr>
          <w:iCs/>
          <w:lang w:bidi="fa-IR"/>
        </w:rPr>
        <w:t xml:space="preserve">in the </w:t>
      </w:r>
      <w:r w:rsidRPr="005331B4">
        <w:rPr>
          <w:iCs/>
          <w:lang w:bidi="fa-IR"/>
        </w:rPr>
        <w:t>‘Qualitative analysis’ subsection in the next section</w:t>
      </w:r>
      <w:r w:rsidR="00BE16EF">
        <w:rPr>
          <w:iCs/>
          <w:lang w:bidi="fa-IR"/>
        </w:rPr>
        <w:t xml:space="preserve"> on </w:t>
      </w:r>
      <w:r w:rsidR="00BE16EF" w:rsidRPr="00A268FA">
        <w:rPr>
          <w:lang w:bidi="fa-IR"/>
        </w:rPr>
        <w:t>page</w:t>
      </w:r>
      <w:r w:rsidR="00496CD5">
        <w:rPr>
          <w:lang w:bidi="fa-IR"/>
        </w:rPr>
        <w:t> </w:t>
      </w:r>
      <w:r w:rsidR="00BE16EF" w:rsidRPr="00A268FA">
        <w:rPr>
          <w:lang w:bidi="fa-IR"/>
        </w:rPr>
        <w:fldChar w:fldCharType="begin"/>
      </w:r>
      <w:r w:rsidR="00BE16EF" w:rsidRPr="00A268FA">
        <w:rPr>
          <w:lang w:bidi="fa-IR"/>
        </w:rPr>
        <w:instrText xml:space="preserve"> PAGEREF _Ref56604324 \h </w:instrText>
      </w:r>
      <w:r w:rsidR="00BE16EF" w:rsidRPr="00A268FA">
        <w:rPr>
          <w:lang w:bidi="fa-IR"/>
        </w:rPr>
      </w:r>
      <w:r w:rsidR="00BE16EF" w:rsidRPr="00A268FA">
        <w:rPr>
          <w:lang w:bidi="fa-IR"/>
        </w:rPr>
        <w:fldChar w:fldCharType="separate"/>
      </w:r>
      <w:r w:rsidR="000F445C">
        <w:rPr>
          <w:noProof/>
          <w:lang w:bidi="fa-IR"/>
        </w:rPr>
        <w:t>41</w:t>
      </w:r>
      <w:r w:rsidR="00BE16EF" w:rsidRPr="00A268FA">
        <w:rPr>
          <w:lang w:bidi="fa-IR"/>
        </w:rPr>
        <w:fldChar w:fldCharType="end"/>
      </w:r>
      <w:r w:rsidR="00BE16EF" w:rsidRPr="00A268FA">
        <w:rPr>
          <w:iCs/>
          <w:lang w:bidi="fa-IR"/>
        </w:rPr>
        <w:t xml:space="preserve"> and</w:t>
      </w:r>
      <w:r w:rsidR="00BE16EF">
        <w:rPr>
          <w:iCs/>
          <w:lang w:bidi="fa-IR"/>
        </w:rPr>
        <w:t xml:space="preserve"> ‘</w:t>
      </w:r>
      <w:r w:rsidR="00BE16EF">
        <w:rPr>
          <w:iCs/>
          <w:lang w:bidi="fa-IR"/>
        </w:rPr>
        <w:fldChar w:fldCharType="begin"/>
      </w:r>
      <w:r w:rsidR="00BE16EF">
        <w:rPr>
          <w:iCs/>
          <w:lang w:bidi="fa-IR"/>
        </w:rPr>
        <w:instrText xml:space="preserve"> REF _Ref56615643 \h </w:instrText>
      </w:r>
      <w:r w:rsidR="00BE16EF">
        <w:rPr>
          <w:iCs/>
          <w:lang w:bidi="fa-IR"/>
        </w:rPr>
      </w:r>
      <w:r w:rsidR="00BE16EF">
        <w:rPr>
          <w:iCs/>
          <w:lang w:bidi="fa-IR"/>
        </w:rPr>
        <w:fldChar w:fldCharType="separate"/>
      </w:r>
      <w:r w:rsidR="000F445C">
        <w:rPr>
          <w:lang w:eastAsia="en-US" w:bidi="fa-IR"/>
        </w:rPr>
        <w:t>Social justice, equity and costs to the community</w:t>
      </w:r>
      <w:r w:rsidR="00BE16EF">
        <w:rPr>
          <w:iCs/>
          <w:lang w:bidi="fa-IR"/>
        </w:rPr>
        <w:fldChar w:fldCharType="end"/>
      </w:r>
      <w:r w:rsidR="00BE16EF">
        <w:rPr>
          <w:iCs/>
          <w:lang w:bidi="fa-IR"/>
        </w:rPr>
        <w:t>’ subsection in cha</w:t>
      </w:r>
      <w:r w:rsidR="00BE16EF" w:rsidRPr="00A268FA">
        <w:rPr>
          <w:iCs/>
          <w:lang w:bidi="fa-IR"/>
        </w:rPr>
        <w:t>pter </w:t>
      </w:r>
      <w:r w:rsidR="00B57D3F" w:rsidRPr="00A268FA">
        <w:rPr>
          <w:iCs/>
          <w:lang w:bidi="fa-IR"/>
        </w:rPr>
        <w:t>three</w:t>
      </w:r>
      <w:r w:rsidR="00BE16EF" w:rsidRPr="00A268FA">
        <w:rPr>
          <w:iCs/>
          <w:lang w:bidi="fa-IR"/>
        </w:rPr>
        <w:t xml:space="preserve"> on </w:t>
      </w:r>
      <w:r w:rsidR="00BE16EF" w:rsidRPr="00A268FA">
        <w:rPr>
          <w:lang w:bidi="fa-IR"/>
        </w:rPr>
        <w:t>page </w:t>
      </w:r>
      <w:r w:rsidR="00BE16EF" w:rsidRPr="00A268FA">
        <w:rPr>
          <w:lang w:bidi="fa-IR"/>
        </w:rPr>
        <w:fldChar w:fldCharType="begin"/>
      </w:r>
      <w:r w:rsidR="00BE16EF" w:rsidRPr="00A268FA">
        <w:rPr>
          <w:lang w:bidi="fa-IR"/>
        </w:rPr>
        <w:instrText xml:space="preserve"> PAGEREF _Ref56615643 \h </w:instrText>
      </w:r>
      <w:r w:rsidR="00BE16EF" w:rsidRPr="00A268FA">
        <w:rPr>
          <w:lang w:bidi="fa-IR"/>
        </w:rPr>
      </w:r>
      <w:r w:rsidR="00BE16EF" w:rsidRPr="00A268FA">
        <w:rPr>
          <w:lang w:bidi="fa-IR"/>
        </w:rPr>
        <w:fldChar w:fldCharType="separate"/>
      </w:r>
      <w:r w:rsidR="000F445C">
        <w:rPr>
          <w:noProof/>
          <w:lang w:bidi="fa-IR"/>
        </w:rPr>
        <w:t>113</w:t>
      </w:r>
      <w:r w:rsidR="00BE16EF" w:rsidRPr="00A268FA">
        <w:rPr>
          <w:lang w:bidi="fa-IR"/>
        </w:rPr>
        <w:fldChar w:fldCharType="end"/>
      </w:r>
      <w:r w:rsidRPr="00A268FA">
        <w:rPr>
          <w:lang w:bidi="fa-IR"/>
        </w:rPr>
        <w:t>.</w:t>
      </w:r>
    </w:p>
    <w:p w14:paraId="60E1D7BA" w14:textId="77777777" w:rsidR="00DD5DAA" w:rsidRPr="006E0787" w:rsidRDefault="00DD5DAA" w:rsidP="00DD5DAA">
      <w:pPr>
        <w:pStyle w:val="BodyText"/>
        <w:rPr>
          <w:iCs/>
          <w:lang w:bidi="fa-IR"/>
        </w:rPr>
      </w:pPr>
      <w:r w:rsidRPr="006E0787">
        <w:rPr>
          <w:iCs/>
          <w:lang w:bidi="fa-IR"/>
        </w:rPr>
        <w:t xml:space="preserve">The discussion on social justice </w:t>
      </w:r>
      <w:r w:rsidR="00025482">
        <w:rPr>
          <w:iCs/>
          <w:lang w:bidi="fa-IR"/>
        </w:rPr>
        <w:t>is also related to</w:t>
      </w:r>
      <w:r w:rsidRPr="006E0787">
        <w:rPr>
          <w:iCs/>
          <w:lang w:bidi="fa-IR"/>
        </w:rPr>
        <w:t xml:space="preserve"> the discussion of some </w:t>
      </w:r>
      <w:r w:rsidR="00025482">
        <w:rPr>
          <w:iCs/>
          <w:lang w:bidi="fa-IR"/>
        </w:rPr>
        <w:t>potential</w:t>
      </w:r>
      <w:r w:rsidRPr="006E0787">
        <w:rPr>
          <w:iCs/>
          <w:lang w:bidi="fa-IR"/>
        </w:rPr>
        <w:t xml:space="preserve"> consequences of the proposed changes. One of these would be housing affordability, which was </w:t>
      </w:r>
      <w:r w:rsidR="005E02C6">
        <w:rPr>
          <w:iCs/>
          <w:lang w:bidi="fa-IR"/>
        </w:rPr>
        <w:t xml:space="preserve">a </w:t>
      </w:r>
      <w:r w:rsidRPr="006E0787">
        <w:rPr>
          <w:iCs/>
          <w:lang w:bidi="fa-IR"/>
        </w:rPr>
        <w:t>prominent theme of many (25 per cent) submissions. Higher construction costs of new dwellings w</w:t>
      </w:r>
      <w:r w:rsidR="006E0787" w:rsidRPr="006E0787">
        <w:rPr>
          <w:iCs/>
          <w:lang w:bidi="fa-IR"/>
        </w:rPr>
        <w:t>ould</w:t>
      </w:r>
      <w:r w:rsidRPr="006E0787">
        <w:rPr>
          <w:iCs/>
          <w:lang w:bidi="fa-IR"/>
        </w:rPr>
        <w:t xml:space="preserve"> increase the housing prices, especially for new housing</w:t>
      </w:r>
      <w:r w:rsidR="006E0787" w:rsidRPr="006E0787">
        <w:rPr>
          <w:iCs/>
          <w:lang w:bidi="fa-IR"/>
        </w:rPr>
        <w:t xml:space="preserve"> in non-metropolitan areas where the housing supply is relatively </w:t>
      </w:r>
      <w:r w:rsidR="006E0787" w:rsidRPr="00CC787C">
        <w:rPr>
          <w:iCs/>
          <w:lang w:bidi="fa-IR"/>
        </w:rPr>
        <w:t>elastic</w:t>
      </w:r>
      <w:r w:rsidRPr="00CC787C">
        <w:rPr>
          <w:iCs/>
          <w:lang w:bidi="fa-IR"/>
        </w:rPr>
        <w:t>,</w:t>
      </w:r>
      <w:r w:rsidRPr="006E0787">
        <w:rPr>
          <w:iCs/>
          <w:lang w:bidi="fa-IR"/>
        </w:rPr>
        <w:t xml:space="preserve"> adversely affecting housing affordability. </w:t>
      </w:r>
      <w:r w:rsidR="00B57D3F">
        <w:rPr>
          <w:iCs/>
          <w:lang w:bidi="fa-IR"/>
        </w:rPr>
        <w:t>c</w:t>
      </w:r>
      <w:r w:rsidR="006E0787">
        <w:rPr>
          <w:iCs/>
          <w:lang w:bidi="fa-IR"/>
        </w:rPr>
        <w:t xml:space="preserve">hapter </w:t>
      </w:r>
      <w:r w:rsidR="00B57D3F">
        <w:rPr>
          <w:iCs/>
          <w:lang w:bidi="fa-IR"/>
        </w:rPr>
        <w:t>seven</w:t>
      </w:r>
      <w:r w:rsidR="006E0787">
        <w:rPr>
          <w:iCs/>
          <w:lang w:bidi="fa-IR"/>
        </w:rPr>
        <w:t xml:space="preserve"> </w:t>
      </w:r>
      <w:r w:rsidR="00E862E9">
        <w:rPr>
          <w:iCs/>
          <w:lang w:bidi="fa-IR"/>
        </w:rPr>
        <w:t>provide</w:t>
      </w:r>
      <w:r w:rsidR="006E0787">
        <w:rPr>
          <w:iCs/>
          <w:lang w:bidi="fa-IR"/>
        </w:rPr>
        <w:t>s more detailed discussion on the housing affordability impact with</w:t>
      </w:r>
      <w:r w:rsidR="00145F9A">
        <w:rPr>
          <w:iCs/>
          <w:lang w:bidi="fa-IR"/>
        </w:rPr>
        <w:t>in</w:t>
      </w:r>
      <w:r w:rsidR="006E0787">
        <w:rPr>
          <w:iCs/>
          <w:lang w:bidi="fa-IR"/>
        </w:rPr>
        <w:t xml:space="preserve"> a supply-demand framework.</w:t>
      </w:r>
    </w:p>
    <w:p w14:paraId="531DD3CF" w14:textId="77777777" w:rsidR="00DD5DAA" w:rsidRDefault="00DD5DAA" w:rsidP="00DD5DAA">
      <w:pPr>
        <w:pStyle w:val="Heading3"/>
        <w:numPr>
          <w:ilvl w:val="2"/>
          <w:numId w:val="5"/>
        </w:numPr>
        <w:rPr>
          <w:lang w:bidi="fa-IR"/>
        </w:rPr>
      </w:pPr>
      <w:r>
        <w:rPr>
          <w:lang w:bidi="fa-IR"/>
        </w:rPr>
        <w:t>Other government programs</w:t>
      </w:r>
    </w:p>
    <w:p w14:paraId="3A5392DA" w14:textId="77777777" w:rsidR="00DD5DAA" w:rsidRDefault="00264AED" w:rsidP="00DD5DAA">
      <w:pPr>
        <w:pStyle w:val="BodyText"/>
        <w:rPr>
          <w:lang w:bidi="fa-IR"/>
        </w:rPr>
      </w:pPr>
      <w:r>
        <w:rPr>
          <w:lang w:bidi="fa-IR"/>
        </w:rPr>
        <w:t xml:space="preserve">Feedback during the consultation period suggested that </w:t>
      </w:r>
      <w:r w:rsidR="00DD5DAA">
        <w:rPr>
          <w:lang w:bidi="fa-IR"/>
        </w:rPr>
        <w:t>the RIS should provide more analysis on the impacts of government programs.</w:t>
      </w:r>
    </w:p>
    <w:p w14:paraId="33358931" w14:textId="77777777" w:rsidR="00DD5DAA" w:rsidRDefault="00DD5DAA" w:rsidP="00DD5DAA">
      <w:pPr>
        <w:pStyle w:val="BodyText"/>
        <w:rPr>
          <w:lang w:bidi="fa-IR"/>
        </w:rPr>
      </w:pPr>
      <w:r>
        <w:rPr>
          <w:lang w:bidi="fa-IR"/>
        </w:rPr>
        <w:lastRenderedPageBreak/>
        <w:t>The methodology in the C</w:t>
      </w:r>
      <w:r w:rsidR="007573EF">
        <w:rPr>
          <w:lang w:bidi="fa-IR"/>
        </w:rPr>
        <w:t xml:space="preserve">onsultation </w:t>
      </w:r>
      <w:r>
        <w:rPr>
          <w:lang w:bidi="fa-IR"/>
        </w:rPr>
        <w:t xml:space="preserve">RIS is based on outcomes with existing policies in place, so implicitly takes current policies/programmes into account. </w:t>
      </w:r>
      <w:r w:rsidR="007573EF">
        <w:rPr>
          <w:lang w:bidi="fa-IR"/>
        </w:rPr>
        <w:t>R</w:t>
      </w:r>
      <w:r>
        <w:rPr>
          <w:lang w:bidi="fa-IR"/>
        </w:rPr>
        <w:t>eviewing other government programmes separately</w:t>
      </w:r>
      <w:r w:rsidR="007573EF">
        <w:rPr>
          <w:lang w:bidi="fa-IR"/>
        </w:rPr>
        <w:t xml:space="preserve"> is</w:t>
      </w:r>
      <w:r>
        <w:rPr>
          <w:lang w:bidi="fa-IR"/>
        </w:rPr>
        <w:t xml:space="preserve"> beyond the scope of the RIS.</w:t>
      </w:r>
    </w:p>
    <w:p w14:paraId="27DCE808" w14:textId="77777777" w:rsidR="00DD5DAA" w:rsidRPr="005331B4" w:rsidRDefault="007573EF" w:rsidP="00DD5DAA">
      <w:pPr>
        <w:pStyle w:val="BodyText"/>
        <w:rPr>
          <w:lang w:bidi="fa-IR"/>
        </w:rPr>
      </w:pPr>
      <w:r>
        <w:rPr>
          <w:lang w:bidi="fa-IR"/>
        </w:rPr>
        <w:t>CIE notes t</w:t>
      </w:r>
      <w:r w:rsidR="00DD5DAA" w:rsidRPr="005331B4">
        <w:rPr>
          <w:lang w:bidi="fa-IR"/>
        </w:rPr>
        <w:t xml:space="preserve">hat it is possible that where some </w:t>
      </w:r>
      <w:r>
        <w:rPr>
          <w:lang w:bidi="fa-IR"/>
        </w:rPr>
        <w:t>government programs may</w:t>
      </w:r>
      <w:r w:rsidR="00DD5DAA" w:rsidRPr="005331B4">
        <w:rPr>
          <w:lang w:bidi="fa-IR"/>
        </w:rPr>
        <w:t xml:space="preserve"> not </w:t>
      </w:r>
      <w:r>
        <w:rPr>
          <w:lang w:bidi="fa-IR"/>
        </w:rPr>
        <w:t xml:space="preserve">have </w:t>
      </w:r>
      <w:r w:rsidR="00DD5DAA" w:rsidRPr="005331B4">
        <w:rPr>
          <w:lang w:bidi="fa-IR"/>
        </w:rPr>
        <w:t>yet had the</w:t>
      </w:r>
      <w:r>
        <w:rPr>
          <w:lang w:bidi="fa-IR"/>
        </w:rPr>
        <w:t>ir</w:t>
      </w:r>
      <w:r w:rsidR="00DD5DAA" w:rsidRPr="005331B4">
        <w:rPr>
          <w:lang w:bidi="fa-IR"/>
        </w:rPr>
        <w:t xml:space="preserve"> full effect (such as NDIS), the estimates </w:t>
      </w:r>
      <w:r>
        <w:rPr>
          <w:lang w:bidi="fa-IR"/>
        </w:rPr>
        <w:t xml:space="preserve">may </w:t>
      </w:r>
      <w:r w:rsidR="00DD5DAA" w:rsidRPr="005331B4">
        <w:rPr>
          <w:lang w:bidi="fa-IR"/>
        </w:rPr>
        <w:t xml:space="preserve">overstate the size of problem. </w:t>
      </w:r>
      <w:r w:rsidR="00122005">
        <w:rPr>
          <w:lang w:bidi="fa-IR"/>
        </w:rPr>
        <w:t>However</w:t>
      </w:r>
      <w:r>
        <w:rPr>
          <w:lang w:bidi="fa-IR"/>
        </w:rPr>
        <w:t>,</w:t>
      </w:r>
      <w:r w:rsidR="00122005">
        <w:rPr>
          <w:lang w:bidi="fa-IR"/>
        </w:rPr>
        <w:t xml:space="preserve"> </w:t>
      </w:r>
      <w:r w:rsidR="00AC3F82">
        <w:rPr>
          <w:lang w:bidi="fa-IR"/>
        </w:rPr>
        <w:t xml:space="preserve">as the effectiveness of future policies are uncertain, </w:t>
      </w:r>
      <w:r>
        <w:rPr>
          <w:lang w:bidi="fa-IR"/>
        </w:rPr>
        <w:t xml:space="preserve">this reinforces </w:t>
      </w:r>
      <w:r w:rsidR="00152C14">
        <w:rPr>
          <w:lang w:bidi="fa-IR"/>
        </w:rPr>
        <w:t xml:space="preserve">the </w:t>
      </w:r>
      <w:r>
        <w:rPr>
          <w:lang w:bidi="fa-IR"/>
        </w:rPr>
        <w:t xml:space="preserve">approach that </w:t>
      </w:r>
      <w:r w:rsidR="00152C14">
        <w:rPr>
          <w:lang w:bidi="fa-IR"/>
        </w:rPr>
        <w:t xml:space="preserve">CIE </w:t>
      </w:r>
      <w:r>
        <w:rPr>
          <w:lang w:bidi="fa-IR"/>
        </w:rPr>
        <w:t>estimates be</w:t>
      </w:r>
      <w:r w:rsidR="00AC3F82">
        <w:rPr>
          <w:lang w:bidi="fa-IR"/>
        </w:rPr>
        <w:t xml:space="preserve"> based on actual outcomes under current policy settings.</w:t>
      </w:r>
    </w:p>
    <w:p w14:paraId="60BE3C78" w14:textId="77777777" w:rsidR="00DD5DAA" w:rsidRDefault="007573EF" w:rsidP="00DD5DAA">
      <w:pPr>
        <w:pStyle w:val="BodyText"/>
        <w:rPr>
          <w:lang w:bidi="fa-IR"/>
        </w:rPr>
      </w:pPr>
      <w:r>
        <w:rPr>
          <w:lang w:bidi="fa-IR"/>
        </w:rPr>
        <w:t>It was also noted during consultation that</w:t>
      </w:r>
      <w:r w:rsidR="00DD5DAA">
        <w:rPr>
          <w:lang w:bidi="fa-IR"/>
        </w:rPr>
        <w:t xml:space="preserve"> proposed changes to the NCC </w:t>
      </w:r>
      <w:r>
        <w:rPr>
          <w:lang w:bidi="fa-IR"/>
        </w:rPr>
        <w:t>c</w:t>
      </w:r>
      <w:r w:rsidR="00DD5DAA">
        <w:rPr>
          <w:lang w:bidi="fa-IR"/>
        </w:rPr>
        <w:t xml:space="preserve">ould </w:t>
      </w:r>
      <w:r>
        <w:rPr>
          <w:lang w:bidi="fa-IR"/>
        </w:rPr>
        <w:t>lower the cost of existing government policies and that this should be incorporated into the analysis. CIE notes this but wishes to avoid any risk of</w:t>
      </w:r>
      <w:r w:rsidR="00DD5DAA">
        <w:rPr>
          <w:lang w:bidi="fa-IR"/>
        </w:rPr>
        <w:t xml:space="preserve"> double counting. For example, accessibility features in new dwellings may lead to less need for funding home modification</w:t>
      </w:r>
      <w:r w:rsidR="009C231E">
        <w:rPr>
          <w:lang w:bidi="fa-IR"/>
        </w:rPr>
        <w:t>s</w:t>
      </w:r>
      <w:r w:rsidR="00DD5DAA">
        <w:rPr>
          <w:lang w:bidi="fa-IR"/>
        </w:rPr>
        <w:t xml:space="preserve"> through </w:t>
      </w:r>
      <w:r w:rsidR="006114E6">
        <w:rPr>
          <w:lang w:bidi="fa-IR"/>
        </w:rPr>
        <w:t>the National Disability Insurance Scheme (</w:t>
      </w:r>
      <w:r w:rsidR="00DD5DAA">
        <w:rPr>
          <w:lang w:bidi="fa-IR"/>
        </w:rPr>
        <w:t>NDIS</w:t>
      </w:r>
      <w:r w:rsidR="006114E6">
        <w:rPr>
          <w:lang w:bidi="fa-IR"/>
        </w:rPr>
        <w:t>)</w:t>
      </w:r>
      <w:r w:rsidR="00DD5DAA">
        <w:rPr>
          <w:lang w:bidi="fa-IR"/>
        </w:rPr>
        <w:t>. The C</w:t>
      </w:r>
      <w:r>
        <w:rPr>
          <w:lang w:bidi="fa-IR"/>
        </w:rPr>
        <w:t xml:space="preserve">onsultation </w:t>
      </w:r>
      <w:r w:rsidR="00DD5DAA">
        <w:rPr>
          <w:lang w:bidi="fa-IR"/>
        </w:rPr>
        <w:t>RIS ha</w:t>
      </w:r>
      <w:r w:rsidR="00E27C5B">
        <w:rPr>
          <w:lang w:bidi="fa-IR"/>
        </w:rPr>
        <w:t>s</w:t>
      </w:r>
      <w:r w:rsidR="00DD5DAA">
        <w:rPr>
          <w:lang w:bidi="fa-IR"/>
        </w:rPr>
        <w:t xml:space="preserve"> included home modification as a part of the problem, and </w:t>
      </w:r>
      <w:r w:rsidR="002877EB">
        <w:rPr>
          <w:lang w:bidi="fa-IR"/>
        </w:rPr>
        <w:t>in doing so has inherently recognised</w:t>
      </w:r>
      <w:r w:rsidR="00DD5DAA">
        <w:rPr>
          <w:lang w:bidi="fa-IR"/>
        </w:rPr>
        <w:t xml:space="preserve"> the impact of reducing funding from the NDIS.</w:t>
      </w:r>
    </w:p>
    <w:p w14:paraId="7D229EF5" w14:textId="77777777" w:rsidR="00DD5DAA" w:rsidRDefault="00DD5DAA" w:rsidP="00DD5DAA">
      <w:pPr>
        <w:pStyle w:val="Heading3"/>
        <w:numPr>
          <w:ilvl w:val="2"/>
          <w:numId w:val="5"/>
        </w:numPr>
        <w:rPr>
          <w:lang w:bidi="fa-IR"/>
        </w:rPr>
      </w:pPr>
      <w:r>
        <w:rPr>
          <w:lang w:bidi="fa-IR"/>
        </w:rPr>
        <w:t>Alternative methodological approaches</w:t>
      </w:r>
    </w:p>
    <w:p w14:paraId="34391544" w14:textId="77777777" w:rsidR="00DD5DAA" w:rsidRDefault="00DD5DAA" w:rsidP="00DD5DAA">
      <w:pPr>
        <w:pStyle w:val="BodyText"/>
        <w:rPr>
          <w:lang w:bidi="fa-IR"/>
        </w:rPr>
      </w:pPr>
      <w:r>
        <w:rPr>
          <w:lang w:bidi="fa-IR"/>
        </w:rPr>
        <w:t xml:space="preserve">Some submissions suggest alternative approaches to the CBA </w:t>
      </w:r>
      <w:r w:rsidR="00E50BE4">
        <w:rPr>
          <w:lang w:bidi="fa-IR"/>
        </w:rPr>
        <w:t xml:space="preserve">than those </w:t>
      </w:r>
      <w:r>
        <w:rPr>
          <w:lang w:bidi="fa-IR"/>
        </w:rPr>
        <w:t>required by the</w:t>
      </w:r>
      <w:r w:rsidR="000C2E65">
        <w:rPr>
          <w:lang w:bidi="fa-IR"/>
        </w:rPr>
        <w:t xml:space="preserve"> </w:t>
      </w:r>
      <w:r w:rsidR="00604E37">
        <w:rPr>
          <w:lang w:bidi="fa-IR"/>
        </w:rPr>
        <w:t>Council of Australian Governments. Best Practice Regulation</w:t>
      </w:r>
      <w:r w:rsidR="00966B46">
        <w:rPr>
          <w:lang w:bidi="fa-IR"/>
        </w:rPr>
        <w:t xml:space="preserve"> Guidelines</w:t>
      </w:r>
      <w:r w:rsidR="00EE3B3B">
        <w:rPr>
          <w:lang w:bidi="fa-IR"/>
        </w:rPr>
        <w:t>:</w:t>
      </w:r>
      <w:r w:rsidR="0065798A">
        <w:rPr>
          <w:rStyle w:val="FootnoteReference"/>
          <w:lang w:bidi="fa-IR"/>
        </w:rPr>
        <w:footnoteReference w:id="35"/>
      </w:r>
    </w:p>
    <w:p w14:paraId="0CF199B6" w14:textId="77777777" w:rsidR="00DD5DAA" w:rsidRDefault="00DD5DAA" w:rsidP="00DD5DAA">
      <w:pPr>
        <w:pStyle w:val="ListBullet"/>
        <w:rPr>
          <w:lang w:bidi="fa-IR"/>
        </w:rPr>
      </w:pPr>
      <w:r>
        <w:rPr>
          <w:lang w:bidi="fa-IR"/>
        </w:rPr>
        <w:t>SGS Economics and Planning</w:t>
      </w:r>
      <w:r w:rsidR="00A22B04">
        <w:rPr>
          <w:lang w:bidi="fa-IR"/>
        </w:rPr>
        <w:t xml:space="preserve"> (SGS)</w:t>
      </w:r>
      <w:r>
        <w:rPr>
          <w:lang w:bidi="fa-IR"/>
        </w:rPr>
        <w:t xml:space="preserve"> suggests a cost-effectiveness analysis (CEA)</w:t>
      </w:r>
    </w:p>
    <w:p w14:paraId="2BA2A3F3" w14:textId="77777777" w:rsidR="00DD5DAA" w:rsidRDefault="00DD5DAA" w:rsidP="00DD5DAA">
      <w:pPr>
        <w:pStyle w:val="ListBullet"/>
        <w:rPr>
          <w:lang w:bidi="fa-IR"/>
        </w:rPr>
      </w:pPr>
      <w:r>
        <w:rPr>
          <w:lang w:bidi="fa-IR"/>
        </w:rPr>
        <w:t>One local council proposes a capability approach</w:t>
      </w:r>
      <w:r w:rsidR="00FB225F">
        <w:rPr>
          <w:lang w:bidi="fa-IR"/>
        </w:rPr>
        <w:t>,</w:t>
      </w:r>
      <w:r>
        <w:rPr>
          <w:lang w:bidi="fa-IR"/>
        </w:rPr>
        <w:t xml:space="preserve"> and</w:t>
      </w:r>
    </w:p>
    <w:p w14:paraId="19786A09" w14:textId="77777777" w:rsidR="00DD5DAA" w:rsidRDefault="00DD5DAA" w:rsidP="00DD5DAA">
      <w:pPr>
        <w:pStyle w:val="ListBullet"/>
        <w:rPr>
          <w:lang w:bidi="fa-IR"/>
        </w:rPr>
      </w:pPr>
      <w:r>
        <w:rPr>
          <w:lang w:bidi="fa-IR"/>
        </w:rPr>
        <w:t>Post-Polio Victoria (PPV) suggests a socio-ecological framework.</w:t>
      </w:r>
    </w:p>
    <w:p w14:paraId="3B889D0F" w14:textId="77777777" w:rsidR="00DD5DAA" w:rsidRDefault="00DD5DAA" w:rsidP="00DD5DAA">
      <w:pPr>
        <w:pStyle w:val="BodyText"/>
        <w:rPr>
          <w:lang w:bidi="fa-IR"/>
        </w:rPr>
      </w:pPr>
      <w:r>
        <w:rPr>
          <w:lang w:bidi="fa-IR"/>
        </w:rPr>
        <w:t>Under the CEA approach, ‘the desired outcome or end-state is defined. With this outcome established, a range of implementation options can be compared based on their relative costs and effects. This approach, unlike CBA, does not require the benefits to be monetized.’</w:t>
      </w:r>
      <w:r>
        <w:rPr>
          <w:rStyle w:val="FootnoteReference"/>
          <w:lang w:bidi="fa-IR"/>
        </w:rPr>
        <w:footnoteReference w:id="36"/>
      </w:r>
      <w:r>
        <w:rPr>
          <w:lang w:bidi="fa-IR"/>
        </w:rPr>
        <w:t xml:space="preserve"> </w:t>
      </w:r>
    </w:p>
    <w:p w14:paraId="02FE0E5D" w14:textId="77777777" w:rsidR="00DD5DAA" w:rsidRDefault="00DD5DAA" w:rsidP="00DD5DAA">
      <w:pPr>
        <w:pStyle w:val="BodyText"/>
        <w:rPr>
          <w:lang w:bidi="fa-IR"/>
        </w:rPr>
      </w:pPr>
      <w:r>
        <w:rPr>
          <w:lang w:bidi="fa-IR"/>
        </w:rPr>
        <w:t xml:space="preserve">This CEA approach is not practical and applicable for this RIS because the outcome is not defined. More specifically it is because six options have been developed. At the least, </w:t>
      </w:r>
      <w:r w:rsidR="0065798A">
        <w:rPr>
          <w:lang w:bidi="fa-IR"/>
        </w:rPr>
        <w:t xml:space="preserve">the </w:t>
      </w:r>
      <w:r w:rsidR="00547EC9">
        <w:rPr>
          <w:lang w:bidi="fa-IR"/>
        </w:rPr>
        <w:t>G</w:t>
      </w:r>
      <w:r w:rsidR="0065798A">
        <w:rPr>
          <w:lang w:bidi="fa-IR"/>
        </w:rPr>
        <w:t>uidelines</w:t>
      </w:r>
      <w:r>
        <w:rPr>
          <w:lang w:bidi="fa-IR"/>
        </w:rPr>
        <w:t xml:space="preserve"> require two options to be considered – a regulatory option and a non-regulatory option. Moreover, different levels of accessibility requirements have been considered. These options have different outcomes and impacts. In order to compare them, benefits as well as costs have to be estimated.</w:t>
      </w:r>
    </w:p>
    <w:p w14:paraId="6779A4F4" w14:textId="77777777" w:rsidR="00DD5DAA" w:rsidRDefault="00DD5DAA" w:rsidP="00DD5DAA">
      <w:pPr>
        <w:pStyle w:val="BodyText"/>
        <w:rPr>
          <w:lang w:bidi="fa-IR"/>
        </w:rPr>
      </w:pPr>
      <w:r>
        <w:rPr>
          <w:lang w:bidi="fa-IR"/>
        </w:rPr>
        <w:lastRenderedPageBreak/>
        <w:t>The ‘capability approach’, developed by Amartya Sen and others,</w:t>
      </w:r>
      <w:r>
        <w:rPr>
          <w:rStyle w:val="FootnoteReference"/>
          <w:lang w:bidi="fa-IR"/>
        </w:rPr>
        <w:footnoteReference w:id="37"/>
      </w:r>
      <w:r>
        <w:rPr>
          <w:lang w:bidi="fa-IR"/>
        </w:rPr>
        <w:t xml:space="preserve"> extends the traditional income based approach to welfare evaluation. Under this approach, the measure of well-being is the capability (which is a </w:t>
      </w:r>
      <w:r w:rsidRPr="00582310">
        <w:rPr>
          <w:i/>
          <w:iCs/>
          <w:lang w:bidi="fa-IR"/>
        </w:rPr>
        <w:t>practical opportunity</w:t>
      </w:r>
      <w:r>
        <w:rPr>
          <w:lang w:bidi="fa-IR"/>
        </w:rPr>
        <w:t>) to achieve various functionings (which are the actual achievement</w:t>
      </w:r>
      <w:r w:rsidR="00E27C5B">
        <w:rPr>
          <w:lang w:bidi="fa-IR"/>
        </w:rPr>
        <w:t>s</w:t>
      </w:r>
      <w:r>
        <w:rPr>
          <w:lang w:bidi="fa-IR"/>
        </w:rPr>
        <w:t>) that an individual may value. These functionings are very broad and include things such as being well nourished, being healthy, having productive and interesting work and so on. In this view, income is only one of the constraints that affect an individual’s capability. Other market or non-market constraints exist. For example</w:t>
      </w:r>
      <w:r w:rsidR="005C5C33">
        <w:rPr>
          <w:lang w:bidi="fa-IR"/>
        </w:rPr>
        <w:t>,</w:t>
      </w:r>
      <w:r>
        <w:rPr>
          <w:lang w:bidi="fa-IR"/>
        </w:rPr>
        <w:t xml:space="preserve"> disability can be understood as a deprivation in terms of capabilities or functionings that results from the interaction of an individual’s personal characteristics (e.g. age, impairment), the basket of available resources (assets and income) and environment (social, economic, political, cultural).</w:t>
      </w:r>
      <w:r>
        <w:rPr>
          <w:rStyle w:val="FootnoteReference"/>
          <w:lang w:bidi="fa-IR"/>
        </w:rPr>
        <w:footnoteReference w:id="38"/>
      </w:r>
    </w:p>
    <w:p w14:paraId="40BA1410" w14:textId="77777777" w:rsidR="00DD5DAA" w:rsidRDefault="00DD5DAA" w:rsidP="00DD5DAA">
      <w:pPr>
        <w:pStyle w:val="BodyText"/>
        <w:rPr>
          <w:lang w:bidi="fa-IR"/>
        </w:rPr>
      </w:pPr>
      <w:r>
        <w:rPr>
          <w:lang w:bidi="fa-IR"/>
        </w:rPr>
        <w:t>The capa</w:t>
      </w:r>
      <w:r w:rsidR="00C96BD3">
        <w:rPr>
          <w:lang w:bidi="fa-IR"/>
        </w:rPr>
        <w:t>bil</w:t>
      </w:r>
      <w:r>
        <w:rPr>
          <w:lang w:bidi="fa-IR"/>
        </w:rPr>
        <w:t>ity approach provides a valuable framework</w:t>
      </w:r>
      <w:r w:rsidR="00783462">
        <w:rPr>
          <w:lang w:bidi="fa-IR"/>
        </w:rPr>
        <w:t xml:space="preserve"> for</w:t>
      </w:r>
      <w:r>
        <w:rPr>
          <w:lang w:bidi="fa-IR"/>
        </w:rPr>
        <w:t xml:space="preserve"> measuring outcomes or well-being in general for the development of social economic policies. For example, multi-dimensional measures of health and non-health capabilities could be developed compatible with the capability approach.</w:t>
      </w:r>
      <w:r>
        <w:rPr>
          <w:rStyle w:val="FootnoteReference"/>
          <w:lang w:bidi="fa-IR"/>
        </w:rPr>
        <w:footnoteReference w:id="39"/>
      </w:r>
      <w:r>
        <w:rPr>
          <w:lang w:bidi="fa-IR"/>
        </w:rPr>
        <w:t xml:space="preserve"> </w:t>
      </w:r>
    </w:p>
    <w:p w14:paraId="3DA0781D" w14:textId="77777777" w:rsidR="00DD5DAA" w:rsidRDefault="00DD5DAA" w:rsidP="00DD5DAA">
      <w:pPr>
        <w:pStyle w:val="BodyText"/>
        <w:rPr>
          <w:lang w:bidi="fa-IR"/>
        </w:rPr>
      </w:pPr>
      <w:r>
        <w:rPr>
          <w:lang w:bidi="fa-IR"/>
        </w:rPr>
        <w:t xml:space="preserve">While it is possible to view the implementation of a building code as an expansion of the capability set for </w:t>
      </w:r>
      <w:r w:rsidR="00E813BF">
        <w:rPr>
          <w:lang w:bidi="fa-IR"/>
        </w:rPr>
        <w:t>people</w:t>
      </w:r>
      <w:r>
        <w:rPr>
          <w:lang w:bidi="fa-IR"/>
        </w:rPr>
        <w:t xml:space="preserve"> with disability, this does not eliminate the need for </w:t>
      </w:r>
      <w:r w:rsidR="00B41C95">
        <w:rPr>
          <w:lang w:bidi="fa-IR"/>
        </w:rPr>
        <w:t>CBA</w:t>
      </w:r>
      <w:r>
        <w:rPr>
          <w:lang w:bidi="fa-IR"/>
        </w:rPr>
        <w:t xml:space="preserve">. Where resources are limited and trade-offs need to be made, it is still important to compare the value of the increased capability with the cost of providing that increase. This ensures the best use of resources as to maximise the potential increase in capability. </w:t>
      </w:r>
    </w:p>
    <w:p w14:paraId="502CC341" w14:textId="67C40092" w:rsidR="00DD5DAA" w:rsidRDefault="00DD5DAA" w:rsidP="00DD5DAA">
      <w:pPr>
        <w:pStyle w:val="BodyText"/>
        <w:rPr>
          <w:lang w:bidi="fa-IR"/>
        </w:rPr>
      </w:pPr>
      <w:r>
        <w:rPr>
          <w:lang w:bidi="fa-IR"/>
        </w:rPr>
        <w:t>The C</w:t>
      </w:r>
      <w:r w:rsidR="00B01E99">
        <w:rPr>
          <w:lang w:bidi="fa-IR"/>
        </w:rPr>
        <w:t xml:space="preserve">onsultation </w:t>
      </w:r>
      <w:r>
        <w:rPr>
          <w:lang w:bidi="fa-IR"/>
        </w:rPr>
        <w:t>RIS has identified a wide range of impacts and benefits of accessible housing, from reduced safety risks, reduced hospitalisation and health care costs, to reduced loneliness. All of these effects, as identified, are consistent with the capa</w:t>
      </w:r>
      <w:r w:rsidR="00C96BD3">
        <w:rPr>
          <w:lang w:bidi="fa-IR"/>
        </w:rPr>
        <w:t>bil</w:t>
      </w:r>
      <w:r>
        <w:rPr>
          <w:lang w:bidi="fa-IR"/>
        </w:rPr>
        <w:t xml:space="preserve">ity approach. The list of benefit measurements </w:t>
      </w:r>
      <w:r w:rsidR="00B41C95">
        <w:rPr>
          <w:lang w:bidi="fa-IR"/>
        </w:rPr>
        <w:t>h</w:t>
      </w:r>
      <w:r w:rsidR="00DF3E96">
        <w:rPr>
          <w:lang w:bidi="fa-IR"/>
        </w:rPr>
        <w:t xml:space="preserve">ave been </w:t>
      </w:r>
      <w:r>
        <w:rPr>
          <w:lang w:bidi="fa-IR"/>
        </w:rPr>
        <w:t xml:space="preserve">further broadened with new information revealed in the public consultation. Detailed discussions on these issues – temporary injuries, families with </w:t>
      </w:r>
      <w:r w:rsidR="004334CC">
        <w:rPr>
          <w:lang w:bidi="fa-IR"/>
        </w:rPr>
        <w:t>young depend</w:t>
      </w:r>
      <w:r w:rsidR="003F2BCB">
        <w:rPr>
          <w:lang w:bidi="fa-IR"/>
        </w:rPr>
        <w:t>a</w:t>
      </w:r>
      <w:r w:rsidR="004334CC">
        <w:rPr>
          <w:lang w:bidi="fa-IR"/>
        </w:rPr>
        <w:t>nts</w:t>
      </w:r>
      <w:r>
        <w:rPr>
          <w:lang w:bidi="fa-IR"/>
        </w:rPr>
        <w:t xml:space="preserve">, anxiety and mental health impacts, social isolation, quality of life – </w:t>
      </w:r>
      <w:r w:rsidR="00DF3E96">
        <w:rPr>
          <w:lang w:bidi="fa-IR"/>
        </w:rPr>
        <w:t>are</w:t>
      </w:r>
      <w:r>
        <w:rPr>
          <w:lang w:bidi="fa-IR"/>
        </w:rPr>
        <w:t xml:space="preserve"> provided in the specific methodological issues section </w:t>
      </w:r>
      <w:r w:rsidR="00CC42AA">
        <w:rPr>
          <w:lang w:bidi="fa-IR"/>
        </w:rPr>
        <w:t>on page</w:t>
      </w:r>
      <w:r w:rsidR="00496CD5">
        <w:rPr>
          <w:lang w:bidi="fa-IR"/>
        </w:rPr>
        <w:t> </w:t>
      </w:r>
      <w:r w:rsidR="00496CD5">
        <w:rPr>
          <w:lang w:bidi="fa-IR"/>
        </w:rPr>
        <w:fldChar w:fldCharType="begin"/>
      </w:r>
      <w:r w:rsidR="00496CD5">
        <w:rPr>
          <w:lang w:bidi="fa-IR"/>
        </w:rPr>
        <w:instrText xml:space="preserve"> PAGEREF _Ref64926200 \h </w:instrText>
      </w:r>
      <w:r w:rsidR="00496CD5">
        <w:rPr>
          <w:lang w:bidi="fa-IR"/>
        </w:rPr>
      </w:r>
      <w:r w:rsidR="00496CD5">
        <w:rPr>
          <w:lang w:bidi="fa-IR"/>
        </w:rPr>
        <w:fldChar w:fldCharType="separate"/>
      </w:r>
      <w:r w:rsidR="000F445C">
        <w:rPr>
          <w:noProof/>
          <w:lang w:bidi="fa-IR"/>
        </w:rPr>
        <w:t>43</w:t>
      </w:r>
      <w:r w:rsidR="00496CD5">
        <w:rPr>
          <w:lang w:bidi="fa-IR"/>
        </w:rPr>
        <w:fldChar w:fldCharType="end"/>
      </w:r>
      <w:r>
        <w:rPr>
          <w:lang w:bidi="fa-IR"/>
        </w:rPr>
        <w:t>.</w:t>
      </w:r>
    </w:p>
    <w:p w14:paraId="604B82D5" w14:textId="77777777" w:rsidR="00DD5DAA" w:rsidRDefault="00DD5DAA" w:rsidP="00DD5DAA">
      <w:pPr>
        <w:pStyle w:val="BodyText"/>
        <w:rPr>
          <w:lang w:bidi="fa-IR"/>
        </w:rPr>
      </w:pPr>
      <w:r>
        <w:rPr>
          <w:lang w:bidi="fa-IR"/>
        </w:rPr>
        <w:t>Moreover, the needs based assessment for the demand for accessible housing as suggested by the council submission has difficulties in practice. It is difficult to assess those needs because the definition of need itself is value based and will vary depending on who tries to define it.</w:t>
      </w:r>
      <w:r>
        <w:rPr>
          <w:rStyle w:val="FootnoteReference"/>
          <w:lang w:bidi="fa-IR"/>
        </w:rPr>
        <w:footnoteReference w:id="40"/>
      </w:r>
    </w:p>
    <w:p w14:paraId="4BE706A3" w14:textId="77777777" w:rsidR="00DD5DAA" w:rsidRDefault="00DD5DAA" w:rsidP="00DD5DAA">
      <w:pPr>
        <w:pStyle w:val="BodyText"/>
        <w:rPr>
          <w:lang w:bidi="fa-IR"/>
        </w:rPr>
      </w:pPr>
      <w:r>
        <w:rPr>
          <w:color w:val="212121"/>
          <w:shd w:val="clear" w:color="auto" w:fill="FFFFFF"/>
        </w:rPr>
        <w:t xml:space="preserve">As for the usefulness of the capability approach in regard to the </w:t>
      </w:r>
      <w:r w:rsidR="00C054C7">
        <w:rPr>
          <w:color w:val="212121"/>
          <w:shd w:val="clear" w:color="auto" w:fill="FFFFFF"/>
        </w:rPr>
        <w:t>UN</w:t>
      </w:r>
      <w:r>
        <w:rPr>
          <w:color w:val="212121"/>
          <w:shd w:val="clear" w:color="auto" w:fill="FFFFFF"/>
        </w:rPr>
        <w:t xml:space="preserve">CRPD, a major issue arises with the practical identification of capabilities. For example, Caroline Harnacke argues that ‘the capabilities approach can be regarded as supporting the rights specified in </w:t>
      </w:r>
      <w:r>
        <w:rPr>
          <w:color w:val="212121"/>
          <w:shd w:val="clear" w:color="auto" w:fill="FFFFFF"/>
        </w:rPr>
        <w:lastRenderedPageBreak/>
        <w:t xml:space="preserve">the </w:t>
      </w:r>
      <w:r w:rsidR="00C054C7">
        <w:rPr>
          <w:color w:val="212121"/>
          <w:shd w:val="clear" w:color="auto" w:fill="FFFFFF"/>
        </w:rPr>
        <w:t>UN</w:t>
      </w:r>
      <w:r>
        <w:rPr>
          <w:color w:val="212121"/>
          <w:shd w:val="clear" w:color="auto" w:fill="FFFFFF"/>
        </w:rPr>
        <w:t>CRPD, but that it proves unable to guide the implementation process due to an insufficient grounding of the capabilities. Employing the capabilities approach thus leads to only limited results’.</w:t>
      </w:r>
      <w:r>
        <w:rPr>
          <w:rStyle w:val="FootnoteReference"/>
          <w:shd w:val="clear" w:color="auto" w:fill="FFFFFF"/>
        </w:rPr>
        <w:footnoteReference w:id="41"/>
      </w:r>
    </w:p>
    <w:p w14:paraId="78F66C36" w14:textId="77777777" w:rsidR="00DD5DAA" w:rsidRDefault="008F013B" w:rsidP="00DD5DAA">
      <w:pPr>
        <w:pStyle w:val="BodyText"/>
        <w:rPr>
          <w:lang w:bidi="fa-IR"/>
        </w:rPr>
      </w:pPr>
      <w:r>
        <w:rPr>
          <w:lang w:bidi="fa-IR"/>
        </w:rPr>
        <w:t xml:space="preserve">The PPV submission </w:t>
      </w:r>
      <w:r w:rsidR="00700F64">
        <w:rPr>
          <w:lang w:bidi="fa-IR"/>
        </w:rPr>
        <w:t>suggest</w:t>
      </w:r>
      <w:r w:rsidR="005967C7">
        <w:rPr>
          <w:lang w:bidi="fa-IR"/>
        </w:rPr>
        <w:t>ed a</w:t>
      </w:r>
      <w:r w:rsidR="00DD5DAA">
        <w:rPr>
          <w:lang w:bidi="fa-IR"/>
        </w:rPr>
        <w:t xml:space="preserve"> socio-ecological framework</w:t>
      </w:r>
      <w:r w:rsidR="00F40F57">
        <w:rPr>
          <w:lang w:bidi="fa-IR"/>
        </w:rPr>
        <w:t>. The framework</w:t>
      </w:r>
      <w:r w:rsidR="00DD5DAA">
        <w:rPr>
          <w:lang w:bidi="fa-IR"/>
        </w:rPr>
        <w:t xml:space="preserve"> gives a more balanced perspective on the needs of people with disability and older people in terms of not only their needs, but also their families, friends, carers and social networks, and the whole Australian society. It ‘accounts for the impact of an individual’s social and environmental context on their health outcomes’. For example, inability to access their friends’ homes can impact on ‘their commitment to continue to build a life full of meaning’ and, due to their friends’ potential lack of understanding of their physical limitations, to diminished social relationships or inclusion.</w:t>
      </w:r>
      <w:r w:rsidR="00DD5DAA">
        <w:rPr>
          <w:rStyle w:val="FootnoteReference"/>
          <w:lang w:bidi="fa-IR"/>
        </w:rPr>
        <w:footnoteReference w:id="42"/>
      </w:r>
    </w:p>
    <w:p w14:paraId="20A23B05" w14:textId="005E1356" w:rsidR="00DD5DAA" w:rsidRPr="005E28ED" w:rsidRDefault="00DD5DAA" w:rsidP="00DD5DAA">
      <w:pPr>
        <w:pStyle w:val="BodyText"/>
        <w:rPr>
          <w:lang w:bidi="fa-IR"/>
        </w:rPr>
      </w:pPr>
      <w:r>
        <w:rPr>
          <w:lang w:bidi="fa-IR"/>
        </w:rPr>
        <w:t xml:space="preserve">The socio-ecological framework is therefore not a different approach to the CBA per se. Instead, it provides a perspective to include broad impacts. This </w:t>
      </w:r>
      <w:r w:rsidR="008F013B">
        <w:rPr>
          <w:lang w:bidi="fa-IR"/>
        </w:rPr>
        <w:t xml:space="preserve">has </w:t>
      </w:r>
      <w:r>
        <w:rPr>
          <w:lang w:bidi="fa-IR"/>
        </w:rPr>
        <w:t>be</w:t>
      </w:r>
      <w:r w:rsidR="008F013B">
        <w:rPr>
          <w:lang w:bidi="fa-IR"/>
        </w:rPr>
        <w:t>en</w:t>
      </w:r>
      <w:r>
        <w:rPr>
          <w:lang w:bidi="fa-IR"/>
        </w:rPr>
        <w:t xml:space="preserve"> addressed in the RIS by including additional benefits – see detailed discussions on temporary injuries, families with </w:t>
      </w:r>
      <w:r w:rsidR="006A0644">
        <w:rPr>
          <w:lang w:bidi="fa-IR"/>
        </w:rPr>
        <w:t>young depend</w:t>
      </w:r>
      <w:r w:rsidR="003F2BCB">
        <w:rPr>
          <w:lang w:bidi="fa-IR"/>
        </w:rPr>
        <w:t>a</w:t>
      </w:r>
      <w:r w:rsidR="006A0644">
        <w:rPr>
          <w:lang w:bidi="fa-IR"/>
        </w:rPr>
        <w:t>nts (page</w:t>
      </w:r>
      <w:r w:rsidR="00496CD5">
        <w:rPr>
          <w:lang w:bidi="fa-IR"/>
        </w:rPr>
        <w:t> </w:t>
      </w:r>
      <w:r w:rsidR="00496CD5">
        <w:rPr>
          <w:lang w:bidi="fa-IR"/>
        </w:rPr>
        <w:fldChar w:fldCharType="begin"/>
      </w:r>
      <w:r w:rsidR="00496CD5">
        <w:rPr>
          <w:lang w:bidi="fa-IR"/>
        </w:rPr>
        <w:instrText xml:space="preserve"> PAGEREF _Ref64926305 \h </w:instrText>
      </w:r>
      <w:r w:rsidR="00496CD5">
        <w:rPr>
          <w:lang w:bidi="fa-IR"/>
        </w:rPr>
      </w:r>
      <w:r w:rsidR="00496CD5">
        <w:rPr>
          <w:lang w:bidi="fa-IR"/>
        </w:rPr>
        <w:fldChar w:fldCharType="separate"/>
      </w:r>
      <w:r w:rsidR="000F445C">
        <w:rPr>
          <w:noProof/>
          <w:lang w:bidi="fa-IR"/>
        </w:rPr>
        <w:t>51</w:t>
      </w:r>
      <w:r w:rsidR="00496CD5">
        <w:rPr>
          <w:lang w:bidi="fa-IR"/>
        </w:rPr>
        <w:fldChar w:fldCharType="end"/>
      </w:r>
      <w:r w:rsidR="006A0644">
        <w:rPr>
          <w:lang w:bidi="fa-IR"/>
        </w:rPr>
        <w:t>)</w:t>
      </w:r>
      <w:r>
        <w:rPr>
          <w:lang w:bidi="fa-IR"/>
        </w:rPr>
        <w:t>, anxiety and mental health impacts</w:t>
      </w:r>
      <w:r w:rsidR="006A0644">
        <w:rPr>
          <w:lang w:bidi="fa-IR"/>
        </w:rPr>
        <w:t xml:space="preserve"> (page</w:t>
      </w:r>
      <w:r w:rsidR="00496CD5">
        <w:rPr>
          <w:lang w:bidi="fa-IR"/>
        </w:rPr>
        <w:t> </w:t>
      </w:r>
      <w:r w:rsidR="006A0644">
        <w:rPr>
          <w:lang w:bidi="fa-IR"/>
        </w:rPr>
        <w:fldChar w:fldCharType="begin"/>
      </w:r>
      <w:r w:rsidR="006A0644">
        <w:rPr>
          <w:lang w:bidi="fa-IR"/>
        </w:rPr>
        <w:instrText xml:space="preserve"> PAGEREF _Ref56604579 \h </w:instrText>
      </w:r>
      <w:r w:rsidR="006A0644">
        <w:rPr>
          <w:lang w:bidi="fa-IR"/>
        </w:rPr>
      </w:r>
      <w:r w:rsidR="006A0644">
        <w:rPr>
          <w:lang w:bidi="fa-IR"/>
        </w:rPr>
        <w:fldChar w:fldCharType="separate"/>
      </w:r>
      <w:r w:rsidR="000F445C">
        <w:rPr>
          <w:noProof/>
          <w:lang w:bidi="fa-IR"/>
        </w:rPr>
        <w:t>51</w:t>
      </w:r>
      <w:r w:rsidR="006A0644">
        <w:rPr>
          <w:lang w:bidi="fa-IR"/>
        </w:rPr>
        <w:fldChar w:fldCharType="end"/>
      </w:r>
      <w:r w:rsidR="006A0644">
        <w:rPr>
          <w:lang w:bidi="fa-IR"/>
        </w:rPr>
        <w:t>)</w:t>
      </w:r>
      <w:r>
        <w:rPr>
          <w:lang w:bidi="fa-IR"/>
        </w:rPr>
        <w:t>, social isolation</w:t>
      </w:r>
      <w:r w:rsidR="006A0644">
        <w:rPr>
          <w:lang w:bidi="fa-IR"/>
        </w:rPr>
        <w:t xml:space="preserve"> (page</w:t>
      </w:r>
      <w:r w:rsidR="00496CD5">
        <w:rPr>
          <w:lang w:bidi="fa-IR"/>
        </w:rPr>
        <w:t> </w:t>
      </w:r>
      <w:r w:rsidR="00496CD5">
        <w:rPr>
          <w:lang w:bidi="fa-IR"/>
        </w:rPr>
        <w:fldChar w:fldCharType="begin"/>
      </w:r>
      <w:r w:rsidR="00496CD5">
        <w:rPr>
          <w:lang w:bidi="fa-IR"/>
        </w:rPr>
        <w:instrText xml:space="preserve"> PAGEREF _Ref56604587 \h </w:instrText>
      </w:r>
      <w:r w:rsidR="00496CD5">
        <w:rPr>
          <w:lang w:bidi="fa-IR"/>
        </w:rPr>
      </w:r>
      <w:r w:rsidR="00496CD5">
        <w:rPr>
          <w:lang w:bidi="fa-IR"/>
        </w:rPr>
        <w:fldChar w:fldCharType="separate"/>
      </w:r>
      <w:r w:rsidR="000F445C">
        <w:rPr>
          <w:noProof/>
          <w:lang w:bidi="fa-IR"/>
        </w:rPr>
        <w:t>52</w:t>
      </w:r>
      <w:r w:rsidR="00496CD5">
        <w:rPr>
          <w:lang w:bidi="fa-IR"/>
        </w:rPr>
        <w:fldChar w:fldCharType="end"/>
      </w:r>
      <w:r w:rsidR="006A0644">
        <w:rPr>
          <w:lang w:bidi="fa-IR"/>
        </w:rPr>
        <w:t>)</w:t>
      </w:r>
      <w:r>
        <w:rPr>
          <w:lang w:bidi="fa-IR"/>
        </w:rPr>
        <w:t>, quality of life</w:t>
      </w:r>
      <w:r w:rsidR="006A0644">
        <w:rPr>
          <w:lang w:bidi="fa-IR"/>
        </w:rPr>
        <w:t xml:space="preserve"> (page</w:t>
      </w:r>
      <w:r w:rsidR="00496CD5">
        <w:rPr>
          <w:lang w:bidi="fa-IR"/>
        </w:rPr>
        <w:t> </w:t>
      </w:r>
      <w:r w:rsidR="006A0644">
        <w:rPr>
          <w:lang w:bidi="fa-IR"/>
        </w:rPr>
        <w:fldChar w:fldCharType="begin"/>
      </w:r>
      <w:r w:rsidR="006A0644">
        <w:rPr>
          <w:lang w:bidi="fa-IR"/>
        </w:rPr>
        <w:instrText xml:space="preserve"> PAGEREF _Ref56604594 \h </w:instrText>
      </w:r>
      <w:r w:rsidR="006A0644">
        <w:rPr>
          <w:lang w:bidi="fa-IR"/>
        </w:rPr>
      </w:r>
      <w:r w:rsidR="006A0644">
        <w:rPr>
          <w:lang w:bidi="fa-IR"/>
        </w:rPr>
        <w:fldChar w:fldCharType="separate"/>
      </w:r>
      <w:r w:rsidR="000F445C">
        <w:rPr>
          <w:noProof/>
          <w:lang w:bidi="fa-IR"/>
        </w:rPr>
        <w:t>53</w:t>
      </w:r>
      <w:r w:rsidR="006A0644">
        <w:rPr>
          <w:lang w:bidi="fa-IR"/>
        </w:rPr>
        <w:fldChar w:fldCharType="end"/>
      </w:r>
      <w:r w:rsidR="006A0644">
        <w:rPr>
          <w:lang w:bidi="fa-IR"/>
        </w:rPr>
        <w:t>)</w:t>
      </w:r>
      <w:r>
        <w:rPr>
          <w:lang w:bidi="fa-IR"/>
        </w:rPr>
        <w:t xml:space="preserve"> in the specific methodological issues section.</w:t>
      </w:r>
    </w:p>
    <w:p w14:paraId="0ABEFBC5" w14:textId="77777777" w:rsidR="00DD5DAA" w:rsidRDefault="00DD5DAA" w:rsidP="00DD5DAA">
      <w:pPr>
        <w:pStyle w:val="Heading3"/>
        <w:numPr>
          <w:ilvl w:val="2"/>
          <w:numId w:val="5"/>
        </w:numPr>
        <w:rPr>
          <w:lang w:bidi="fa-IR"/>
        </w:rPr>
      </w:pPr>
      <w:r>
        <w:rPr>
          <w:lang w:bidi="fa-IR"/>
        </w:rPr>
        <w:t xml:space="preserve">Technical change and interpretation </w:t>
      </w:r>
      <w:r w:rsidR="00EB6720">
        <w:rPr>
          <w:lang w:bidi="fa-IR"/>
        </w:rPr>
        <w:t>of</w:t>
      </w:r>
      <w:r w:rsidR="00EB6720" w:rsidRPr="7E24893C">
        <w:rPr>
          <w:lang w:bidi="fa-IR"/>
        </w:rPr>
        <w:t xml:space="preserve"> </w:t>
      </w:r>
      <w:r>
        <w:rPr>
          <w:lang w:bidi="fa-IR"/>
        </w:rPr>
        <w:t xml:space="preserve">the proposal </w:t>
      </w:r>
    </w:p>
    <w:p w14:paraId="5BCD7CF2" w14:textId="77777777" w:rsidR="000C2E65" w:rsidRDefault="000C2E65" w:rsidP="00DD5DAA">
      <w:pPr>
        <w:pStyle w:val="BodyText"/>
        <w:rPr>
          <w:lang w:bidi="fa-IR"/>
        </w:rPr>
      </w:pPr>
      <w:r>
        <w:rPr>
          <w:lang w:bidi="fa-IR"/>
        </w:rPr>
        <w:t>Feedback was received during consultation with respect to the application of the LHD</w:t>
      </w:r>
      <w:r w:rsidR="00AD3890">
        <w:rPr>
          <w:lang w:bidi="fa-IR"/>
        </w:rPr>
        <w:t>G</w:t>
      </w:r>
      <w:r>
        <w:rPr>
          <w:lang w:bidi="fa-IR"/>
        </w:rPr>
        <w:t xml:space="preserve"> guidelines and associated universal designs. </w:t>
      </w:r>
    </w:p>
    <w:p w14:paraId="753F3B95" w14:textId="77777777" w:rsidR="00DD5DAA" w:rsidRDefault="00DD5DAA" w:rsidP="00DD5DAA">
      <w:pPr>
        <w:pStyle w:val="BodyText"/>
        <w:rPr>
          <w:lang w:bidi="fa-IR"/>
        </w:rPr>
      </w:pPr>
      <w:r>
        <w:rPr>
          <w:lang w:bidi="fa-IR"/>
        </w:rPr>
        <w:t>S</w:t>
      </w:r>
      <w:r w:rsidR="000C2E65">
        <w:rPr>
          <w:lang w:bidi="fa-IR"/>
        </w:rPr>
        <w:t>everal</w:t>
      </w:r>
      <w:r>
        <w:rPr>
          <w:lang w:bidi="fa-IR"/>
        </w:rPr>
        <w:t xml:space="preserve"> submissions have raised the issue that the proposed changes to the NCC d</w:t>
      </w:r>
      <w:r w:rsidR="00533DF1">
        <w:rPr>
          <w:lang w:bidi="fa-IR"/>
        </w:rPr>
        <w:t>id</w:t>
      </w:r>
      <w:r>
        <w:rPr>
          <w:lang w:bidi="fa-IR"/>
        </w:rPr>
        <w:t xml:space="preserve"> not </w:t>
      </w:r>
      <w:r w:rsidR="0085578A">
        <w:rPr>
          <w:lang w:bidi="fa-IR"/>
        </w:rPr>
        <w:t xml:space="preserve">accurately </w:t>
      </w:r>
      <w:r>
        <w:rPr>
          <w:lang w:bidi="fa-IR"/>
        </w:rPr>
        <w:t>reflect the LHD</w:t>
      </w:r>
      <w:r w:rsidR="007A43BB">
        <w:rPr>
          <w:lang w:bidi="fa-IR"/>
        </w:rPr>
        <w:t>G</w:t>
      </w:r>
      <w:r>
        <w:rPr>
          <w:lang w:bidi="fa-IR"/>
        </w:rPr>
        <w:t>. In ANUHD’s words,</w:t>
      </w:r>
      <w:r>
        <w:rPr>
          <w:rStyle w:val="FootnoteReference"/>
          <w:lang w:bidi="fa-IR"/>
        </w:rPr>
        <w:footnoteReference w:id="43"/>
      </w:r>
      <w:r>
        <w:rPr>
          <w:lang w:bidi="fa-IR"/>
        </w:rPr>
        <w:t xml:space="preserve"> </w:t>
      </w:r>
    </w:p>
    <w:p w14:paraId="15DDC402" w14:textId="77777777" w:rsidR="00DD5DAA" w:rsidRDefault="00DD5DAA" w:rsidP="00DD5DAA">
      <w:pPr>
        <w:pStyle w:val="Quote"/>
        <w:rPr>
          <w:lang w:bidi="fa-IR"/>
        </w:rPr>
      </w:pPr>
      <w:r>
        <w:rPr>
          <w:lang w:bidi="fa-IR"/>
        </w:rPr>
        <w:t>The draft changes to the NCC has watered down the LHD guidelines. … The draft changes to the NCC, as they stand, would render homes built under any of Options 1-4 inaccessible.</w:t>
      </w:r>
    </w:p>
    <w:p w14:paraId="77B54462" w14:textId="77777777" w:rsidR="00DD5DAA" w:rsidRDefault="0085578A" w:rsidP="00DD5DAA">
      <w:pPr>
        <w:pStyle w:val="BodyText"/>
        <w:rPr>
          <w:lang w:bidi="fa-IR"/>
        </w:rPr>
      </w:pPr>
      <w:r>
        <w:rPr>
          <w:lang w:bidi="fa-IR"/>
        </w:rPr>
        <w:t>These comments were endorsed by</w:t>
      </w:r>
      <w:r w:rsidR="00DD5DAA">
        <w:rPr>
          <w:lang w:bidi="fa-IR"/>
        </w:rPr>
        <w:t xml:space="preserve"> the MDI and Summer Foundation</w:t>
      </w:r>
      <w:r w:rsidR="00DD5DAA">
        <w:rPr>
          <w:rStyle w:val="FootnoteReference"/>
          <w:lang w:bidi="fa-IR"/>
        </w:rPr>
        <w:footnoteReference w:id="44"/>
      </w:r>
      <w:r w:rsidR="00DD5DAA">
        <w:rPr>
          <w:lang w:bidi="fa-IR"/>
        </w:rPr>
        <w:t xml:space="preserve"> </w:t>
      </w:r>
      <w:r>
        <w:rPr>
          <w:lang w:bidi="fa-IR"/>
        </w:rPr>
        <w:t>and t</w:t>
      </w:r>
      <w:r w:rsidR="00DD5DAA">
        <w:rPr>
          <w:lang w:bidi="fa-IR"/>
        </w:rPr>
        <w:t>he Australian Rehabilitation and Assistive Technology Association (ARATA)</w:t>
      </w:r>
      <w:r w:rsidR="00DD5DAA" w:rsidRPr="00B2567C">
        <w:rPr>
          <w:lang w:bidi="fa-IR"/>
        </w:rPr>
        <w:t>.</w:t>
      </w:r>
      <w:r w:rsidR="00DD5DAA">
        <w:rPr>
          <w:rStyle w:val="FootnoteReference"/>
          <w:lang w:bidi="fa-IR"/>
        </w:rPr>
        <w:footnoteReference w:id="45"/>
      </w:r>
    </w:p>
    <w:p w14:paraId="000D64A2" w14:textId="77777777" w:rsidR="00DD5DAA" w:rsidRDefault="009733D3" w:rsidP="00DD5DAA">
      <w:pPr>
        <w:pStyle w:val="BodyText"/>
        <w:rPr>
          <w:lang w:bidi="fa-IR"/>
        </w:rPr>
      </w:pPr>
      <w:r>
        <w:rPr>
          <w:lang w:bidi="fa-IR"/>
        </w:rPr>
        <w:t>It was also noted that</w:t>
      </w:r>
      <w:r w:rsidR="00DD5DAA">
        <w:rPr>
          <w:lang w:bidi="fa-IR"/>
        </w:rPr>
        <w:t xml:space="preserve"> home modifications which tend to be specialised and tailored to an individual’s needs a</w:t>
      </w:r>
      <w:r>
        <w:rPr>
          <w:lang w:bidi="fa-IR"/>
        </w:rPr>
        <w:t>re not substitutes for</w:t>
      </w:r>
      <w:r w:rsidR="00DD5DAA">
        <w:rPr>
          <w:lang w:bidi="fa-IR"/>
        </w:rPr>
        <w:t xml:space="preserve"> proposed accessible features. For example</w:t>
      </w:r>
      <w:r w:rsidR="00F41C96">
        <w:rPr>
          <w:lang w:bidi="fa-IR"/>
        </w:rPr>
        <w:t>, the submission from the</w:t>
      </w:r>
      <w:r w:rsidR="00DD5DAA">
        <w:rPr>
          <w:lang w:bidi="fa-IR"/>
        </w:rPr>
        <w:t xml:space="preserve"> Home Modification Information Clearinghouse</w:t>
      </w:r>
      <w:r w:rsidR="00A22B04">
        <w:rPr>
          <w:lang w:bidi="fa-IR"/>
        </w:rPr>
        <w:t xml:space="preserve"> (HM</w:t>
      </w:r>
      <w:r w:rsidR="00B67057">
        <w:rPr>
          <w:lang w:bidi="fa-IR"/>
        </w:rPr>
        <w:t>info)</w:t>
      </w:r>
      <w:r w:rsidR="00DD5DAA">
        <w:rPr>
          <w:lang w:bidi="fa-IR"/>
        </w:rPr>
        <w:t xml:space="preserve"> notes that </w:t>
      </w:r>
      <w:r w:rsidR="00DD5DAA">
        <w:rPr>
          <w:lang w:bidi="fa-IR"/>
        </w:rPr>
        <w:lastRenderedPageBreak/>
        <w:t>most modifications are bespoke to meeting special needs and not included in the universal designs.</w:t>
      </w:r>
      <w:r w:rsidR="00DD5DAA">
        <w:rPr>
          <w:rStyle w:val="FootnoteReference"/>
          <w:lang w:bidi="fa-IR"/>
        </w:rPr>
        <w:footnoteReference w:id="46"/>
      </w:r>
      <w:r w:rsidR="00DD5DAA">
        <w:rPr>
          <w:lang w:bidi="fa-IR"/>
        </w:rPr>
        <w:t xml:space="preserve"> This suggests that some components of the size of the problem</w:t>
      </w:r>
      <w:r w:rsidR="001A456F">
        <w:rPr>
          <w:lang w:bidi="fa-IR"/>
        </w:rPr>
        <w:t xml:space="preserve"> </w:t>
      </w:r>
      <w:r w:rsidR="001A456F" w:rsidRPr="001A456F">
        <w:rPr>
          <w:lang w:bidi="fa-IR"/>
        </w:rPr>
        <w:t>may be overstated</w:t>
      </w:r>
      <w:r w:rsidR="00DD5DAA">
        <w:rPr>
          <w:lang w:bidi="fa-IR"/>
        </w:rPr>
        <w:t>, for example, the safety costs and care costs which were estimated according to the difference before and after home modifications.</w:t>
      </w:r>
    </w:p>
    <w:p w14:paraId="1CDA463D" w14:textId="77777777" w:rsidR="00DD5DAA" w:rsidRDefault="00DD5DAA" w:rsidP="00DD5DAA">
      <w:pPr>
        <w:pStyle w:val="BodyText"/>
        <w:rPr>
          <w:lang w:bidi="fa-IR"/>
        </w:rPr>
      </w:pPr>
      <w:r>
        <w:rPr>
          <w:lang w:bidi="fa-IR"/>
        </w:rPr>
        <w:t xml:space="preserve">There were </w:t>
      </w:r>
      <w:r w:rsidR="009733D3">
        <w:rPr>
          <w:lang w:bidi="fa-IR"/>
        </w:rPr>
        <w:t xml:space="preserve">also a range of </w:t>
      </w:r>
      <w:r>
        <w:rPr>
          <w:lang w:bidi="fa-IR"/>
        </w:rPr>
        <w:t>differ</w:t>
      </w:r>
      <w:r w:rsidR="009733D3">
        <w:rPr>
          <w:lang w:bidi="fa-IR"/>
        </w:rPr>
        <w:t>ent</w:t>
      </w:r>
      <w:r>
        <w:rPr>
          <w:lang w:bidi="fa-IR"/>
        </w:rPr>
        <w:t xml:space="preserve"> </w:t>
      </w:r>
      <w:r w:rsidR="009733D3">
        <w:rPr>
          <w:lang w:bidi="fa-IR"/>
        </w:rPr>
        <w:t xml:space="preserve">technical </w:t>
      </w:r>
      <w:r>
        <w:rPr>
          <w:lang w:bidi="fa-IR"/>
        </w:rPr>
        <w:t>interpretations of the proposal</w:t>
      </w:r>
      <w:r w:rsidR="009733D3">
        <w:rPr>
          <w:lang w:bidi="fa-IR"/>
        </w:rPr>
        <w:t>.</w:t>
      </w:r>
      <w:r>
        <w:rPr>
          <w:lang w:bidi="fa-IR"/>
        </w:rPr>
        <w:t xml:space="preserve"> </w:t>
      </w:r>
      <w:r w:rsidR="009733D3">
        <w:rPr>
          <w:lang w:bidi="fa-IR"/>
        </w:rPr>
        <w:t>T</w:t>
      </w:r>
      <w:r>
        <w:rPr>
          <w:lang w:bidi="fa-IR"/>
        </w:rPr>
        <w:t>h</w:t>
      </w:r>
      <w:r w:rsidR="009733D3">
        <w:rPr>
          <w:lang w:bidi="fa-IR"/>
        </w:rPr>
        <w:t xml:space="preserve">e following examples in particular </w:t>
      </w:r>
      <w:r>
        <w:rPr>
          <w:lang w:bidi="fa-IR"/>
        </w:rPr>
        <w:t>could have a significant bearing on costs and benefits:</w:t>
      </w:r>
    </w:p>
    <w:p w14:paraId="7CC54C27" w14:textId="77777777" w:rsidR="00DD5DAA" w:rsidRDefault="00DD5DAA" w:rsidP="00DD5DAA">
      <w:pPr>
        <w:pStyle w:val="ListBullet"/>
        <w:rPr>
          <w:lang w:bidi="fa-IR"/>
        </w:rPr>
      </w:pPr>
      <w:r>
        <w:rPr>
          <w:lang w:bidi="fa-IR"/>
        </w:rPr>
        <w:t>requiring only a certain proportion rather than all carpark spaces in apartment buildings to be accessible</w:t>
      </w:r>
    </w:p>
    <w:p w14:paraId="38077246" w14:textId="77777777" w:rsidR="00DD5DAA" w:rsidRDefault="00DD5DAA" w:rsidP="00DD5DAA">
      <w:pPr>
        <w:pStyle w:val="ListBullet"/>
        <w:rPr>
          <w:lang w:bidi="fa-IR"/>
        </w:rPr>
      </w:pPr>
      <w:r>
        <w:rPr>
          <w:lang w:bidi="fa-IR"/>
        </w:rPr>
        <w:t>requirement for doorway width</w:t>
      </w:r>
    </w:p>
    <w:p w14:paraId="10B7B5E2" w14:textId="77777777" w:rsidR="00DD5DAA" w:rsidRDefault="00DD5DAA" w:rsidP="00DD5DAA">
      <w:pPr>
        <w:pStyle w:val="ListBullet"/>
        <w:rPr>
          <w:lang w:bidi="fa-IR"/>
        </w:rPr>
      </w:pPr>
      <w:r>
        <w:rPr>
          <w:lang w:bidi="fa-IR"/>
        </w:rPr>
        <w:t>entrance requirement – one-step as default (HIA)</w:t>
      </w:r>
    </w:p>
    <w:p w14:paraId="72C95965" w14:textId="77777777" w:rsidR="00DD5DAA" w:rsidRDefault="00DD5DAA" w:rsidP="00DD5DAA">
      <w:pPr>
        <w:pStyle w:val="ListBullet"/>
        <w:rPr>
          <w:lang w:bidi="fa-IR"/>
        </w:rPr>
      </w:pPr>
      <w:r>
        <w:rPr>
          <w:lang w:bidi="fa-IR"/>
        </w:rPr>
        <w:t>exemptions</w:t>
      </w:r>
      <w:r w:rsidR="00FB225F">
        <w:rPr>
          <w:lang w:bidi="fa-IR"/>
        </w:rPr>
        <w:t>,</w:t>
      </w:r>
      <w:r w:rsidR="009733D3">
        <w:rPr>
          <w:lang w:bidi="fa-IR"/>
        </w:rPr>
        <w:t xml:space="preserve"> and</w:t>
      </w:r>
    </w:p>
    <w:p w14:paraId="31775DAC" w14:textId="77777777" w:rsidR="00103E09" w:rsidRPr="00EA3F63" w:rsidRDefault="00103E09" w:rsidP="00DD5DAA">
      <w:pPr>
        <w:pStyle w:val="ListBullet"/>
        <w:rPr>
          <w:lang w:bidi="fa-IR"/>
        </w:rPr>
      </w:pPr>
      <w:r>
        <w:rPr>
          <w:lang w:bidi="fa-IR"/>
        </w:rPr>
        <w:t>inclusion of access to outdoor areas under all specifications</w:t>
      </w:r>
      <w:r w:rsidR="00E4261B">
        <w:rPr>
          <w:lang w:bidi="fa-IR"/>
        </w:rPr>
        <w:t>.</w:t>
      </w:r>
      <w:r>
        <w:rPr>
          <w:lang w:bidi="fa-IR"/>
        </w:rPr>
        <w:t xml:space="preserve"> </w:t>
      </w:r>
    </w:p>
    <w:p w14:paraId="4B514B34" w14:textId="77777777" w:rsidR="00DD5DAA" w:rsidRPr="00D466A4" w:rsidRDefault="002D4E85" w:rsidP="00DD5DAA">
      <w:pPr>
        <w:pStyle w:val="BodyText"/>
        <w:rPr>
          <w:lang w:bidi="fa-IR"/>
        </w:rPr>
      </w:pPr>
      <w:r>
        <w:rPr>
          <w:lang w:bidi="fa-IR"/>
        </w:rPr>
        <w:t xml:space="preserve">Feedback associated with the technical interpretation of the proposal </w:t>
      </w:r>
      <w:r w:rsidR="003D0D11">
        <w:rPr>
          <w:lang w:bidi="fa-IR"/>
        </w:rPr>
        <w:t xml:space="preserve">was </w:t>
      </w:r>
      <w:r>
        <w:rPr>
          <w:lang w:bidi="fa-IR"/>
        </w:rPr>
        <w:t xml:space="preserve">referred to </w:t>
      </w:r>
      <w:r w:rsidR="005732EC">
        <w:rPr>
          <w:lang w:bidi="fa-IR"/>
        </w:rPr>
        <w:t xml:space="preserve">the </w:t>
      </w:r>
      <w:r>
        <w:rPr>
          <w:lang w:bidi="fa-IR"/>
        </w:rPr>
        <w:t>ABCB</w:t>
      </w:r>
      <w:r w:rsidR="00D466A4">
        <w:rPr>
          <w:lang w:bidi="fa-IR"/>
        </w:rPr>
        <w:t>.</w:t>
      </w:r>
      <w:r w:rsidR="00DD5DAA" w:rsidRPr="00D466A4">
        <w:rPr>
          <w:lang w:bidi="fa-IR"/>
        </w:rPr>
        <w:t xml:space="preserve"> </w:t>
      </w:r>
      <w:r w:rsidR="005732EC">
        <w:rPr>
          <w:lang w:bidi="fa-IR"/>
        </w:rPr>
        <w:t xml:space="preserve">The </w:t>
      </w:r>
      <w:r w:rsidR="00DD5DAA" w:rsidRPr="00D466A4">
        <w:rPr>
          <w:lang w:bidi="fa-IR"/>
        </w:rPr>
        <w:t>ABCB</w:t>
      </w:r>
      <w:r w:rsidR="003D0D11">
        <w:rPr>
          <w:lang w:bidi="fa-IR"/>
        </w:rPr>
        <w:t>,</w:t>
      </w:r>
      <w:r w:rsidR="00DD5DAA" w:rsidRPr="00D466A4">
        <w:rPr>
          <w:lang w:bidi="fa-IR"/>
        </w:rPr>
        <w:t xml:space="preserve"> </w:t>
      </w:r>
      <w:r w:rsidR="00103E09">
        <w:rPr>
          <w:lang w:bidi="fa-IR"/>
        </w:rPr>
        <w:t xml:space="preserve">in response to </w:t>
      </w:r>
      <w:r w:rsidR="00103E09" w:rsidRPr="00D466A4">
        <w:rPr>
          <w:lang w:bidi="fa-IR"/>
        </w:rPr>
        <w:t>comments from the public consultation</w:t>
      </w:r>
      <w:r w:rsidR="00103E09">
        <w:rPr>
          <w:lang w:bidi="fa-IR"/>
        </w:rPr>
        <w:t xml:space="preserve"> and discussions with advocates and governments</w:t>
      </w:r>
      <w:r w:rsidR="00DC64F3">
        <w:rPr>
          <w:lang w:bidi="fa-IR"/>
        </w:rPr>
        <w:t>,</w:t>
      </w:r>
      <w:r w:rsidR="00103E09" w:rsidRPr="00D466A4" w:rsidDel="00103E09">
        <w:rPr>
          <w:lang w:bidi="fa-IR"/>
        </w:rPr>
        <w:t xml:space="preserve"> </w:t>
      </w:r>
      <w:r w:rsidR="00103E09">
        <w:rPr>
          <w:lang w:bidi="fa-IR"/>
        </w:rPr>
        <w:t>amended the proposed NCC draft standard to reflect more closely the LHDG specifications in Options 1-3</w:t>
      </w:r>
      <w:r w:rsidR="00DD5DAA" w:rsidRPr="00D466A4">
        <w:rPr>
          <w:lang w:bidi="fa-IR"/>
        </w:rPr>
        <w:t xml:space="preserve">. A quantity surveyor </w:t>
      </w:r>
      <w:r w:rsidR="00103E09">
        <w:rPr>
          <w:lang w:bidi="fa-IR"/>
        </w:rPr>
        <w:t xml:space="preserve">was </w:t>
      </w:r>
      <w:r w:rsidR="00D466A4" w:rsidRPr="00D466A4">
        <w:rPr>
          <w:lang w:bidi="fa-IR"/>
        </w:rPr>
        <w:t>engaged</w:t>
      </w:r>
      <w:r w:rsidR="00DD5DAA" w:rsidRPr="00D466A4">
        <w:rPr>
          <w:lang w:bidi="fa-IR"/>
        </w:rPr>
        <w:t xml:space="preserve"> to provide </w:t>
      </w:r>
      <w:r w:rsidR="00103E09">
        <w:rPr>
          <w:lang w:bidi="fa-IR"/>
        </w:rPr>
        <w:t>their independent e</w:t>
      </w:r>
      <w:r w:rsidR="00DD5DAA" w:rsidRPr="00D466A4">
        <w:rPr>
          <w:lang w:bidi="fa-IR"/>
        </w:rPr>
        <w:t>stimate of</w:t>
      </w:r>
      <w:r w:rsidR="00103E09">
        <w:rPr>
          <w:lang w:bidi="fa-IR"/>
        </w:rPr>
        <w:t xml:space="preserve"> its impact on all</w:t>
      </w:r>
      <w:r w:rsidR="00DD5DAA" w:rsidRPr="00D466A4">
        <w:rPr>
          <w:lang w:bidi="fa-IR"/>
        </w:rPr>
        <w:t xml:space="preserve"> relevant </w:t>
      </w:r>
      <w:r w:rsidR="00103E09">
        <w:rPr>
          <w:lang w:bidi="fa-IR"/>
        </w:rPr>
        <w:t xml:space="preserve">construction and space </w:t>
      </w:r>
      <w:r w:rsidR="00DD5DAA" w:rsidRPr="00D466A4">
        <w:rPr>
          <w:lang w:bidi="fa-IR"/>
        </w:rPr>
        <w:t>costs</w:t>
      </w:r>
      <w:r w:rsidR="00103E09">
        <w:rPr>
          <w:lang w:bidi="fa-IR"/>
        </w:rPr>
        <w:t xml:space="preserve"> which are discussed in more detail in </w:t>
      </w:r>
      <w:r w:rsidR="00B57D3F">
        <w:rPr>
          <w:lang w:bidi="fa-IR"/>
        </w:rPr>
        <w:t>c</w:t>
      </w:r>
      <w:r w:rsidR="00103E09">
        <w:rPr>
          <w:lang w:bidi="fa-IR"/>
        </w:rPr>
        <w:t xml:space="preserve">hapter </w:t>
      </w:r>
      <w:r w:rsidR="00B57D3F">
        <w:rPr>
          <w:lang w:bidi="fa-IR"/>
        </w:rPr>
        <w:t>six</w:t>
      </w:r>
      <w:r>
        <w:rPr>
          <w:lang w:bidi="fa-IR"/>
        </w:rPr>
        <w:t xml:space="preserve"> of this report</w:t>
      </w:r>
      <w:r w:rsidR="00103E09">
        <w:rPr>
          <w:lang w:bidi="fa-IR"/>
        </w:rPr>
        <w:t xml:space="preserve"> and </w:t>
      </w:r>
      <w:r>
        <w:rPr>
          <w:lang w:bidi="fa-IR"/>
        </w:rPr>
        <w:t xml:space="preserve">a separate costing report </w:t>
      </w:r>
      <w:r w:rsidR="00103E09" w:rsidRPr="00103E09">
        <w:rPr>
          <w:i/>
          <w:lang w:bidi="fa-IR"/>
        </w:rPr>
        <w:t xml:space="preserve">Accessible </w:t>
      </w:r>
      <w:r w:rsidR="00D5404F" w:rsidRPr="00103E09">
        <w:rPr>
          <w:i/>
          <w:lang w:bidi="fa-IR"/>
        </w:rPr>
        <w:t>Housing:</w:t>
      </w:r>
      <w:r w:rsidR="00103E09" w:rsidRPr="00103E09">
        <w:rPr>
          <w:i/>
          <w:lang w:bidi="fa-IR"/>
        </w:rPr>
        <w:t xml:space="preserve"> Estimating the Cost Impact of Proposed Changes to NCC</w:t>
      </w:r>
      <w:r w:rsidR="001B29FE" w:rsidRPr="001B29FE">
        <w:rPr>
          <w:iCs/>
          <w:lang w:bidi="fa-IR"/>
        </w:rPr>
        <w:t>.</w:t>
      </w:r>
      <w:r w:rsidR="00103E09" w:rsidRPr="002D4E85">
        <w:rPr>
          <w:rStyle w:val="FootnoteReference"/>
          <w:iCs/>
          <w:lang w:bidi="fa-IR"/>
        </w:rPr>
        <w:footnoteReference w:id="47"/>
      </w:r>
    </w:p>
    <w:p w14:paraId="08BEDAD1" w14:textId="77777777" w:rsidR="00DD5DAA" w:rsidRDefault="00DD5DAA" w:rsidP="00DD5DAA">
      <w:pPr>
        <w:pStyle w:val="Heading2"/>
        <w:numPr>
          <w:ilvl w:val="1"/>
          <w:numId w:val="5"/>
        </w:numPr>
        <w:rPr>
          <w:lang w:bidi="fa-IR"/>
        </w:rPr>
      </w:pPr>
      <w:bookmarkStart w:id="67" w:name="_Toc54024072"/>
      <w:bookmarkStart w:id="68" w:name="_Toc70505092"/>
      <w:r>
        <w:rPr>
          <w:lang w:bidi="fa-IR"/>
        </w:rPr>
        <w:t xml:space="preserve">Overall approach </w:t>
      </w:r>
      <w:r w:rsidR="002D4E85">
        <w:rPr>
          <w:lang w:bidi="fa-IR"/>
        </w:rPr>
        <w:t>to</w:t>
      </w:r>
      <w:r>
        <w:rPr>
          <w:lang w:bidi="fa-IR"/>
        </w:rPr>
        <w:t xml:space="preserve"> economic analysis and CBA</w:t>
      </w:r>
      <w:bookmarkEnd w:id="67"/>
      <w:bookmarkEnd w:id="68"/>
    </w:p>
    <w:p w14:paraId="1CDD3DFF" w14:textId="77777777" w:rsidR="00DD5DAA" w:rsidRPr="00512E86" w:rsidRDefault="002D4E85" w:rsidP="00DD5DAA">
      <w:pPr>
        <w:pStyle w:val="Heading3"/>
        <w:numPr>
          <w:ilvl w:val="2"/>
          <w:numId w:val="5"/>
        </w:numPr>
        <w:rPr>
          <w:lang w:bidi="fa-IR"/>
        </w:rPr>
      </w:pPr>
      <w:r>
        <w:rPr>
          <w:lang w:bidi="fa-IR"/>
        </w:rPr>
        <w:t>Consider</w:t>
      </w:r>
      <w:r w:rsidR="00DD5DAA" w:rsidRPr="00512E86">
        <w:rPr>
          <w:lang w:bidi="fa-IR"/>
        </w:rPr>
        <w:t>ing polarised views</w:t>
      </w:r>
    </w:p>
    <w:p w14:paraId="6EA030B5" w14:textId="77777777" w:rsidR="00DD5DAA" w:rsidRDefault="00CC10C0" w:rsidP="00DD5DAA">
      <w:pPr>
        <w:pStyle w:val="BodyText"/>
        <w:rPr>
          <w:lang w:bidi="fa-IR"/>
        </w:rPr>
      </w:pPr>
      <w:r>
        <w:rPr>
          <w:lang w:bidi="fa-IR"/>
        </w:rPr>
        <w:t xml:space="preserve">As mentioned above, submissions </w:t>
      </w:r>
      <w:r w:rsidR="00DD5DAA">
        <w:rPr>
          <w:lang w:bidi="fa-IR"/>
        </w:rPr>
        <w:t>have very different views on specific issues</w:t>
      </w:r>
      <w:r w:rsidR="00DC64F3">
        <w:rPr>
          <w:lang w:bidi="fa-IR"/>
        </w:rPr>
        <w:t>;</w:t>
      </w:r>
      <w:r w:rsidR="00DD5DAA">
        <w:rPr>
          <w:lang w:bidi="fa-IR"/>
        </w:rPr>
        <w:t xml:space="preserve"> for example, some argue the benefits are overstated and costs understated and others argue the opposite</w:t>
      </w:r>
      <w:r>
        <w:rPr>
          <w:lang w:bidi="fa-IR"/>
        </w:rPr>
        <w:t>.</w:t>
      </w:r>
    </w:p>
    <w:p w14:paraId="12797E20" w14:textId="77777777" w:rsidR="00DD5DAA" w:rsidRDefault="00DD5DAA" w:rsidP="00DD5DAA">
      <w:pPr>
        <w:pStyle w:val="BodyText"/>
        <w:rPr>
          <w:lang w:bidi="fa-IR"/>
        </w:rPr>
      </w:pPr>
      <w:r>
        <w:rPr>
          <w:lang w:bidi="fa-IR"/>
        </w:rPr>
        <w:t>In most cases, both sides have good reasons for their argument, and their differences reflect the complexity of the issues and the very nature of uncertainties around the assumptions.</w:t>
      </w:r>
    </w:p>
    <w:p w14:paraId="59E85A87" w14:textId="77777777" w:rsidR="00DD5DAA" w:rsidRDefault="00DD5DAA" w:rsidP="00DD5DAA">
      <w:pPr>
        <w:pStyle w:val="BodyText"/>
        <w:rPr>
          <w:lang w:bidi="fa-IR"/>
        </w:rPr>
      </w:pPr>
      <w:r>
        <w:rPr>
          <w:lang w:bidi="fa-IR"/>
        </w:rPr>
        <w:t>A key example is, Dalton and Carter (2020) argue for a higher value of statistical life (VSL) in the RIS</w:t>
      </w:r>
      <w:r w:rsidR="006B37C2">
        <w:rPr>
          <w:lang w:bidi="fa-IR"/>
        </w:rPr>
        <w:t xml:space="preserve"> - $7 million (with a range between $4.5 million and $7.9 million) as opposed to $4.5 million used in the C</w:t>
      </w:r>
      <w:r w:rsidR="00B01E99">
        <w:rPr>
          <w:lang w:bidi="fa-IR"/>
        </w:rPr>
        <w:t xml:space="preserve">onsultation </w:t>
      </w:r>
      <w:r w:rsidR="006B37C2">
        <w:rPr>
          <w:lang w:bidi="fa-IR"/>
        </w:rPr>
        <w:t>RIS</w:t>
      </w:r>
      <w:r>
        <w:rPr>
          <w:lang w:bidi="fa-IR"/>
        </w:rPr>
        <w:t>.</w:t>
      </w:r>
      <w:r>
        <w:rPr>
          <w:rStyle w:val="FootnoteReference"/>
          <w:lang w:bidi="fa-IR"/>
        </w:rPr>
        <w:footnoteReference w:id="48"/>
      </w:r>
      <w:r>
        <w:rPr>
          <w:lang w:bidi="fa-IR"/>
        </w:rPr>
        <w:t xml:space="preserve"> CIE </w:t>
      </w:r>
      <w:r w:rsidR="00E44949">
        <w:rPr>
          <w:lang w:bidi="fa-IR"/>
        </w:rPr>
        <w:t xml:space="preserve">has discussed </w:t>
      </w:r>
      <w:r w:rsidR="0025176F">
        <w:rPr>
          <w:lang w:bidi="fa-IR"/>
        </w:rPr>
        <w:t xml:space="preserve">this issue </w:t>
      </w:r>
      <w:r w:rsidR="00E44949">
        <w:rPr>
          <w:lang w:bidi="fa-IR"/>
        </w:rPr>
        <w:t xml:space="preserve">with </w:t>
      </w:r>
      <w:r w:rsidR="00E44949">
        <w:rPr>
          <w:lang w:bidi="fa-IR"/>
        </w:rPr>
        <w:lastRenderedPageBreak/>
        <w:t>OBPR</w:t>
      </w:r>
      <w:r w:rsidR="00DC64F3">
        <w:rPr>
          <w:lang w:bidi="fa-IR"/>
        </w:rPr>
        <w:t>,</w:t>
      </w:r>
      <w:r w:rsidR="00E44949">
        <w:rPr>
          <w:lang w:bidi="fa-IR"/>
        </w:rPr>
        <w:t xml:space="preserve"> </w:t>
      </w:r>
      <w:r w:rsidR="0025176F">
        <w:rPr>
          <w:lang w:bidi="fa-IR"/>
        </w:rPr>
        <w:t>which</w:t>
      </w:r>
      <w:r w:rsidR="00E44949">
        <w:rPr>
          <w:lang w:bidi="fa-IR"/>
        </w:rPr>
        <w:t xml:space="preserve"> has reiterated that the RIS </w:t>
      </w:r>
      <w:r>
        <w:rPr>
          <w:lang w:bidi="fa-IR"/>
        </w:rPr>
        <w:t xml:space="preserve">approach </w:t>
      </w:r>
      <w:r w:rsidR="00E44949">
        <w:rPr>
          <w:lang w:bidi="fa-IR"/>
        </w:rPr>
        <w:t>should follow</w:t>
      </w:r>
      <w:r>
        <w:rPr>
          <w:lang w:bidi="fa-IR"/>
        </w:rPr>
        <w:t xml:space="preserve"> best practice, based on the guidance of OBPR which draw</w:t>
      </w:r>
      <w:r w:rsidR="008F013B">
        <w:rPr>
          <w:lang w:bidi="fa-IR"/>
        </w:rPr>
        <w:t>s</w:t>
      </w:r>
      <w:r>
        <w:rPr>
          <w:lang w:bidi="fa-IR"/>
        </w:rPr>
        <w:t xml:space="preserve"> reference from international literature.</w:t>
      </w:r>
      <w:r>
        <w:rPr>
          <w:rStyle w:val="FootnoteReference"/>
          <w:lang w:bidi="fa-IR"/>
        </w:rPr>
        <w:footnoteReference w:id="49"/>
      </w:r>
      <w:r>
        <w:rPr>
          <w:lang w:bidi="fa-IR"/>
        </w:rPr>
        <w:t xml:space="preserve"> </w:t>
      </w:r>
    </w:p>
    <w:p w14:paraId="41E5E321" w14:textId="77777777" w:rsidR="00DD5DAA" w:rsidRPr="003977E9" w:rsidRDefault="00DD5DAA" w:rsidP="00DD5DAA">
      <w:pPr>
        <w:pStyle w:val="BodyText"/>
        <w:rPr>
          <w:iCs/>
          <w:lang w:bidi="fa-IR"/>
        </w:rPr>
      </w:pPr>
      <w:r w:rsidRPr="003977E9">
        <w:rPr>
          <w:iCs/>
          <w:lang w:bidi="fa-IR"/>
        </w:rPr>
        <w:t xml:space="preserve">The </w:t>
      </w:r>
      <w:r w:rsidR="00AF79EB">
        <w:rPr>
          <w:iCs/>
          <w:lang w:bidi="fa-IR"/>
        </w:rPr>
        <w:t>Decision</w:t>
      </w:r>
      <w:r w:rsidRPr="003977E9">
        <w:rPr>
          <w:iCs/>
          <w:lang w:bidi="fa-IR"/>
        </w:rPr>
        <w:t xml:space="preserve"> RIS acknowledge</w:t>
      </w:r>
      <w:r w:rsidR="003977E9" w:rsidRPr="003977E9">
        <w:rPr>
          <w:iCs/>
          <w:lang w:bidi="fa-IR"/>
        </w:rPr>
        <w:t>s</w:t>
      </w:r>
      <w:r w:rsidRPr="003977E9">
        <w:rPr>
          <w:iCs/>
          <w:lang w:bidi="fa-IR"/>
        </w:rPr>
        <w:t xml:space="preserve"> these uncertainties</w:t>
      </w:r>
      <w:r w:rsidR="009B6B15">
        <w:rPr>
          <w:iCs/>
          <w:lang w:bidi="fa-IR"/>
        </w:rPr>
        <w:t xml:space="preserve"> (and therefore disparate views)</w:t>
      </w:r>
      <w:r w:rsidRPr="003977E9">
        <w:rPr>
          <w:iCs/>
          <w:lang w:bidi="fa-IR"/>
        </w:rPr>
        <w:t xml:space="preserve"> in the analysis by assigning a range of values for the relevant parameters. </w:t>
      </w:r>
      <w:r w:rsidR="003977E9" w:rsidRPr="003977E9">
        <w:rPr>
          <w:iCs/>
          <w:lang w:bidi="fa-IR"/>
        </w:rPr>
        <w:t xml:space="preserve">Sensitivity </w:t>
      </w:r>
      <w:r w:rsidRPr="003977E9">
        <w:rPr>
          <w:iCs/>
          <w:lang w:bidi="fa-IR"/>
        </w:rPr>
        <w:t xml:space="preserve">analysis </w:t>
      </w:r>
      <w:r w:rsidR="003977E9" w:rsidRPr="003977E9">
        <w:rPr>
          <w:iCs/>
          <w:lang w:bidi="fa-IR"/>
        </w:rPr>
        <w:t>is</w:t>
      </w:r>
      <w:r w:rsidRPr="003977E9">
        <w:rPr>
          <w:iCs/>
          <w:lang w:bidi="fa-IR"/>
        </w:rPr>
        <w:t xml:space="preserve"> conducted with these assumptions in order to </w:t>
      </w:r>
      <w:r w:rsidR="003977E9">
        <w:rPr>
          <w:iCs/>
          <w:lang w:bidi="fa-IR"/>
        </w:rPr>
        <w:t xml:space="preserve">establish how sensitive the net benefit is to the assumed </w:t>
      </w:r>
      <w:r w:rsidRPr="003977E9">
        <w:rPr>
          <w:iCs/>
          <w:lang w:bidi="fa-IR"/>
        </w:rPr>
        <w:t>cost and benefit estimates</w:t>
      </w:r>
      <w:r w:rsidR="003977E9">
        <w:rPr>
          <w:iCs/>
          <w:lang w:bidi="fa-IR"/>
        </w:rPr>
        <w:t xml:space="preserve"> (for more details see chapter </w:t>
      </w:r>
      <w:r w:rsidR="00B57D3F">
        <w:rPr>
          <w:iCs/>
          <w:lang w:bidi="fa-IR"/>
        </w:rPr>
        <w:t>eight</w:t>
      </w:r>
      <w:r w:rsidR="003977E9">
        <w:rPr>
          <w:iCs/>
          <w:lang w:bidi="fa-IR"/>
        </w:rPr>
        <w:t>)</w:t>
      </w:r>
      <w:r w:rsidRPr="003977E9">
        <w:rPr>
          <w:iCs/>
          <w:lang w:bidi="fa-IR"/>
        </w:rPr>
        <w:t>.</w:t>
      </w:r>
    </w:p>
    <w:p w14:paraId="2B474D05" w14:textId="77777777" w:rsidR="00DD5DAA" w:rsidRDefault="00DD5DAA" w:rsidP="00DD5DAA">
      <w:pPr>
        <w:pStyle w:val="Heading3"/>
        <w:numPr>
          <w:ilvl w:val="2"/>
          <w:numId w:val="5"/>
        </w:numPr>
        <w:rPr>
          <w:lang w:bidi="fa-IR"/>
        </w:rPr>
      </w:pPr>
      <w:r>
        <w:rPr>
          <w:lang w:bidi="fa-IR"/>
        </w:rPr>
        <w:t>Focusing on the problem reduction approach</w:t>
      </w:r>
    </w:p>
    <w:p w14:paraId="69627F19" w14:textId="77777777" w:rsidR="00DD5DAA" w:rsidRDefault="00DD5DAA" w:rsidP="00DD5DAA">
      <w:pPr>
        <w:pStyle w:val="BodyText"/>
        <w:rPr>
          <w:lang w:bidi="fa-IR"/>
        </w:rPr>
      </w:pPr>
      <w:r>
        <w:rPr>
          <w:lang w:bidi="fa-IR"/>
        </w:rPr>
        <w:t>In the C</w:t>
      </w:r>
      <w:r w:rsidR="00B01E99">
        <w:rPr>
          <w:lang w:bidi="fa-IR"/>
        </w:rPr>
        <w:t xml:space="preserve">onsultation </w:t>
      </w:r>
      <w:r>
        <w:rPr>
          <w:lang w:bidi="fa-IR"/>
        </w:rPr>
        <w:t>RIS, two approaches were used to estimate the benefits of the proposed accessibility requirement</w:t>
      </w:r>
      <w:r w:rsidR="0043049B">
        <w:rPr>
          <w:lang w:bidi="fa-IR"/>
        </w:rPr>
        <w:t>s</w:t>
      </w:r>
      <w:r>
        <w:rPr>
          <w:lang w:bidi="fa-IR"/>
        </w:rPr>
        <w:t xml:space="preserve"> in the NCC</w:t>
      </w:r>
      <w:r w:rsidR="00845C06">
        <w:rPr>
          <w:lang w:bidi="fa-IR"/>
        </w:rPr>
        <w:t>:</w:t>
      </w:r>
      <w:r>
        <w:rPr>
          <w:lang w:bidi="fa-IR"/>
        </w:rPr>
        <w:t xml:space="preserve"> </w:t>
      </w:r>
    </w:p>
    <w:p w14:paraId="02B2CA76" w14:textId="77777777" w:rsidR="00DD5DAA" w:rsidRDefault="00DD5DAA" w:rsidP="00845C06">
      <w:pPr>
        <w:pStyle w:val="ListBullet"/>
        <w:rPr>
          <w:lang w:bidi="fa-IR"/>
        </w:rPr>
      </w:pPr>
      <w:r>
        <w:rPr>
          <w:lang w:bidi="fa-IR"/>
        </w:rPr>
        <w:t xml:space="preserve">The central approach, </w:t>
      </w:r>
      <w:r w:rsidRPr="003B66DB">
        <w:rPr>
          <w:b/>
          <w:bCs/>
          <w:lang w:bidi="fa-IR"/>
        </w:rPr>
        <w:t>problem reduction approach</w:t>
      </w:r>
      <w:r>
        <w:rPr>
          <w:lang w:bidi="fa-IR"/>
        </w:rPr>
        <w:t xml:space="preserve">, was based on CIE’s estimate of the extent to which one would expect the proposed changes to the NCC (and other options) to improve the accessibility of housing. </w:t>
      </w:r>
    </w:p>
    <w:p w14:paraId="200DC552" w14:textId="77777777" w:rsidR="00DD5DAA" w:rsidRDefault="00DD5DAA" w:rsidP="00845C06">
      <w:pPr>
        <w:pStyle w:val="ListBullet"/>
        <w:rPr>
          <w:lang w:bidi="fa-IR"/>
        </w:rPr>
      </w:pPr>
      <w:r>
        <w:rPr>
          <w:lang w:bidi="fa-IR"/>
        </w:rPr>
        <w:t xml:space="preserve">An alternative approach was based on estimates of household </w:t>
      </w:r>
      <w:r w:rsidRPr="003B66DB">
        <w:rPr>
          <w:b/>
          <w:bCs/>
          <w:lang w:bidi="fa-IR"/>
        </w:rPr>
        <w:t>willingness to pay (WTP)</w:t>
      </w:r>
      <w:r>
        <w:rPr>
          <w:lang w:bidi="fa-IR"/>
        </w:rPr>
        <w:t xml:space="preserve"> for various accessibility features when choosing a home to buy or rent. These estimates were derived from </w:t>
      </w:r>
      <w:r w:rsidR="00845C06">
        <w:rPr>
          <w:lang w:bidi="fa-IR"/>
        </w:rPr>
        <w:t>a</w:t>
      </w:r>
      <w:r>
        <w:rPr>
          <w:lang w:bidi="fa-IR"/>
        </w:rPr>
        <w:t xml:space="preserve"> stated preference survey using ‘choice modelling’ questions that offered hypothetical choices between homes with differing accessibility features and rents.</w:t>
      </w:r>
    </w:p>
    <w:p w14:paraId="4B5793F6" w14:textId="77777777" w:rsidR="00DD5DAA" w:rsidRDefault="00845C06" w:rsidP="00DD5DAA">
      <w:pPr>
        <w:pStyle w:val="BodyText"/>
        <w:rPr>
          <w:lang w:bidi="fa-IR"/>
        </w:rPr>
      </w:pPr>
      <w:r>
        <w:rPr>
          <w:lang w:bidi="fa-IR"/>
        </w:rPr>
        <w:t xml:space="preserve">Taking into consideration feedback received on the Consultation RIS, the RIS continues to apply the problem reduction approach, which is in keeping with </w:t>
      </w:r>
      <w:r w:rsidR="00DD5DAA">
        <w:rPr>
          <w:lang w:bidi="fa-IR"/>
        </w:rPr>
        <w:t>OBPR guidance,</w:t>
      </w:r>
      <w:r w:rsidR="00DD5DAA">
        <w:rPr>
          <w:rStyle w:val="FootnoteReference"/>
          <w:lang w:bidi="fa-IR"/>
        </w:rPr>
        <w:footnoteReference w:id="50"/>
      </w:r>
    </w:p>
    <w:p w14:paraId="79D4258C" w14:textId="77777777" w:rsidR="00DD5DAA" w:rsidRPr="00B15D1A" w:rsidRDefault="00DD5DAA" w:rsidP="00DD5DAA">
      <w:pPr>
        <w:pStyle w:val="Quote"/>
        <w:rPr>
          <w:lang w:bidi="fa-IR"/>
        </w:rPr>
      </w:pPr>
      <w:r>
        <w:rPr>
          <w:lang w:bidi="fa-IR"/>
        </w:rPr>
        <w:t>As a general rule, estimates of individuals’ valuations of goods and services derived from observing their behaviour in markets tend to be more creditable than those from survey questionnaires (Boardman et al. 2010). Observing purchasing decisions directly reveals preferences, whereas surveys elicit statements about preferences.</w:t>
      </w:r>
    </w:p>
    <w:p w14:paraId="5AB15C40" w14:textId="2A3FD1A8" w:rsidR="00845C06" w:rsidRDefault="00845C06" w:rsidP="00845C06">
      <w:pPr>
        <w:pStyle w:val="BodyText"/>
        <w:rPr>
          <w:iCs/>
          <w:lang w:bidi="fa-IR"/>
        </w:rPr>
      </w:pPr>
      <w:r>
        <w:rPr>
          <w:iCs/>
          <w:lang w:bidi="fa-IR"/>
        </w:rPr>
        <w:t>The RIS continues to draw on</w:t>
      </w:r>
      <w:r w:rsidRPr="00F156E2">
        <w:rPr>
          <w:iCs/>
          <w:lang w:bidi="fa-IR"/>
        </w:rPr>
        <w:t xml:space="preserve"> the WTP study to substantiate/estimate some elements for the problem reduction approach, </w:t>
      </w:r>
      <w:r w:rsidR="003D1960">
        <w:rPr>
          <w:iCs/>
          <w:lang w:bidi="fa-IR"/>
        </w:rPr>
        <w:t xml:space="preserve">for issues </w:t>
      </w:r>
      <w:r w:rsidRPr="00F156E2">
        <w:rPr>
          <w:iCs/>
          <w:lang w:bidi="fa-IR"/>
        </w:rPr>
        <w:t xml:space="preserve">such as benefits to households without mobility limitations (see more detailed discussions in ‘Benefits to households without mobility limitations’ subsection in the next </w:t>
      </w:r>
      <w:r w:rsidRPr="00A268FA">
        <w:rPr>
          <w:iCs/>
          <w:lang w:bidi="fa-IR"/>
        </w:rPr>
        <w:t>section</w:t>
      </w:r>
      <w:r w:rsidR="00DC626A" w:rsidRPr="00A268FA">
        <w:rPr>
          <w:iCs/>
          <w:lang w:bidi="fa-IR"/>
        </w:rPr>
        <w:t xml:space="preserve">, </w:t>
      </w:r>
      <w:r w:rsidR="00DC626A" w:rsidRPr="00A268FA">
        <w:rPr>
          <w:lang w:bidi="fa-IR"/>
        </w:rPr>
        <w:t>page</w:t>
      </w:r>
      <w:r w:rsidR="00496CD5">
        <w:rPr>
          <w:lang w:bidi="fa-IR"/>
        </w:rPr>
        <w:t> </w:t>
      </w:r>
      <w:r w:rsidR="00496CD5">
        <w:rPr>
          <w:lang w:bidi="fa-IR"/>
        </w:rPr>
        <w:fldChar w:fldCharType="begin"/>
      </w:r>
      <w:r w:rsidR="00496CD5">
        <w:rPr>
          <w:lang w:bidi="fa-IR"/>
        </w:rPr>
        <w:instrText xml:space="preserve"> PAGEREF _Ref64926465 \h </w:instrText>
      </w:r>
      <w:r w:rsidR="00496CD5">
        <w:rPr>
          <w:lang w:bidi="fa-IR"/>
        </w:rPr>
      </w:r>
      <w:r w:rsidR="00496CD5">
        <w:rPr>
          <w:lang w:bidi="fa-IR"/>
        </w:rPr>
        <w:fldChar w:fldCharType="separate"/>
      </w:r>
      <w:r w:rsidR="000F445C">
        <w:rPr>
          <w:noProof/>
          <w:lang w:bidi="fa-IR"/>
        </w:rPr>
        <w:t>43</w:t>
      </w:r>
      <w:r w:rsidR="00496CD5">
        <w:rPr>
          <w:lang w:bidi="fa-IR"/>
        </w:rPr>
        <w:fldChar w:fldCharType="end"/>
      </w:r>
      <w:r w:rsidRPr="00A268FA">
        <w:rPr>
          <w:iCs/>
          <w:lang w:bidi="fa-IR"/>
        </w:rPr>
        <w:t>).</w:t>
      </w:r>
      <w:r>
        <w:rPr>
          <w:iCs/>
          <w:lang w:bidi="fa-IR"/>
        </w:rPr>
        <w:t xml:space="preserve"> </w:t>
      </w:r>
    </w:p>
    <w:p w14:paraId="612CEEC5" w14:textId="77777777" w:rsidR="00DD5DAA" w:rsidRDefault="00845C06" w:rsidP="00DD5DAA">
      <w:pPr>
        <w:pStyle w:val="BodyText"/>
        <w:rPr>
          <w:iCs/>
          <w:lang w:bidi="fa-IR"/>
        </w:rPr>
      </w:pPr>
      <w:r>
        <w:rPr>
          <w:iCs/>
          <w:lang w:bidi="fa-IR"/>
        </w:rPr>
        <w:t xml:space="preserve">As supported by submissions during consultation </w:t>
      </w:r>
      <w:r w:rsidR="003D1960" w:rsidRPr="005331B4">
        <w:rPr>
          <w:iCs/>
          <w:lang w:bidi="fa-IR"/>
        </w:rPr>
        <w:t xml:space="preserve">the WTP approach </w:t>
      </w:r>
      <w:r w:rsidR="003D1960">
        <w:rPr>
          <w:iCs/>
          <w:lang w:bidi="fa-IR"/>
        </w:rPr>
        <w:t xml:space="preserve">captures </w:t>
      </w:r>
      <w:r>
        <w:rPr>
          <w:iCs/>
          <w:lang w:bidi="fa-IR"/>
        </w:rPr>
        <w:t>some</w:t>
      </w:r>
      <w:r w:rsidR="00DD5DAA" w:rsidRPr="005331B4">
        <w:rPr>
          <w:iCs/>
          <w:lang w:bidi="fa-IR"/>
        </w:rPr>
        <w:t xml:space="preserve"> addition</w:t>
      </w:r>
      <w:r>
        <w:rPr>
          <w:iCs/>
          <w:lang w:bidi="fa-IR"/>
        </w:rPr>
        <w:t>al</w:t>
      </w:r>
      <w:r w:rsidR="00DD5DAA" w:rsidRPr="005331B4">
        <w:rPr>
          <w:iCs/>
          <w:lang w:bidi="fa-IR"/>
        </w:rPr>
        <w:t xml:space="preserve"> benefits</w:t>
      </w:r>
      <w:r w:rsidR="00AB3C02">
        <w:rPr>
          <w:iCs/>
          <w:lang w:bidi="fa-IR"/>
        </w:rPr>
        <w:t>.</w:t>
      </w:r>
      <w:r w:rsidR="003D1960">
        <w:rPr>
          <w:iCs/>
          <w:lang w:bidi="fa-IR"/>
        </w:rPr>
        <w:t xml:space="preserve"> CIE ha</w:t>
      </w:r>
      <w:r w:rsidR="001C0124">
        <w:rPr>
          <w:iCs/>
          <w:lang w:bidi="fa-IR"/>
        </w:rPr>
        <w:t>s</w:t>
      </w:r>
      <w:r w:rsidR="003D1960">
        <w:rPr>
          <w:iCs/>
          <w:lang w:bidi="fa-IR"/>
        </w:rPr>
        <w:t xml:space="preserve"> </w:t>
      </w:r>
      <w:r w:rsidR="00DD5DAA" w:rsidRPr="005331B4">
        <w:rPr>
          <w:iCs/>
          <w:lang w:bidi="fa-IR"/>
        </w:rPr>
        <w:t>to the extent feasible and appropriate</w:t>
      </w:r>
      <w:r>
        <w:rPr>
          <w:iCs/>
          <w:lang w:bidi="fa-IR"/>
        </w:rPr>
        <w:t xml:space="preserve"> </w:t>
      </w:r>
      <w:r w:rsidR="003D1960">
        <w:rPr>
          <w:iCs/>
          <w:lang w:bidi="fa-IR"/>
        </w:rPr>
        <w:t xml:space="preserve">combined these WTP estimates under </w:t>
      </w:r>
      <w:r w:rsidR="00DD5DAA" w:rsidRPr="005331B4">
        <w:rPr>
          <w:iCs/>
          <w:lang w:bidi="fa-IR"/>
        </w:rPr>
        <w:t xml:space="preserve">the problem reduction approach </w:t>
      </w:r>
      <w:r>
        <w:rPr>
          <w:iCs/>
          <w:lang w:bidi="fa-IR"/>
        </w:rPr>
        <w:t xml:space="preserve">and </w:t>
      </w:r>
      <w:r w:rsidR="00DD5DAA" w:rsidRPr="005331B4">
        <w:rPr>
          <w:iCs/>
          <w:lang w:bidi="fa-IR"/>
        </w:rPr>
        <w:t xml:space="preserve">updated </w:t>
      </w:r>
      <w:r w:rsidR="003D1960">
        <w:rPr>
          <w:iCs/>
          <w:lang w:bidi="fa-IR"/>
        </w:rPr>
        <w:t>analysis</w:t>
      </w:r>
      <w:r w:rsidR="003D1960" w:rsidRPr="005331B4">
        <w:rPr>
          <w:iCs/>
          <w:lang w:bidi="fa-IR"/>
        </w:rPr>
        <w:t xml:space="preserve"> </w:t>
      </w:r>
      <w:r w:rsidR="00DD5DAA" w:rsidRPr="005331B4">
        <w:rPr>
          <w:iCs/>
          <w:lang w:bidi="fa-IR"/>
        </w:rPr>
        <w:t xml:space="preserve">with new information suggested by submissions and/or new research on temporary injuries, families with </w:t>
      </w:r>
      <w:r w:rsidR="00580428" w:rsidRPr="005331B4">
        <w:rPr>
          <w:iCs/>
          <w:lang w:bidi="fa-IR"/>
        </w:rPr>
        <w:t>young depend</w:t>
      </w:r>
      <w:r w:rsidR="003F2BCB">
        <w:rPr>
          <w:iCs/>
          <w:lang w:bidi="fa-IR"/>
        </w:rPr>
        <w:t>a</w:t>
      </w:r>
      <w:r w:rsidR="00580428" w:rsidRPr="005331B4">
        <w:rPr>
          <w:iCs/>
          <w:lang w:bidi="fa-IR"/>
        </w:rPr>
        <w:t>nts</w:t>
      </w:r>
      <w:r w:rsidR="00DD5DAA" w:rsidRPr="005331B4">
        <w:rPr>
          <w:iCs/>
          <w:lang w:bidi="fa-IR"/>
        </w:rPr>
        <w:t xml:space="preserve">, mental health impact, quality of life, informal care cost </w:t>
      </w:r>
      <w:r w:rsidR="00DD5DAA" w:rsidRPr="005331B4">
        <w:rPr>
          <w:iCs/>
          <w:lang w:bidi="fa-IR"/>
        </w:rPr>
        <w:lastRenderedPageBreak/>
        <w:t xml:space="preserve">and employment impacts. More details </w:t>
      </w:r>
      <w:r>
        <w:rPr>
          <w:iCs/>
          <w:lang w:bidi="fa-IR"/>
        </w:rPr>
        <w:t>are</w:t>
      </w:r>
      <w:r w:rsidR="00DD5DAA" w:rsidRPr="005331B4">
        <w:rPr>
          <w:iCs/>
          <w:lang w:bidi="fa-IR"/>
        </w:rPr>
        <w:t xml:space="preserve"> provided in the next section under each specific methodological issue.</w:t>
      </w:r>
    </w:p>
    <w:p w14:paraId="13D0EE82" w14:textId="77777777" w:rsidR="00845C06" w:rsidRPr="005331B4" w:rsidRDefault="00845C06" w:rsidP="00FB225F">
      <w:pPr>
        <w:pStyle w:val="BodyText"/>
        <w:spacing w:before="0"/>
        <w:rPr>
          <w:iCs/>
          <w:lang w:bidi="fa-IR"/>
        </w:rPr>
      </w:pPr>
      <w:r>
        <w:rPr>
          <w:lang w:bidi="fa-IR"/>
        </w:rPr>
        <w:t xml:space="preserve">Adding some benefits estimated through WTP to the central approach is </w:t>
      </w:r>
      <w:r w:rsidR="003D1960">
        <w:rPr>
          <w:lang w:bidi="fa-IR"/>
        </w:rPr>
        <w:t xml:space="preserve">conceptually </w:t>
      </w:r>
      <w:r>
        <w:rPr>
          <w:lang w:bidi="fa-IR"/>
        </w:rPr>
        <w:t>consistent with the suggestion by Dalton and Carter (2020a) that the benefits in the problem reduction approach and the WTP may be additive.</w:t>
      </w:r>
      <w:r>
        <w:rPr>
          <w:rStyle w:val="FootnoteReference"/>
          <w:lang w:bidi="fa-IR"/>
        </w:rPr>
        <w:footnoteReference w:id="51"/>
      </w:r>
      <w:r>
        <w:rPr>
          <w:lang w:bidi="fa-IR"/>
        </w:rPr>
        <w:t xml:space="preserve"> Moreover, it would avoid the double counting problem.</w:t>
      </w:r>
    </w:p>
    <w:p w14:paraId="515ABD21" w14:textId="77777777" w:rsidR="00DD5DAA" w:rsidRPr="00512E86" w:rsidRDefault="00DD5DAA" w:rsidP="00DD5DAA">
      <w:pPr>
        <w:pStyle w:val="Heading3"/>
        <w:numPr>
          <w:ilvl w:val="2"/>
          <w:numId w:val="5"/>
        </w:numPr>
        <w:rPr>
          <w:lang w:bidi="fa-IR"/>
        </w:rPr>
      </w:pPr>
      <w:bookmarkStart w:id="69" w:name="_Ref56604324"/>
      <w:bookmarkStart w:id="70" w:name="_Hlk53484577"/>
      <w:r w:rsidRPr="00512E86">
        <w:rPr>
          <w:lang w:bidi="fa-IR"/>
        </w:rPr>
        <w:t>Qualitative analysis</w:t>
      </w:r>
      <w:bookmarkEnd w:id="69"/>
    </w:p>
    <w:p w14:paraId="211674E8" w14:textId="77777777" w:rsidR="00DD5DAA" w:rsidRDefault="00DD5DAA" w:rsidP="00DD5DAA">
      <w:pPr>
        <w:pStyle w:val="BodyText"/>
        <w:rPr>
          <w:lang w:bidi="fa-IR"/>
        </w:rPr>
      </w:pPr>
      <w:r>
        <w:rPr>
          <w:lang w:bidi="fa-IR"/>
        </w:rPr>
        <w:t>The</w:t>
      </w:r>
      <w:r w:rsidR="00845C06">
        <w:rPr>
          <w:lang w:bidi="fa-IR"/>
        </w:rPr>
        <w:t xml:space="preserve"> importance of</w:t>
      </w:r>
      <w:r>
        <w:rPr>
          <w:lang w:bidi="fa-IR"/>
        </w:rPr>
        <w:t xml:space="preserve"> qualitative analysis </w:t>
      </w:r>
      <w:r w:rsidR="00845C06">
        <w:rPr>
          <w:lang w:bidi="fa-IR"/>
        </w:rPr>
        <w:t xml:space="preserve">was a key theme during consultation as identified in the first section of this chapter. Qualitative analysis allows appropriate consideration of </w:t>
      </w:r>
      <w:r>
        <w:rPr>
          <w:lang w:bidi="fa-IR"/>
        </w:rPr>
        <w:t>costs and benefits that cannot be valued in dollar terms, as stated in the OBPR guidance note of March 2020 – the qualitative analysis is under the section ‘Dealing with costs and benefits that cannot be valued in dollar terms’.</w:t>
      </w:r>
      <w:r>
        <w:rPr>
          <w:rStyle w:val="FootnoteReference"/>
          <w:lang w:bidi="fa-IR"/>
        </w:rPr>
        <w:footnoteReference w:id="52"/>
      </w:r>
      <w:r>
        <w:rPr>
          <w:lang w:bidi="fa-IR"/>
        </w:rPr>
        <w:t xml:space="preserve"> </w:t>
      </w:r>
      <w:r w:rsidR="00845C06">
        <w:rPr>
          <w:lang w:bidi="fa-IR"/>
        </w:rPr>
        <w:t>Q</w:t>
      </w:r>
      <w:r>
        <w:rPr>
          <w:lang w:bidi="fa-IR"/>
        </w:rPr>
        <w:t xml:space="preserve">ualitative analysis is </w:t>
      </w:r>
      <w:r w:rsidR="009E544B">
        <w:rPr>
          <w:lang w:bidi="fa-IR"/>
        </w:rPr>
        <w:t xml:space="preserve">part of the overall analysis and is to be used </w:t>
      </w:r>
      <w:r>
        <w:rPr>
          <w:lang w:bidi="fa-IR"/>
        </w:rPr>
        <w:t xml:space="preserve">when </w:t>
      </w:r>
      <w:r w:rsidR="00E27C5B">
        <w:rPr>
          <w:lang w:bidi="fa-IR"/>
        </w:rPr>
        <w:t>quantitative</w:t>
      </w:r>
      <w:r>
        <w:rPr>
          <w:lang w:bidi="fa-IR"/>
        </w:rPr>
        <w:t xml:space="preserve"> information </w:t>
      </w:r>
      <w:r w:rsidR="00A767AB">
        <w:rPr>
          <w:lang w:bidi="fa-IR"/>
        </w:rPr>
        <w:t>is</w:t>
      </w:r>
      <w:r>
        <w:rPr>
          <w:lang w:bidi="fa-IR"/>
        </w:rPr>
        <w:t xml:space="preserve"> not available. </w:t>
      </w:r>
    </w:p>
    <w:p w14:paraId="758F9A8E" w14:textId="7C821195" w:rsidR="00DD5DAA" w:rsidRDefault="005E29AC" w:rsidP="00DD5DAA">
      <w:pPr>
        <w:pStyle w:val="BodyText"/>
        <w:rPr>
          <w:lang w:bidi="fa-IR"/>
        </w:rPr>
      </w:pPr>
      <w:r>
        <w:rPr>
          <w:lang w:bidi="fa-IR"/>
        </w:rPr>
        <w:t xml:space="preserve">Based on feedback on </w:t>
      </w:r>
      <w:r w:rsidR="00DD5DAA">
        <w:rPr>
          <w:lang w:bidi="fa-IR"/>
        </w:rPr>
        <w:t>the C</w:t>
      </w:r>
      <w:r w:rsidR="00B01E99">
        <w:rPr>
          <w:lang w:bidi="fa-IR"/>
        </w:rPr>
        <w:t xml:space="preserve">onsultation </w:t>
      </w:r>
      <w:r w:rsidR="00DD5DAA">
        <w:rPr>
          <w:lang w:bidi="fa-IR"/>
        </w:rPr>
        <w:t>RIS</w:t>
      </w:r>
      <w:r w:rsidR="005A1B86">
        <w:rPr>
          <w:lang w:bidi="fa-IR"/>
        </w:rPr>
        <w:t>,</w:t>
      </w:r>
      <w:r w:rsidR="00DD5DAA">
        <w:rPr>
          <w:lang w:bidi="fa-IR"/>
        </w:rPr>
        <w:t xml:space="preserve"> some </w:t>
      </w:r>
      <w:r>
        <w:rPr>
          <w:lang w:bidi="fa-IR"/>
        </w:rPr>
        <w:t xml:space="preserve">areas of </w:t>
      </w:r>
      <w:r w:rsidR="00DD5DAA">
        <w:rPr>
          <w:lang w:bidi="fa-IR"/>
        </w:rPr>
        <w:t xml:space="preserve">qualitative analysis </w:t>
      </w:r>
      <w:r>
        <w:rPr>
          <w:lang w:bidi="fa-IR"/>
        </w:rPr>
        <w:t>have been</w:t>
      </w:r>
      <w:r w:rsidR="00DD5DAA">
        <w:rPr>
          <w:lang w:bidi="fa-IR"/>
        </w:rPr>
        <w:t xml:space="preserve"> </w:t>
      </w:r>
      <w:r>
        <w:rPr>
          <w:lang w:bidi="fa-IR"/>
        </w:rPr>
        <w:t>enhanc</w:t>
      </w:r>
      <w:r w:rsidR="00DD5DAA">
        <w:rPr>
          <w:lang w:bidi="fa-IR"/>
        </w:rPr>
        <w:t>ed or added, for example the impacts of a lack of accessible housing on equity, dignity and employment on people with disability and older people. The MDI survey of people with disability and senior people provide</w:t>
      </w:r>
      <w:r>
        <w:rPr>
          <w:lang w:bidi="fa-IR"/>
        </w:rPr>
        <w:t>s</w:t>
      </w:r>
      <w:r w:rsidR="00DD5DAA">
        <w:rPr>
          <w:lang w:bidi="fa-IR"/>
        </w:rPr>
        <w:t xml:space="preserve"> </w:t>
      </w:r>
      <w:r>
        <w:rPr>
          <w:lang w:bidi="fa-IR"/>
        </w:rPr>
        <w:t>useful</w:t>
      </w:r>
      <w:r w:rsidR="00DD5DAA">
        <w:rPr>
          <w:lang w:bidi="fa-IR"/>
        </w:rPr>
        <w:t xml:space="preserve"> inputs into the qualitative analysis, for example, quality of life, ability to perform domestic activities, to study, work or volunteer, impact on social and family relations. It is noted that some of these impacts may be quantifiable.</w:t>
      </w:r>
    </w:p>
    <w:p w14:paraId="21293538" w14:textId="77777777" w:rsidR="00DD5DAA" w:rsidRDefault="00DD5DAA" w:rsidP="00DD5DAA">
      <w:pPr>
        <w:pStyle w:val="BodyText"/>
        <w:rPr>
          <w:lang w:bidi="fa-IR"/>
        </w:rPr>
      </w:pPr>
      <w:r>
        <w:rPr>
          <w:lang w:bidi="fa-IR"/>
        </w:rPr>
        <w:t xml:space="preserve">Qualitative analysis </w:t>
      </w:r>
      <w:r w:rsidR="005E29AC">
        <w:rPr>
          <w:lang w:bidi="fa-IR"/>
        </w:rPr>
        <w:t xml:space="preserve">provides a role in testing the appropriateness of </w:t>
      </w:r>
      <w:r>
        <w:rPr>
          <w:lang w:bidi="fa-IR"/>
        </w:rPr>
        <w:t xml:space="preserve">quantitative analysis, what factors could change the results of quantitative analysis, and how likely such changes might be. </w:t>
      </w:r>
      <w:r w:rsidDel="00136BB3">
        <w:rPr>
          <w:lang w:bidi="fa-IR"/>
        </w:rPr>
        <w:t xml:space="preserve">For example, the </w:t>
      </w:r>
      <w:r w:rsidR="00CF62DB" w:rsidRPr="00CF62DB">
        <w:rPr>
          <w:lang w:bidi="fa-IR"/>
        </w:rPr>
        <w:t>Accessible Adult Change Facilities in Public Buildings</w:t>
      </w:r>
      <w:r w:rsidR="00925744">
        <w:rPr>
          <w:lang w:bidi="fa-IR"/>
        </w:rPr>
        <w:t>: Final Regulation Impact Statement</w:t>
      </w:r>
      <w:r w:rsidDel="00136BB3">
        <w:rPr>
          <w:lang w:bidi="fa-IR"/>
        </w:rPr>
        <w:t xml:space="preserve"> prepared by Ernst &amp; Young</w:t>
      </w:r>
      <w:r>
        <w:rPr>
          <w:lang w:bidi="fa-IR"/>
        </w:rPr>
        <w:t xml:space="preserve"> (2018) </w:t>
      </w:r>
      <w:r w:rsidDel="003A0702">
        <w:rPr>
          <w:rStyle w:val="FootnoteReference"/>
          <w:lang w:bidi="fa-IR"/>
        </w:rPr>
        <w:footnoteReference w:id="53"/>
      </w:r>
      <w:r w:rsidDel="00136BB3">
        <w:rPr>
          <w:lang w:bidi="fa-IR"/>
        </w:rPr>
        <w:t xml:space="preserve"> included a</w:t>
      </w:r>
      <w:r>
        <w:rPr>
          <w:lang w:bidi="fa-IR"/>
        </w:rPr>
        <w:t xml:space="preserve"> separate section of qualitative analysis</w:t>
      </w:r>
      <w:r w:rsidDel="00136BB3">
        <w:rPr>
          <w:lang w:bidi="fa-IR"/>
        </w:rPr>
        <w:t xml:space="preserve"> because</w:t>
      </w:r>
      <w:r>
        <w:rPr>
          <w:lang w:bidi="fa-IR"/>
        </w:rPr>
        <w:t xml:space="preserve">: </w:t>
      </w:r>
    </w:p>
    <w:p w14:paraId="44EB7418" w14:textId="77777777" w:rsidR="00DD5DAA" w:rsidRDefault="00DD5DAA" w:rsidP="00DD5DAA">
      <w:pPr>
        <w:pStyle w:val="ListBullet"/>
        <w:rPr>
          <w:lang w:bidi="fa-IR"/>
        </w:rPr>
      </w:pPr>
      <w:r w:rsidDel="00136BB3">
        <w:rPr>
          <w:lang w:bidi="fa-IR"/>
        </w:rPr>
        <w:t xml:space="preserve">some </w:t>
      </w:r>
      <w:r>
        <w:rPr>
          <w:lang w:bidi="fa-IR"/>
        </w:rPr>
        <w:t>impacts are not quantifiable</w:t>
      </w:r>
      <w:r w:rsidR="00233C02">
        <w:rPr>
          <w:lang w:bidi="fa-IR"/>
        </w:rPr>
        <w:t>,</w:t>
      </w:r>
      <w:r>
        <w:rPr>
          <w:lang w:bidi="fa-IR"/>
        </w:rPr>
        <w:t xml:space="preserve"> and </w:t>
      </w:r>
    </w:p>
    <w:p w14:paraId="17D192E4" w14:textId="77777777" w:rsidR="00DD5DAA" w:rsidRDefault="00DD5DAA" w:rsidP="00DD5DAA">
      <w:pPr>
        <w:pStyle w:val="ListBullet"/>
        <w:rPr>
          <w:lang w:bidi="fa-IR"/>
        </w:rPr>
      </w:pPr>
      <w:r w:rsidDel="00136BB3">
        <w:rPr>
          <w:lang w:bidi="fa-IR"/>
        </w:rPr>
        <w:t xml:space="preserve">in their judgement, the </w:t>
      </w:r>
      <w:r>
        <w:rPr>
          <w:lang w:bidi="fa-IR"/>
        </w:rPr>
        <w:t xml:space="preserve">unquantifiable benefits were in that case deemed </w:t>
      </w:r>
      <w:r w:rsidRPr="00DC5A07">
        <w:rPr>
          <w:lang w:bidi="fa-IR"/>
        </w:rPr>
        <w:t xml:space="preserve">to be potentially very substantial, and </w:t>
      </w:r>
      <w:r w:rsidRPr="00DC5A07" w:rsidDel="003A0702">
        <w:rPr>
          <w:lang w:bidi="fa-IR"/>
        </w:rPr>
        <w:t xml:space="preserve">in fact in </w:t>
      </w:r>
      <w:r>
        <w:rPr>
          <w:lang w:bidi="fa-IR"/>
        </w:rPr>
        <w:t>thei</w:t>
      </w:r>
      <w:r w:rsidRPr="00DC5A07" w:rsidDel="003A0702">
        <w:rPr>
          <w:lang w:bidi="fa-IR"/>
        </w:rPr>
        <w:t>r view the qualitative benefits w</w:t>
      </w:r>
      <w:r w:rsidR="005B6954">
        <w:rPr>
          <w:lang w:bidi="fa-IR"/>
        </w:rPr>
        <w:t>ould</w:t>
      </w:r>
      <w:r w:rsidRPr="00DC5A07" w:rsidDel="003A0702">
        <w:rPr>
          <w:lang w:bidi="fa-IR"/>
        </w:rPr>
        <w:t xml:space="preserve"> almost certainly </w:t>
      </w:r>
      <w:r w:rsidRPr="00DC5A07">
        <w:rPr>
          <w:lang w:bidi="fa-IR"/>
        </w:rPr>
        <w:t>outweigh the quantitative benefits</w:t>
      </w:r>
      <w:r>
        <w:rPr>
          <w:lang w:bidi="fa-IR"/>
        </w:rPr>
        <w:t xml:space="preserve">. </w:t>
      </w:r>
    </w:p>
    <w:p w14:paraId="5DFCE3F5" w14:textId="6D7AD5FF" w:rsidR="00DD5DAA" w:rsidRPr="009B1ADF" w:rsidRDefault="00DD5DAA" w:rsidP="00DD5DAA">
      <w:pPr>
        <w:pStyle w:val="BodyText"/>
        <w:rPr>
          <w:lang w:bidi="fa-IR"/>
        </w:rPr>
      </w:pPr>
      <w:r>
        <w:rPr>
          <w:lang w:bidi="fa-IR"/>
        </w:rPr>
        <w:t>Table</w:t>
      </w:r>
      <w:r w:rsidR="00C96BD3">
        <w:rPr>
          <w:lang w:bidi="fa-IR"/>
        </w:rPr>
        <w:t xml:space="preserve"> </w:t>
      </w:r>
      <w:r w:rsidR="00587754">
        <w:rPr>
          <w:lang w:bidi="fa-IR"/>
        </w:rPr>
        <w:t>2.3</w:t>
      </w:r>
      <w:r>
        <w:rPr>
          <w:lang w:bidi="fa-IR"/>
        </w:rPr>
        <w:t xml:space="preserve"> summarises the benefits that may be subject to qualitative analysis.</w:t>
      </w:r>
      <w:r w:rsidR="006A3255">
        <w:rPr>
          <w:lang w:bidi="fa-IR"/>
        </w:rPr>
        <w:t xml:space="preserve"> Section ‘</w:t>
      </w:r>
      <w:r w:rsidR="006A3255">
        <w:rPr>
          <w:lang w:bidi="fa-IR"/>
        </w:rPr>
        <w:fldChar w:fldCharType="begin"/>
      </w:r>
      <w:r w:rsidR="006A3255">
        <w:rPr>
          <w:lang w:bidi="fa-IR"/>
        </w:rPr>
        <w:instrText xml:space="preserve"> REF _Ref56333467 \h </w:instrText>
      </w:r>
      <w:r w:rsidR="006A3255">
        <w:rPr>
          <w:lang w:bidi="fa-IR"/>
        </w:rPr>
      </w:r>
      <w:r w:rsidR="006A3255">
        <w:rPr>
          <w:lang w:bidi="fa-IR"/>
        </w:rPr>
        <w:fldChar w:fldCharType="separate"/>
      </w:r>
      <w:r w:rsidR="000F445C">
        <w:rPr>
          <w:lang w:eastAsia="en-US" w:bidi="fa-IR"/>
        </w:rPr>
        <w:t>Qualitative assessment</w:t>
      </w:r>
      <w:r w:rsidR="006A3255">
        <w:rPr>
          <w:lang w:bidi="fa-IR"/>
        </w:rPr>
        <w:fldChar w:fldCharType="end"/>
      </w:r>
      <w:r w:rsidR="006A3255">
        <w:rPr>
          <w:lang w:bidi="fa-IR"/>
        </w:rPr>
        <w:t xml:space="preserve">’ in chapter </w:t>
      </w:r>
      <w:r w:rsidR="00B57D3F">
        <w:rPr>
          <w:lang w:bidi="fa-IR"/>
        </w:rPr>
        <w:t>three</w:t>
      </w:r>
      <w:r w:rsidR="006A3255">
        <w:rPr>
          <w:lang w:bidi="fa-IR"/>
        </w:rPr>
        <w:t xml:space="preserve"> (from page </w:t>
      </w:r>
      <w:r w:rsidR="006A3255">
        <w:rPr>
          <w:lang w:bidi="fa-IR"/>
        </w:rPr>
        <w:fldChar w:fldCharType="begin"/>
      </w:r>
      <w:r w:rsidR="006A3255">
        <w:rPr>
          <w:lang w:bidi="fa-IR"/>
        </w:rPr>
        <w:instrText xml:space="preserve"> PAGEREF _Ref56333557 \h </w:instrText>
      </w:r>
      <w:r w:rsidR="006A3255">
        <w:rPr>
          <w:lang w:bidi="fa-IR"/>
        </w:rPr>
      </w:r>
      <w:r w:rsidR="006A3255">
        <w:rPr>
          <w:lang w:bidi="fa-IR"/>
        </w:rPr>
        <w:fldChar w:fldCharType="separate"/>
      </w:r>
      <w:r w:rsidR="000F445C">
        <w:rPr>
          <w:noProof/>
          <w:lang w:bidi="fa-IR"/>
        </w:rPr>
        <w:t>113</w:t>
      </w:r>
      <w:r w:rsidR="006A3255">
        <w:rPr>
          <w:lang w:bidi="fa-IR"/>
        </w:rPr>
        <w:fldChar w:fldCharType="end"/>
      </w:r>
      <w:r w:rsidR="006A3255">
        <w:rPr>
          <w:lang w:bidi="fa-IR"/>
        </w:rPr>
        <w:t xml:space="preserve"> on) provides more detailed discussion and some indicative estimates.</w:t>
      </w:r>
    </w:p>
    <w:p w14:paraId="49C21182" w14:textId="7CD8EFC8" w:rsidR="00DD5DAA" w:rsidRDefault="00076C9B" w:rsidP="00DD5DAA">
      <w:pPr>
        <w:pStyle w:val="Caption"/>
      </w:pPr>
      <w:bookmarkStart w:id="71" w:name="_Toc54178641"/>
      <w:bookmarkStart w:id="72" w:name="_Toc57643582"/>
      <w:bookmarkStart w:id="73" w:name="_Toc70505497"/>
      <w:r>
        <w:lastRenderedPageBreak/>
        <w:t>2.3</w:t>
      </w:r>
      <w:r w:rsidR="00DD5DAA" w:rsidRPr="00695C93">
        <w:tab/>
      </w:r>
      <w:r w:rsidR="00DD5DAA">
        <w:t>Benefits for qualitative analysis</w:t>
      </w:r>
      <w:bookmarkEnd w:id="71"/>
      <w:bookmarkEnd w:id="72"/>
      <w:bookmarkEnd w:id="73"/>
    </w:p>
    <w:tbl>
      <w:tblPr>
        <w:tblW w:w="0" w:type="auto"/>
        <w:tblLayout w:type="fixed"/>
        <w:tblLook w:val="0000" w:firstRow="0" w:lastRow="0" w:firstColumn="0" w:lastColumn="0" w:noHBand="0" w:noVBand="0"/>
        <w:tblCaption w:val="Table 2.3: Benefits for qualitative analysis"/>
        <w:tblDescription w:val="Table 2.3 summarises the benefits that may be subject to qualitative analysis. The column headings are 'Benefits', 'Quantifiable?' and 'Qualitative analysis'.&#10;&#10;Section ‘Qualitative assessment’ in chapter 3 (from page 124 on) provides more detailed discussion and some indicative estimates."/>
      </w:tblPr>
      <w:tblGrid>
        <w:gridCol w:w="2645"/>
        <w:gridCol w:w="2646"/>
        <w:gridCol w:w="2646"/>
      </w:tblGrid>
      <w:tr w:rsidR="00F11742" w14:paraId="66F124A4" w14:textId="77777777" w:rsidTr="00F11742">
        <w:trPr>
          <w:tblHeader/>
        </w:trPr>
        <w:tc>
          <w:tcPr>
            <w:tcW w:w="2645" w:type="dxa"/>
            <w:tcBorders>
              <w:bottom w:val="single" w:sz="8" w:space="0" w:color="FFFFFF" w:themeColor="background1"/>
            </w:tcBorders>
            <w:shd w:val="clear" w:color="auto" w:fill="6F6652" w:themeFill="accent5"/>
            <w:tcMar>
              <w:left w:w="57" w:type="dxa"/>
              <w:right w:w="57" w:type="dxa"/>
            </w:tcMar>
          </w:tcPr>
          <w:p w14:paraId="35268A75" w14:textId="77777777" w:rsidR="00DD5DAA" w:rsidRDefault="00DD5DAA" w:rsidP="00DD5DAA">
            <w:pPr>
              <w:pStyle w:val="TableTextColumnHeading"/>
              <w:rPr>
                <w:lang w:bidi="fa-IR"/>
              </w:rPr>
            </w:pPr>
            <w:r>
              <w:rPr>
                <w:lang w:bidi="fa-IR"/>
              </w:rPr>
              <w:t>Benefits</w:t>
            </w:r>
          </w:p>
        </w:tc>
        <w:tc>
          <w:tcPr>
            <w:tcW w:w="2646" w:type="dxa"/>
            <w:tcBorders>
              <w:bottom w:val="single" w:sz="8" w:space="0" w:color="FFFFFF" w:themeColor="background1"/>
            </w:tcBorders>
            <w:shd w:val="clear" w:color="auto" w:fill="6F6652" w:themeFill="accent5"/>
            <w:tcMar>
              <w:left w:w="57" w:type="dxa"/>
              <w:right w:w="57" w:type="dxa"/>
            </w:tcMar>
          </w:tcPr>
          <w:p w14:paraId="229A895E" w14:textId="77777777" w:rsidR="00DD5DAA" w:rsidRDefault="00DD5DAA" w:rsidP="00DD5DAA">
            <w:pPr>
              <w:pStyle w:val="TableTextColumnHeading"/>
              <w:rPr>
                <w:lang w:bidi="fa-IR"/>
              </w:rPr>
            </w:pPr>
            <w:r>
              <w:rPr>
                <w:lang w:bidi="fa-IR"/>
              </w:rPr>
              <w:t>Quantifiable?</w:t>
            </w:r>
          </w:p>
        </w:tc>
        <w:tc>
          <w:tcPr>
            <w:tcW w:w="2646" w:type="dxa"/>
            <w:tcBorders>
              <w:bottom w:val="single" w:sz="8" w:space="0" w:color="FFFFFF" w:themeColor="background1"/>
            </w:tcBorders>
            <w:shd w:val="clear" w:color="auto" w:fill="6F6652" w:themeFill="accent5"/>
            <w:tcMar>
              <w:left w:w="57" w:type="dxa"/>
              <w:right w:w="57" w:type="dxa"/>
            </w:tcMar>
          </w:tcPr>
          <w:p w14:paraId="1D948CFA" w14:textId="77777777" w:rsidR="00DD5DAA" w:rsidRDefault="00DD5DAA" w:rsidP="00DD5DAA">
            <w:pPr>
              <w:pStyle w:val="TableTextColumnHeading"/>
              <w:rPr>
                <w:lang w:bidi="fa-IR"/>
              </w:rPr>
            </w:pPr>
            <w:r>
              <w:rPr>
                <w:lang w:bidi="fa-IR"/>
              </w:rPr>
              <w:t>Qualitative analysis</w:t>
            </w:r>
          </w:p>
        </w:tc>
      </w:tr>
      <w:tr w:rsidR="00DD5DAA" w14:paraId="3097BF30"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178EE7" w14:textId="77777777" w:rsidR="00DD5DAA" w:rsidRDefault="00DD5DAA" w:rsidP="00DD5DAA">
            <w:pPr>
              <w:pStyle w:val="TableTextEntries"/>
              <w:rPr>
                <w:lang w:bidi="fa-IR"/>
              </w:rPr>
            </w:pPr>
            <w:r>
              <w:rPr>
                <w:lang w:bidi="fa-IR"/>
              </w:rPr>
              <w:t>Improved community inclusion and social participation</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D22044" w14:textId="77777777" w:rsidR="00DD5DAA" w:rsidRDefault="000267BB" w:rsidP="009B7832">
            <w:pPr>
              <w:pStyle w:val="TableTextEntries"/>
              <w:rPr>
                <w:lang w:bidi="fa-IR"/>
              </w:rPr>
            </w:pPr>
            <w:r>
              <w:rPr>
                <w:lang w:bidi="fa-IR"/>
              </w:rPr>
              <w:t xml:space="preserve">In the Decision RIS, </w:t>
            </w:r>
            <w:r w:rsidR="009B7832">
              <w:rPr>
                <w:lang w:bidi="fa-IR"/>
              </w:rPr>
              <w:t>‘</w:t>
            </w:r>
            <w:r>
              <w:rPr>
                <w:lang w:bidi="fa-IR"/>
              </w:rPr>
              <w:t>loneliness</w:t>
            </w:r>
            <w:r w:rsidR="009B7832">
              <w:rPr>
                <w:lang w:bidi="fa-IR"/>
              </w:rPr>
              <w:t>’</w:t>
            </w:r>
            <w:r>
              <w:rPr>
                <w:lang w:bidi="fa-IR"/>
              </w:rPr>
              <w:t xml:space="preserve"> is part of the quality of life assessment. In addition, </w:t>
            </w:r>
            <w:r w:rsidR="009B7832">
              <w:rPr>
                <w:lang w:bidi="fa-IR"/>
              </w:rPr>
              <w:t>‘</w:t>
            </w:r>
            <w:r>
              <w:rPr>
                <w:lang w:bidi="fa-IR"/>
              </w:rPr>
              <w:t>visitability</w:t>
            </w:r>
            <w:r w:rsidR="009B7832">
              <w:rPr>
                <w:lang w:bidi="fa-IR"/>
              </w:rPr>
              <w:t>’</w:t>
            </w:r>
            <w:r>
              <w:rPr>
                <w:lang w:bidi="fa-IR"/>
              </w:rPr>
              <w:t xml:space="preserve"> impact due to inaccessible housing is separately quantified </w:t>
            </w:r>
            <w:r w:rsidR="00DD5DAA">
              <w:rPr>
                <w:lang w:bidi="fa-IR"/>
              </w:rPr>
              <w:t xml:space="preserve">and </w:t>
            </w:r>
            <w:r w:rsidR="003F2688">
              <w:rPr>
                <w:lang w:bidi="fa-IR"/>
              </w:rPr>
              <w:t>is</w:t>
            </w:r>
            <w:r>
              <w:rPr>
                <w:lang w:bidi="fa-IR"/>
              </w:rPr>
              <w:t xml:space="preserve"> </w:t>
            </w:r>
            <w:r w:rsidR="00DD5DAA">
              <w:rPr>
                <w:lang w:bidi="fa-IR"/>
              </w:rPr>
              <w:t>further improved by attributing the benefit of improved ability to visit others to all new housing</w:t>
            </w:r>
            <w:r w:rsidR="009B7832">
              <w:rPr>
                <w:lang w:bidi="fa-IR"/>
              </w:rPr>
              <w:t xml:space="preserve"> – see </w:t>
            </w:r>
            <w:r w:rsidR="00DD5DAA">
              <w:rPr>
                <w:lang w:bidi="fa-IR"/>
              </w:rPr>
              <w:t xml:space="preserve">the discussion in the </w:t>
            </w:r>
            <w:r w:rsidR="009B7832">
              <w:rPr>
                <w:lang w:bidi="fa-IR"/>
              </w:rPr>
              <w:t>s</w:t>
            </w:r>
            <w:r w:rsidR="00DD5DAA">
              <w:rPr>
                <w:lang w:bidi="fa-IR"/>
              </w:rPr>
              <w:t>ocial isolation subsection for details</w:t>
            </w:r>
            <w:r w:rsidR="009B7832">
              <w:rPr>
                <w:lang w:bidi="fa-IR"/>
              </w:rPr>
              <w:t>)</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2C9D35" w14:textId="21E9199F" w:rsidR="00DD5DAA" w:rsidRDefault="0027189F" w:rsidP="009B7832">
            <w:pPr>
              <w:pStyle w:val="TableTextEntries"/>
              <w:rPr>
                <w:lang w:bidi="fa-IR"/>
              </w:rPr>
            </w:pPr>
            <w:r>
              <w:rPr>
                <w:lang w:bidi="fa-IR"/>
              </w:rPr>
              <w:t>L</w:t>
            </w:r>
            <w:r w:rsidR="000D6979">
              <w:rPr>
                <w:lang w:bidi="fa-IR"/>
              </w:rPr>
              <w:t xml:space="preserve">oneliness </w:t>
            </w:r>
            <w:r w:rsidR="009B7832">
              <w:rPr>
                <w:lang w:bidi="fa-IR"/>
              </w:rPr>
              <w:t>due to accessibility of housing for</w:t>
            </w:r>
            <w:r w:rsidR="000D6979">
              <w:rPr>
                <w:lang w:bidi="fa-IR"/>
              </w:rPr>
              <w:t xml:space="preserve"> people with disability and older Australians is included in the quality of life </w:t>
            </w:r>
            <w:r w:rsidR="000D6979" w:rsidRPr="00771664">
              <w:rPr>
                <w:lang w:bidi="fa-IR"/>
              </w:rPr>
              <w:t>assessment</w:t>
            </w:r>
            <w:r w:rsidR="003F2688" w:rsidRPr="00771664">
              <w:rPr>
                <w:lang w:bidi="fa-IR"/>
              </w:rPr>
              <w:t xml:space="preserve"> (page </w:t>
            </w:r>
            <w:r w:rsidR="003F2688" w:rsidRPr="00771664">
              <w:rPr>
                <w:lang w:bidi="fa-IR"/>
              </w:rPr>
              <w:fldChar w:fldCharType="begin"/>
            </w:r>
            <w:r w:rsidR="003F2688" w:rsidRPr="00771664">
              <w:rPr>
                <w:lang w:bidi="fa-IR"/>
              </w:rPr>
              <w:instrText xml:space="preserve"> PAGEREF _Ref60090613 \h </w:instrText>
            </w:r>
            <w:r w:rsidR="003F2688" w:rsidRPr="00771664">
              <w:rPr>
                <w:lang w:bidi="fa-IR"/>
              </w:rPr>
            </w:r>
            <w:r w:rsidR="003F2688" w:rsidRPr="00771664">
              <w:rPr>
                <w:lang w:bidi="fa-IR"/>
              </w:rPr>
              <w:fldChar w:fldCharType="separate"/>
            </w:r>
            <w:r w:rsidR="000F445C">
              <w:rPr>
                <w:noProof/>
                <w:lang w:bidi="fa-IR"/>
              </w:rPr>
              <w:t>88</w:t>
            </w:r>
            <w:r w:rsidR="003F2688" w:rsidRPr="00771664">
              <w:rPr>
                <w:lang w:bidi="fa-IR"/>
              </w:rPr>
              <w:fldChar w:fldCharType="end"/>
            </w:r>
            <w:r w:rsidR="003F2688">
              <w:rPr>
                <w:lang w:bidi="fa-IR"/>
              </w:rPr>
              <w:t xml:space="preserve"> in chapter </w:t>
            </w:r>
            <w:r w:rsidR="00B57D3F">
              <w:rPr>
                <w:lang w:bidi="fa-IR"/>
              </w:rPr>
              <w:t>three</w:t>
            </w:r>
            <w:r w:rsidR="003F2688">
              <w:rPr>
                <w:lang w:bidi="fa-IR"/>
              </w:rPr>
              <w:t>)</w:t>
            </w:r>
          </w:p>
        </w:tc>
      </w:tr>
      <w:tr w:rsidR="00DD5DAA" w14:paraId="78536657"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8E7279" w14:textId="77777777" w:rsidR="00DD5DAA" w:rsidRDefault="00DD5DAA" w:rsidP="00DD5DAA">
            <w:pPr>
              <w:pStyle w:val="TableTextEntries"/>
              <w:rPr>
                <w:lang w:bidi="fa-IR"/>
              </w:rPr>
            </w:pPr>
            <w:r>
              <w:rPr>
                <w:lang w:bidi="fa-IR"/>
              </w:rPr>
              <w:t>Increased opportunities to engage with the workforce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CA643A" w14:textId="77777777" w:rsidR="00DD5DAA" w:rsidRDefault="000D6979" w:rsidP="00DD5DAA">
            <w:pPr>
              <w:pStyle w:val="TableTextEntries"/>
              <w:rPr>
                <w:lang w:bidi="fa-IR"/>
              </w:rPr>
            </w:pPr>
            <w:r>
              <w:rPr>
                <w:lang w:bidi="fa-IR"/>
              </w:rPr>
              <w:t xml:space="preserve">Indicative estimates made </w:t>
            </w:r>
            <w:r w:rsidR="00DD5DAA">
              <w:rPr>
                <w:lang w:bidi="fa-IR"/>
              </w:rPr>
              <w:t xml:space="preserve">through cross-checking the SDAC data and the MDI survey results </w:t>
            </w:r>
            <w:r>
              <w:rPr>
                <w:lang w:bidi="fa-IR"/>
              </w:rPr>
              <w:t>with a note that some of the data may have</w:t>
            </w:r>
            <w:r w:rsidR="00DD5DAA">
              <w:rPr>
                <w:lang w:bidi="fa-IR"/>
              </w:rPr>
              <w:t xml:space="preserve"> representativeness and self-selection bias </w:t>
            </w:r>
            <w:r>
              <w:rPr>
                <w:lang w:bidi="fa-IR"/>
              </w:rPr>
              <w:t xml:space="preserve">issues </w:t>
            </w:r>
            <w:r w:rsidR="00DD5DAA">
              <w:rPr>
                <w:lang w:bidi="fa-IR"/>
              </w:rPr>
              <w:t xml:space="preserve">– see </w:t>
            </w:r>
            <w:r w:rsidR="009B7832">
              <w:rPr>
                <w:lang w:bidi="fa-IR"/>
              </w:rPr>
              <w:t xml:space="preserve">the </w:t>
            </w:r>
            <w:r w:rsidR="00DD5DAA">
              <w:rPr>
                <w:lang w:bidi="fa-IR"/>
              </w:rPr>
              <w:t>discussion in the Employment and productivity impacts subsection</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3B77F" w14:textId="77777777" w:rsidR="00DD5DAA" w:rsidRDefault="000D6979" w:rsidP="00DD5DAA">
            <w:pPr>
              <w:pStyle w:val="TableTextEntries"/>
              <w:rPr>
                <w:lang w:bidi="fa-IR"/>
              </w:rPr>
            </w:pPr>
            <w:r>
              <w:rPr>
                <w:lang w:bidi="fa-IR"/>
              </w:rPr>
              <w:t>Given the issues noted in the left column</w:t>
            </w:r>
            <w:r w:rsidR="00DD5DAA">
              <w:rPr>
                <w:lang w:bidi="fa-IR"/>
              </w:rPr>
              <w:t xml:space="preserve">, </w:t>
            </w:r>
            <w:r w:rsidR="0012745E">
              <w:rPr>
                <w:lang w:bidi="fa-IR"/>
              </w:rPr>
              <w:t xml:space="preserve">the quantification is used </w:t>
            </w:r>
            <w:r w:rsidR="00DD5DAA">
              <w:rPr>
                <w:lang w:bidi="fa-IR"/>
              </w:rPr>
              <w:t xml:space="preserve">in </w:t>
            </w:r>
            <w:r w:rsidR="0012745E">
              <w:rPr>
                <w:lang w:bidi="fa-IR"/>
              </w:rPr>
              <w:t xml:space="preserve">the </w:t>
            </w:r>
            <w:r w:rsidR="00DD5DAA">
              <w:rPr>
                <w:lang w:bidi="fa-IR"/>
              </w:rPr>
              <w:t>qualitative analysis</w:t>
            </w:r>
            <w:r w:rsidR="0012745E">
              <w:rPr>
                <w:lang w:bidi="fa-IR"/>
              </w:rPr>
              <w:t xml:space="preserve"> as an indication of the potential size of this benefit</w:t>
            </w:r>
          </w:p>
        </w:tc>
      </w:tr>
      <w:tr w:rsidR="00DD5DAA" w14:paraId="1DDB5FF7"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8A0454" w14:textId="77777777" w:rsidR="00DD5DAA" w:rsidRDefault="00DD5DAA" w:rsidP="00DD5DAA">
            <w:pPr>
              <w:pStyle w:val="TableTextEntries"/>
              <w:rPr>
                <w:lang w:bidi="fa-IR"/>
              </w:rPr>
            </w:pPr>
            <w:r>
              <w:rPr>
                <w:lang w:bidi="fa-IR"/>
              </w:rPr>
              <w:t>Reduced reliance on social welfare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4D391" w14:textId="77777777" w:rsidR="00DD5DAA" w:rsidRDefault="00DD5DAA" w:rsidP="00DD5DAA">
            <w:pPr>
              <w:pStyle w:val="TableTextEntries"/>
              <w:rPr>
                <w:lang w:bidi="fa-IR"/>
              </w:rPr>
            </w:pPr>
            <w:r>
              <w:rPr>
                <w:lang w:bidi="fa-IR"/>
              </w:rPr>
              <w:t>This is a consequence of increased opportunities to engage with the workforce, and thus is not treated as a separate benefit to avoid double counting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565B3" w14:textId="77777777" w:rsidR="00DD5DAA" w:rsidRDefault="006E41DF" w:rsidP="00DD5DAA">
            <w:pPr>
              <w:pStyle w:val="TableTextEntries"/>
              <w:rPr>
                <w:lang w:bidi="fa-IR"/>
              </w:rPr>
            </w:pPr>
            <w:r>
              <w:rPr>
                <w:lang w:bidi="fa-IR"/>
              </w:rPr>
              <w:t>This is a consequence of increased opportunities to engage with the workforce, and thus is not treated as a separate benefit to avoid double counting</w:t>
            </w:r>
          </w:p>
        </w:tc>
      </w:tr>
      <w:tr w:rsidR="00DD5DAA" w14:paraId="7787D145"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D5BB4" w14:textId="77777777" w:rsidR="00DD5DAA" w:rsidRDefault="00DD5DAA" w:rsidP="00DD5DAA">
            <w:pPr>
              <w:pStyle w:val="TableTextEntries"/>
              <w:rPr>
                <w:lang w:bidi="fa-IR"/>
              </w:rPr>
            </w:pPr>
            <w:r>
              <w:rPr>
                <w:lang w:bidi="fa-IR"/>
              </w:rPr>
              <w:t>Greater personal freedom and empowerment</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B3BB1E" w14:textId="77777777" w:rsidR="00DD5DAA" w:rsidRDefault="00DD5DAA" w:rsidP="00DD5DAA">
            <w:pPr>
              <w:pStyle w:val="TableTextEntries"/>
              <w:rPr>
                <w:lang w:bidi="fa-IR"/>
              </w:rPr>
            </w:pPr>
            <w:r>
              <w:rPr>
                <w:lang w:bidi="fa-IR"/>
              </w:rPr>
              <w:t xml:space="preserve">This </w:t>
            </w:r>
            <w:r w:rsidR="0012745E">
              <w:rPr>
                <w:lang w:bidi="fa-IR"/>
              </w:rPr>
              <w:t>is</w:t>
            </w:r>
            <w:r>
              <w:rPr>
                <w:lang w:bidi="fa-IR"/>
              </w:rPr>
              <w:t xml:space="preserve"> part of </w:t>
            </w:r>
            <w:r w:rsidR="00B844CB">
              <w:rPr>
                <w:lang w:bidi="fa-IR"/>
              </w:rPr>
              <w:t xml:space="preserve">the </w:t>
            </w:r>
            <w:r>
              <w:rPr>
                <w:lang w:bidi="fa-IR"/>
              </w:rPr>
              <w:t>quality of life benefits and thus is not treated as a separate benefit to avoid double counting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1E469C" w14:textId="77777777" w:rsidR="00DD5DAA" w:rsidRDefault="00DD5DAA" w:rsidP="00DD5DAA">
            <w:pPr>
              <w:pStyle w:val="TableTextEntries"/>
              <w:rPr>
                <w:lang w:bidi="fa-IR"/>
              </w:rPr>
            </w:pPr>
            <w:r>
              <w:rPr>
                <w:lang w:bidi="fa-IR"/>
              </w:rPr>
              <w:t xml:space="preserve">Included in the quality of life </w:t>
            </w:r>
            <w:r w:rsidR="00CA2231">
              <w:rPr>
                <w:lang w:bidi="fa-IR"/>
              </w:rPr>
              <w:t>benefit</w:t>
            </w:r>
          </w:p>
        </w:tc>
      </w:tr>
      <w:tr w:rsidR="00DD5DAA" w14:paraId="54FE3EB3"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7434FC" w14:textId="77777777" w:rsidR="00DD5DAA" w:rsidRDefault="00DD5DAA" w:rsidP="00DD5DAA">
            <w:pPr>
              <w:pStyle w:val="TableTextEntries"/>
              <w:rPr>
                <w:lang w:bidi="fa-IR"/>
              </w:rPr>
            </w:pPr>
            <w:r>
              <w:rPr>
                <w:lang w:bidi="fa-IR"/>
              </w:rPr>
              <w:t>Improved mental health</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217731" w14:textId="77777777" w:rsidR="00DD5DAA" w:rsidRDefault="0012745E" w:rsidP="00F650B3">
            <w:pPr>
              <w:pStyle w:val="TableTextEntries"/>
              <w:rPr>
                <w:lang w:bidi="fa-IR"/>
              </w:rPr>
            </w:pPr>
            <w:r>
              <w:rPr>
                <w:lang w:bidi="fa-IR"/>
              </w:rPr>
              <w:t xml:space="preserve">This is part of the quality of life impact. </w:t>
            </w:r>
            <w:r w:rsidR="00F650B3">
              <w:rPr>
                <w:lang w:bidi="fa-IR"/>
              </w:rPr>
              <w:t xml:space="preserve">Noting there are representativeness issues, </w:t>
            </w:r>
            <w:r>
              <w:rPr>
                <w:lang w:bidi="fa-IR"/>
              </w:rPr>
              <w:t xml:space="preserve">quantification has been made </w:t>
            </w:r>
            <w:r w:rsidR="00DD5DAA">
              <w:rPr>
                <w:lang w:bidi="fa-IR"/>
              </w:rPr>
              <w:t>through using the MDI survey results and the mental health costs estimated by other studies</w:t>
            </w:r>
            <w:r w:rsidR="00F650B3">
              <w:rPr>
                <w:lang w:bidi="fa-IR"/>
              </w:rPr>
              <w:t xml:space="preserve"> </w:t>
            </w:r>
            <w:r w:rsidR="00DD5DAA" w:rsidRPr="00746685">
              <w:rPr>
                <w:lang w:bidi="fa-IR"/>
              </w:rPr>
              <w:t xml:space="preserve">– see the discussion in </w:t>
            </w:r>
            <w:r w:rsidR="00DD5DAA">
              <w:rPr>
                <w:lang w:bidi="fa-IR"/>
              </w:rPr>
              <w:t>Anxiety and mental health impacts subsection</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E6963A" w14:textId="77777777" w:rsidR="00DD5DAA" w:rsidRDefault="00CA2231" w:rsidP="00DD5DAA">
            <w:pPr>
              <w:pStyle w:val="TableTextEntries"/>
              <w:rPr>
                <w:lang w:bidi="fa-IR"/>
              </w:rPr>
            </w:pPr>
            <w:r>
              <w:rPr>
                <w:lang w:bidi="fa-IR"/>
              </w:rPr>
              <w:t>Included in</w:t>
            </w:r>
            <w:r w:rsidR="0012745E">
              <w:rPr>
                <w:lang w:bidi="fa-IR"/>
              </w:rPr>
              <w:t xml:space="preserve"> </w:t>
            </w:r>
            <w:r w:rsidR="00DD5DAA">
              <w:rPr>
                <w:lang w:bidi="fa-IR"/>
              </w:rPr>
              <w:t>the quality of life benefit</w:t>
            </w:r>
          </w:p>
          <w:p w14:paraId="6C1DF99F" w14:textId="77777777" w:rsidR="0012745E" w:rsidRDefault="0012745E" w:rsidP="00DD5DAA">
            <w:pPr>
              <w:pStyle w:val="TableTextEntries"/>
              <w:rPr>
                <w:lang w:bidi="fa-IR"/>
              </w:rPr>
            </w:pPr>
            <w:r>
              <w:rPr>
                <w:lang w:bidi="fa-IR"/>
              </w:rPr>
              <w:t>The quantification is used to cross check whether the indic</w:t>
            </w:r>
            <w:r w:rsidR="00BC7C40">
              <w:rPr>
                <w:lang w:bidi="fa-IR"/>
              </w:rPr>
              <w:t>a</w:t>
            </w:r>
            <w:r>
              <w:rPr>
                <w:lang w:bidi="fa-IR"/>
              </w:rPr>
              <w:t>tive estimate of quality of life impact is in the adequate scale</w:t>
            </w:r>
          </w:p>
        </w:tc>
      </w:tr>
      <w:tr w:rsidR="00DD5DAA" w14:paraId="102EA035"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82F45" w14:textId="77777777" w:rsidR="00DD5DAA" w:rsidRDefault="00DD5DAA" w:rsidP="00DD5DAA">
            <w:pPr>
              <w:pStyle w:val="TableTextEntries"/>
              <w:rPr>
                <w:lang w:bidi="fa-IR"/>
              </w:rPr>
            </w:pPr>
            <w:r>
              <w:rPr>
                <w:lang w:bidi="fa-IR"/>
              </w:rPr>
              <w:t>Improved quality of life, wellbeing and mental health outcomes for informal carers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FA4688" w14:textId="77777777" w:rsidR="00DD5DAA" w:rsidRDefault="0087141C" w:rsidP="00DD5DAA">
            <w:pPr>
              <w:pStyle w:val="TableTextEntries"/>
              <w:rPr>
                <w:lang w:bidi="fa-IR"/>
              </w:rPr>
            </w:pPr>
            <w:r>
              <w:rPr>
                <w:lang w:bidi="fa-IR"/>
              </w:rPr>
              <w:t xml:space="preserve">The CBA includes the opportunity of cost of time. </w:t>
            </w:r>
            <w:r w:rsidR="00DD5DAA">
              <w:rPr>
                <w:lang w:bidi="fa-IR"/>
              </w:rPr>
              <w:t xml:space="preserve">This is included in the costs of informal care </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70886C" w14:textId="77777777" w:rsidR="00DD5DAA" w:rsidRDefault="00806ED7" w:rsidP="00DD5DAA">
            <w:pPr>
              <w:pStyle w:val="TableTextEntries"/>
              <w:rPr>
                <w:lang w:bidi="fa-IR"/>
              </w:rPr>
            </w:pPr>
            <w:r>
              <w:rPr>
                <w:lang w:bidi="fa-IR"/>
              </w:rPr>
              <w:t>General qualitative discussion when quantifying these impacts</w:t>
            </w:r>
          </w:p>
        </w:tc>
      </w:tr>
      <w:tr w:rsidR="00DD5DAA" w14:paraId="43192E08" w14:textId="77777777" w:rsidTr="00DD5DA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C4C63A" w14:textId="77777777" w:rsidR="00DD5DAA" w:rsidRDefault="00DD5DAA" w:rsidP="00DD5DAA">
            <w:pPr>
              <w:pStyle w:val="TableTextEntries"/>
              <w:rPr>
                <w:lang w:bidi="fa-IR"/>
              </w:rPr>
            </w:pPr>
            <w:r>
              <w:rPr>
                <w:lang w:bidi="fa-IR"/>
              </w:rPr>
              <w:t>Better awareness of diversity in society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F58906" w14:textId="77777777" w:rsidR="00DD5DAA" w:rsidRDefault="00DD5DAA" w:rsidP="00DD5DAA">
            <w:pPr>
              <w:pStyle w:val="TableTextEntries"/>
              <w:rPr>
                <w:lang w:bidi="fa-IR"/>
              </w:rPr>
            </w:pPr>
            <w:r>
              <w:rPr>
                <w:lang w:bidi="fa-IR"/>
              </w:rPr>
              <w:t>Difficult to quantify as it is not a financial benefit, and mainly an objective of a broader policy regime.</w:t>
            </w:r>
          </w:p>
          <w:p w14:paraId="20965883" w14:textId="77777777" w:rsidR="00603EA1" w:rsidRDefault="00603EA1" w:rsidP="00DD5DAA">
            <w:pPr>
              <w:pStyle w:val="TableTextEntries"/>
              <w:rPr>
                <w:lang w:bidi="fa-IR"/>
              </w:rPr>
            </w:pPr>
            <w:r>
              <w:rPr>
                <w:lang w:bidi="fa-IR"/>
              </w:rPr>
              <w:t>Quantification has been made through WTP analysis (the whole society’s willingness to pay for improved accessible features)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CE6F4F" w14:textId="77777777" w:rsidR="00DD5DAA" w:rsidRDefault="00DD5DAA" w:rsidP="00DD5DAA">
            <w:pPr>
              <w:pStyle w:val="TableTextEntries"/>
              <w:rPr>
                <w:lang w:bidi="fa-IR"/>
              </w:rPr>
            </w:pPr>
            <w:r>
              <w:rPr>
                <w:lang w:bidi="fa-IR"/>
              </w:rPr>
              <w:t>This is mainly an objective of a broader policy regime – the RIS is to establish whether accessible housing proposal in the NCC is the most efficient way to achieve the objective and includes qualitative discussion</w:t>
            </w:r>
          </w:p>
          <w:p w14:paraId="049112C1" w14:textId="77777777" w:rsidR="00603EA1" w:rsidRDefault="00603EA1" w:rsidP="00DD5DAA">
            <w:pPr>
              <w:pStyle w:val="TableTextEntries"/>
              <w:rPr>
                <w:lang w:bidi="fa-IR"/>
              </w:rPr>
            </w:pPr>
            <w:r>
              <w:rPr>
                <w:lang w:bidi="fa-IR"/>
              </w:rPr>
              <w:t>The quantification is used in the qualitative analysis as an indicative estimate for this aspect of the benefits</w:t>
            </w:r>
          </w:p>
          <w:p w14:paraId="4C891C8D" w14:textId="77777777" w:rsidR="00DD5DAA" w:rsidRDefault="00DD5DAA" w:rsidP="00DD5DAA">
            <w:pPr>
              <w:pStyle w:val="TableTextEntries"/>
              <w:rPr>
                <w:lang w:bidi="fa-IR"/>
              </w:rPr>
            </w:pPr>
            <w:r>
              <w:rPr>
                <w:lang w:bidi="fa-IR"/>
              </w:rPr>
              <w:t>See the discussion in Social justice subsection for details</w:t>
            </w:r>
          </w:p>
        </w:tc>
      </w:tr>
      <w:tr w:rsidR="00DD5DAA" w14:paraId="5902E013" w14:textId="77777777" w:rsidTr="00FB225F">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07B675" w14:textId="77777777" w:rsidR="00DD5DAA" w:rsidRDefault="00DD5DAA" w:rsidP="00DD5DAA">
            <w:pPr>
              <w:pStyle w:val="TableTextEntries"/>
              <w:rPr>
                <w:lang w:bidi="fa-IR"/>
              </w:rPr>
            </w:pPr>
            <w:r>
              <w:rPr>
                <w:lang w:bidi="fa-IR"/>
              </w:rPr>
              <w:t>Increased engagement in human-rights and social impact</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EF8045" w14:textId="77777777" w:rsidR="00DD5DAA" w:rsidRDefault="00DD5DAA" w:rsidP="00DD5DAA">
            <w:pPr>
              <w:pStyle w:val="TableTextEntries"/>
              <w:rPr>
                <w:lang w:bidi="fa-IR"/>
              </w:rPr>
            </w:pPr>
            <w:r>
              <w:rPr>
                <w:lang w:bidi="fa-IR"/>
              </w:rPr>
              <w:t xml:space="preserve">Difficult </w:t>
            </w:r>
            <w:r w:rsidR="00E65598">
              <w:rPr>
                <w:lang w:bidi="fa-IR"/>
              </w:rPr>
              <w:t>to quantify</w:t>
            </w:r>
            <w:r>
              <w:rPr>
                <w:lang w:bidi="fa-IR"/>
              </w:rPr>
              <w:t>– see above</w:t>
            </w:r>
            <w:r w:rsidR="00261300">
              <w:rPr>
                <w:lang w:bidi="fa-IR"/>
              </w:rPr>
              <w:t xml:space="preserve"> discussion on better awareness of diversity in society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18A1C4" w14:textId="77777777" w:rsidR="00DD5DAA" w:rsidRDefault="00DD5DAA" w:rsidP="00DD5DAA">
            <w:pPr>
              <w:pStyle w:val="TableTextEntries"/>
              <w:rPr>
                <w:lang w:bidi="fa-IR"/>
              </w:rPr>
            </w:pPr>
            <w:r>
              <w:rPr>
                <w:lang w:bidi="fa-IR"/>
              </w:rPr>
              <w:t>As above</w:t>
            </w:r>
            <w:r w:rsidR="00261300">
              <w:rPr>
                <w:lang w:bidi="fa-IR"/>
              </w:rPr>
              <w:t xml:space="preserve"> for better awareness of diversity in society</w:t>
            </w:r>
          </w:p>
        </w:tc>
      </w:tr>
      <w:tr w:rsidR="00F11742" w14:paraId="382150C3" w14:textId="77777777" w:rsidTr="00FB225F">
        <w:tc>
          <w:tcPr>
            <w:tcW w:w="2645"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5E5B2D1D" w14:textId="77777777" w:rsidR="00DD5DAA" w:rsidRDefault="00DD5DAA" w:rsidP="00DD5DAA">
            <w:pPr>
              <w:pStyle w:val="TableTextEntries"/>
              <w:rPr>
                <w:lang w:bidi="fa-IR"/>
              </w:rPr>
            </w:pPr>
            <w:r>
              <w:rPr>
                <w:lang w:bidi="fa-IR"/>
              </w:rPr>
              <w:lastRenderedPageBreak/>
              <w:t>A more equitable society</w:t>
            </w:r>
          </w:p>
        </w:tc>
        <w:tc>
          <w:tcPr>
            <w:tcW w:w="2646"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6ADEA72C" w14:textId="77777777" w:rsidR="00DD5DAA" w:rsidRPr="00261300" w:rsidRDefault="00DD5DAA" w:rsidP="00DD5DAA">
            <w:pPr>
              <w:pStyle w:val="TableTextEntries"/>
            </w:pPr>
            <w:r>
              <w:rPr>
                <w:lang w:bidi="fa-IR"/>
              </w:rPr>
              <w:t xml:space="preserve">Difficult </w:t>
            </w:r>
            <w:r w:rsidR="00E65598">
              <w:rPr>
                <w:lang w:bidi="fa-IR"/>
              </w:rPr>
              <w:t xml:space="preserve">to quantify </w:t>
            </w:r>
            <w:r>
              <w:rPr>
                <w:lang w:bidi="fa-IR"/>
              </w:rPr>
              <w:t>– see above</w:t>
            </w:r>
            <w:r w:rsidR="00261300">
              <w:rPr>
                <w:lang w:bidi="fa-IR"/>
              </w:rPr>
              <w:t xml:space="preserve"> discussion on better awareness of diversity in society</w:t>
            </w:r>
          </w:p>
        </w:tc>
        <w:tc>
          <w:tcPr>
            <w:tcW w:w="2646"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7AC02390" w14:textId="77777777" w:rsidR="00DD5DAA" w:rsidRDefault="00DD5DAA" w:rsidP="00DD5DAA">
            <w:pPr>
              <w:pStyle w:val="TableTextEntries"/>
              <w:rPr>
                <w:lang w:bidi="fa-IR"/>
              </w:rPr>
            </w:pPr>
            <w:r>
              <w:rPr>
                <w:lang w:bidi="fa-IR"/>
              </w:rPr>
              <w:t>As above</w:t>
            </w:r>
            <w:r w:rsidR="00261300">
              <w:rPr>
                <w:lang w:bidi="fa-IR"/>
              </w:rPr>
              <w:t xml:space="preserve"> for better awareness of diversity in society</w:t>
            </w:r>
          </w:p>
        </w:tc>
      </w:tr>
    </w:tbl>
    <w:p w14:paraId="71240FA5" w14:textId="77777777" w:rsidR="00DD5DAA" w:rsidRDefault="00DD5DAA" w:rsidP="00DA6093">
      <w:pPr>
        <w:pStyle w:val="Note"/>
        <w:rPr>
          <w:lang w:bidi="fa-IR"/>
        </w:rPr>
      </w:pPr>
      <w:r w:rsidRPr="00DA6093">
        <w:t>Source:</w:t>
      </w:r>
      <w:r>
        <w:rPr>
          <w:lang w:bidi="fa-IR"/>
        </w:rPr>
        <w:t xml:space="preserve"> CIE</w:t>
      </w:r>
      <w:r w:rsidR="00FB225F">
        <w:rPr>
          <w:lang w:bidi="fa-IR"/>
        </w:rPr>
        <w:t>.</w:t>
      </w:r>
    </w:p>
    <w:p w14:paraId="0F791FBC" w14:textId="77777777" w:rsidR="00DD5DAA" w:rsidRDefault="00DD5DAA" w:rsidP="00DD5DAA">
      <w:pPr>
        <w:pStyle w:val="Heading2"/>
        <w:numPr>
          <w:ilvl w:val="1"/>
          <w:numId w:val="5"/>
        </w:numPr>
        <w:rPr>
          <w:lang w:bidi="fa-IR"/>
        </w:rPr>
      </w:pPr>
      <w:bookmarkStart w:id="74" w:name="_Toc54024073"/>
      <w:bookmarkStart w:id="75" w:name="_Ref64926200"/>
      <w:bookmarkStart w:id="76" w:name="_Toc70505093"/>
      <w:bookmarkEnd w:id="70"/>
      <w:r>
        <w:rPr>
          <w:lang w:bidi="fa-IR"/>
        </w:rPr>
        <w:t>Specific methodological issues</w:t>
      </w:r>
      <w:bookmarkEnd w:id="74"/>
      <w:bookmarkEnd w:id="75"/>
      <w:bookmarkEnd w:id="76"/>
    </w:p>
    <w:p w14:paraId="34C32D43" w14:textId="77777777" w:rsidR="00DD5DAA" w:rsidRPr="00FD5C0C" w:rsidRDefault="00DD5DAA" w:rsidP="00DD5DAA">
      <w:pPr>
        <w:pStyle w:val="Heading3"/>
        <w:numPr>
          <w:ilvl w:val="2"/>
          <w:numId w:val="5"/>
        </w:numPr>
        <w:rPr>
          <w:lang w:bidi="fa-IR"/>
        </w:rPr>
      </w:pPr>
      <w:bookmarkStart w:id="77" w:name="_Ref64926465"/>
      <w:r w:rsidRPr="00FD5C0C">
        <w:rPr>
          <w:lang w:bidi="fa-IR"/>
        </w:rPr>
        <w:t>Benefits to households without mobility limitations</w:t>
      </w:r>
      <w:bookmarkEnd w:id="77"/>
    </w:p>
    <w:p w14:paraId="3EAC457F" w14:textId="77777777" w:rsidR="00A129C5" w:rsidRDefault="00A129C5" w:rsidP="00A129C5">
      <w:pPr>
        <w:pStyle w:val="BodyText"/>
        <w:rPr>
          <w:lang w:bidi="fa-IR"/>
        </w:rPr>
      </w:pPr>
      <w:r>
        <w:rPr>
          <w:lang w:bidi="fa-IR"/>
        </w:rPr>
        <w:t xml:space="preserve">As discussed earlier in this </w:t>
      </w:r>
      <w:r w:rsidR="00B57D3F">
        <w:rPr>
          <w:lang w:bidi="fa-IR"/>
        </w:rPr>
        <w:t>c</w:t>
      </w:r>
      <w:r>
        <w:rPr>
          <w:lang w:bidi="fa-IR"/>
        </w:rPr>
        <w:t xml:space="preserve">hapter, consultation submissions raised concerns about the application of the principle of symmetry in presenting costs and benefits. </w:t>
      </w:r>
    </w:p>
    <w:p w14:paraId="71F2F106" w14:textId="77777777" w:rsidR="00A129C5" w:rsidRDefault="00DD5DAA" w:rsidP="00DD5DAA">
      <w:pPr>
        <w:pStyle w:val="BodyText"/>
        <w:rPr>
          <w:lang w:bidi="fa-IR"/>
        </w:rPr>
      </w:pPr>
      <w:r>
        <w:rPr>
          <w:lang w:bidi="fa-IR"/>
        </w:rPr>
        <w:t>Dalton and Carter (2020</w:t>
      </w:r>
      <w:r w:rsidR="00A129C5">
        <w:rPr>
          <w:lang w:bidi="fa-IR"/>
        </w:rPr>
        <w:t>a</w:t>
      </w:r>
      <w:r>
        <w:rPr>
          <w:lang w:bidi="fa-IR"/>
        </w:rPr>
        <w:t xml:space="preserve">) </w:t>
      </w:r>
      <w:r w:rsidR="00A129C5">
        <w:rPr>
          <w:lang w:bidi="fa-IR"/>
        </w:rPr>
        <w:t>raise</w:t>
      </w:r>
      <w:r>
        <w:rPr>
          <w:lang w:bidi="fa-IR"/>
        </w:rPr>
        <w:t xml:space="preserve"> </w:t>
      </w:r>
      <w:r w:rsidR="00A129C5">
        <w:rPr>
          <w:lang w:bidi="fa-IR"/>
        </w:rPr>
        <w:t>concerns in this regard with respect to benefits for persons without limited mobility; specifically</w:t>
      </w:r>
      <w:r w:rsidR="00264220">
        <w:rPr>
          <w:lang w:bidi="fa-IR"/>
        </w:rPr>
        <w:t>,</w:t>
      </w:r>
      <w:r w:rsidR="00A129C5">
        <w:rPr>
          <w:lang w:bidi="fa-IR"/>
        </w:rPr>
        <w:t xml:space="preserve"> that </w:t>
      </w:r>
      <w:r>
        <w:rPr>
          <w:lang w:bidi="fa-IR"/>
        </w:rPr>
        <w:t>the ‘problem-reduction approach’ counted costs but not benefits for persons without limited mobility.</w:t>
      </w:r>
    </w:p>
    <w:p w14:paraId="101575DC" w14:textId="227072B1" w:rsidR="00DD5DAA" w:rsidRDefault="00DD5DAA" w:rsidP="00A129C5">
      <w:pPr>
        <w:pStyle w:val="BodyText"/>
        <w:rPr>
          <w:lang w:bidi="fa-IR"/>
        </w:rPr>
      </w:pPr>
      <w:r>
        <w:rPr>
          <w:lang w:bidi="fa-IR"/>
        </w:rPr>
        <w:t xml:space="preserve">CIE </w:t>
      </w:r>
      <w:r w:rsidR="00A129C5">
        <w:rPr>
          <w:lang w:bidi="fa-IR"/>
        </w:rPr>
        <w:t>agrees</w:t>
      </w:r>
      <w:r>
        <w:rPr>
          <w:lang w:bidi="fa-IR"/>
        </w:rPr>
        <w:t xml:space="preserve"> the problem-reduction approach may have omitted some benefits to persons without limited mobility relating to ease of access and use (for example, manoeuvring prams or moving furniture) and receiving visits from family and friends with limited mobility. </w:t>
      </w:r>
      <w:r w:rsidR="00A129C5">
        <w:rPr>
          <w:lang w:bidi="fa-IR"/>
        </w:rPr>
        <w:t xml:space="preserve">In response, the RIS now incorporates </w:t>
      </w:r>
      <w:r w:rsidR="00A129C5" w:rsidRPr="00060136">
        <w:rPr>
          <w:iCs/>
          <w:lang w:bidi="fa-IR"/>
        </w:rPr>
        <w:t xml:space="preserve">the </w:t>
      </w:r>
      <w:r w:rsidR="00E82F9E">
        <w:rPr>
          <w:iCs/>
          <w:lang w:bidi="fa-IR"/>
        </w:rPr>
        <w:t>stated preference survey</w:t>
      </w:r>
      <w:r w:rsidR="00A129C5" w:rsidRPr="00060136">
        <w:rPr>
          <w:iCs/>
          <w:lang w:bidi="fa-IR"/>
        </w:rPr>
        <w:t xml:space="preserve"> results in an</w:t>
      </w:r>
      <w:r w:rsidR="00A129C5" w:rsidRPr="005331B4">
        <w:t xml:space="preserve"> additional </w:t>
      </w:r>
      <w:r w:rsidR="00A129C5" w:rsidRPr="00060136">
        <w:rPr>
          <w:iCs/>
          <w:lang w:bidi="fa-IR"/>
        </w:rPr>
        <w:t>qualitative discussion</w:t>
      </w:r>
      <w:r w:rsidR="00A129C5" w:rsidRPr="005331B4">
        <w:t xml:space="preserve"> of </w:t>
      </w:r>
      <w:r w:rsidR="00A129C5" w:rsidRPr="00060136">
        <w:rPr>
          <w:iCs/>
          <w:lang w:bidi="fa-IR"/>
        </w:rPr>
        <w:t xml:space="preserve">quality of life impact and cost </w:t>
      </w:r>
      <w:r w:rsidR="00A129C5" w:rsidRPr="005331B4">
        <w:t xml:space="preserve">to </w:t>
      </w:r>
      <w:r w:rsidR="00A129C5" w:rsidRPr="00060136">
        <w:rPr>
          <w:iCs/>
          <w:lang w:bidi="fa-IR"/>
        </w:rPr>
        <w:t>community assuming partial or no overlapping</w:t>
      </w:r>
      <w:r w:rsidR="00A129C5" w:rsidRPr="005331B4">
        <w:t xml:space="preserve">, which </w:t>
      </w:r>
      <w:r w:rsidR="00A129C5" w:rsidRPr="00060136">
        <w:rPr>
          <w:iCs/>
          <w:lang w:bidi="fa-IR"/>
        </w:rPr>
        <w:t>serves to illustrate</w:t>
      </w:r>
      <w:r w:rsidR="00A129C5" w:rsidRPr="005331B4">
        <w:t xml:space="preserve"> the </w:t>
      </w:r>
      <w:r w:rsidR="00A129C5" w:rsidRPr="00060136">
        <w:rPr>
          <w:iCs/>
          <w:lang w:bidi="fa-IR"/>
        </w:rPr>
        <w:t>likely size of</w:t>
      </w:r>
      <w:r w:rsidR="00A129C5" w:rsidRPr="005331B4">
        <w:t xml:space="preserve"> relevant</w:t>
      </w:r>
      <w:r w:rsidR="00A129C5" w:rsidRPr="00060136">
        <w:rPr>
          <w:iCs/>
          <w:lang w:bidi="fa-IR"/>
        </w:rPr>
        <w:t xml:space="preserve"> benefits</w:t>
      </w:r>
      <w:r w:rsidR="00A129C5">
        <w:rPr>
          <w:iCs/>
          <w:lang w:bidi="fa-IR"/>
        </w:rPr>
        <w:t xml:space="preserve"> (see section ‘</w:t>
      </w:r>
      <w:r w:rsidR="00A129C5">
        <w:rPr>
          <w:iCs/>
          <w:lang w:bidi="fa-IR"/>
        </w:rPr>
        <w:fldChar w:fldCharType="begin"/>
      </w:r>
      <w:r w:rsidR="00A129C5">
        <w:rPr>
          <w:iCs/>
          <w:lang w:bidi="fa-IR"/>
        </w:rPr>
        <w:instrText xml:space="preserve"> REF _Ref56333467 \h </w:instrText>
      </w:r>
      <w:r w:rsidR="00A129C5">
        <w:rPr>
          <w:iCs/>
          <w:lang w:bidi="fa-IR"/>
        </w:rPr>
      </w:r>
      <w:r w:rsidR="00A129C5">
        <w:rPr>
          <w:iCs/>
          <w:lang w:bidi="fa-IR"/>
        </w:rPr>
        <w:fldChar w:fldCharType="separate"/>
      </w:r>
      <w:r w:rsidR="000F445C">
        <w:rPr>
          <w:lang w:eastAsia="en-US" w:bidi="fa-IR"/>
        </w:rPr>
        <w:t>Qualitative assessment</w:t>
      </w:r>
      <w:r w:rsidR="00A129C5">
        <w:rPr>
          <w:iCs/>
          <w:lang w:bidi="fa-IR"/>
        </w:rPr>
        <w:fldChar w:fldCharType="end"/>
      </w:r>
      <w:r w:rsidR="00A129C5">
        <w:rPr>
          <w:iCs/>
          <w:lang w:bidi="fa-IR"/>
        </w:rPr>
        <w:t xml:space="preserve">’ in chapter </w:t>
      </w:r>
      <w:r w:rsidR="00B57D3F">
        <w:rPr>
          <w:iCs/>
          <w:lang w:bidi="fa-IR"/>
        </w:rPr>
        <w:t>three</w:t>
      </w:r>
      <w:r w:rsidR="00A129C5">
        <w:rPr>
          <w:iCs/>
          <w:lang w:bidi="fa-IR"/>
        </w:rPr>
        <w:t>)</w:t>
      </w:r>
      <w:r w:rsidR="00A129C5" w:rsidRPr="00060136">
        <w:rPr>
          <w:iCs/>
          <w:lang w:bidi="fa-IR"/>
        </w:rPr>
        <w:t>.</w:t>
      </w:r>
      <w:r w:rsidR="00A129C5">
        <w:rPr>
          <w:iCs/>
          <w:lang w:bidi="fa-IR"/>
        </w:rPr>
        <w:t xml:space="preserve"> This is considered a more appropriate response than that proposed by</w:t>
      </w:r>
      <w:r>
        <w:rPr>
          <w:lang w:bidi="fa-IR"/>
        </w:rPr>
        <w:t xml:space="preserve"> Dalton Carter</w:t>
      </w:r>
      <w:r w:rsidR="00C947D0">
        <w:rPr>
          <w:lang w:bidi="fa-IR"/>
        </w:rPr>
        <w:t xml:space="preserve"> (2020a)</w:t>
      </w:r>
      <w:r>
        <w:rPr>
          <w:lang w:bidi="fa-IR"/>
        </w:rPr>
        <w:t xml:space="preserve"> </w:t>
      </w:r>
      <w:r w:rsidR="00A129C5">
        <w:rPr>
          <w:lang w:bidi="fa-IR"/>
        </w:rPr>
        <w:t xml:space="preserve">which was </w:t>
      </w:r>
      <w:r>
        <w:rPr>
          <w:lang w:bidi="fa-IR"/>
        </w:rPr>
        <w:t>to confin</w:t>
      </w:r>
      <w:r w:rsidR="00A129C5">
        <w:rPr>
          <w:lang w:bidi="fa-IR"/>
        </w:rPr>
        <w:t>e</w:t>
      </w:r>
      <w:r>
        <w:rPr>
          <w:lang w:bidi="fa-IR"/>
        </w:rPr>
        <w:t xml:space="preserve"> cost estimates to buildings occupied by persons with limited mobility. </w:t>
      </w:r>
      <w:r w:rsidR="00A129C5">
        <w:rPr>
          <w:lang w:bidi="fa-IR"/>
        </w:rPr>
        <w:t xml:space="preserve">As </w:t>
      </w:r>
      <w:r>
        <w:rPr>
          <w:lang w:bidi="fa-IR"/>
        </w:rPr>
        <w:t xml:space="preserve">new dwellings not occupied by people with accessibility needs would </w:t>
      </w:r>
      <w:r w:rsidR="00A129C5">
        <w:rPr>
          <w:lang w:bidi="fa-IR"/>
        </w:rPr>
        <w:t xml:space="preserve">also </w:t>
      </w:r>
      <w:r>
        <w:rPr>
          <w:lang w:bidi="fa-IR"/>
        </w:rPr>
        <w:t xml:space="preserve">have higher construction costs </w:t>
      </w:r>
      <w:r w:rsidR="00A129C5">
        <w:rPr>
          <w:lang w:bidi="fa-IR"/>
        </w:rPr>
        <w:t xml:space="preserve">it is felt </w:t>
      </w:r>
      <w:r>
        <w:rPr>
          <w:lang w:bidi="fa-IR"/>
        </w:rPr>
        <w:t xml:space="preserve">this would </w:t>
      </w:r>
      <w:r w:rsidR="00A129C5">
        <w:rPr>
          <w:lang w:bidi="fa-IR"/>
        </w:rPr>
        <w:t>result in an</w:t>
      </w:r>
      <w:r>
        <w:rPr>
          <w:lang w:bidi="fa-IR"/>
        </w:rPr>
        <w:t xml:space="preserve"> underestimat</w:t>
      </w:r>
      <w:r w:rsidR="00A129C5">
        <w:rPr>
          <w:lang w:bidi="fa-IR"/>
        </w:rPr>
        <w:t>ion of the</w:t>
      </w:r>
      <w:r>
        <w:rPr>
          <w:lang w:bidi="fa-IR"/>
        </w:rPr>
        <w:t xml:space="preserve"> real cost impacts of the options. </w:t>
      </w:r>
    </w:p>
    <w:p w14:paraId="22572402" w14:textId="77777777" w:rsidR="00DD5DAA" w:rsidRDefault="00DD5DAA" w:rsidP="00DD5DAA">
      <w:pPr>
        <w:pStyle w:val="BodyText"/>
        <w:rPr>
          <w:lang w:bidi="fa-IR"/>
        </w:rPr>
      </w:pPr>
      <w:r>
        <w:rPr>
          <w:lang w:bidi="fa-IR"/>
        </w:rPr>
        <w:t>Dalton and Carter (2020</w:t>
      </w:r>
      <w:r w:rsidR="00126376">
        <w:rPr>
          <w:lang w:bidi="fa-IR"/>
        </w:rPr>
        <w:t>a</w:t>
      </w:r>
      <w:r>
        <w:rPr>
          <w:lang w:bidi="fa-IR"/>
        </w:rPr>
        <w:t xml:space="preserve">) </w:t>
      </w:r>
      <w:r w:rsidR="004E5DDD">
        <w:rPr>
          <w:lang w:bidi="fa-IR"/>
        </w:rPr>
        <w:t xml:space="preserve">also suggest that </w:t>
      </w:r>
      <w:r>
        <w:rPr>
          <w:lang w:bidi="fa-IR"/>
        </w:rPr>
        <w:t>some of the benefits estimated as part of the WTP approach should be added to the benefits already estimated in the problem-reduction approach. Their view is that only up to 25 per cent of the benefits measured under the two approaches overlap and therefore at least 75 per cent of the benefits from each approach should be added together to estimate total benefits. In the</w:t>
      </w:r>
      <w:r w:rsidR="00B81C4A">
        <w:rPr>
          <w:lang w:bidi="fa-IR"/>
        </w:rPr>
        <w:t>ir</w:t>
      </w:r>
      <w:r>
        <w:rPr>
          <w:lang w:bidi="fa-IR"/>
        </w:rPr>
        <w:t xml:space="preserve"> supplementary information, Dalton and Carter </w:t>
      </w:r>
      <w:r w:rsidR="003B7A69">
        <w:rPr>
          <w:lang w:bidi="fa-IR"/>
        </w:rPr>
        <w:t>suggest</w:t>
      </w:r>
      <w:r>
        <w:rPr>
          <w:lang w:bidi="fa-IR"/>
        </w:rPr>
        <w:t xml:space="preserve"> that only private costs be entered into the WTP estimates, and at the maximum, reduced costs associated with loneliness, home modification, carer related costs and incidence of moving in the problem reduction approach overlap with the WTP approach. </w:t>
      </w:r>
    </w:p>
    <w:p w14:paraId="040D2537" w14:textId="77777777" w:rsidR="00DD5DAA" w:rsidRDefault="00DD5DAA" w:rsidP="00DD5DAA">
      <w:pPr>
        <w:pStyle w:val="BodyText"/>
        <w:rPr>
          <w:lang w:bidi="fa-IR"/>
        </w:rPr>
      </w:pPr>
      <w:r>
        <w:rPr>
          <w:lang w:bidi="fa-IR"/>
        </w:rPr>
        <w:t>CIE’s view is that the two approaches are primarily measuring the same benefits. For example, benefits of moving around indoors in the WTP approach would include the benefits of reduced falls, reduced time in hospital/transition care, reduced home modification costs and carer-related costs, reduced incidence of moving and reduced premature/inappropriate entry into aged care in the problem reduction approach.</w:t>
      </w:r>
    </w:p>
    <w:p w14:paraId="07596336" w14:textId="77777777" w:rsidR="00DD5DAA" w:rsidRDefault="00DD5DAA" w:rsidP="00DD5DAA">
      <w:pPr>
        <w:pStyle w:val="BodyText"/>
        <w:rPr>
          <w:lang w:bidi="fa-IR"/>
        </w:rPr>
      </w:pPr>
      <w:r>
        <w:rPr>
          <w:lang w:bidi="fa-IR"/>
        </w:rPr>
        <w:t xml:space="preserve">A significant overlap of benefits is consistent with the finding that the two approaches result in similar estimates of benefits for the subgroup of the population with limited mobility. While the debriefing questions in the </w:t>
      </w:r>
      <w:r w:rsidR="004A2859">
        <w:rPr>
          <w:lang w:bidi="fa-IR"/>
        </w:rPr>
        <w:t>stated preference</w:t>
      </w:r>
      <w:r>
        <w:rPr>
          <w:lang w:bidi="fa-IR"/>
        </w:rPr>
        <w:t xml:space="preserve"> survey do not give full </w:t>
      </w:r>
      <w:r>
        <w:rPr>
          <w:lang w:bidi="fa-IR"/>
        </w:rPr>
        <w:lastRenderedPageBreak/>
        <w:t xml:space="preserve">detail on the issues respondents took into consideration when expressing their WTP, the most neutral assumption is that respondents took account of the costs they would bear relating to falls, time in hospital, loneliness, home modification, moving and premature aged care entry. </w:t>
      </w:r>
      <w:r w:rsidR="00B8469E">
        <w:rPr>
          <w:lang w:bidi="fa-IR"/>
        </w:rPr>
        <w:t>While it is</w:t>
      </w:r>
      <w:r>
        <w:rPr>
          <w:lang w:bidi="fa-IR"/>
        </w:rPr>
        <w:t xml:space="preserve"> acknowledge</w:t>
      </w:r>
      <w:r w:rsidR="00B8469E">
        <w:rPr>
          <w:lang w:bidi="fa-IR"/>
        </w:rPr>
        <w:t>d that</w:t>
      </w:r>
      <w:r>
        <w:rPr>
          <w:lang w:bidi="fa-IR"/>
        </w:rPr>
        <w:t xml:space="preserve"> there are some public costs associated with these problems, the economic costs are primarily borne by the affected individual/household. </w:t>
      </w:r>
    </w:p>
    <w:p w14:paraId="0B3FB2E3" w14:textId="70342F48" w:rsidR="00DD5DAA" w:rsidRPr="00D821B9" w:rsidRDefault="00B8469E" w:rsidP="00DD5DAA">
      <w:pPr>
        <w:pStyle w:val="BodyText"/>
        <w:rPr>
          <w:iCs/>
          <w:lang w:bidi="fa-IR"/>
        </w:rPr>
      </w:pPr>
      <w:r>
        <w:t xml:space="preserve">Based on feedback from stakeholders in relation to the benefits to persons without limited mobility, the RIS incorporates a </w:t>
      </w:r>
      <w:r w:rsidR="00DD5DAA" w:rsidRPr="00060136">
        <w:rPr>
          <w:iCs/>
          <w:lang w:bidi="fa-IR"/>
        </w:rPr>
        <w:t>refine</w:t>
      </w:r>
      <w:r w:rsidR="003658F0" w:rsidRPr="00060136">
        <w:rPr>
          <w:iCs/>
          <w:lang w:bidi="fa-IR"/>
        </w:rPr>
        <w:t>d</w:t>
      </w:r>
      <w:r w:rsidR="00DD5DAA" w:rsidRPr="005331B4">
        <w:t xml:space="preserve"> problem-reduction approach </w:t>
      </w:r>
      <w:r>
        <w:t>that</w:t>
      </w:r>
      <w:r w:rsidR="00DD5DAA" w:rsidRPr="005331B4">
        <w:t xml:space="preserve"> utilis</w:t>
      </w:r>
      <w:r>
        <w:t>es</w:t>
      </w:r>
      <w:r w:rsidR="00DD5DAA" w:rsidRPr="005331B4">
        <w:t xml:space="preserve"> values from the </w:t>
      </w:r>
      <w:r w:rsidR="002F1FDA">
        <w:t>stated preference</w:t>
      </w:r>
      <w:r w:rsidR="00DD5DAA" w:rsidRPr="005331B4">
        <w:t xml:space="preserve"> survey where </w:t>
      </w:r>
      <w:r w:rsidR="007A3E43">
        <w:t>appropriate. F</w:t>
      </w:r>
      <w:r w:rsidR="003658F0" w:rsidRPr="00060136">
        <w:rPr>
          <w:iCs/>
          <w:lang w:bidi="fa-IR"/>
        </w:rPr>
        <w:t>or example, the whole community’s willingness to pay for accessible housing</w:t>
      </w:r>
      <w:r w:rsidR="00D821B9">
        <w:rPr>
          <w:iCs/>
          <w:lang w:bidi="fa-IR"/>
        </w:rPr>
        <w:t xml:space="preserve"> (sub-section ‘</w:t>
      </w:r>
      <w:r w:rsidR="00D821B9">
        <w:rPr>
          <w:iCs/>
          <w:lang w:bidi="fa-IR"/>
        </w:rPr>
        <w:fldChar w:fldCharType="begin"/>
      </w:r>
      <w:r w:rsidR="00D821B9">
        <w:rPr>
          <w:iCs/>
          <w:lang w:bidi="fa-IR"/>
        </w:rPr>
        <w:instrText xml:space="preserve"> REF _Ref56615643 \h </w:instrText>
      </w:r>
      <w:r w:rsidR="00D821B9">
        <w:rPr>
          <w:iCs/>
          <w:lang w:bidi="fa-IR"/>
        </w:rPr>
      </w:r>
      <w:r w:rsidR="00D821B9">
        <w:rPr>
          <w:iCs/>
          <w:lang w:bidi="fa-IR"/>
        </w:rPr>
        <w:fldChar w:fldCharType="separate"/>
      </w:r>
      <w:r w:rsidR="000F445C">
        <w:rPr>
          <w:lang w:eastAsia="en-US" w:bidi="fa-IR"/>
        </w:rPr>
        <w:t>Social justice, equity and costs to the community</w:t>
      </w:r>
      <w:r w:rsidR="00D821B9">
        <w:rPr>
          <w:iCs/>
          <w:lang w:bidi="fa-IR"/>
        </w:rPr>
        <w:fldChar w:fldCharType="end"/>
      </w:r>
      <w:r w:rsidR="00D821B9">
        <w:rPr>
          <w:iCs/>
          <w:lang w:bidi="fa-IR"/>
        </w:rPr>
        <w:t xml:space="preserve">’ in chapter </w:t>
      </w:r>
      <w:r w:rsidR="00D24ECC">
        <w:rPr>
          <w:iCs/>
          <w:lang w:bidi="fa-IR"/>
        </w:rPr>
        <w:t>three</w:t>
      </w:r>
      <w:r w:rsidR="00D821B9">
        <w:rPr>
          <w:iCs/>
          <w:lang w:bidi="fa-IR"/>
        </w:rPr>
        <w:t xml:space="preserve"> on page </w:t>
      </w:r>
      <w:r w:rsidR="00496CD5">
        <w:rPr>
          <w:iCs/>
          <w:lang w:bidi="fa-IR"/>
        </w:rPr>
        <w:fldChar w:fldCharType="begin"/>
      </w:r>
      <w:r w:rsidR="00496CD5">
        <w:rPr>
          <w:iCs/>
          <w:lang w:bidi="fa-IR"/>
        </w:rPr>
        <w:instrText xml:space="preserve"> PAGEREF _Ref56615643 \h </w:instrText>
      </w:r>
      <w:r w:rsidR="00496CD5">
        <w:rPr>
          <w:iCs/>
          <w:lang w:bidi="fa-IR"/>
        </w:rPr>
      </w:r>
      <w:r w:rsidR="00496CD5">
        <w:rPr>
          <w:iCs/>
          <w:lang w:bidi="fa-IR"/>
        </w:rPr>
        <w:fldChar w:fldCharType="separate"/>
      </w:r>
      <w:r w:rsidR="000F445C">
        <w:rPr>
          <w:iCs/>
          <w:noProof/>
          <w:lang w:bidi="fa-IR"/>
        </w:rPr>
        <w:t>113</w:t>
      </w:r>
      <w:r w:rsidR="00496CD5">
        <w:rPr>
          <w:iCs/>
          <w:lang w:bidi="fa-IR"/>
        </w:rPr>
        <w:fldChar w:fldCharType="end"/>
      </w:r>
      <w:r w:rsidR="00D821B9">
        <w:rPr>
          <w:iCs/>
          <w:lang w:bidi="fa-IR"/>
        </w:rPr>
        <w:t>)</w:t>
      </w:r>
      <w:r w:rsidR="003658F0" w:rsidRPr="00060136">
        <w:rPr>
          <w:iCs/>
          <w:lang w:bidi="fa-IR"/>
        </w:rPr>
        <w:t>,</w:t>
      </w:r>
      <w:r w:rsidR="00DD5DAA" w:rsidRPr="005331B4">
        <w:t xml:space="preserve"> and additional research </w:t>
      </w:r>
      <w:r w:rsidR="00250FBA">
        <w:t>on</w:t>
      </w:r>
      <w:r w:rsidR="003658F0" w:rsidRPr="00060136">
        <w:rPr>
          <w:iCs/>
          <w:lang w:bidi="fa-IR"/>
        </w:rPr>
        <w:t xml:space="preserve"> </w:t>
      </w:r>
      <w:r w:rsidR="00DD5DAA" w:rsidRPr="005331B4">
        <w:t>temporary injuries</w:t>
      </w:r>
      <w:r w:rsidR="00D821B9">
        <w:rPr>
          <w:iCs/>
          <w:lang w:bidi="fa-IR"/>
        </w:rPr>
        <w:t xml:space="preserve"> (page </w:t>
      </w:r>
      <w:r w:rsidR="00496CD5">
        <w:rPr>
          <w:iCs/>
          <w:lang w:bidi="fa-IR"/>
        </w:rPr>
        <w:fldChar w:fldCharType="begin"/>
      </w:r>
      <w:r w:rsidR="00496CD5">
        <w:rPr>
          <w:iCs/>
          <w:lang w:bidi="fa-IR"/>
        </w:rPr>
        <w:instrText xml:space="preserve"> PAGEREF _Ref64926584 \h </w:instrText>
      </w:r>
      <w:r w:rsidR="00496CD5">
        <w:rPr>
          <w:iCs/>
          <w:lang w:bidi="fa-IR"/>
        </w:rPr>
      </w:r>
      <w:r w:rsidR="00496CD5">
        <w:rPr>
          <w:iCs/>
          <w:lang w:bidi="fa-IR"/>
        </w:rPr>
        <w:fldChar w:fldCharType="separate"/>
      </w:r>
      <w:r w:rsidR="000F445C">
        <w:rPr>
          <w:iCs/>
          <w:noProof/>
          <w:lang w:bidi="fa-IR"/>
        </w:rPr>
        <w:t>107</w:t>
      </w:r>
      <w:r w:rsidR="00496CD5">
        <w:rPr>
          <w:iCs/>
          <w:lang w:bidi="fa-IR"/>
        </w:rPr>
        <w:fldChar w:fldCharType="end"/>
      </w:r>
      <w:r w:rsidR="00D821B9">
        <w:rPr>
          <w:iCs/>
          <w:lang w:bidi="fa-IR"/>
        </w:rPr>
        <w:t>)</w:t>
      </w:r>
      <w:r w:rsidR="00DD5DAA" w:rsidRPr="00060136">
        <w:rPr>
          <w:iCs/>
          <w:lang w:bidi="fa-IR"/>
        </w:rPr>
        <w:t xml:space="preserve">, </w:t>
      </w:r>
      <w:r w:rsidR="00DD5DAA" w:rsidRPr="005331B4">
        <w:t>families</w:t>
      </w:r>
      <w:r w:rsidR="003658F0" w:rsidRPr="00060136">
        <w:rPr>
          <w:iCs/>
          <w:lang w:bidi="fa-IR"/>
        </w:rPr>
        <w:t xml:space="preserve"> with young depend</w:t>
      </w:r>
      <w:r w:rsidR="003F2BCB">
        <w:rPr>
          <w:iCs/>
          <w:lang w:bidi="fa-IR"/>
        </w:rPr>
        <w:t>a</w:t>
      </w:r>
      <w:r w:rsidR="003658F0" w:rsidRPr="00060136">
        <w:rPr>
          <w:iCs/>
          <w:lang w:bidi="fa-IR"/>
        </w:rPr>
        <w:t>nts</w:t>
      </w:r>
      <w:r w:rsidR="00D821B9">
        <w:rPr>
          <w:iCs/>
          <w:lang w:bidi="fa-IR"/>
        </w:rPr>
        <w:t xml:space="preserve"> (page</w:t>
      </w:r>
      <w:r w:rsidR="00496CD5">
        <w:rPr>
          <w:iCs/>
          <w:lang w:bidi="fa-IR"/>
        </w:rPr>
        <w:t xml:space="preserve"> </w:t>
      </w:r>
      <w:r w:rsidR="00496CD5">
        <w:rPr>
          <w:iCs/>
          <w:lang w:bidi="fa-IR"/>
        </w:rPr>
        <w:fldChar w:fldCharType="begin"/>
      </w:r>
      <w:r w:rsidR="00496CD5">
        <w:rPr>
          <w:iCs/>
          <w:lang w:bidi="fa-IR"/>
        </w:rPr>
        <w:instrText xml:space="preserve"> PAGEREF _Ref62812313 \h </w:instrText>
      </w:r>
      <w:r w:rsidR="00496CD5">
        <w:rPr>
          <w:iCs/>
          <w:lang w:bidi="fa-IR"/>
        </w:rPr>
      </w:r>
      <w:r w:rsidR="00496CD5">
        <w:rPr>
          <w:iCs/>
          <w:lang w:bidi="fa-IR"/>
        </w:rPr>
        <w:fldChar w:fldCharType="separate"/>
      </w:r>
      <w:r w:rsidR="000F445C">
        <w:rPr>
          <w:iCs/>
          <w:noProof/>
          <w:lang w:bidi="fa-IR"/>
        </w:rPr>
        <w:t>112</w:t>
      </w:r>
      <w:r w:rsidR="00496CD5">
        <w:rPr>
          <w:iCs/>
          <w:lang w:bidi="fa-IR"/>
        </w:rPr>
        <w:fldChar w:fldCharType="end"/>
      </w:r>
      <w:r w:rsidR="00D821B9">
        <w:rPr>
          <w:iCs/>
          <w:lang w:bidi="fa-IR"/>
        </w:rPr>
        <w:t>)</w:t>
      </w:r>
      <w:r w:rsidR="00DD5DAA" w:rsidRPr="00060136">
        <w:rPr>
          <w:iCs/>
          <w:lang w:bidi="fa-IR"/>
        </w:rPr>
        <w:t>,</w:t>
      </w:r>
      <w:r w:rsidR="00DD5DAA" w:rsidRPr="005331B4">
        <w:t xml:space="preserve"> mental health impact and quality of life</w:t>
      </w:r>
      <w:r w:rsidR="00D821B9">
        <w:rPr>
          <w:iCs/>
          <w:lang w:bidi="fa-IR"/>
        </w:rPr>
        <w:t xml:space="preserve"> (page</w:t>
      </w:r>
      <w:r w:rsidR="00890F3F">
        <w:rPr>
          <w:iCs/>
          <w:lang w:bidi="fa-IR"/>
        </w:rPr>
        <w:t> </w:t>
      </w:r>
      <w:r w:rsidR="00496CD5">
        <w:rPr>
          <w:iCs/>
          <w:lang w:bidi="fa-IR"/>
        </w:rPr>
        <w:fldChar w:fldCharType="begin"/>
      </w:r>
      <w:r w:rsidR="00496CD5">
        <w:rPr>
          <w:iCs/>
          <w:lang w:bidi="fa-IR"/>
        </w:rPr>
        <w:instrText xml:space="preserve"> PAGEREF _Ref60090613 \h </w:instrText>
      </w:r>
      <w:r w:rsidR="00496CD5">
        <w:rPr>
          <w:iCs/>
          <w:lang w:bidi="fa-IR"/>
        </w:rPr>
      </w:r>
      <w:r w:rsidR="00496CD5">
        <w:rPr>
          <w:iCs/>
          <w:lang w:bidi="fa-IR"/>
        </w:rPr>
        <w:fldChar w:fldCharType="separate"/>
      </w:r>
      <w:r w:rsidR="000F445C">
        <w:rPr>
          <w:iCs/>
          <w:noProof/>
          <w:lang w:bidi="fa-IR"/>
        </w:rPr>
        <w:t>88</w:t>
      </w:r>
      <w:r w:rsidR="00496CD5">
        <w:rPr>
          <w:iCs/>
          <w:lang w:bidi="fa-IR"/>
        </w:rPr>
        <w:fldChar w:fldCharType="end"/>
      </w:r>
      <w:r w:rsidR="00D821B9">
        <w:rPr>
          <w:iCs/>
          <w:lang w:bidi="fa-IR"/>
        </w:rPr>
        <w:t xml:space="preserve"> of chapter </w:t>
      </w:r>
      <w:r w:rsidR="00D24ECC">
        <w:rPr>
          <w:iCs/>
          <w:lang w:bidi="fa-IR"/>
        </w:rPr>
        <w:t>three</w:t>
      </w:r>
      <w:r w:rsidR="00D821B9">
        <w:rPr>
          <w:iCs/>
          <w:lang w:bidi="fa-IR"/>
        </w:rPr>
        <w:t xml:space="preserve"> and appendix </w:t>
      </w:r>
      <w:r w:rsidR="00D821B9">
        <w:rPr>
          <w:iCs/>
          <w:lang w:bidi="fa-IR"/>
        </w:rPr>
        <w:fldChar w:fldCharType="begin"/>
      </w:r>
      <w:r w:rsidR="00D821B9">
        <w:rPr>
          <w:iCs/>
          <w:lang w:bidi="fa-IR"/>
        </w:rPr>
        <w:instrText xml:space="preserve"> REF _Ref55206770 \n \h </w:instrText>
      </w:r>
      <w:r w:rsidR="00D821B9">
        <w:rPr>
          <w:iCs/>
          <w:lang w:bidi="fa-IR"/>
        </w:rPr>
      </w:r>
      <w:r w:rsidR="00D821B9">
        <w:rPr>
          <w:iCs/>
          <w:lang w:bidi="fa-IR"/>
        </w:rPr>
        <w:fldChar w:fldCharType="separate"/>
      </w:r>
      <w:r w:rsidR="000F445C">
        <w:rPr>
          <w:iCs/>
          <w:lang w:bidi="fa-IR"/>
        </w:rPr>
        <w:t>I</w:t>
      </w:r>
      <w:r w:rsidR="00D821B9">
        <w:rPr>
          <w:iCs/>
          <w:lang w:bidi="fa-IR"/>
        </w:rPr>
        <w:fldChar w:fldCharType="end"/>
      </w:r>
      <w:r w:rsidR="00D821B9">
        <w:rPr>
          <w:iCs/>
          <w:lang w:bidi="fa-IR"/>
        </w:rPr>
        <w:t>)</w:t>
      </w:r>
      <w:r w:rsidR="001821F8">
        <w:rPr>
          <w:iCs/>
          <w:lang w:bidi="fa-IR"/>
        </w:rPr>
        <w:t xml:space="preserve"> are under this approach additive to other problems</w:t>
      </w:r>
      <w:r w:rsidR="00DD5DAA" w:rsidRPr="00060136">
        <w:rPr>
          <w:iCs/>
          <w:lang w:bidi="fa-IR"/>
        </w:rPr>
        <w:t>.</w:t>
      </w:r>
    </w:p>
    <w:p w14:paraId="25BE5EA5" w14:textId="77777777" w:rsidR="00DD5DAA" w:rsidRPr="008B67D4" w:rsidRDefault="00DD5DAA" w:rsidP="00DD5DAA">
      <w:pPr>
        <w:pStyle w:val="Heading3"/>
        <w:numPr>
          <w:ilvl w:val="2"/>
          <w:numId w:val="5"/>
        </w:numPr>
        <w:rPr>
          <w:lang w:bidi="fa-IR"/>
        </w:rPr>
      </w:pPr>
      <w:bookmarkStart w:id="78" w:name="_Ref56623771"/>
      <w:bookmarkStart w:id="79" w:name="_Hlk53477575"/>
      <w:r w:rsidRPr="008B67D4">
        <w:rPr>
          <w:lang w:bidi="fa-IR"/>
        </w:rPr>
        <w:t>Discount rate</w:t>
      </w:r>
      <w:bookmarkEnd w:id="78"/>
    </w:p>
    <w:p w14:paraId="1341B1EA" w14:textId="77777777" w:rsidR="00DD5DAA" w:rsidRDefault="00B8469E" w:rsidP="00DD5DAA">
      <w:pPr>
        <w:pStyle w:val="BodyText"/>
        <w:rPr>
          <w:lang w:bidi="fa-IR"/>
        </w:rPr>
      </w:pPr>
      <w:r>
        <w:rPr>
          <w:lang w:bidi="fa-IR"/>
        </w:rPr>
        <w:t xml:space="preserve">Several submissions, including </w:t>
      </w:r>
      <w:r w:rsidR="00DD5DAA">
        <w:rPr>
          <w:lang w:bidi="fa-IR"/>
        </w:rPr>
        <w:t>ANUHD, Summer Foundation and MDI</w:t>
      </w:r>
      <w:r>
        <w:rPr>
          <w:lang w:bidi="fa-IR"/>
        </w:rPr>
        <w:t>,</w:t>
      </w:r>
      <w:r w:rsidR="00DD5DAA">
        <w:rPr>
          <w:lang w:bidi="fa-IR"/>
        </w:rPr>
        <w:t xml:space="preserve"> </w:t>
      </w:r>
      <w:r>
        <w:rPr>
          <w:lang w:bidi="fa-IR"/>
        </w:rPr>
        <w:t>suggest</w:t>
      </w:r>
      <w:r w:rsidR="00DD5DAA">
        <w:rPr>
          <w:lang w:bidi="fa-IR"/>
        </w:rPr>
        <w:t xml:space="preserve"> that the central case discount rate of 7 per cent</w:t>
      </w:r>
      <w:r>
        <w:rPr>
          <w:lang w:bidi="fa-IR"/>
        </w:rPr>
        <w:t xml:space="preserve"> used in the Consultation RIS</w:t>
      </w:r>
      <w:r w:rsidR="00DD5DAA">
        <w:rPr>
          <w:lang w:bidi="fa-IR"/>
        </w:rPr>
        <w:t xml:space="preserve"> is too high. They </w:t>
      </w:r>
      <w:r w:rsidR="00AB774E">
        <w:rPr>
          <w:lang w:bidi="fa-IR"/>
        </w:rPr>
        <w:t>propose</w:t>
      </w:r>
      <w:r w:rsidR="00DD5DAA">
        <w:rPr>
          <w:lang w:bidi="fa-IR"/>
        </w:rPr>
        <w:t xml:space="preserve"> a rate of 3 per cent.</w:t>
      </w:r>
    </w:p>
    <w:p w14:paraId="5A532CE8" w14:textId="77777777" w:rsidR="00DD5DAA" w:rsidRPr="00965732" w:rsidRDefault="00DD5DAA" w:rsidP="00DD5DAA">
      <w:pPr>
        <w:pStyle w:val="BodyText"/>
        <w:rPr>
          <w:lang w:bidi="fa-IR"/>
        </w:rPr>
      </w:pPr>
      <w:r>
        <w:rPr>
          <w:lang w:bidi="fa-IR"/>
        </w:rPr>
        <w:t xml:space="preserve">The Consultation RIS was prepared following the OBPR guidelines issued in March 2020, which </w:t>
      </w:r>
      <w:r>
        <w:rPr>
          <w:rFonts w:eastAsia="SimSun"/>
          <w:lang w:eastAsia="zh-CN" w:bidi="fa-IR"/>
        </w:rPr>
        <w:t>requires a central discount rate of 7 per cent with rates of 3 per cent to 10 per cent used in a sensitivity analysis.</w:t>
      </w:r>
      <w:r>
        <w:rPr>
          <w:rStyle w:val="FootnoteReference"/>
          <w:lang w:bidi="fa-IR"/>
        </w:rPr>
        <w:footnoteReference w:id="54"/>
      </w:r>
      <w:r w:rsidR="008E0D72">
        <w:rPr>
          <w:rFonts w:eastAsia="SimSun"/>
          <w:lang w:eastAsia="zh-CN" w:bidi="fa-IR"/>
        </w:rPr>
        <w:t xml:space="preserve"> </w:t>
      </w:r>
      <w:r w:rsidR="008E0D72">
        <w:rPr>
          <w:lang w:bidi="fa-IR"/>
        </w:rPr>
        <w:t>Subsequent discussion with OBPR after the public consultation period has endorsed the use of 7 per cent.</w:t>
      </w:r>
    </w:p>
    <w:p w14:paraId="43EEA463" w14:textId="77777777" w:rsidR="00DD5DAA" w:rsidRDefault="00DD5DAA" w:rsidP="00DD5DAA">
      <w:pPr>
        <w:pStyle w:val="BodyText"/>
        <w:rPr>
          <w:lang w:bidi="fa-IR"/>
        </w:rPr>
      </w:pPr>
      <w:r>
        <w:rPr>
          <w:lang w:bidi="fa-IR"/>
        </w:rPr>
        <w:t xml:space="preserve">CIE </w:t>
      </w:r>
      <w:r w:rsidR="008E0D72">
        <w:rPr>
          <w:lang w:bidi="fa-IR"/>
        </w:rPr>
        <w:t xml:space="preserve">also references </w:t>
      </w:r>
      <w:r>
        <w:rPr>
          <w:lang w:bidi="fa-IR"/>
        </w:rPr>
        <w:t>detailed work on social discount rates prepared by CIE for</w:t>
      </w:r>
      <w:r w:rsidR="008E0D72">
        <w:rPr>
          <w:lang w:bidi="fa-IR"/>
        </w:rPr>
        <w:t xml:space="preserve"> clients including</w:t>
      </w:r>
      <w:r>
        <w:rPr>
          <w:lang w:bidi="fa-IR"/>
        </w:rPr>
        <w:t xml:space="preserve"> Infrastructure Australia</w:t>
      </w:r>
      <w:r w:rsidR="008E0D72">
        <w:rPr>
          <w:lang w:bidi="fa-IR"/>
        </w:rPr>
        <w:t>,</w:t>
      </w:r>
      <w:r>
        <w:rPr>
          <w:rStyle w:val="FootnoteReference"/>
          <w:lang w:bidi="fa-IR"/>
        </w:rPr>
        <w:footnoteReference w:id="55"/>
      </w:r>
      <w:r>
        <w:rPr>
          <w:lang w:bidi="fa-IR"/>
        </w:rPr>
        <w:t xml:space="preserve"> based on the rate of return required in capital markets for private investment with adjustment to account for the fact that project resources may partly come at the expense of consumption rather than alternative investments. Risk premium is a key factor to determine the social discount rate which is especially true for long term investment and in an environment with significant uncertainties.</w:t>
      </w:r>
    </w:p>
    <w:p w14:paraId="35253738" w14:textId="77777777" w:rsidR="008E0D72" w:rsidRPr="001E0D94" w:rsidRDefault="008E0D72" w:rsidP="00DD5DAA">
      <w:pPr>
        <w:pStyle w:val="BodyText"/>
        <w:rPr>
          <w:lang w:bidi="fa-IR"/>
        </w:rPr>
      </w:pPr>
      <w:r>
        <w:rPr>
          <w:lang w:bidi="fa-IR"/>
        </w:rPr>
        <w:t>The Decision RIS adopts a 7 per cent discount rate</w:t>
      </w:r>
      <w:r w:rsidR="003F2688">
        <w:rPr>
          <w:lang w:bidi="fa-IR"/>
        </w:rPr>
        <w:t xml:space="preserve"> in the central case CBA</w:t>
      </w:r>
      <w:r>
        <w:rPr>
          <w:lang w:bidi="fa-IR"/>
        </w:rPr>
        <w:t>.</w:t>
      </w:r>
    </w:p>
    <w:p w14:paraId="6FC41D3B" w14:textId="77777777" w:rsidR="00DD5DAA" w:rsidRPr="008B67D4" w:rsidRDefault="00DD5DAA" w:rsidP="00DD5DAA">
      <w:pPr>
        <w:pStyle w:val="Heading3"/>
        <w:numPr>
          <w:ilvl w:val="2"/>
          <w:numId w:val="5"/>
        </w:numPr>
        <w:rPr>
          <w:lang w:bidi="fa-IR"/>
        </w:rPr>
      </w:pPr>
      <w:r w:rsidRPr="008B67D4">
        <w:rPr>
          <w:lang w:bidi="fa-IR"/>
        </w:rPr>
        <w:lastRenderedPageBreak/>
        <w:t>Space cost</w:t>
      </w:r>
    </w:p>
    <w:p w14:paraId="51A261FC" w14:textId="77777777" w:rsidR="00DD5DAA" w:rsidRDefault="00DD5DAA" w:rsidP="00DD5DAA">
      <w:pPr>
        <w:pStyle w:val="Heading4"/>
        <w:rPr>
          <w:lang w:bidi="fa-IR"/>
        </w:rPr>
      </w:pPr>
      <w:r>
        <w:rPr>
          <w:lang w:bidi="fa-IR"/>
        </w:rPr>
        <w:t>Capital value of space</w:t>
      </w:r>
    </w:p>
    <w:p w14:paraId="5D95DCA2" w14:textId="77777777" w:rsidR="00DD5DAA" w:rsidRDefault="00DD5DAA" w:rsidP="00DD5DAA">
      <w:pPr>
        <w:pStyle w:val="BodyText"/>
        <w:rPr>
          <w:lang w:bidi="fa-IR"/>
        </w:rPr>
      </w:pPr>
      <w:r>
        <w:rPr>
          <w:lang w:bidi="fa-IR"/>
        </w:rPr>
        <w:t>Dalton and Carter (2020</w:t>
      </w:r>
      <w:r w:rsidR="00424E1B">
        <w:rPr>
          <w:lang w:bidi="fa-IR"/>
        </w:rPr>
        <w:t>a</w:t>
      </w:r>
      <w:r>
        <w:rPr>
          <w:lang w:bidi="fa-IR"/>
        </w:rPr>
        <w:t xml:space="preserve">) </w:t>
      </w:r>
      <w:r w:rsidR="00BD7012">
        <w:rPr>
          <w:lang w:bidi="fa-IR"/>
        </w:rPr>
        <w:t xml:space="preserve">also express concern that </w:t>
      </w:r>
      <w:r>
        <w:rPr>
          <w:lang w:bidi="fa-IR"/>
        </w:rPr>
        <w:t xml:space="preserve">the problem-reduction analysis includes insufficient benefits from the additional space needed to meet the options. They argue the analysis includes benefits of improved functionality but excludes the capital value of the additional space. CIE does not </w:t>
      </w:r>
      <w:r w:rsidR="00BD7012">
        <w:rPr>
          <w:lang w:bidi="fa-IR"/>
        </w:rPr>
        <w:t xml:space="preserve">support adding </w:t>
      </w:r>
      <w:r>
        <w:rPr>
          <w:lang w:bidi="fa-IR"/>
        </w:rPr>
        <w:t>the capital value to functionality benefits</w:t>
      </w:r>
      <w:r w:rsidR="00BD7012">
        <w:rPr>
          <w:lang w:bidi="fa-IR"/>
        </w:rPr>
        <w:t xml:space="preserve"> as</w:t>
      </w:r>
      <w:r>
        <w:rPr>
          <w:lang w:bidi="fa-IR"/>
        </w:rPr>
        <w:t xml:space="preserve"> capital value reflects the preferences of home purchasers, which takes account of functionality benefits, at least in principle. Including both items would therefore risk double counting benefits. </w:t>
      </w:r>
      <w:r w:rsidR="00BD7012">
        <w:rPr>
          <w:lang w:bidi="fa-IR"/>
        </w:rPr>
        <w:t>N</w:t>
      </w:r>
      <w:r>
        <w:rPr>
          <w:lang w:bidi="fa-IR"/>
        </w:rPr>
        <w:t xml:space="preserve">o evidence has been provided that accessible features add value to a property. One personal story in a submission </w:t>
      </w:r>
      <w:r w:rsidR="00BD7012">
        <w:rPr>
          <w:lang w:bidi="fa-IR"/>
        </w:rPr>
        <w:t>noted</w:t>
      </w:r>
      <w:r>
        <w:rPr>
          <w:lang w:bidi="fa-IR"/>
        </w:rPr>
        <w:t>,</w:t>
      </w:r>
      <w:r>
        <w:rPr>
          <w:rStyle w:val="FootnoteReference"/>
          <w:lang w:bidi="fa-IR"/>
        </w:rPr>
        <w:footnoteReference w:id="56"/>
      </w:r>
      <w:r>
        <w:rPr>
          <w:lang w:bidi="fa-IR"/>
        </w:rPr>
        <w:t xml:space="preserve"> </w:t>
      </w:r>
    </w:p>
    <w:p w14:paraId="593E15C1" w14:textId="77777777" w:rsidR="00DD5DAA" w:rsidRDefault="00CF2999" w:rsidP="00DD5DAA">
      <w:pPr>
        <w:pStyle w:val="Quote"/>
        <w:rPr>
          <w:lang w:bidi="fa-IR"/>
        </w:rPr>
      </w:pPr>
      <w:r>
        <w:rPr>
          <w:lang w:bidi="fa-IR"/>
        </w:rPr>
        <w:t xml:space="preserve">I have thrown so much of my savings </w:t>
      </w:r>
      <w:r w:rsidR="00BD7012">
        <w:rPr>
          <w:lang w:bidi="fa-IR"/>
        </w:rPr>
        <w:t>[at]…</w:t>
      </w:r>
      <w:r>
        <w:rPr>
          <w:lang w:bidi="fa-IR"/>
        </w:rPr>
        <w:t xml:space="preserve"> making my current home accessible that should I sell it I wouldn’t be making a large profit margin that could be used to add accessibility </w:t>
      </w:r>
      <w:r w:rsidR="00BD7012">
        <w:rPr>
          <w:lang w:bidi="fa-IR"/>
        </w:rPr>
        <w:t>[at]…</w:t>
      </w:r>
      <w:r>
        <w:rPr>
          <w:lang w:bidi="fa-IR"/>
        </w:rPr>
        <w:t xml:space="preserve"> new home. </w:t>
      </w:r>
      <w:r w:rsidR="00DD5DAA">
        <w:rPr>
          <w:lang w:bidi="fa-IR"/>
        </w:rPr>
        <w:t>Modifications made didn’t add value to the property but have cost me over $100,000.</w:t>
      </w:r>
    </w:p>
    <w:p w14:paraId="3DD58453" w14:textId="77777777" w:rsidR="00DD5DAA" w:rsidRPr="005331B4" w:rsidRDefault="00BD7012" w:rsidP="00DD5DAA">
      <w:pPr>
        <w:pStyle w:val="BodyText"/>
      </w:pPr>
      <w:r>
        <w:t>It is</w:t>
      </w:r>
      <w:r w:rsidR="00DD5DAA" w:rsidRPr="005331B4">
        <w:t xml:space="preserve"> acknowledge</w:t>
      </w:r>
      <w:r>
        <w:t>d that</w:t>
      </w:r>
      <w:r w:rsidR="00DD5DAA" w:rsidRPr="005331B4">
        <w:t xml:space="preserve"> the functionality benefits estimated in the C</w:t>
      </w:r>
      <w:r w:rsidR="00B01E99">
        <w:t xml:space="preserve">onsultation </w:t>
      </w:r>
      <w:r w:rsidR="00DD5DAA" w:rsidRPr="005331B4">
        <w:t xml:space="preserve">RIS are not the only benefits of a larger home and that more benefits may be included (see separate discussions in later sub-sections – Temporary injuries, </w:t>
      </w:r>
      <w:r w:rsidR="00927B48">
        <w:t>F</w:t>
      </w:r>
      <w:r w:rsidR="00DD5DAA" w:rsidRPr="005331B4">
        <w:t xml:space="preserve">amilies with </w:t>
      </w:r>
      <w:r w:rsidR="00D94BA7" w:rsidRPr="00060136">
        <w:rPr>
          <w:lang w:bidi="fa-IR"/>
        </w:rPr>
        <w:t>young depend</w:t>
      </w:r>
      <w:r w:rsidR="003F2BCB">
        <w:rPr>
          <w:lang w:bidi="fa-IR"/>
        </w:rPr>
        <w:t>a</w:t>
      </w:r>
      <w:r w:rsidR="00D94BA7" w:rsidRPr="00060136">
        <w:rPr>
          <w:lang w:bidi="fa-IR"/>
        </w:rPr>
        <w:t>nts</w:t>
      </w:r>
      <w:r w:rsidR="00DD5DAA" w:rsidRPr="005331B4">
        <w:t>, Anxiety and mental health impacts, Quality of life, Employment and productivity impacts).</w:t>
      </w:r>
    </w:p>
    <w:p w14:paraId="43423D9E" w14:textId="77777777" w:rsidR="00DD5DAA" w:rsidRPr="005331B4" w:rsidRDefault="00DD5DAA" w:rsidP="00DD5DAA">
      <w:pPr>
        <w:pStyle w:val="BodyText"/>
      </w:pPr>
      <w:r w:rsidRPr="005331B4">
        <w:t>The</w:t>
      </w:r>
      <w:r w:rsidR="00201977">
        <w:t xml:space="preserve"> stated preference</w:t>
      </w:r>
      <w:r w:rsidRPr="005331B4">
        <w:t xml:space="preserve"> survey </w:t>
      </w:r>
      <w:r w:rsidR="00157C75">
        <w:rPr>
          <w:lang w:bidi="fa-IR"/>
        </w:rPr>
        <w:t>was</w:t>
      </w:r>
      <w:r w:rsidRPr="005331B4">
        <w:t xml:space="preserve"> used to place a value on the increased size of homes, controlling for accessibility features</w:t>
      </w:r>
      <w:r w:rsidRPr="00060136">
        <w:rPr>
          <w:lang w:bidi="fa-IR"/>
        </w:rPr>
        <w:t>.</w:t>
      </w:r>
      <w:r w:rsidR="00D94BA7" w:rsidRPr="00060136">
        <w:rPr>
          <w:lang w:bidi="fa-IR"/>
        </w:rPr>
        <w:t xml:space="preserve"> </w:t>
      </w:r>
      <w:r w:rsidR="00D94BA7" w:rsidRPr="008A5374">
        <w:t xml:space="preserve">This value </w:t>
      </w:r>
      <w:r w:rsidR="00F640C8" w:rsidRPr="00F640C8">
        <w:rPr>
          <w:iCs/>
          <w:lang w:bidi="fa-IR"/>
        </w:rPr>
        <w:t>has</w:t>
      </w:r>
      <w:r w:rsidR="00D94BA7" w:rsidRPr="00F640C8">
        <w:rPr>
          <w:iCs/>
          <w:lang w:bidi="fa-IR"/>
        </w:rPr>
        <w:t xml:space="preserve"> </w:t>
      </w:r>
      <w:r w:rsidR="00136B08" w:rsidRPr="00F640C8">
        <w:rPr>
          <w:iCs/>
          <w:lang w:bidi="fa-IR"/>
        </w:rPr>
        <w:t>be</w:t>
      </w:r>
      <w:r w:rsidR="00F640C8" w:rsidRPr="00F640C8">
        <w:rPr>
          <w:iCs/>
          <w:lang w:bidi="fa-IR"/>
        </w:rPr>
        <w:t>en</w:t>
      </w:r>
      <w:r w:rsidR="00136B08" w:rsidRPr="008A5374">
        <w:t xml:space="preserve"> </w:t>
      </w:r>
      <w:r w:rsidR="00D94BA7" w:rsidRPr="008A5374">
        <w:t xml:space="preserve">used to offset </w:t>
      </w:r>
      <w:r w:rsidR="00136B08" w:rsidRPr="008A5374">
        <w:t xml:space="preserve">part of </w:t>
      </w:r>
      <w:r w:rsidR="00D94BA7" w:rsidRPr="008A5374">
        <w:t xml:space="preserve">the opportunity cost of </w:t>
      </w:r>
      <w:r w:rsidR="00D94BA7" w:rsidRPr="00F11AF4">
        <w:t>additional space.</w:t>
      </w:r>
    </w:p>
    <w:p w14:paraId="5F42AB97" w14:textId="77777777" w:rsidR="00DD5DAA" w:rsidRDefault="00DD5DAA" w:rsidP="00DD5DAA">
      <w:pPr>
        <w:pStyle w:val="Heading4"/>
        <w:rPr>
          <w:lang w:bidi="fa-IR"/>
        </w:rPr>
      </w:pPr>
      <w:r>
        <w:rPr>
          <w:lang w:bidi="fa-IR"/>
        </w:rPr>
        <w:t>Required additional space</w:t>
      </w:r>
    </w:p>
    <w:p w14:paraId="1BBDADDA" w14:textId="77777777" w:rsidR="00DD5DAA" w:rsidRDefault="002727DF" w:rsidP="00DD5DAA">
      <w:pPr>
        <w:pStyle w:val="BodyText"/>
        <w:rPr>
          <w:lang w:bidi="fa-IR"/>
        </w:rPr>
      </w:pPr>
      <w:r>
        <w:rPr>
          <w:lang w:bidi="fa-IR"/>
        </w:rPr>
        <w:t>Stakeholder</w:t>
      </w:r>
      <w:r w:rsidR="00DD5DAA">
        <w:rPr>
          <w:lang w:bidi="fa-IR"/>
        </w:rPr>
        <w:t xml:space="preserve"> views on additional space requirements as a result of the proposed accessibility standards in the NCC </w:t>
      </w:r>
      <w:r>
        <w:rPr>
          <w:lang w:bidi="fa-IR"/>
        </w:rPr>
        <w:t>we</w:t>
      </w:r>
      <w:r w:rsidR="00DD5DAA">
        <w:rPr>
          <w:lang w:bidi="fa-IR"/>
        </w:rPr>
        <w:t xml:space="preserve">re </w:t>
      </w:r>
      <w:r>
        <w:rPr>
          <w:lang w:bidi="fa-IR"/>
        </w:rPr>
        <w:t>diverse and at either end of the spectrum – some suggested</w:t>
      </w:r>
      <w:r w:rsidR="00DD5DAA">
        <w:rPr>
          <w:lang w:bidi="fa-IR"/>
        </w:rPr>
        <w:t xml:space="preserve"> that the space requirement in the Consultation RIS </w:t>
      </w:r>
      <w:r>
        <w:rPr>
          <w:lang w:bidi="fa-IR"/>
        </w:rPr>
        <w:t>wa</w:t>
      </w:r>
      <w:r w:rsidR="00DD5DAA">
        <w:rPr>
          <w:lang w:bidi="fa-IR"/>
        </w:rPr>
        <w:t xml:space="preserve">s overstated while others argue space sizes </w:t>
      </w:r>
      <w:r w:rsidR="00A4316E">
        <w:rPr>
          <w:lang w:bidi="fa-IR"/>
        </w:rPr>
        <w:t>were</w:t>
      </w:r>
      <w:r w:rsidR="00DD5DAA">
        <w:rPr>
          <w:lang w:bidi="fa-IR"/>
        </w:rPr>
        <w:t xml:space="preserve"> too small.</w:t>
      </w:r>
    </w:p>
    <w:p w14:paraId="56C3508C" w14:textId="77777777" w:rsidR="00DD5DAA" w:rsidRPr="008A5374" w:rsidRDefault="005B1154" w:rsidP="00DD5DAA">
      <w:pPr>
        <w:pStyle w:val="BodyText"/>
        <w:rPr>
          <w:iCs/>
          <w:lang w:bidi="fa-IR"/>
        </w:rPr>
      </w:pPr>
      <w:r>
        <w:rPr>
          <w:iCs/>
          <w:lang w:bidi="fa-IR"/>
        </w:rPr>
        <w:t xml:space="preserve">In preparing </w:t>
      </w:r>
      <w:r w:rsidR="004E1ACA">
        <w:rPr>
          <w:iCs/>
          <w:lang w:bidi="fa-IR"/>
        </w:rPr>
        <w:t>this</w:t>
      </w:r>
      <w:r>
        <w:rPr>
          <w:iCs/>
          <w:lang w:bidi="fa-IR"/>
        </w:rPr>
        <w:t xml:space="preserve"> RIS this feedback was considered, and available </w:t>
      </w:r>
      <w:r w:rsidR="00DD5DAA" w:rsidRPr="008A5374">
        <w:rPr>
          <w:iCs/>
          <w:lang w:bidi="fa-IR"/>
        </w:rPr>
        <w:t xml:space="preserve">evidence and data </w:t>
      </w:r>
      <w:r>
        <w:rPr>
          <w:iCs/>
          <w:lang w:bidi="fa-IR"/>
        </w:rPr>
        <w:t>further reviewed to inform the</w:t>
      </w:r>
      <w:r w:rsidR="00DD5DAA" w:rsidRPr="008A5374">
        <w:rPr>
          <w:iCs/>
          <w:lang w:bidi="fa-IR"/>
        </w:rPr>
        <w:t xml:space="preserve"> updat</w:t>
      </w:r>
      <w:r>
        <w:rPr>
          <w:iCs/>
          <w:lang w:bidi="fa-IR"/>
        </w:rPr>
        <w:t>ed</w:t>
      </w:r>
      <w:r w:rsidR="00DD5DAA" w:rsidRPr="008A5374">
        <w:rPr>
          <w:iCs/>
          <w:lang w:bidi="fa-IR"/>
        </w:rPr>
        <w:t xml:space="preserve"> estimates. </w:t>
      </w:r>
      <w:r>
        <w:rPr>
          <w:iCs/>
          <w:lang w:bidi="fa-IR"/>
        </w:rPr>
        <w:t>This included:</w:t>
      </w:r>
    </w:p>
    <w:p w14:paraId="1DF5E839" w14:textId="77777777" w:rsidR="00DD5DAA" w:rsidRDefault="00DD5DAA" w:rsidP="00DD5DAA">
      <w:pPr>
        <w:pStyle w:val="ListBullet"/>
        <w:rPr>
          <w:iCs/>
          <w:lang w:bidi="fa-IR"/>
        </w:rPr>
      </w:pPr>
      <w:r w:rsidRPr="008A5374">
        <w:rPr>
          <w:iCs/>
          <w:lang w:bidi="fa-IR"/>
        </w:rPr>
        <w:t xml:space="preserve">More scenarios to reflect the different space outcomes developed </w:t>
      </w:r>
      <w:r w:rsidR="009F4986">
        <w:rPr>
          <w:iCs/>
          <w:lang w:bidi="fa-IR"/>
        </w:rPr>
        <w:t xml:space="preserve">in the </w:t>
      </w:r>
      <w:r w:rsidR="00EF5BFB">
        <w:rPr>
          <w:iCs/>
          <w:lang w:bidi="fa-IR"/>
        </w:rPr>
        <w:t>updated</w:t>
      </w:r>
      <w:r w:rsidR="00EF5BFB" w:rsidRPr="008A5374">
        <w:rPr>
          <w:iCs/>
          <w:lang w:bidi="fa-IR"/>
        </w:rPr>
        <w:t xml:space="preserve"> </w:t>
      </w:r>
      <w:r w:rsidR="005B1154">
        <w:rPr>
          <w:iCs/>
          <w:lang w:bidi="fa-IR"/>
        </w:rPr>
        <w:t>quantity surveyor</w:t>
      </w:r>
      <w:r w:rsidRPr="008A5374">
        <w:rPr>
          <w:iCs/>
          <w:lang w:bidi="fa-IR"/>
        </w:rPr>
        <w:t xml:space="preserve"> work</w:t>
      </w:r>
      <w:r w:rsidR="001C4F80">
        <w:rPr>
          <w:iCs/>
          <w:lang w:bidi="fa-IR"/>
        </w:rPr>
        <w:t>.</w:t>
      </w:r>
      <w:r w:rsidRPr="008A5374">
        <w:rPr>
          <w:iCs/>
          <w:lang w:bidi="fa-IR"/>
        </w:rPr>
        <w:t xml:space="preserve"> </w:t>
      </w:r>
    </w:p>
    <w:p w14:paraId="7DDA929E" w14:textId="77777777" w:rsidR="009F4986" w:rsidRPr="008A5374" w:rsidRDefault="005B1154" w:rsidP="00DD5DAA">
      <w:pPr>
        <w:pStyle w:val="ListBullet"/>
        <w:rPr>
          <w:iCs/>
          <w:lang w:bidi="fa-IR"/>
        </w:rPr>
      </w:pPr>
      <w:r>
        <w:rPr>
          <w:iCs/>
          <w:lang w:bidi="fa-IR"/>
        </w:rPr>
        <w:t>A qualitative discussion on the i</w:t>
      </w:r>
      <w:r w:rsidR="009F4986">
        <w:rPr>
          <w:iCs/>
          <w:lang w:bidi="fa-IR"/>
        </w:rPr>
        <w:t xml:space="preserve">mpacts of exemptions for </w:t>
      </w:r>
      <w:r w:rsidR="004E1ACA">
        <w:rPr>
          <w:iCs/>
          <w:lang w:bidi="fa-IR"/>
        </w:rPr>
        <w:t>step free</w:t>
      </w:r>
      <w:r w:rsidR="009F4986">
        <w:rPr>
          <w:iCs/>
          <w:lang w:bidi="fa-IR"/>
        </w:rPr>
        <w:t xml:space="preserve"> access.</w:t>
      </w:r>
    </w:p>
    <w:p w14:paraId="4537B547" w14:textId="77777777" w:rsidR="00DD5DAA" w:rsidRPr="00B233BA" w:rsidRDefault="00DD5DAA" w:rsidP="00DD5DAA">
      <w:pPr>
        <w:pStyle w:val="Heading3"/>
        <w:numPr>
          <w:ilvl w:val="2"/>
          <w:numId w:val="5"/>
        </w:numPr>
        <w:rPr>
          <w:lang w:bidi="fa-IR"/>
        </w:rPr>
      </w:pPr>
      <w:r w:rsidRPr="00B233BA">
        <w:rPr>
          <w:lang w:bidi="fa-IR"/>
        </w:rPr>
        <w:t>Excavation cost</w:t>
      </w:r>
    </w:p>
    <w:p w14:paraId="053244A1" w14:textId="77777777" w:rsidR="00DD5DAA" w:rsidRDefault="00DD5DAA" w:rsidP="00DD5DAA">
      <w:pPr>
        <w:pStyle w:val="BodyText"/>
        <w:rPr>
          <w:lang w:bidi="fa-IR"/>
        </w:rPr>
      </w:pPr>
      <w:r>
        <w:rPr>
          <w:lang w:bidi="fa-IR"/>
        </w:rPr>
        <w:t xml:space="preserve">The Consultation RIS presented estimates of the additional excavation costs </w:t>
      </w:r>
      <w:r w:rsidR="005B1154">
        <w:rPr>
          <w:lang w:bidi="fa-IR"/>
        </w:rPr>
        <w:t xml:space="preserve">associated </w:t>
      </w:r>
      <w:r>
        <w:rPr>
          <w:lang w:bidi="fa-IR"/>
        </w:rPr>
        <w:t xml:space="preserve">with </w:t>
      </w:r>
      <w:r w:rsidR="005B1154">
        <w:rPr>
          <w:lang w:bidi="fa-IR"/>
        </w:rPr>
        <w:t xml:space="preserve">complying with </w:t>
      </w:r>
      <w:r>
        <w:rPr>
          <w:lang w:bidi="fa-IR"/>
        </w:rPr>
        <w:t>the proposed accessibility standard</w:t>
      </w:r>
      <w:r w:rsidR="009F4986">
        <w:rPr>
          <w:lang w:bidi="fa-IR"/>
        </w:rPr>
        <w:t>. The</w:t>
      </w:r>
      <w:r w:rsidR="005B1154">
        <w:rPr>
          <w:lang w:bidi="fa-IR"/>
        </w:rPr>
        <w:t>se estimates were based on information provided by HIA and</w:t>
      </w:r>
      <w:r w:rsidR="009F4986">
        <w:rPr>
          <w:lang w:bidi="fa-IR"/>
        </w:rPr>
        <w:t xml:space="preserve"> </w:t>
      </w:r>
      <w:r>
        <w:rPr>
          <w:lang w:bidi="fa-IR"/>
        </w:rPr>
        <w:t>were not included in the central case estimates (they were included as part of the sensitivity/scenario analysis).</w:t>
      </w:r>
    </w:p>
    <w:p w14:paraId="747F942D" w14:textId="1345A55C" w:rsidR="00DD5DAA" w:rsidRDefault="005B1154" w:rsidP="00DD5DAA">
      <w:pPr>
        <w:pStyle w:val="BodyText"/>
        <w:rPr>
          <w:lang w:bidi="fa-IR"/>
        </w:rPr>
      </w:pPr>
      <w:r>
        <w:rPr>
          <w:lang w:bidi="fa-IR"/>
        </w:rPr>
        <w:lastRenderedPageBreak/>
        <w:t>During consultation, s</w:t>
      </w:r>
      <w:r w:rsidR="00DD5DAA">
        <w:rPr>
          <w:lang w:bidi="fa-IR"/>
        </w:rPr>
        <w:t>takeholders were asked whether additional excavation costs are likely to be required to comply with the proposed standard(s). Of the 75 responses to that question, more than half indicated that additional excavation costs are likely or highly likely (chart </w:t>
      </w:r>
      <w:r w:rsidR="00587754">
        <w:rPr>
          <w:lang w:bidi="fa-IR"/>
        </w:rPr>
        <w:t>2.4).</w:t>
      </w:r>
    </w:p>
    <w:p w14:paraId="5D646B52" w14:textId="0E3A73D0" w:rsidR="00DD5DAA" w:rsidRDefault="00076C9B" w:rsidP="00DD5DAA">
      <w:pPr>
        <w:pStyle w:val="Caption"/>
      </w:pPr>
      <w:bookmarkStart w:id="80" w:name="_Toc54178642"/>
      <w:bookmarkStart w:id="81" w:name="_Toc57643583"/>
      <w:bookmarkStart w:id="82" w:name="_Toc70505498"/>
      <w:r>
        <w:t>2.4</w:t>
      </w:r>
      <w:r w:rsidR="00DD5DAA" w:rsidRPr="00695C93">
        <w:tab/>
      </w:r>
      <w:r w:rsidR="00DD5DAA">
        <w:t>Stakeholders responses: are additional excavation costs likely to be required</w:t>
      </w:r>
      <w:bookmarkEnd w:id="80"/>
      <w:bookmarkEnd w:id="81"/>
      <w:bookmarkEnd w:id="82"/>
    </w:p>
    <w:p w14:paraId="7076150F" w14:textId="77777777" w:rsidR="00233C02" w:rsidRDefault="00233C02" w:rsidP="00233C02">
      <w:pPr>
        <w:pStyle w:val="Subtitlebox"/>
      </w:pPr>
      <w:r w:rsidRPr="00A72D56">
        <w:rPr>
          <w:noProof/>
        </w:rPr>
        <w:drawing>
          <wp:inline distT="0" distB="0" distL="0" distR="0" wp14:anchorId="2BAAFB9F" wp14:editId="5983BD94">
            <wp:extent cx="4740910" cy="2028825"/>
            <wp:effectExtent l="76200" t="76200" r="78740" b="85725"/>
            <wp:docPr id="6" name="Picture 6" descr="Pie chart indicating the responses to the question, 'Are additional excavation costs likely to be required?'. Results were highly likely 22.7%, likely 33.3%, unlikely 37.3% and highly unllikely 6.7%." title="Chart 2.4: Stakeholders responses: are additional excavation costs likely to b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5206" b="9503"/>
                    <a:stretch/>
                  </pic:blipFill>
                  <pic:spPr bwMode="auto">
                    <a:xfrm>
                      <a:off x="0" y="0"/>
                      <a:ext cx="4740910" cy="2028825"/>
                    </a:xfrm>
                    <a:prstGeom prst="rect">
                      <a:avLst/>
                    </a:prstGeom>
                    <a:noFill/>
                    <a:ln w="76200" cap="flat" cmpd="sng" algn="ctr">
                      <a:solidFill>
                        <a:srgbClr val="E9E8E5"/>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12CC58" w14:textId="77777777" w:rsidR="00DD5DAA" w:rsidRPr="00A97BEC" w:rsidRDefault="00DD5DAA" w:rsidP="00DD5DAA">
      <w:pPr>
        <w:pStyle w:val="Note"/>
      </w:pPr>
      <w:r w:rsidRPr="00DA6093">
        <w:t>Note: Answer to Question 23</w:t>
      </w:r>
    </w:p>
    <w:p w14:paraId="55363B63" w14:textId="77777777" w:rsidR="00DD5DAA" w:rsidRDefault="00DD5DAA" w:rsidP="00DA6093">
      <w:pPr>
        <w:pStyle w:val="Note"/>
      </w:pPr>
      <w:r w:rsidRPr="00DA6093">
        <w:t>Data source:</w:t>
      </w:r>
      <w:r>
        <w:t xml:space="preserve"> Stakeholder feedback on the Consultation RIS.</w:t>
      </w:r>
    </w:p>
    <w:p w14:paraId="1C9122B4" w14:textId="77777777" w:rsidR="00DD5DAA" w:rsidRDefault="00DD5DAA" w:rsidP="00DD5DAA">
      <w:pPr>
        <w:pStyle w:val="BodyText"/>
        <w:rPr>
          <w:lang w:bidi="fa-IR"/>
        </w:rPr>
      </w:pPr>
      <w:r>
        <w:rPr>
          <w:lang w:bidi="fa-IR"/>
        </w:rPr>
        <w:t xml:space="preserve">Including the HIA estimates could add an additional $230 million per annum to the costs of the proposal. </w:t>
      </w:r>
      <w:r w:rsidR="005B1154">
        <w:rPr>
          <w:lang w:bidi="fa-IR"/>
        </w:rPr>
        <w:t>T</w:t>
      </w:r>
      <w:r>
        <w:rPr>
          <w:lang w:bidi="fa-IR"/>
        </w:rPr>
        <w:t>he HIA submission</w:t>
      </w:r>
      <w:r w:rsidR="005B1154">
        <w:rPr>
          <w:lang w:bidi="fa-IR"/>
        </w:rPr>
        <w:t xml:space="preserve"> notes that</w:t>
      </w:r>
      <w:r>
        <w:rPr>
          <w:lang w:bidi="fa-IR"/>
        </w:rPr>
        <w:t xml:space="preserve"> industry feedback on these costs </w:t>
      </w:r>
      <w:r w:rsidR="005B1154">
        <w:rPr>
          <w:lang w:bidi="fa-IR"/>
        </w:rPr>
        <w:t xml:space="preserve">suggests that they </w:t>
      </w:r>
      <w:r>
        <w:rPr>
          <w:lang w:bidi="fa-IR"/>
        </w:rPr>
        <w:t>are likely to be conservative and in most cases should be doubled.</w:t>
      </w:r>
      <w:r>
        <w:rPr>
          <w:rStyle w:val="FootnoteReference"/>
          <w:lang w:bidi="fa-IR"/>
        </w:rPr>
        <w:footnoteReference w:id="57"/>
      </w:r>
      <w:r w:rsidR="00E51F68" w:rsidRPr="00E51F68">
        <w:rPr>
          <w:lang w:bidi="fa-IR"/>
        </w:rPr>
        <w:t xml:space="preserve"> </w:t>
      </w:r>
      <w:r w:rsidR="00E51F68">
        <w:rPr>
          <w:lang w:bidi="fa-IR"/>
        </w:rPr>
        <w:t>According to the HIA submission:</w:t>
      </w:r>
    </w:p>
    <w:p w14:paraId="06ED0FC9" w14:textId="77777777" w:rsidR="00DD5DAA" w:rsidRDefault="00E51F68" w:rsidP="00DD5DAA">
      <w:pPr>
        <w:pStyle w:val="ListBullet"/>
        <w:rPr>
          <w:lang w:bidi="fa-IR"/>
        </w:rPr>
      </w:pPr>
      <w:r>
        <w:rPr>
          <w:lang w:bidi="fa-IR"/>
        </w:rPr>
        <w:t>T</w:t>
      </w:r>
      <w:r w:rsidR="00DD5DAA">
        <w:rPr>
          <w:lang w:bidi="fa-IR"/>
        </w:rPr>
        <w:t xml:space="preserve">he need for significant additional excavation work comes from the </w:t>
      </w:r>
      <w:r w:rsidR="00DD5DAA" w:rsidRPr="40397C4B">
        <w:rPr>
          <w:lang w:bidi="fa-IR"/>
        </w:rPr>
        <w:t>step</w:t>
      </w:r>
      <w:r w:rsidR="007466F4">
        <w:rPr>
          <w:lang w:bidi="fa-IR"/>
        </w:rPr>
        <w:t xml:space="preserve"> </w:t>
      </w:r>
      <w:r w:rsidR="00DD5DAA" w:rsidRPr="40397C4B">
        <w:rPr>
          <w:lang w:bidi="fa-IR"/>
        </w:rPr>
        <w:t>free</w:t>
      </w:r>
      <w:r w:rsidR="00DD5DAA">
        <w:rPr>
          <w:lang w:bidi="fa-IR"/>
        </w:rPr>
        <w:t xml:space="preserve"> entrance requirements challenging all sites and may require costly additional excavation work.</w:t>
      </w:r>
    </w:p>
    <w:p w14:paraId="4F8354EE" w14:textId="77777777" w:rsidR="00DD5DAA" w:rsidRDefault="00DD5DAA" w:rsidP="00DD5DAA">
      <w:pPr>
        <w:pStyle w:val="ListBullet"/>
        <w:rPr>
          <w:lang w:bidi="fa-IR"/>
        </w:rPr>
      </w:pPr>
      <w:r>
        <w:rPr>
          <w:lang w:bidi="fa-IR"/>
        </w:rPr>
        <w:t xml:space="preserve">The alternative option of using the garage as the </w:t>
      </w:r>
      <w:r w:rsidRPr="7669FAE8">
        <w:rPr>
          <w:lang w:bidi="fa-IR"/>
        </w:rPr>
        <w:t>step</w:t>
      </w:r>
      <w:r w:rsidR="00E61C96">
        <w:rPr>
          <w:lang w:bidi="fa-IR"/>
        </w:rPr>
        <w:t>-</w:t>
      </w:r>
      <w:r w:rsidRPr="7669FAE8">
        <w:rPr>
          <w:lang w:bidi="fa-IR"/>
        </w:rPr>
        <w:t>free</w:t>
      </w:r>
      <w:r>
        <w:rPr>
          <w:lang w:bidi="fa-IR"/>
        </w:rPr>
        <w:t xml:space="preserve"> entrance is also not easily addressed in their view.</w:t>
      </w:r>
    </w:p>
    <w:p w14:paraId="7C5E102A" w14:textId="77777777" w:rsidR="00DD5DAA" w:rsidRDefault="00E51F68" w:rsidP="00DD5DAA">
      <w:pPr>
        <w:pStyle w:val="ListBullet"/>
        <w:rPr>
          <w:lang w:bidi="fa-IR"/>
        </w:rPr>
      </w:pPr>
      <w:r>
        <w:rPr>
          <w:lang w:bidi="fa-IR"/>
        </w:rPr>
        <w:t>T</w:t>
      </w:r>
      <w:r w:rsidR="00DD5DAA">
        <w:rPr>
          <w:lang w:bidi="fa-IR"/>
        </w:rPr>
        <w:t>he step</w:t>
      </w:r>
      <w:r w:rsidR="00DD5DAA">
        <w:rPr>
          <w:lang w:bidi="fa-IR"/>
        </w:rPr>
        <w:noBreakHyphen/>
        <w:t xml:space="preserve">free access requirements </w:t>
      </w:r>
      <w:r w:rsidR="00CA7005">
        <w:rPr>
          <w:lang w:bidi="fa-IR"/>
        </w:rPr>
        <w:t xml:space="preserve">have </w:t>
      </w:r>
      <w:r w:rsidR="00DD5DAA">
        <w:rPr>
          <w:lang w:bidi="fa-IR"/>
        </w:rPr>
        <w:t>a number of associated requirements (including path widths, path structural loading requirements, cross fall, level landings on the path, as well as 1</w:t>
      </w:r>
      <w:r w:rsidR="00806ED7">
        <w:rPr>
          <w:lang w:bidi="fa-IR"/>
        </w:rPr>
        <w:t> </w:t>
      </w:r>
      <w:r w:rsidR="00DD5DAA">
        <w:rPr>
          <w:lang w:bidi="fa-IR"/>
        </w:rPr>
        <w:t xml:space="preserve">200 mm </w:t>
      </w:r>
      <w:r w:rsidR="009B6423">
        <w:rPr>
          <w:lang w:bidi="fa-IR"/>
        </w:rPr>
        <w:t>by</w:t>
      </w:r>
      <w:r w:rsidR="00DD5DAA">
        <w:rPr>
          <w:lang w:bidi="fa-IR"/>
        </w:rPr>
        <w:t xml:space="preserve"> 1</w:t>
      </w:r>
      <w:r w:rsidR="00806ED7">
        <w:rPr>
          <w:lang w:bidi="fa-IR"/>
        </w:rPr>
        <w:t> </w:t>
      </w:r>
      <w:r w:rsidR="00DD5DAA">
        <w:rPr>
          <w:lang w:bidi="fa-IR"/>
        </w:rPr>
        <w:t xml:space="preserve">200 mm space on the </w:t>
      </w:r>
      <w:r w:rsidR="00CA7005">
        <w:rPr>
          <w:lang w:bidi="fa-IR"/>
        </w:rPr>
        <w:t xml:space="preserve">arrival </w:t>
      </w:r>
      <w:r w:rsidR="00DD5DAA">
        <w:rPr>
          <w:lang w:bidi="fa-IR"/>
        </w:rPr>
        <w:t>side of the door) that ha</w:t>
      </w:r>
      <w:r>
        <w:rPr>
          <w:lang w:bidi="fa-IR"/>
        </w:rPr>
        <w:t>d</w:t>
      </w:r>
      <w:r w:rsidR="00DD5DAA">
        <w:rPr>
          <w:lang w:bidi="fa-IR"/>
        </w:rPr>
        <w:t xml:space="preserve"> not been adequately taken into account.</w:t>
      </w:r>
    </w:p>
    <w:p w14:paraId="3F9F1611" w14:textId="77777777" w:rsidR="00DD5DAA" w:rsidRDefault="00E51F68" w:rsidP="00DD5DAA">
      <w:pPr>
        <w:pStyle w:val="ListBullet"/>
        <w:rPr>
          <w:lang w:bidi="fa-IR"/>
        </w:rPr>
      </w:pPr>
      <w:r>
        <w:rPr>
          <w:lang w:bidi="fa-IR"/>
        </w:rPr>
        <w:t>Anecdotal</w:t>
      </w:r>
      <w:r w:rsidR="00DD5DAA">
        <w:rPr>
          <w:lang w:bidi="fa-IR"/>
        </w:rPr>
        <w:t xml:space="preserve"> evidence from one member that only around 20 per cent of sites are suitable to provide </w:t>
      </w:r>
      <w:r w:rsidR="00806ED7">
        <w:rPr>
          <w:lang w:bidi="fa-IR"/>
        </w:rPr>
        <w:t>S</w:t>
      </w:r>
      <w:r w:rsidR="00DD5DAA">
        <w:rPr>
          <w:lang w:bidi="fa-IR"/>
        </w:rPr>
        <w:t>ilver level housing (without significant excavation costs).</w:t>
      </w:r>
    </w:p>
    <w:p w14:paraId="551E58ED" w14:textId="77777777" w:rsidR="00E51F68" w:rsidRDefault="00483437" w:rsidP="00DD5DAA">
      <w:pPr>
        <w:pStyle w:val="ListBullet"/>
        <w:rPr>
          <w:lang w:bidi="fa-IR"/>
        </w:rPr>
      </w:pPr>
      <w:r>
        <w:rPr>
          <w:lang w:bidi="fa-IR"/>
        </w:rPr>
        <w:t>E</w:t>
      </w:r>
      <w:r w:rsidR="00DD5DAA">
        <w:rPr>
          <w:lang w:bidi="fa-IR"/>
        </w:rPr>
        <w:t>xample</w:t>
      </w:r>
      <w:r>
        <w:rPr>
          <w:lang w:bidi="fa-IR"/>
        </w:rPr>
        <w:t>s</w:t>
      </w:r>
      <w:r w:rsidR="00DD5DAA">
        <w:rPr>
          <w:lang w:bidi="fa-IR"/>
        </w:rPr>
        <w:t xml:space="preserve"> of lots where providing step</w:t>
      </w:r>
      <w:r w:rsidR="00DD5DAA">
        <w:rPr>
          <w:lang w:bidi="fa-IR"/>
        </w:rPr>
        <w:noBreakHyphen/>
        <w:t>free access would be challenging</w:t>
      </w:r>
      <w:r w:rsidR="00E51F68">
        <w:rPr>
          <w:lang w:bidi="fa-IR"/>
        </w:rPr>
        <w:t>.</w:t>
      </w:r>
    </w:p>
    <w:p w14:paraId="08465245" w14:textId="77777777" w:rsidR="00DD5DAA" w:rsidRDefault="00E51F68" w:rsidP="00E51F68">
      <w:pPr>
        <w:pStyle w:val="ListBullet"/>
        <w:numPr>
          <w:ilvl w:val="0"/>
          <w:numId w:val="0"/>
        </w:numPr>
        <w:rPr>
          <w:lang w:bidi="fa-IR"/>
        </w:rPr>
      </w:pPr>
      <w:r>
        <w:rPr>
          <w:lang w:bidi="fa-IR"/>
        </w:rPr>
        <w:t xml:space="preserve">It should be noted that the submission does not provide data or evidence of the </w:t>
      </w:r>
      <w:r w:rsidR="00DD5DAA">
        <w:rPr>
          <w:lang w:bidi="fa-IR"/>
        </w:rPr>
        <w:t xml:space="preserve">proportion </w:t>
      </w:r>
      <w:r>
        <w:rPr>
          <w:lang w:bidi="fa-IR"/>
        </w:rPr>
        <w:t xml:space="preserve">of blocks </w:t>
      </w:r>
      <w:r w:rsidR="00DD5DAA">
        <w:rPr>
          <w:lang w:bidi="fa-IR"/>
        </w:rPr>
        <w:t xml:space="preserve">overall </w:t>
      </w:r>
      <w:r>
        <w:rPr>
          <w:lang w:bidi="fa-IR"/>
        </w:rPr>
        <w:t>that would</w:t>
      </w:r>
      <w:r w:rsidR="00D71175">
        <w:rPr>
          <w:lang w:bidi="fa-IR"/>
        </w:rPr>
        <w:t>,</w:t>
      </w:r>
      <w:r>
        <w:rPr>
          <w:lang w:bidi="fa-IR"/>
        </w:rPr>
        <w:t xml:space="preserve"> in their view</w:t>
      </w:r>
      <w:r w:rsidR="00D71175">
        <w:rPr>
          <w:lang w:bidi="fa-IR"/>
        </w:rPr>
        <w:t>,</w:t>
      </w:r>
      <w:r>
        <w:rPr>
          <w:lang w:bidi="fa-IR"/>
        </w:rPr>
        <w:t xml:space="preserve"> not be able to comply. Though costs were contended to be insufficient, alternative estimates were not provided in this submission.</w:t>
      </w:r>
    </w:p>
    <w:p w14:paraId="0CCED033" w14:textId="77777777" w:rsidR="00483437" w:rsidRDefault="00483437" w:rsidP="00DD5DAA">
      <w:pPr>
        <w:pStyle w:val="BodyText"/>
      </w:pPr>
      <w:r>
        <w:rPr>
          <w:lang w:bidi="fa-IR"/>
        </w:rPr>
        <w:lastRenderedPageBreak/>
        <w:t>However, a</w:t>
      </w:r>
      <w:r w:rsidR="00E51F68">
        <w:rPr>
          <w:lang w:bidi="fa-IR"/>
        </w:rPr>
        <w:t>s these costs could have a material impact on the CBA results, these issues require</w:t>
      </w:r>
      <w:r w:rsidR="004F40A3">
        <w:rPr>
          <w:lang w:bidi="fa-IR"/>
        </w:rPr>
        <w:t>d</w:t>
      </w:r>
      <w:r w:rsidR="00E51F68">
        <w:rPr>
          <w:lang w:bidi="fa-IR"/>
        </w:rPr>
        <w:t xml:space="preserve"> more consideration</w:t>
      </w:r>
      <w:r>
        <w:rPr>
          <w:lang w:bidi="fa-IR"/>
        </w:rPr>
        <w:t xml:space="preserve">. With respect to exemptions, </w:t>
      </w:r>
      <w:r>
        <w:t xml:space="preserve">CIE attempted to get information including </w:t>
      </w:r>
      <w:r>
        <w:rPr>
          <w:lang w:bidi="fa-IR"/>
        </w:rPr>
        <w:t>through a facilitated discussion with stakeholders on exemptions. A</w:t>
      </w:r>
      <w:r>
        <w:t xml:space="preserve">s no definitive data was available, </w:t>
      </w:r>
      <w:r w:rsidRPr="00542A3C">
        <w:t xml:space="preserve">CIE has </w:t>
      </w:r>
      <w:r w:rsidR="007F3C6B" w:rsidRPr="00542A3C">
        <w:t xml:space="preserve">assumed that up to 10 to 15 per cent of Class 1a buildings could be exempt from </w:t>
      </w:r>
      <w:r w:rsidR="00D71175">
        <w:t xml:space="preserve">a </w:t>
      </w:r>
      <w:r w:rsidR="007F3C6B" w:rsidRPr="00542A3C">
        <w:t xml:space="preserve">step free access requirement </w:t>
      </w:r>
      <w:r w:rsidRPr="00542A3C">
        <w:t xml:space="preserve">based on </w:t>
      </w:r>
      <w:r w:rsidR="007F3C6B" w:rsidRPr="00542A3C">
        <w:t>the following information:</w:t>
      </w:r>
    </w:p>
    <w:p w14:paraId="7515F1AA" w14:textId="77777777" w:rsidR="007F3C6B" w:rsidRDefault="007F3C6B" w:rsidP="007F3C6B">
      <w:pPr>
        <w:pStyle w:val="ListBullet"/>
      </w:pPr>
      <w:r>
        <w:t xml:space="preserve">NSW Government data on the topography suggests that around 12 per cent of sites in future potential </w:t>
      </w:r>
      <w:r w:rsidR="00E976D6">
        <w:t>g</w:t>
      </w:r>
      <w:r>
        <w:t>reenfield development have a total slope (across the whole site) greater than 1:14.</w:t>
      </w:r>
    </w:p>
    <w:p w14:paraId="65E50F5A" w14:textId="77777777" w:rsidR="007F3C6B" w:rsidRDefault="007F3C6B" w:rsidP="00542A3C">
      <w:pPr>
        <w:pStyle w:val="ListBullet"/>
        <w:rPr>
          <w:lang w:bidi="fa-IR"/>
        </w:rPr>
      </w:pPr>
      <w:r>
        <w:rPr>
          <w:lang w:bidi="fa-IR"/>
        </w:rPr>
        <w:t>About 11 per cent of separate houses and townhouse developments in Victoria between 2005 and 2016 were built on lots less than 300 m</w:t>
      </w:r>
      <w:r w:rsidRPr="007F3C6B">
        <w:rPr>
          <w:vertAlign w:val="superscript"/>
          <w:lang w:bidi="fa-IR"/>
        </w:rPr>
        <w:t>2</w:t>
      </w:r>
      <w:r>
        <w:rPr>
          <w:lang w:bidi="fa-IR"/>
        </w:rPr>
        <w:t>.</w:t>
      </w:r>
      <w:r>
        <w:rPr>
          <w:rStyle w:val="FootnoteReference"/>
          <w:lang w:bidi="fa-IR"/>
        </w:rPr>
        <w:footnoteReference w:id="58"/>
      </w:r>
      <w:r>
        <w:rPr>
          <w:lang w:bidi="fa-IR"/>
        </w:rPr>
        <w:t xml:space="preserve"> This share is likely to have grown significantly, as lot sizes in Victoria have fallen significantly over time.</w:t>
      </w:r>
      <w:r>
        <w:rPr>
          <w:rStyle w:val="FootnoteReference"/>
          <w:lang w:bidi="fa-IR"/>
        </w:rPr>
        <w:footnoteReference w:id="59"/>
      </w:r>
    </w:p>
    <w:p w14:paraId="1F8ACEA2" w14:textId="0F46E7FF" w:rsidR="007F3C6B" w:rsidRDefault="007F3C6B" w:rsidP="00DD5DAA">
      <w:pPr>
        <w:pStyle w:val="BodyText"/>
        <w:rPr>
          <w:lang w:bidi="fa-IR"/>
        </w:rPr>
      </w:pPr>
      <w:r>
        <w:rPr>
          <w:lang w:bidi="fa-IR"/>
        </w:rPr>
        <w:t>See the section ‘</w:t>
      </w:r>
      <w:r>
        <w:rPr>
          <w:lang w:bidi="fa-IR"/>
        </w:rPr>
        <w:fldChar w:fldCharType="begin"/>
      </w:r>
      <w:r>
        <w:rPr>
          <w:lang w:bidi="fa-IR"/>
        </w:rPr>
        <w:instrText xml:space="preserve"> REF _Ref61470400 \h </w:instrText>
      </w:r>
      <w:r>
        <w:rPr>
          <w:lang w:bidi="fa-IR"/>
        </w:rPr>
      </w:r>
      <w:r>
        <w:rPr>
          <w:lang w:bidi="fa-IR"/>
        </w:rPr>
        <w:fldChar w:fldCharType="separate"/>
      </w:r>
      <w:r w:rsidR="000F445C">
        <w:rPr>
          <w:lang w:eastAsia="en-US" w:bidi="fa-IR"/>
        </w:rPr>
        <w:t>Qualitative assessment of exemptions</w:t>
      </w:r>
      <w:r>
        <w:rPr>
          <w:lang w:bidi="fa-IR"/>
        </w:rPr>
        <w:fldChar w:fldCharType="end"/>
      </w:r>
      <w:r>
        <w:rPr>
          <w:lang w:bidi="fa-IR"/>
        </w:rPr>
        <w:t>’ in chapter </w:t>
      </w:r>
      <w:r w:rsidR="00F6452C">
        <w:rPr>
          <w:lang w:bidi="fa-IR"/>
        </w:rPr>
        <w:t>eight</w:t>
      </w:r>
      <w:r>
        <w:rPr>
          <w:lang w:bidi="fa-IR"/>
        </w:rPr>
        <w:t xml:space="preserve"> (from page</w:t>
      </w:r>
      <w:r w:rsidR="00496CD5">
        <w:rPr>
          <w:lang w:bidi="fa-IR"/>
        </w:rPr>
        <w:t> </w:t>
      </w:r>
      <w:r w:rsidR="00496CD5">
        <w:rPr>
          <w:lang w:bidi="fa-IR"/>
        </w:rPr>
        <w:fldChar w:fldCharType="begin"/>
      </w:r>
      <w:r w:rsidR="00496CD5">
        <w:rPr>
          <w:lang w:bidi="fa-IR"/>
        </w:rPr>
        <w:instrText xml:space="preserve"> PAGEREF _Ref61470400 \h </w:instrText>
      </w:r>
      <w:r w:rsidR="00496CD5">
        <w:rPr>
          <w:lang w:bidi="fa-IR"/>
        </w:rPr>
      </w:r>
      <w:r w:rsidR="00496CD5">
        <w:rPr>
          <w:lang w:bidi="fa-IR"/>
        </w:rPr>
        <w:fldChar w:fldCharType="separate"/>
      </w:r>
      <w:r w:rsidR="000F445C">
        <w:rPr>
          <w:noProof/>
          <w:lang w:bidi="fa-IR"/>
        </w:rPr>
        <w:t>195</w:t>
      </w:r>
      <w:r w:rsidR="00496CD5">
        <w:rPr>
          <w:lang w:bidi="fa-IR"/>
        </w:rPr>
        <w:fldChar w:fldCharType="end"/>
      </w:r>
      <w:r>
        <w:rPr>
          <w:lang w:bidi="fa-IR"/>
        </w:rPr>
        <w:t xml:space="preserve"> on) for more details.</w:t>
      </w:r>
    </w:p>
    <w:p w14:paraId="2B25D5A6" w14:textId="77777777" w:rsidR="00E94DBB" w:rsidRDefault="00DD5DAA" w:rsidP="00DD5DAA">
      <w:pPr>
        <w:pStyle w:val="BodyText"/>
        <w:rPr>
          <w:lang w:bidi="fa-IR"/>
        </w:rPr>
      </w:pPr>
      <w:r>
        <w:rPr>
          <w:lang w:bidi="fa-IR"/>
        </w:rPr>
        <w:t>T</w:t>
      </w:r>
      <w:r w:rsidR="00E94DBB">
        <w:rPr>
          <w:lang w:bidi="fa-IR"/>
        </w:rPr>
        <w:t xml:space="preserve">he quantity surveyor, </w:t>
      </w:r>
      <w:r w:rsidR="00412B02">
        <w:rPr>
          <w:lang w:bidi="fa-IR"/>
        </w:rPr>
        <w:t xml:space="preserve">Donald Cant Watts </w:t>
      </w:r>
      <w:r w:rsidR="002A377E">
        <w:rPr>
          <w:lang w:bidi="fa-IR"/>
        </w:rPr>
        <w:t>Corke (</w:t>
      </w:r>
      <w:r w:rsidR="00E94DBB">
        <w:rPr>
          <w:lang w:bidi="fa-IR"/>
        </w:rPr>
        <w:t>DCWC</w:t>
      </w:r>
      <w:r w:rsidR="002A377E">
        <w:rPr>
          <w:lang w:bidi="fa-IR"/>
        </w:rPr>
        <w:t>)</w:t>
      </w:r>
      <w:r w:rsidR="00E94DBB">
        <w:rPr>
          <w:lang w:bidi="fa-IR"/>
        </w:rPr>
        <w:t xml:space="preserve">, </w:t>
      </w:r>
      <w:r w:rsidR="00483437">
        <w:rPr>
          <w:lang w:bidi="fa-IR"/>
        </w:rPr>
        <w:t xml:space="preserve">were also engaged to provide an independent review </w:t>
      </w:r>
      <w:r w:rsidR="006A19FE">
        <w:rPr>
          <w:lang w:bidi="fa-IR"/>
        </w:rPr>
        <w:t xml:space="preserve">of </w:t>
      </w:r>
      <w:r w:rsidR="00483437">
        <w:rPr>
          <w:lang w:bidi="fa-IR"/>
        </w:rPr>
        <w:t xml:space="preserve">the issues raised in submissions and their cost implications. In their assessment </w:t>
      </w:r>
      <w:r w:rsidR="00E94DBB">
        <w:rPr>
          <w:lang w:bidi="fa-IR"/>
        </w:rPr>
        <w:t>of additional excavation cost</w:t>
      </w:r>
      <w:r w:rsidR="00483437">
        <w:rPr>
          <w:lang w:bidi="fa-IR"/>
        </w:rPr>
        <w:t>s</w:t>
      </w:r>
      <w:r w:rsidR="00E94DBB">
        <w:rPr>
          <w:lang w:bidi="fa-IR"/>
        </w:rPr>
        <w:t xml:space="preserve"> in their updated costing for the RIS</w:t>
      </w:r>
      <w:r w:rsidR="00483437">
        <w:rPr>
          <w:lang w:bidi="fa-IR"/>
        </w:rPr>
        <w:t>, DCWC notes</w:t>
      </w:r>
      <w:r w:rsidR="00E94DBB">
        <w:rPr>
          <w:lang w:bidi="fa-IR"/>
        </w:rPr>
        <w:t>:</w:t>
      </w:r>
    </w:p>
    <w:p w14:paraId="65820F01" w14:textId="77777777" w:rsidR="00E94DBB" w:rsidRDefault="00E94DBB" w:rsidP="007E6E80">
      <w:pPr>
        <w:pStyle w:val="ListBullet"/>
        <w:rPr>
          <w:lang w:bidi="fa-IR"/>
        </w:rPr>
      </w:pPr>
      <w:r>
        <w:rPr>
          <w:lang w:bidi="fa-IR"/>
        </w:rPr>
        <w:t xml:space="preserve">for Class 1a buildings if significant excavation works </w:t>
      </w:r>
      <w:r w:rsidR="006F7527">
        <w:rPr>
          <w:lang w:bidi="fa-IR"/>
        </w:rPr>
        <w:t xml:space="preserve">were </w:t>
      </w:r>
      <w:r>
        <w:rPr>
          <w:lang w:bidi="fa-IR"/>
        </w:rPr>
        <w:t xml:space="preserve">required to provide access from the kerb into the </w:t>
      </w:r>
      <w:r w:rsidR="00C1515A">
        <w:rPr>
          <w:lang w:bidi="fa-IR"/>
        </w:rPr>
        <w:t>dwelling</w:t>
      </w:r>
      <w:r>
        <w:rPr>
          <w:lang w:bidi="fa-IR"/>
        </w:rPr>
        <w:t xml:space="preserve">, </w:t>
      </w:r>
      <w:r w:rsidR="006F7527">
        <w:rPr>
          <w:lang w:bidi="fa-IR"/>
        </w:rPr>
        <w:t>access through a garage would be a more likely design response and</w:t>
      </w:r>
      <w:r>
        <w:rPr>
          <w:lang w:bidi="fa-IR"/>
        </w:rPr>
        <w:t xml:space="preserve"> avoid excessive excavation cost;</w:t>
      </w:r>
      <w:r w:rsidR="000C77A5">
        <w:rPr>
          <w:rStyle w:val="FootnoteReference"/>
          <w:lang w:bidi="fa-IR"/>
        </w:rPr>
        <w:footnoteReference w:id="60"/>
      </w:r>
    </w:p>
    <w:p w14:paraId="49868110" w14:textId="77777777" w:rsidR="00E94DBB" w:rsidRDefault="00E94DBB" w:rsidP="007E6E80">
      <w:pPr>
        <w:pStyle w:val="ListBullet"/>
        <w:rPr>
          <w:lang w:bidi="fa-IR"/>
        </w:rPr>
      </w:pPr>
      <w:r>
        <w:rPr>
          <w:lang w:bidi="fa-IR"/>
        </w:rPr>
        <w:t xml:space="preserve">for Class 2 buildings, additional excavation costs are factored into the construction cost rate of </w:t>
      </w:r>
      <w:r w:rsidR="002A377E">
        <w:rPr>
          <w:lang w:bidi="fa-IR"/>
        </w:rPr>
        <w:t xml:space="preserve">a </w:t>
      </w:r>
      <w:r>
        <w:rPr>
          <w:lang w:bidi="fa-IR"/>
        </w:rPr>
        <w:t>basement carpark.</w:t>
      </w:r>
      <w:r w:rsidR="000C77A5">
        <w:rPr>
          <w:rStyle w:val="FootnoteReference"/>
          <w:lang w:bidi="fa-IR"/>
        </w:rPr>
        <w:footnoteReference w:id="61"/>
      </w:r>
      <w:r w:rsidR="00B20747">
        <w:rPr>
          <w:lang w:bidi="fa-IR"/>
        </w:rPr>
        <w:t xml:space="preserve"> However this is highly dependent on the extent to which allocated resident parking is provided (the proposed NCC changes will not mandate the provision of resident parking as this is considered to be a planning matter).</w:t>
      </w:r>
    </w:p>
    <w:p w14:paraId="48122BA3" w14:textId="77777777" w:rsidR="00DD5DAA" w:rsidRPr="00B233BA" w:rsidRDefault="00DD5DAA" w:rsidP="00DD5DAA">
      <w:pPr>
        <w:pStyle w:val="Heading3"/>
        <w:numPr>
          <w:ilvl w:val="2"/>
          <w:numId w:val="5"/>
        </w:numPr>
        <w:rPr>
          <w:lang w:bidi="fa-IR"/>
        </w:rPr>
      </w:pPr>
      <w:r w:rsidRPr="00B233BA">
        <w:rPr>
          <w:lang w:bidi="fa-IR"/>
        </w:rPr>
        <w:t>Case studies</w:t>
      </w:r>
    </w:p>
    <w:p w14:paraId="7C20EA79" w14:textId="77777777" w:rsidR="00DD5DAA" w:rsidRDefault="00DD5DAA" w:rsidP="00DD5DAA">
      <w:pPr>
        <w:pStyle w:val="BodyText"/>
        <w:rPr>
          <w:lang w:bidi="fa-IR"/>
        </w:rPr>
      </w:pPr>
      <w:r>
        <w:rPr>
          <w:lang w:bidi="fa-IR"/>
        </w:rPr>
        <w:t>Personal stories and industry insights</w:t>
      </w:r>
      <w:r w:rsidR="004A40E3">
        <w:rPr>
          <w:lang w:bidi="fa-IR"/>
        </w:rPr>
        <w:t xml:space="preserve"> provided during consultation</w:t>
      </w:r>
      <w:r>
        <w:rPr>
          <w:lang w:bidi="fa-IR"/>
        </w:rPr>
        <w:t xml:space="preserve"> </w:t>
      </w:r>
      <w:r w:rsidR="001037B6">
        <w:rPr>
          <w:lang w:bidi="fa-IR"/>
        </w:rPr>
        <w:t xml:space="preserve">have </w:t>
      </w:r>
      <w:r>
        <w:rPr>
          <w:lang w:bidi="fa-IR"/>
        </w:rPr>
        <w:t>be</w:t>
      </w:r>
      <w:r w:rsidR="001037B6">
        <w:rPr>
          <w:lang w:bidi="fa-IR"/>
        </w:rPr>
        <w:t>en</w:t>
      </w:r>
      <w:r>
        <w:rPr>
          <w:lang w:bidi="fa-IR"/>
        </w:rPr>
        <w:t xml:space="preserve"> used as case studies to support the discussion of relevant issues in the RIS. For example, stories about home modification, temporary injuries, emotional stress and other issues illustrate the problem in relevant sections of the RIS. Cost estimates from industry submissions and personal stories </w:t>
      </w:r>
      <w:r w:rsidR="004A40E3">
        <w:rPr>
          <w:lang w:bidi="fa-IR"/>
        </w:rPr>
        <w:t>have</w:t>
      </w:r>
      <w:r w:rsidR="001037B6">
        <w:rPr>
          <w:lang w:bidi="fa-IR"/>
        </w:rPr>
        <w:t xml:space="preserve"> </w:t>
      </w:r>
      <w:r>
        <w:rPr>
          <w:lang w:bidi="fa-IR"/>
        </w:rPr>
        <w:t>be</w:t>
      </w:r>
      <w:r w:rsidR="004A40E3">
        <w:rPr>
          <w:lang w:bidi="fa-IR"/>
        </w:rPr>
        <w:t>en</w:t>
      </w:r>
      <w:r>
        <w:rPr>
          <w:lang w:bidi="fa-IR"/>
        </w:rPr>
        <w:t xml:space="preserve"> compared to existing scenarios.</w:t>
      </w:r>
    </w:p>
    <w:p w14:paraId="15D01121" w14:textId="54CDCAEF" w:rsidR="00F30A57" w:rsidRDefault="00F30A57" w:rsidP="00F30A57">
      <w:pPr>
        <w:pStyle w:val="BodyText"/>
        <w:rPr>
          <w:lang w:bidi="fa-IR"/>
        </w:rPr>
      </w:pPr>
      <w:r>
        <w:rPr>
          <w:lang w:bidi="fa-IR"/>
        </w:rPr>
        <w:t xml:space="preserve">Table </w:t>
      </w:r>
      <w:r w:rsidR="00587754">
        <w:rPr>
          <w:lang w:bidi="fa-IR"/>
        </w:rPr>
        <w:t>2.5</w:t>
      </w:r>
      <w:r>
        <w:rPr>
          <w:lang w:bidi="fa-IR"/>
        </w:rPr>
        <w:t xml:space="preserve"> lists some live</w:t>
      </w:r>
      <w:r w:rsidR="00072A1D">
        <w:rPr>
          <w:lang w:bidi="fa-IR"/>
        </w:rPr>
        <w:t>d</w:t>
      </w:r>
      <w:r>
        <w:rPr>
          <w:lang w:bidi="fa-IR"/>
        </w:rPr>
        <w:t xml:space="preserve"> </w:t>
      </w:r>
      <w:r w:rsidR="006C0343">
        <w:rPr>
          <w:lang w:bidi="fa-IR"/>
        </w:rPr>
        <w:t>experience</w:t>
      </w:r>
      <w:r>
        <w:rPr>
          <w:lang w:bidi="fa-IR"/>
        </w:rPr>
        <w:t xml:space="preserve">s </w:t>
      </w:r>
      <w:r w:rsidR="001037B6">
        <w:rPr>
          <w:lang w:bidi="fa-IR"/>
        </w:rPr>
        <w:t xml:space="preserve">discussed </w:t>
      </w:r>
      <w:r>
        <w:rPr>
          <w:lang w:bidi="fa-IR"/>
        </w:rPr>
        <w:t>in the report.</w:t>
      </w:r>
    </w:p>
    <w:p w14:paraId="6A2DEB7D" w14:textId="5D852F66" w:rsidR="00F30A57" w:rsidRDefault="00076C9B" w:rsidP="00F30A57">
      <w:pPr>
        <w:pStyle w:val="Caption"/>
      </w:pPr>
      <w:bookmarkStart w:id="83" w:name="_Toc57643584"/>
      <w:bookmarkStart w:id="84" w:name="_Toc70505499"/>
      <w:r>
        <w:lastRenderedPageBreak/>
        <w:t>2.5</w:t>
      </w:r>
      <w:r w:rsidR="00F30A57" w:rsidRPr="00695C93">
        <w:tab/>
      </w:r>
      <w:r w:rsidR="00F30A57">
        <w:t xml:space="preserve">List of </w:t>
      </w:r>
      <w:r w:rsidR="00072A1D">
        <w:t xml:space="preserve">lived </w:t>
      </w:r>
      <w:r w:rsidR="006C0343">
        <w:t>experience</w:t>
      </w:r>
      <w:r w:rsidR="00072A1D">
        <w:t>s</w:t>
      </w:r>
      <w:bookmarkEnd w:id="83"/>
      <w:bookmarkEnd w:id="84"/>
    </w:p>
    <w:tbl>
      <w:tblPr>
        <w:tblW w:w="0" w:type="auto"/>
        <w:tblLayout w:type="fixed"/>
        <w:tblLook w:val="0000" w:firstRow="0" w:lastRow="0" w:firstColumn="0" w:lastColumn="0" w:noHBand="0" w:noVBand="0"/>
        <w:tblCaption w:val="Table 2.5: List of lived experiences"/>
        <w:tblDescription w:val="This table contains a list of topics which were provided as personal stories during consultations and used as case studies in the discussion of relevant issues. &#10;The column headings are 'Topic', 'Submission' (the name of the person or organisation making the submission) and 'Discussion in the report' (the Box number where the topic is discussed)."/>
      </w:tblPr>
      <w:tblGrid>
        <w:gridCol w:w="2645"/>
        <w:gridCol w:w="3025"/>
        <w:gridCol w:w="2267"/>
      </w:tblGrid>
      <w:tr w:rsidR="00F30A57" w14:paraId="17A6DFF8" w14:textId="77777777" w:rsidTr="00913DB5">
        <w:tc>
          <w:tcPr>
            <w:tcW w:w="2645" w:type="dxa"/>
            <w:tcBorders>
              <w:bottom w:val="single" w:sz="8" w:space="0" w:color="FFFFFF" w:themeColor="background1"/>
            </w:tcBorders>
            <w:shd w:val="clear" w:color="auto" w:fill="6F6652"/>
            <w:tcMar>
              <w:left w:w="57" w:type="dxa"/>
              <w:right w:w="57" w:type="dxa"/>
            </w:tcMar>
          </w:tcPr>
          <w:p w14:paraId="7EB005B4" w14:textId="77777777" w:rsidR="00F30A57" w:rsidRDefault="00074FFE" w:rsidP="00F30A57">
            <w:pPr>
              <w:pStyle w:val="TableTextColumnHeading"/>
              <w:rPr>
                <w:lang w:bidi="fa-IR"/>
              </w:rPr>
            </w:pPr>
            <w:r>
              <w:rPr>
                <w:lang w:bidi="fa-IR"/>
              </w:rPr>
              <w:t>Topic</w:t>
            </w:r>
          </w:p>
        </w:tc>
        <w:tc>
          <w:tcPr>
            <w:tcW w:w="3025" w:type="dxa"/>
            <w:tcBorders>
              <w:bottom w:val="single" w:sz="8" w:space="0" w:color="FFFFFF" w:themeColor="background1"/>
            </w:tcBorders>
            <w:shd w:val="clear" w:color="auto" w:fill="6F6652"/>
            <w:tcMar>
              <w:left w:w="57" w:type="dxa"/>
              <w:right w:w="57" w:type="dxa"/>
            </w:tcMar>
          </w:tcPr>
          <w:p w14:paraId="41D7CECA" w14:textId="77777777" w:rsidR="00F30A57" w:rsidRDefault="00074FFE" w:rsidP="00F30A57">
            <w:pPr>
              <w:pStyle w:val="TableTextColumnHeading"/>
              <w:rPr>
                <w:lang w:bidi="fa-IR"/>
              </w:rPr>
            </w:pPr>
            <w:r>
              <w:rPr>
                <w:lang w:bidi="fa-IR"/>
              </w:rPr>
              <w:t>Submission</w:t>
            </w:r>
          </w:p>
        </w:tc>
        <w:tc>
          <w:tcPr>
            <w:tcW w:w="2267" w:type="dxa"/>
            <w:tcBorders>
              <w:bottom w:val="single" w:sz="8" w:space="0" w:color="FFFFFF" w:themeColor="background1"/>
            </w:tcBorders>
            <w:shd w:val="clear" w:color="auto" w:fill="6F6652"/>
            <w:tcMar>
              <w:left w:w="57" w:type="dxa"/>
              <w:right w:w="57" w:type="dxa"/>
            </w:tcMar>
          </w:tcPr>
          <w:p w14:paraId="0F24F3BA" w14:textId="77777777" w:rsidR="00F30A57" w:rsidRDefault="00302DCC" w:rsidP="00FB225F">
            <w:pPr>
              <w:pStyle w:val="TableTextColumnHeading"/>
              <w:jc w:val="right"/>
              <w:rPr>
                <w:lang w:bidi="fa-IR"/>
              </w:rPr>
            </w:pPr>
            <w:r>
              <w:rPr>
                <w:lang w:bidi="fa-IR"/>
              </w:rPr>
              <w:t>Discussion</w:t>
            </w:r>
            <w:r w:rsidR="00F30A57">
              <w:rPr>
                <w:lang w:bidi="fa-IR"/>
              </w:rPr>
              <w:t xml:space="preserve"> in the report</w:t>
            </w:r>
          </w:p>
        </w:tc>
      </w:tr>
      <w:tr w:rsidR="00C619C1" w14:paraId="04699CA6"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EAE5D0" w14:textId="77777777" w:rsidR="00C619C1" w:rsidRDefault="00C619C1" w:rsidP="00F30A57">
            <w:pPr>
              <w:pStyle w:val="TableTextEntries"/>
              <w:rPr>
                <w:lang w:bidi="fa-IR"/>
              </w:rPr>
            </w:pPr>
            <w:r>
              <w:rPr>
                <w:lang w:bidi="fa-IR"/>
              </w:rPr>
              <w:t>Lack of supply</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7F49A9" w14:textId="77777777" w:rsidR="00C619C1" w:rsidRDefault="00F56439" w:rsidP="00F30A57">
            <w:pPr>
              <w:pStyle w:val="TableTextEntries"/>
              <w:rPr>
                <w:lang w:bidi="fa-IR"/>
              </w:rPr>
            </w:pPr>
            <w:r w:rsidRPr="00F56439">
              <w:rPr>
                <w:lang w:bidi="fa-IR"/>
              </w:rPr>
              <w:t>Anonymous Submission 570905003</w:t>
            </w:r>
            <w:r>
              <w:rPr>
                <w:lang w:bidi="fa-IR"/>
              </w:rPr>
              <w:t xml:space="preserve">; </w:t>
            </w:r>
            <w:r>
              <w:rPr>
                <w:lang w:bidi="fa-IR"/>
              </w:rPr>
              <w:br/>
            </w:r>
            <w:r w:rsidRPr="00F56439">
              <w:rPr>
                <w:lang w:bidi="fa-IR"/>
              </w:rPr>
              <w:t>Raelene West</w:t>
            </w:r>
            <w:r>
              <w:rPr>
                <w:lang w:bidi="fa-IR"/>
              </w:rPr>
              <w:t xml:space="preserve">; </w:t>
            </w:r>
            <w:r>
              <w:rPr>
                <w:lang w:bidi="fa-IR"/>
              </w:rPr>
              <w:br/>
            </w:r>
            <w:r w:rsidRPr="00F56439">
              <w:rPr>
                <w:lang w:bidi="fa-IR"/>
              </w:rPr>
              <w:t>Hayley Stone, Physical Disability Council of NSW</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399DDA" w14:textId="2EE0AC0D" w:rsidR="00C619C1" w:rsidRDefault="00362332" w:rsidP="00FB225F">
            <w:pPr>
              <w:pStyle w:val="TableTextEntries"/>
              <w:jc w:val="right"/>
              <w:rPr>
                <w:lang w:bidi="fa-IR"/>
              </w:rPr>
            </w:pPr>
            <w:r>
              <w:rPr>
                <w:noProof/>
              </w:rPr>
              <w:t>Box 3.</w:t>
            </w:r>
            <w:r w:rsidR="00610D54">
              <w:rPr>
                <w:noProof/>
              </w:rPr>
              <w:t>3</w:t>
            </w:r>
          </w:p>
        </w:tc>
      </w:tr>
      <w:tr w:rsidR="00F30A57" w14:paraId="63639067"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AB47DF" w14:textId="77777777" w:rsidR="00F30A57" w:rsidRDefault="00074FFE" w:rsidP="00F30A57">
            <w:pPr>
              <w:pStyle w:val="TableTextEntries"/>
              <w:rPr>
                <w:lang w:bidi="fa-IR"/>
              </w:rPr>
            </w:pPr>
            <w:r>
              <w:rPr>
                <w:lang w:bidi="fa-IR"/>
              </w:rPr>
              <w:t>Safety</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F11F5C" w14:textId="77777777" w:rsidR="00F30A57" w:rsidRDefault="00FF3E20" w:rsidP="00F30A57">
            <w:pPr>
              <w:pStyle w:val="TableTextEntries"/>
              <w:rPr>
                <w:lang w:bidi="fa-IR"/>
              </w:rPr>
            </w:pPr>
            <w:r>
              <w:rPr>
                <w:lang w:bidi="fa-IR"/>
              </w:rPr>
              <w:t>Jane Scott</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4CF519" w14:textId="77777777" w:rsidR="00F30A57" w:rsidRDefault="00FF3E20" w:rsidP="00FB225F">
            <w:pPr>
              <w:pStyle w:val="TableTextEntries"/>
              <w:jc w:val="right"/>
              <w:rPr>
                <w:lang w:bidi="fa-IR"/>
              </w:rPr>
            </w:pPr>
            <w:r>
              <w:rPr>
                <w:lang w:bidi="fa-IR"/>
              </w:rPr>
              <w:t xml:space="preserve">Box </w:t>
            </w:r>
            <w:r w:rsidR="000D6AB1">
              <w:rPr>
                <w:lang w:bidi="fa-IR"/>
              </w:rPr>
              <w:t>3.2</w:t>
            </w:r>
            <w:r w:rsidR="000B2EC7">
              <w:rPr>
                <w:lang w:bidi="fa-IR"/>
              </w:rPr>
              <w:t>1</w:t>
            </w:r>
          </w:p>
        </w:tc>
      </w:tr>
      <w:tr w:rsidR="00074FFE" w14:paraId="614DD43F"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7B4D4" w14:textId="77777777" w:rsidR="00074FFE" w:rsidRDefault="00074FFE" w:rsidP="00F30A57">
            <w:pPr>
              <w:pStyle w:val="TableTextEntries"/>
              <w:rPr>
                <w:lang w:bidi="fa-IR"/>
              </w:rPr>
            </w:pPr>
            <w:r>
              <w:rPr>
                <w:lang w:bidi="fa-IR"/>
              </w:rPr>
              <w:t>Additional assistance</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D11B0F" w14:textId="77777777" w:rsidR="00074FFE" w:rsidRDefault="00131A17" w:rsidP="00F30A57">
            <w:pPr>
              <w:pStyle w:val="TableTextEntries"/>
              <w:rPr>
                <w:lang w:bidi="fa-IR"/>
              </w:rPr>
            </w:pPr>
            <w:r>
              <w:rPr>
                <w:lang w:bidi="fa-IR"/>
              </w:rPr>
              <w:t>Melbourne Disability Institute (MDI)</w:t>
            </w:r>
            <w:r w:rsidR="00944CF8">
              <w:rPr>
                <w:lang w:bidi="fa-IR"/>
              </w:rPr>
              <w:t xml:space="preserve"> of University of Melbourne</w:t>
            </w:r>
            <w:r w:rsidR="002B6255">
              <w:rPr>
                <w:lang w:bidi="fa-IR"/>
              </w:rPr>
              <w:t xml:space="preserve"> and Summer Foundation Submission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07D39B" w14:textId="4994CAD3" w:rsidR="00074FFE" w:rsidRDefault="002B6255" w:rsidP="00FB225F">
            <w:pPr>
              <w:pStyle w:val="TableTextEntries"/>
              <w:jc w:val="right"/>
              <w:rPr>
                <w:lang w:bidi="fa-IR"/>
              </w:rPr>
            </w:pPr>
            <w:r>
              <w:rPr>
                <w:lang w:bidi="fa-IR"/>
              </w:rPr>
              <w:t xml:space="preserve">Box </w:t>
            </w:r>
            <w:r w:rsidR="004769FA">
              <w:rPr>
                <w:lang w:bidi="fa-IR"/>
              </w:rPr>
              <w:t>3.25</w:t>
            </w:r>
          </w:p>
        </w:tc>
      </w:tr>
      <w:tr w:rsidR="00074FFE" w14:paraId="0B504E57"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D46728" w14:textId="77777777" w:rsidR="00074FFE" w:rsidRDefault="00074FFE" w:rsidP="00F30A57">
            <w:pPr>
              <w:pStyle w:val="TableTextEntries"/>
              <w:rPr>
                <w:lang w:bidi="fa-IR"/>
              </w:rPr>
            </w:pPr>
            <w:r>
              <w:rPr>
                <w:lang w:bidi="fa-IR"/>
              </w:rPr>
              <w:t>Home modification</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861D15" w14:textId="77777777" w:rsidR="00074FFE" w:rsidRDefault="00970AB1" w:rsidP="00F30A57">
            <w:pPr>
              <w:pStyle w:val="TableTextEntries"/>
              <w:rPr>
                <w:lang w:bidi="fa-IR"/>
              </w:rPr>
            </w:pPr>
            <w:r w:rsidRPr="00970AB1">
              <w:rPr>
                <w:lang w:bidi="fa-IR"/>
              </w:rPr>
              <w:t>Amelia Condi for Summer Foundation</w:t>
            </w:r>
            <w:r>
              <w:rPr>
                <w:lang w:bidi="fa-IR"/>
              </w:rPr>
              <w:t>;</w:t>
            </w:r>
            <w:r>
              <w:rPr>
                <w:lang w:bidi="fa-IR"/>
              </w:rPr>
              <w:br/>
              <w:t>Lee Jordan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168745" w14:textId="1017A71C" w:rsidR="00074FFE" w:rsidRDefault="00970AB1" w:rsidP="00FB225F">
            <w:pPr>
              <w:pStyle w:val="TableTextEntries"/>
              <w:jc w:val="right"/>
              <w:rPr>
                <w:lang w:bidi="fa-IR"/>
              </w:rPr>
            </w:pPr>
            <w:r w:rsidRPr="00970AB1">
              <w:rPr>
                <w:lang w:bidi="fa-IR"/>
              </w:rPr>
              <w:t xml:space="preserve">Box </w:t>
            </w:r>
            <w:r w:rsidR="004769FA">
              <w:rPr>
                <w:lang w:bidi="fa-IR"/>
              </w:rPr>
              <w:t>3.30</w:t>
            </w:r>
          </w:p>
        </w:tc>
      </w:tr>
      <w:tr w:rsidR="00074FFE" w14:paraId="347E83E1"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A2524" w14:textId="77777777" w:rsidR="00074FFE" w:rsidRDefault="00074FFE" w:rsidP="00F30A57">
            <w:pPr>
              <w:pStyle w:val="TableTextEntries"/>
              <w:rPr>
                <w:lang w:bidi="fa-IR"/>
              </w:rPr>
            </w:pPr>
            <w:r>
              <w:rPr>
                <w:lang w:bidi="fa-IR"/>
              </w:rPr>
              <w:t>Moving home</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CF9F23" w14:textId="77777777" w:rsidR="00074FFE" w:rsidRDefault="00D951B7" w:rsidP="00F30A57">
            <w:pPr>
              <w:pStyle w:val="TableTextEntries"/>
              <w:rPr>
                <w:lang w:bidi="fa-IR"/>
              </w:rPr>
            </w:pPr>
            <w:r>
              <w:rPr>
                <w:lang w:bidi="fa-IR"/>
              </w:rPr>
              <w:t>Associate Professor Libby Callaway for the Australian Rehabilitation and Assistive Technology Association (ARATA) Submission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18B903" w14:textId="43A57E30" w:rsidR="00074FFE" w:rsidRDefault="00D951B7" w:rsidP="00FB225F">
            <w:pPr>
              <w:pStyle w:val="TableTextEntries"/>
              <w:jc w:val="right"/>
              <w:rPr>
                <w:lang w:bidi="fa-IR"/>
              </w:rPr>
            </w:pPr>
            <w:r>
              <w:rPr>
                <w:lang w:bidi="fa-IR"/>
              </w:rPr>
              <w:t xml:space="preserve">Box </w:t>
            </w:r>
            <w:r w:rsidR="004769FA">
              <w:rPr>
                <w:lang w:bidi="fa-IR"/>
              </w:rPr>
              <w:t>3.33</w:t>
            </w:r>
          </w:p>
        </w:tc>
      </w:tr>
      <w:tr w:rsidR="00074FFE" w14:paraId="12FBE378"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9615C4" w14:textId="77777777" w:rsidR="00074FFE" w:rsidRDefault="00074FFE" w:rsidP="00074FFE">
            <w:pPr>
              <w:pStyle w:val="TableTextEntries"/>
              <w:rPr>
                <w:lang w:bidi="fa-IR"/>
              </w:rPr>
            </w:pPr>
            <w:r>
              <w:rPr>
                <w:lang w:bidi="fa-IR"/>
              </w:rPr>
              <w:t>Longer stay in hospital or transition care</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CE07E6" w14:textId="77777777" w:rsidR="00074FFE" w:rsidRDefault="007A0B49" w:rsidP="00074FFE">
            <w:pPr>
              <w:pStyle w:val="TableTextEntries"/>
              <w:rPr>
                <w:lang w:bidi="fa-IR"/>
              </w:rPr>
            </w:pPr>
            <w:r w:rsidRPr="00510BCD">
              <w:rPr>
                <w:lang w:bidi="fa-IR"/>
              </w:rPr>
              <w:t>Anonymous Response 699935736</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11DA98" w14:textId="1FD46DE3" w:rsidR="00074FFE" w:rsidRDefault="000B71BE" w:rsidP="00FB225F">
            <w:pPr>
              <w:pStyle w:val="TableTextEntries"/>
              <w:jc w:val="right"/>
              <w:rPr>
                <w:lang w:bidi="fa-IR"/>
              </w:rPr>
            </w:pPr>
            <w:r>
              <w:rPr>
                <w:lang w:bidi="fa-IR"/>
              </w:rPr>
              <w:t xml:space="preserve">Box </w:t>
            </w:r>
            <w:r w:rsidR="004769FA">
              <w:rPr>
                <w:lang w:bidi="fa-IR"/>
              </w:rPr>
              <w:t>3.35</w:t>
            </w:r>
          </w:p>
        </w:tc>
      </w:tr>
      <w:tr w:rsidR="00074FFE" w14:paraId="6ECEE4C0"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523BCC" w14:textId="77777777" w:rsidR="00074FFE" w:rsidRDefault="004317D5" w:rsidP="00F30A57">
            <w:pPr>
              <w:pStyle w:val="TableTextEntries"/>
              <w:rPr>
                <w:lang w:bidi="fa-IR"/>
              </w:rPr>
            </w:pPr>
            <w:r>
              <w:rPr>
                <w:lang w:bidi="fa-IR"/>
              </w:rPr>
              <w:t>V</w:t>
            </w:r>
            <w:r w:rsidR="00F17B8A">
              <w:rPr>
                <w:lang w:bidi="fa-IR"/>
              </w:rPr>
              <w:t>isitability</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CCECB5" w14:textId="77777777" w:rsidR="00074FFE" w:rsidRDefault="004317D5" w:rsidP="00F30A57">
            <w:pPr>
              <w:pStyle w:val="TableTextEntries"/>
              <w:rPr>
                <w:lang w:bidi="fa-IR"/>
              </w:rPr>
            </w:pPr>
            <w:r>
              <w:rPr>
                <w:lang w:bidi="fa-IR"/>
              </w:rPr>
              <w:t>Queensland Disability Network;</w:t>
            </w:r>
            <w:r>
              <w:rPr>
                <w:lang w:bidi="fa-IR"/>
              </w:rPr>
              <w:br/>
              <w:t xml:space="preserve">Anonymous Submission </w:t>
            </w:r>
            <w:r w:rsidRPr="000414D9">
              <w:rPr>
                <w:lang w:bidi="fa-IR"/>
              </w:rPr>
              <w:t>656157319</w:t>
            </w:r>
            <w:r>
              <w:rPr>
                <w:lang w:bidi="fa-IR"/>
              </w:rPr>
              <w:t>;</w:t>
            </w:r>
            <w:r>
              <w:rPr>
                <w:lang w:bidi="fa-IR"/>
              </w:rPr>
              <w:br/>
            </w:r>
            <w:r w:rsidRPr="000414D9">
              <w:rPr>
                <w:lang w:bidi="fa-IR"/>
              </w:rPr>
              <w:t>Submission No. ANON QUHT GNKK D</w:t>
            </w:r>
            <w:r>
              <w:rPr>
                <w:lang w:bidi="fa-IR"/>
              </w:rPr>
              <w:t>;</w:t>
            </w:r>
            <w:r>
              <w:rPr>
                <w:lang w:bidi="fa-IR"/>
              </w:rPr>
              <w:br/>
              <w:t>University of Melbourne and Summer Foundation Submission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A1AF4C" w14:textId="4220BD9A" w:rsidR="00074FFE" w:rsidRDefault="00913DB5" w:rsidP="00FB225F">
            <w:pPr>
              <w:pStyle w:val="TableTextEntries"/>
              <w:jc w:val="right"/>
              <w:rPr>
                <w:lang w:bidi="fa-IR"/>
              </w:rPr>
            </w:pPr>
            <w:r>
              <w:rPr>
                <w:lang w:bidi="fa-IR"/>
              </w:rPr>
              <w:t>Box</w:t>
            </w:r>
            <w:r w:rsidR="004769FA">
              <w:rPr>
                <w:lang w:bidi="fa-IR"/>
              </w:rPr>
              <w:t xml:space="preserve"> 3.38</w:t>
            </w:r>
            <w:r w:rsidR="00302DCC">
              <w:rPr>
                <w:lang w:bidi="fa-IR"/>
              </w:rPr>
              <w:t>, Box </w:t>
            </w:r>
            <w:r w:rsidR="004769FA">
              <w:rPr>
                <w:lang w:bidi="fa-IR"/>
              </w:rPr>
              <w:t>3.39</w:t>
            </w:r>
            <w:r w:rsidR="004317D5">
              <w:rPr>
                <w:lang w:bidi="fa-IR"/>
              </w:rPr>
              <w:t>, Box</w:t>
            </w:r>
            <w:r w:rsidR="00563DE6">
              <w:rPr>
                <w:lang w:bidi="fa-IR"/>
              </w:rPr>
              <w:t> </w:t>
            </w:r>
            <w:r w:rsidR="004769FA">
              <w:rPr>
                <w:lang w:bidi="fa-IR"/>
              </w:rPr>
              <w:t xml:space="preserve">3.48 </w:t>
            </w:r>
          </w:p>
        </w:tc>
      </w:tr>
      <w:tr w:rsidR="00074FFE" w14:paraId="560DC8E1"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2A9A8E" w14:textId="77777777" w:rsidR="00074FFE" w:rsidRDefault="00063724" w:rsidP="00F30A57">
            <w:pPr>
              <w:pStyle w:val="TableTextEntries"/>
              <w:rPr>
                <w:lang w:bidi="fa-IR"/>
              </w:rPr>
            </w:pPr>
            <w:r>
              <w:rPr>
                <w:lang w:bidi="fa-IR"/>
              </w:rPr>
              <w:t>Ageing in place and p</w:t>
            </w:r>
            <w:r w:rsidR="00074FFE">
              <w:rPr>
                <w:lang w:bidi="fa-IR"/>
              </w:rPr>
              <w:t xml:space="preserve">remature or inappropriate entry into </w:t>
            </w:r>
            <w:r w:rsidR="00554FDC">
              <w:rPr>
                <w:lang w:bidi="fa-IR"/>
              </w:rPr>
              <w:t xml:space="preserve">residential </w:t>
            </w:r>
            <w:r w:rsidR="00074FFE">
              <w:rPr>
                <w:lang w:bidi="fa-IR"/>
              </w:rPr>
              <w:t>aged care</w:t>
            </w:r>
            <w:r w:rsidR="00554FDC">
              <w:rPr>
                <w:lang w:bidi="fa-IR"/>
              </w:rPr>
              <w:t xml:space="preserve"> or other institutional care</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77F65B" w14:textId="77777777" w:rsidR="00074FFE" w:rsidRDefault="00063724" w:rsidP="00F30A57">
            <w:pPr>
              <w:pStyle w:val="TableTextEntries"/>
              <w:rPr>
                <w:lang w:bidi="fa-IR"/>
              </w:rPr>
            </w:pPr>
            <w:r>
              <w:rPr>
                <w:lang w:bidi="fa-IR"/>
              </w:rPr>
              <w:t>ANUHD;</w:t>
            </w:r>
            <w:r>
              <w:rPr>
                <w:lang w:bidi="fa-IR"/>
              </w:rPr>
              <w:br/>
            </w:r>
            <w:r w:rsidR="00554FDC" w:rsidRPr="00970AB1">
              <w:rPr>
                <w:lang w:bidi="fa-IR"/>
              </w:rPr>
              <w:t>Amelia Condi for Summer Foundation</w:t>
            </w:r>
            <w:r w:rsidR="00554FDC">
              <w:rPr>
                <w:lang w:bidi="fa-IR"/>
              </w:rPr>
              <w:br/>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32C073" w14:textId="20FDB6C9" w:rsidR="00074FFE" w:rsidRDefault="00554FDC" w:rsidP="00FB225F">
            <w:pPr>
              <w:pStyle w:val="TableTextEntries"/>
              <w:jc w:val="right"/>
              <w:rPr>
                <w:lang w:bidi="fa-IR"/>
              </w:rPr>
            </w:pPr>
            <w:r w:rsidRPr="00970AB1">
              <w:rPr>
                <w:lang w:bidi="fa-IR"/>
              </w:rPr>
              <w:t>Box</w:t>
            </w:r>
            <w:r w:rsidR="004769FA">
              <w:rPr>
                <w:lang w:bidi="fa-IR"/>
              </w:rPr>
              <w:t xml:space="preserve"> 3.38</w:t>
            </w:r>
            <w:r w:rsidR="00583256">
              <w:rPr>
                <w:lang w:bidi="fa-IR"/>
              </w:rPr>
              <w:t>, Box</w:t>
            </w:r>
            <w:r w:rsidR="004769FA">
              <w:rPr>
                <w:lang w:bidi="fa-IR"/>
              </w:rPr>
              <w:t xml:space="preserve"> 3.39</w:t>
            </w:r>
            <w:r w:rsidR="00120865">
              <w:rPr>
                <w:lang w:bidi="fa-IR"/>
              </w:rPr>
              <w:t>; Box 3.4</w:t>
            </w:r>
            <w:r w:rsidR="000B2EC7">
              <w:rPr>
                <w:lang w:bidi="fa-IR"/>
              </w:rPr>
              <w:t>1</w:t>
            </w:r>
          </w:p>
        </w:tc>
      </w:tr>
      <w:tr w:rsidR="00074FFE" w14:paraId="5E8341F6"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E0360E" w14:textId="77777777" w:rsidR="00074FFE" w:rsidRDefault="00074FFE" w:rsidP="00F30A57">
            <w:pPr>
              <w:pStyle w:val="TableTextEntries"/>
              <w:rPr>
                <w:lang w:bidi="fa-IR"/>
              </w:rPr>
            </w:pPr>
            <w:r>
              <w:rPr>
                <w:lang w:bidi="fa-IR"/>
              </w:rPr>
              <w:t>Young people with disability</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869A84" w14:textId="77777777" w:rsidR="00074FFE" w:rsidRDefault="00594A58" w:rsidP="00F30A57">
            <w:pPr>
              <w:pStyle w:val="TableTextEntries"/>
              <w:rPr>
                <w:lang w:bidi="fa-IR"/>
              </w:rPr>
            </w:pPr>
            <w:r w:rsidRPr="00970AB1">
              <w:rPr>
                <w:lang w:bidi="fa-IR"/>
              </w:rPr>
              <w:t>Amelia Condi for Summer Foundation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29538" w14:textId="35FFD5B7" w:rsidR="00074FFE" w:rsidRDefault="00C66AE1" w:rsidP="00FB225F">
            <w:pPr>
              <w:pStyle w:val="TableTextEntries"/>
              <w:jc w:val="right"/>
              <w:rPr>
                <w:lang w:bidi="fa-IR"/>
              </w:rPr>
            </w:pPr>
            <w:r w:rsidRPr="00970AB1">
              <w:rPr>
                <w:lang w:bidi="fa-IR"/>
              </w:rPr>
              <w:t>Box</w:t>
            </w:r>
            <w:r w:rsidR="004769FA">
              <w:rPr>
                <w:lang w:bidi="fa-IR"/>
              </w:rPr>
              <w:t xml:space="preserve"> 3.30</w:t>
            </w:r>
            <w:r>
              <w:rPr>
                <w:lang w:bidi="fa-IR"/>
              </w:rPr>
              <w:t xml:space="preserve">, </w:t>
            </w:r>
            <w:r w:rsidR="00594A58">
              <w:rPr>
                <w:lang w:bidi="fa-IR"/>
              </w:rPr>
              <w:t xml:space="preserve">Box </w:t>
            </w:r>
            <w:r w:rsidR="004769FA">
              <w:rPr>
                <w:lang w:bidi="fa-IR"/>
              </w:rPr>
              <w:t>3.38</w:t>
            </w:r>
          </w:p>
        </w:tc>
      </w:tr>
      <w:tr w:rsidR="00074FFE" w14:paraId="713BB31B"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86522E" w14:textId="77777777" w:rsidR="00074FFE" w:rsidRDefault="00074FFE" w:rsidP="00F30A57">
            <w:pPr>
              <w:pStyle w:val="TableTextEntries"/>
              <w:rPr>
                <w:lang w:bidi="fa-IR"/>
              </w:rPr>
            </w:pPr>
            <w:r>
              <w:rPr>
                <w:lang w:bidi="fa-IR"/>
              </w:rPr>
              <w:t>Employment and productivity</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0BAA6A" w14:textId="77777777" w:rsidR="00074FFE" w:rsidRDefault="00131A17" w:rsidP="00F30A57">
            <w:pPr>
              <w:pStyle w:val="TableTextEntries"/>
              <w:rPr>
                <w:lang w:bidi="fa-IR"/>
              </w:rPr>
            </w:pPr>
            <w:r>
              <w:rPr>
                <w:lang w:bidi="fa-IR"/>
              </w:rPr>
              <w:t>MDI and Summer Foundation;</w:t>
            </w:r>
            <w:r>
              <w:rPr>
                <w:lang w:bidi="fa-IR"/>
              </w:rPr>
              <w:br/>
              <w:t xml:space="preserve">Jane Scott </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95A083" w14:textId="77777777" w:rsidR="00074FFE" w:rsidRDefault="00AA3057" w:rsidP="00FB225F">
            <w:pPr>
              <w:pStyle w:val="TableTextEntries"/>
              <w:jc w:val="right"/>
              <w:rPr>
                <w:lang w:bidi="fa-IR"/>
              </w:rPr>
            </w:pPr>
            <w:r>
              <w:rPr>
                <w:lang w:bidi="fa-IR"/>
              </w:rPr>
              <w:t>Box 3.</w:t>
            </w:r>
            <w:r w:rsidR="000B2EC7">
              <w:rPr>
                <w:lang w:bidi="fa-IR"/>
              </w:rPr>
              <w:t>50</w:t>
            </w:r>
            <w:r w:rsidR="00131A17">
              <w:rPr>
                <w:lang w:bidi="fa-IR"/>
              </w:rPr>
              <w:t>, Box J.</w:t>
            </w:r>
            <w:r w:rsidR="007C5210">
              <w:rPr>
                <w:lang w:bidi="fa-IR"/>
              </w:rPr>
              <w:t>7</w:t>
            </w:r>
            <w:r w:rsidR="00131A17">
              <w:rPr>
                <w:lang w:bidi="fa-IR"/>
              </w:rPr>
              <w:t>, Box J.</w:t>
            </w:r>
            <w:r w:rsidR="007C5210">
              <w:rPr>
                <w:lang w:bidi="fa-IR"/>
              </w:rPr>
              <w:t>8</w:t>
            </w:r>
            <w:r w:rsidR="00131A17">
              <w:rPr>
                <w:lang w:bidi="fa-IR"/>
              </w:rPr>
              <w:t>, Box</w:t>
            </w:r>
            <w:r w:rsidR="007C5210">
              <w:rPr>
                <w:lang w:bidi="fa-IR"/>
              </w:rPr>
              <w:t> </w:t>
            </w:r>
            <w:r w:rsidR="00131A17">
              <w:rPr>
                <w:lang w:bidi="fa-IR"/>
              </w:rPr>
              <w:t>J.1</w:t>
            </w:r>
            <w:r w:rsidR="007C5210">
              <w:rPr>
                <w:lang w:bidi="fa-IR"/>
              </w:rPr>
              <w:t>1</w:t>
            </w:r>
          </w:p>
        </w:tc>
      </w:tr>
      <w:tr w:rsidR="00F30A57" w14:paraId="2264085A"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52F3D8" w14:textId="77777777" w:rsidR="00F30A57" w:rsidRDefault="00074FFE" w:rsidP="00F30A57">
            <w:pPr>
              <w:pStyle w:val="TableTextEntries"/>
              <w:rPr>
                <w:lang w:bidi="fa-IR"/>
              </w:rPr>
            </w:pPr>
            <w:r>
              <w:rPr>
                <w:lang w:bidi="fa-IR"/>
              </w:rPr>
              <w:t>Short term injuries</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6161A2" w14:textId="77777777" w:rsidR="00F30A57" w:rsidRDefault="00074FFE" w:rsidP="00F30A57">
            <w:pPr>
              <w:pStyle w:val="TableTextEntries"/>
              <w:rPr>
                <w:lang w:bidi="fa-IR"/>
              </w:rPr>
            </w:pPr>
            <w:r w:rsidRPr="00074FFE">
              <w:rPr>
                <w:lang w:bidi="fa-IR"/>
              </w:rPr>
              <w:t>Anonymous Submission 184073852</w:t>
            </w:r>
            <w:r w:rsidR="00F56439">
              <w:rPr>
                <w:lang w:bidi="fa-IR"/>
              </w:rPr>
              <w:t>;</w:t>
            </w:r>
            <w:r>
              <w:rPr>
                <w:lang w:bidi="fa-IR"/>
              </w:rPr>
              <w:t xml:space="preserve"> </w:t>
            </w:r>
            <w:r w:rsidR="00F56439">
              <w:rPr>
                <w:lang w:bidi="fa-IR"/>
              </w:rPr>
              <w:br/>
            </w:r>
            <w:r w:rsidRPr="005D3CB0">
              <w:t>Lee Jordan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EB7E95" w14:textId="77777777" w:rsidR="00F30A57" w:rsidRDefault="00074FFE" w:rsidP="00FB225F">
            <w:pPr>
              <w:pStyle w:val="TableTextEntries"/>
              <w:jc w:val="right"/>
              <w:rPr>
                <w:lang w:bidi="fa-IR"/>
              </w:rPr>
            </w:pPr>
            <w:r>
              <w:rPr>
                <w:lang w:bidi="fa-IR"/>
              </w:rPr>
              <w:t xml:space="preserve">Box </w:t>
            </w:r>
            <w:r w:rsidR="00A642F0">
              <w:rPr>
                <w:lang w:bidi="fa-IR"/>
              </w:rPr>
              <w:t>3.4</w:t>
            </w:r>
            <w:r w:rsidR="000B2EC7">
              <w:rPr>
                <w:lang w:bidi="fa-IR"/>
              </w:rPr>
              <w:t>3</w:t>
            </w:r>
          </w:p>
        </w:tc>
      </w:tr>
      <w:tr w:rsidR="00074FFE" w14:paraId="30FEF868" w14:textId="77777777" w:rsidTr="00913DB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A11F96" w14:textId="77777777" w:rsidR="00074FFE" w:rsidRDefault="00074FFE" w:rsidP="00F30A57">
            <w:pPr>
              <w:pStyle w:val="TableTextEntries"/>
              <w:rPr>
                <w:lang w:bidi="fa-IR"/>
              </w:rPr>
            </w:pPr>
            <w:r>
              <w:rPr>
                <w:lang w:bidi="fa-IR"/>
              </w:rPr>
              <w:t>Family with young depend</w:t>
            </w:r>
            <w:r w:rsidR="0077601B">
              <w:rPr>
                <w:lang w:bidi="fa-IR"/>
              </w:rPr>
              <w:t>a</w:t>
            </w:r>
            <w:r>
              <w:rPr>
                <w:lang w:bidi="fa-IR"/>
              </w:rPr>
              <w:t>nt</w:t>
            </w:r>
            <w:r w:rsidR="0077601B">
              <w:rPr>
                <w:lang w:bidi="fa-IR"/>
              </w:rPr>
              <w:t>s</w:t>
            </w:r>
          </w:p>
        </w:tc>
        <w:tc>
          <w:tcPr>
            <w:tcW w:w="3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45B4DB" w14:textId="77777777" w:rsidR="00074FFE" w:rsidRPr="00074FFE" w:rsidRDefault="00074FFE" w:rsidP="00F30A57">
            <w:pPr>
              <w:pStyle w:val="TableTextEntries"/>
              <w:rPr>
                <w:lang w:bidi="fa-IR"/>
              </w:rPr>
            </w:pPr>
            <w:r w:rsidRPr="00074FFE">
              <w:rPr>
                <w:lang w:bidi="fa-IR"/>
              </w:rPr>
              <w:t>Wendy Lovelace</w:t>
            </w:r>
            <w:r w:rsidR="00F56439">
              <w:rPr>
                <w:lang w:bidi="fa-IR"/>
              </w:rPr>
              <w:t>;</w:t>
            </w:r>
            <w:r w:rsidR="00F56439">
              <w:rPr>
                <w:lang w:bidi="fa-IR"/>
              </w:rPr>
              <w:br/>
            </w:r>
            <w:r>
              <w:rPr>
                <w:lang w:bidi="fa-IR"/>
              </w:rPr>
              <w:t>MDI and Summer Foundation</w:t>
            </w:r>
          </w:p>
        </w:tc>
        <w:tc>
          <w:tcPr>
            <w:tcW w:w="22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37F6AC" w14:textId="4221B10F" w:rsidR="00074FFE" w:rsidRDefault="00074FFE" w:rsidP="00FB225F">
            <w:pPr>
              <w:pStyle w:val="TableTextEntries"/>
              <w:jc w:val="right"/>
              <w:rPr>
                <w:lang w:bidi="fa-IR"/>
              </w:rPr>
            </w:pPr>
            <w:r>
              <w:rPr>
                <w:lang w:bidi="fa-IR"/>
              </w:rPr>
              <w:t xml:space="preserve">Box </w:t>
            </w:r>
            <w:r w:rsidR="004769FA">
              <w:rPr>
                <w:lang w:bidi="fa-IR"/>
              </w:rPr>
              <w:t>3.48</w:t>
            </w:r>
          </w:p>
        </w:tc>
      </w:tr>
      <w:tr w:rsidR="00F30A57" w14:paraId="6912DF4F" w14:textId="77777777" w:rsidTr="00913DB5">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408C720B" w14:textId="77777777" w:rsidR="00F30A57" w:rsidRDefault="00EF1C10" w:rsidP="00F30A57">
            <w:pPr>
              <w:pStyle w:val="TableTextEntries"/>
              <w:rPr>
                <w:lang w:bidi="fa-IR"/>
              </w:rPr>
            </w:pPr>
            <w:r>
              <w:rPr>
                <w:lang w:bidi="fa-IR"/>
              </w:rPr>
              <w:t>Better quality of life</w:t>
            </w:r>
          </w:p>
        </w:tc>
        <w:tc>
          <w:tcPr>
            <w:tcW w:w="3025" w:type="dxa"/>
            <w:tcBorders>
              <w:top w:val="single" w:sz="8" w:space="0" w:color="FFFFFF" w:themeColor="background1"/>
              <w:bottom w:val="single" w:sz="6" w:space="0" w:color="6F6652"/>
            </w:tcBorders>
            <w:shd w:val="clear" w:color="auto" w:fill="E9E8E5" w:themeFill="background2"/>
            <w:tcMar>
              <w:left w:w="57" w:type="dxa"/>
              <w:right w:w="57" w:type="dxa"/>
            </w:tcMar>
          </w:tcPr>
          <w:p w14:paraId="66FFD5AD" w14:textId="77777777" w:rsidR="00F30A57" w:rsidRDefault="00EF1C10" w:rsidP="00F30A57">
            <w:pPr>
              <w:pStyle w:val="TableTextEntries"/>
              <w:rPr>
                <w:lang w:bidi="fa-IR"/>
              </w:rPr>
            </w:pPr>
            <w:r>
              <w:rPr>
                <w:lang w:bidi="fa-IR"/>
              </w:rPr>
              <w:t>Anonymous Submission 90458024;</w:t>
            </w:r>
            <w:r>
              <w:rPr>
                <w:lang w:bidi="fa-IR"/>
              </w:rPr>
              <w:br/>
              <w:t>Anonymous Submission 722067220;</w:t>
            </w:r>
            <w:r>
              <w:rPr>
                <w:lang w:bidi="fa-IR"/>
              </w:rPr>
              <w:br/>
              <w:t>PDCN member and fulltime wheelchair user in Physical Disability Council of NSW Response (p.5);</w:t>
            </w:r>
            <w:r>
              <w:rPr>
                <w:lang w:bidi="fa-IR"/>
              </w:rPr>
              <w:br/>
            </w:r>
            <w:r w:rsidRPr="00913DB5">
              <w:rPr>
                <w:lang w:bidi="fa-IR"/>
              </w:rPr>
              <w:t>Anonymous Submission 894045598</w:t>
            </w:r>
            <w:r>
              <w:rPr>
                <w:lang w:bidi="fa-IR"/>
              </w:rPr>
              <w:t>;</w:t>
            </w:r>
            <w:r>
              <w:rPr>
                <w:lang w:bidi="fa-IR"/>
              </w:rPr>
              <w:br/>
            </w:r>
            <w:r w:rsidRPr="00913DB5">
              <w:rPr>
                <w:lang w:bidi="fa-IR"/>
              </w:rPr>
              <w:t>Wendy Lovelace</w:t>
            </w:r>
          </w:p>
        </w:tc>
        <w:tc>
          <w:tcPr>
            <w:tcW w:w="2267" w:type="dxa"/>
            <w:tcBorders>
              <w:top w:val="single" w:sz="8" w:space="0" w:color="FFFFFF" w:themeColor="background1"/>
              <w:bottom w:val="single" w:sz="6" w:space="0" w:color="6F6652"/>
            </w:tcBorders>
            <w:shd w:val="clear" w:color="auto" w:fill="E9E8E5" w:themeFill="background2"/>
            <w:tcMar>
              <w:left w:w="57" w:type="dxa"/>
              <w:right w:w="57" w:type="dxa"/>
            </w:tcMar>
          </w:tcPr>
          <w:p w14:paraId="7FB54B33" w14:textId="77777777" w:rsidR="00F30A57" w:rsidRDefault="00EF1C10" w:rsidP="00FB225F">
            <w:pPr>
              <w:pStyle w:val="TableTextEntries"/>
              <w:jc w:val="right"/>
              <w:rPr>
                <w:lang w:bidi="fa-IR"/>
              </w:rPr>
            </w:pPr>
            <w:r>
              <w:rPr>
                <w:lang w:bidi="fa-IR"/>
              </w:rPr>
              <w:t>Box</w:t>
            </w:r>
            <w:r w:rsidR="00A0356F">
              <w:rPr>
                <w:lang w:bidi="fa-IR"/>
              </w:rPr>
              <w:t> 3.2</w:t>
            </w:r>
            <w:r w:rsidR="000B2EC7">
              <w:rPr>
                <w:lang w:bidi="fa-IR"/>
              </w:rPr>
              <w:t>7</w:t>
            </w:r>
          </w:p>
        </w:tc>
      </w:tr>
    </w:tbl>
    <w:p w14:paraId="140DB63D" w14:textId="77777777" w:rsidR="004A5105" w:rsidRDefault="00F30A57" w:rsidP="00DA6093">
      <w:pPr>
        <w:pStyle w:val="Note"/>
        <w:rPr>
          <w:lang w:bidi="fa-IR"/>
        </w:rPr>
      </w:pPr>
      <w:r w:rsidRPr="00DA6093">
        <w:t>Source:</w:t>
      </w:r>
      <w:r>
        <w:rPr>
          <w:lang w:bidi="fa-IR"/>
        </w:rPr>
        <w:t xml:space="preserve"> CIE based on public submissions</w:t>
      </w:r>
      <w:r w:rsidR="00FB225F">
        <w:rPr>
          <w:lang w:bidi="fa-IR"/>
        </w:rPr>
        <w:t>.</w:t>
      </w:r>
    </w:p>
    <w:p w14:paraId="6D150226" w14:textId="77777777" w:rsidR="00DD5DAA" w:rsidRPr="00BB547A" w:rsidRDefault="00DD5DAA" w:rsidP="00DD5DAA">
      <w:pPr>
        <w:pStyle w:val="Heading3"/>
        <w:numPr>
          <w:ilvl w:val="2"/>
          <w:numId w:val="5"/>
        </w:numPr>
        <w:rPr>
          <w:lang w:bidi="fa-IR"/>
        </w:rPr>
      </w:pPr>
      <w:r w:rsidRPr="00BB547A">
        <w:rPr>
          <w:lang w:bidi="fa-IR"/>
        </w:rPr>
        <w:t>Home modifications and proposed accessible features</w:t>
      </w:r>
    </w:p>
    <w:p w14:paraId="5A004A4A" w14:textId="77777777" w:rsidR="00DD5DAA" w:rsidRDefault="00DD5DAA" w:rsidP="00DD5DAA">
      <w:pPr>
        <w:pStyle w:val="BodyText"/>
        <w:rPr>
          <w:lang w:bidi="fa-IR"/>
        </w:rPr>
      </w:pPr>
      <w:r>
        <w:rPr>
          <w:lang w:bidi="fa-IR"/>
        </w:rPr>
        <w:t>Some submissions note</w:t>
      </w:r>
      <w:r w:rsidR="00B20747">
        <w:rPr>
          <w:lang w:bidi="fa-IR"/>
        </w:rPr>
        <w:t>d</w:t>
      </w:r>
      <w:r>
        <w:rPr>
          <w:lang w:bidi="fa-IR"/>
        </w:rPr>
        <w:t xml:space="preserve"> that the proposed changes to the NCC do not reflect the LHD</w:t>
      </w:r>
      <w:r w:rsidR="0073236C">
        <w:rPr>
          <w:lang w:bidi="fa-IR"/>
        </w:rPr>
        <w:t>G</w:t>
      </w:r>
      <w:r>
        <w:rPr>
          <w:lang w:bidi="fa-IR"/>
        </w:rPr>
        <w:t>, and that some home modifications are not substitutable for accessible features. This implies that the estimate for some components of the size of the problem, especially the safety impacts, carer cost</w:t>
      </w:r>
      <w:r w:rsidR="00672BF1">
        <w:rPr>
          <w:lang w:bidi="fa-IR"/>
        </w:rPr>
        <w:t>s</w:t>
      </w:r>
      <w:r>
        <w:rPr>
          <w:lang w:bidi="fa-IR"/>
        </w:rPr>
        <w:t xml:space="preserve"> and home modification costs based on the difference before and after home modifications, may be overstated.</w:t>
      </w:r>
    </w:p>
    <w:p w14:paraId="582ED4AB" w14:textId="77777777" w:rsidR="00DD5DAA" w:rsidRDefault="00DD5DAA" w:rsidP="00DD5DAA">
      <w:pPr>
        <w:pStyle w:val="BodyText"/>
        <w:rPr>
          <w:lang w:bidi="fa-IR"/>
        </w:rPr>
      </w:pPr>
      <w:r>
        <w:rPr>
          <w:lang w:bidi="fa-IR"/>
        </w:rPr>
        <w:lastRenderedPageBreak/>
        <w:t>For example, in estimating the reduced care cost in the C</w:t>
      </w:r>
      <w:r w:rsidR="00B01E99">
        <w:rPr>
          <w:lang w:bidi="fa-IR"/>
        </w:rPr>
        <w:t xml:space="preserve">onsultation </w:t>
      </w:r>
      <w:r>
        <w:rPr>
          <w:lang w:bidi="fa-IR"/>
        </w:rPr>
        <w:t xml:space="preserve">RIS, CIE used </w:t>
      </w:r>
      <w:r w:rsidR="00E06420">
        <w:rPr>
          <w:lang w:bidi="fa-IR"/>
        </w:rPr>
        <w:t xml:space="preserve">evidence </w:t>
      </w:r>
      <w:r>
        <w:rPr>
          <w:lang w:bidi="fa-IR"/>
        </w:rPr>
        <w:t>from a study by Carnemolla and Bridge (2019) on home modification</w:t>
      </w:r>
      <w:r w:rsidR="00E06420">
        <w:rPr>
          <w:lang w:bidi="fa-IR"/>
        </w:rPr>
        <w:t>s</w:t>
      </w:r>
      <w:r>
        <w:rPr>
          <w:lang w:bidi="fa-IR"/>
        </w:rPr>
        <w:t>.</w:t>
      </w:r>
      <w:r>
        <w:rPr>
          <w:rStyle w:val="FootnoteReference"/>
          <w:lang w:bidi="fa-IR"/>
        </w:rPr>
        <w:footnoteReference w:id="62"/>
      </w:r>
      <w:r>
        <w:rPr>
          <w:lang w:bidi="fa-IR"/>
        </w:rPr>
        <w:t xml:space="preserve"> Among 134 bathroom modifications, the proposed accessible features in the NCC may be equivalent to only 55 major bathroom modifications. In other words, the modifications in the study go further than the proposed changes, and thus for the impact on care needs in the study to be used, they should be adjusted down to accurately reflect the impact of proposed changes to the NCC.</w:t>
      </w:r>
    </w:p>
    <w:p w14:paraId="17A19185" w14:textId="77777777" w:rsidR="00DD5DAA" w:rsidRPr="00A15E60" w:rsidRDefault="00DD5DAA" w:rsidP="00DD5DAA">
      <w:pPr>
        <w:pStyle w:val="BodyText"/>
        <w:rPr>
          <w:lang w:bidi="fa-IR"/>
        </w:rPr>
      </w:pPr>
      <w:r w:rsidRPr="00A15E60">
        <w:rPr>
          <w:lang w:bidi="fa-IR"/>
        </w:rPr>
        <w:t>This adjustment requires careful mapping of proposed accessible features to targeted beneficiaries</w:t>
      </w:r>
      <w:r w:rsidR="00A15E60">
        <w:rPr>
          <w:lang w:bidi="fa-IR"/>
        </w:rPr>
        <w:t xml:space="preserve">. </w:t>
      </w:r>
      <w:r w:rsidR="00F6452C">
        <w:rPr>
          <w:lang w:bidi="fa-IR"/>
        </w:rPr>
        <w:t>c</w:t>
      </w:r>
      <w:r w:rsidR="00A15E60">
        <w:rPr>
          <w:lang w:bidi="fa-IR"/>
        </w:rPr>
        <w:t xml:space="preserve">hapter </w:t>
      </w:r>
      <w:r w:rsidR="00F6452C">
        <w:rPr>
          <w:lang w:bidi="fa-IR"/>
        </w:rPr>
        <w:t>seven</w:t>
      </w:r>
      <w:r w:rsidR="00A15E60">
        <w:rPr>
          <w:lang w:bidi="fa-IR"/>
        </w:rPr>
        <w:t xml:space="preserve"> provides detailed discussion on proposed accessible features and beneficiaries</w:t>
      </w:r>
      <w:r w:rsidRPr="00A15E60">
        <w:rPr>
          <w:lang w:bidi="fa-IR"/>
        </w:rPr>
        <w:t>.</w:t>
      </w:r>
    </w:p>
    <w:p w14:paraId="2C585649" w14:textId="77777777" w:rsidR="00DD5DAA" w:rsidRDefault="00DD5DAA" w:rsidP="00DD5DAA">
      <w:pPr>
        <w:pStyle w:val="Heading3"/>
        <w:numPr>
          <w:ilvl w:val="2"/>
          <w:numId w:val="5"/>
        </w:numPr>
        <w:rPr>
          <w:lang w:bidi="fa-IR"/>
        </w:rPr>
      </w:pPr>
      <w:r>
        <w:rPr>
          <w:lang w:bidi="fa-IR"/>
        </w:rPr>
        <w:t>Temporary injuries</w:t>
      </w:r>
    </w:p>
    <w:p w14:paraId="53F3067C" w14:textId="77777777" w:rsidR="00DD5DAA" w:rsidRDefault="00DD5DAA" w:rsidP="00DD5DAA">
      <w:pPr>
        <w:pStyle w:val="BodyText"/>
        <w:rPr>
          <w:lang w:bidi="fa-IR"/>
        </w:rPr>
      </w:pPr>
      <w:r>
        <w:rPr>
          <w:lang w:bidi="fa-IR"/>
        </w:rPr>
        <w:t xml:space="preserve">Several stakeholders </w:t>
      </w:r>
      <w:r w:rsidR="00026DF0">
        <w:rPr>
          <w:lang w:bidi="fa-IR"/>
        </w:rPr>
        <w:t>sugges</w:t>
      </w:r>
      <w:r>
        <w:rPr>
          <w:lang w:bidi="fa-IR"/>
        </w:rPr>
        <w:t>ted that the analysis in the Consultation RIS ha</w:t>
      </w:r>
      <w:r w:rsidR="00026DF0">
        <w:rPr>
          <w:lang w:bidi="fa-IR"/>
        </w:rPr>
        <w:t>d</w:t>
      </w:r>
      <w:r>
        <w:rPr>
          <w:lang w:bidi="fa-IR"/>
        </w:rPr>
        <w:t xml:space="preserve"> not taken into account the potential benefits of accessible housing to people with temporary injuries.</w:t>
      </w:r>
    </w:p>
    <w:p w14:paraId="2D4CA654" w14:textId="77777777" w:rsidR="00DD5DAA" w:rsidRDefault="00DD5DAA" w:rsidP="00DD5DAA">
      <w:pPr>
        <w:pStyle w:val="BodyText"/>
        <w:rPr>
          <w:lang w:bidi="fa-IR"/>
        </w:rPr>
      </w:pPr>
      <w:r>
        <w:rPr>
          <w:lang w:bidi="fa-IR"/>
        </w:rPr>
        <w:t>Much of the analysis in the Consultation RIS is based on the ABS Survey of Disabilities, Ageing and Carers (SDAC). For the purposes of SDAC, disability is defined as any limitation, restriction or impairment which restricts everyday activity and has lasted, or is likely to last, for at least six months.</w:t>
      </w:r>
      <w:r>
        <w:rPr>
          <w:rStyle w:val="FootnoteReference"/>
          <w:lang w:bidi="fa-IR"/>
        </w:rPr>
        <w:footnoteReference w:id="63"/>
      </w:r>
      <w:r>
        <w:rPr>
          <w:lang w:bidi="fa-IR"/>
        </w:rPr>
        <w:t xml:space="preserve"> As such, the analysis based on SDAC data:</w:t>
      </w:r>
    </w:p>
    <w:p w14:paraId="7095B1D7" w14:textId="77777777" w:rsidR="00DD5DAA" w:rsidRDefault="00DD5DAA" w:rsidP="00DD5DAA">
      <w:pPr>
        <w:pStyle w:val="ListBullet"/>
        <w:rPr>
          <w:lang w:bidi="fa-IR"/>
        </w:rPr>
      </w:pPr>
      <w:r>
        <w:rPr>
          <w:lang w:bidi="fa-IR"/>
        </w:rPr>
        <w:t>captures temporary disabilities that last (or are likely to last) for more than 6 months</w:t>
      </w:r>
      <w:r w:rsidR="001C4F80">
        <w:rPr>
          <w:lang w:bidi="fa-IR"/>
        </w:rPr>
        <w:t>.</w:t>
      </w:r>
    </w:p>
    <w:p w14:paraId="39D47054" w14:textId="77777777" w:rsidR="00DD5DAA" w:rsidRDefault="00DD5DAA" w:rsidP="00DD5DAA">
      <w:pPr>
        <w:pStyle w:val="ListBullet"/>
        <w:rPr>
          <w:lang w:bidi="fa-IR"/>
        </w:rPr>
      </w:pPr>
      <w:r>
        <w:rPr>
          <w:lang w:bidi="fa-IR"/>
        </w:rPr>
        <w:t>does not capture temporary disabilities that last (or are likely to last) for less than 6 months.</w:t>
      </w:r>
    </w:p>
    <w:p w14:paraId="25E61DA9" w14:textId="77777777" w:rsidR="00DD5DAA" w:rsidRDefault="00DD5DAA" w:rsidP="00DD5DAA">
      <w:pPr>
        <w:pStyle w:val="BodyText"/>
        <w:rPr>
          <w:lang w:bidi="fa-IR"/>
        </w:rPr>
      </w:pPr>
      <w:r>
        <w:rPr>
          <w:lang w:bidi="fa-IR"/>
        </w:rPr>
        <w:t>As not all of the analysis is based on SDAC data, the current methodology capture</w:t>
      </w:r>
      <w:r w:rsidR="00093A32">
        <w:rPr>
          <w:lang w:bidi="fa-IR"/>
        </w:rPr>
        <w:t>s</w:t>
      </w:r>
      <w:r>
        <w:rPr>
          <w:lang w:bidi="fa-IR"/>
        </w:rPr>
        <w:t xml:space="preserve"> some benefits for people with a temporary disability</w:t>
      </w:r>
      <w:r w:rsidRPr="00242942">
        <w:rPr>
          <w:lang w:bidi="fa-IR"/>
        </w:rPr>
        <w:t xml:space="preserve">. In particular, </w:t>
      </w:r>
      <w:r>
        <w:rPr>
          <w:lang w:bidi="fa-IR"/>
        </w:rPr>
        <w:t>the</w:t>
      </w:r>
      <w:r w:rsidRPr="00242942">
        <w:rPr>
          <w:lang w:bidi="fa-IR"/>
        </w:rPr>
        <w:t xml:space="preserve"> estimates of additional time spent in hospital (longer stays in hospital) should capture the impacts on those with disability that last for less than 6 months.</w:t>
      </w:r>
    </w:p>
    <w:p w14:paraId="080C9964" w14:textId="77777777" w:rsidR="00DD5DAA" w:rsidRDefault="00DD5DAA" w:rsidP="00DD5DAA">
      <w:pPr>
        <w:pStyle w:val="BodyText"/>
        <w:rPr>
          <w:lang w:bidi="fa-IR"/>
        </w:rPr>
      </w:pPr>
      <w:r>
        <w:rPr>
          <w:lang w:bidi="fa-IR"/>
        </w:rPr>
        <w:t xml:space="preserve">Furthermore, not all of the categories that make up the size of the problem are relevant for people with disability that last for less than 6 months. For example, it is less likely that people would move house or make a major home modification for a temporary disability. </w:t>
      </w:r>
    </w:p>
    <w:p w14:paraId="66653F42" w14:textId="77777777" w:rsidR="00DD5DAA" w:rsidRDefault="00DD5DAA" w:rsidP="00DD5DAA">
      <w:pPr>
        <w:pStyle w:val="BodyText"/>
        <w:rPr>
          <w:lang w:bidi="fa-IR"/>
        </w:rPr>
      </w:pPr>
      <w:r>
        <w:rPr>
          <w:lang w:bidi="fa-IR"/>
        </w:rPr>
        <w:t>Therefore</w:t>
      </w:r>
      <w:r w:rsidR="00AD19E9">
        <w:rPr>
          <w:lang w:bidi="fa-IR"/>
        </w:rPr>
        <w:t>,</w:t>
      </w:r>
      <w:r>
        <w:rPr>
          <w:lang w:bidi="fa-IR"/>
        </w:rPr>
        <w:t xml:space="preserve"> the major benefit for people with short-term injuries appears to be more independence and convenience (or less inconvenience) as a result of accessible housing, which could be measured by the reduction in care needs.</w:t>
      </w:r>
    </w:p>
    <w:p w14:paraId="5538AE14" w14:textId="77777777" w:rsidR="00DD5DAA" w:rsidRDefault="00CF1C0D" w:rsidP="00DD5DAA">
      <w:pPr>
        <w:pStyle w:val="BodyText"/>
        <w:rPr>
          <w:lang w:bidi="fa-IR"/>
        </w:rPr>
      </w:pPr>
      <w:r>
        <w:rPr>
          <w:lang w:bidi="fa-IR"/>
        </w:rPr>
        <w:lastRenderedPageBreak/>
        <w:t xml:space="preserve">Australian Institute of Health Welfare </w:t>
      </w:r>
      <w:r w:rsidR="00093A32">
        <w:rPr>
          <w:lang w:bidi="fa-IR"/>
        </w:rPr>
        <w:t>(</w:t>
      </w:r>
      <w:r w:rsidR="00DD5DAA">
        <w:rPr>
          <w:lang w:bidi="fa-IR"/>
        </w:rPr>
        <w:t>AIHW</w:t>
      </w:r>
      <w:r>
        <w:rPr>
          <w:lang w:bidi="fa-IR"/>
        </w:rPr>
        <w:t>)</w:t>
      </w:r>
      <w:r w:rsidR="00DD5DAA">
        <w:rPr>
          <w:lang w:bidi="fa-IR"/>
        </w:rPr>
        <w:t xml:space="preserve"> provides data on hospitalised injuries by age groups, injury types, body region injured and causes.</w:t>
      </w:r>
      <w:r w:rsidR="00DD5DAA">
        <w:rPr>
          <w:rStyle w:val="FootnoteReference"/>
          <w:lang w:bidi="fa-IR"/>
        </w:rPr>
        <w:footnoteReference w:id="64"/>
      </w:r>
      <w:r w:rsidR="00DD5DAA">
        <w:rPr>
          <w:lang w:bidi="fa-IR"/>
        </w:rPr>
        <w:t xml:space="preserve"> </w:t>
      </w:r>
    </w:p>
    <w:p w14:paraId="7A7B0CB4" w14:textId="77777777" w:rsidR="00DD5DAA" w:rsidRPr="005331B4" w:rsidRDefault="00DD5DAA" w:rsidP="00DD5DAA">
      <w:pPr>
        <w:pStyle w:val="BodyText"/>
      </w:pPr>
      <w:r w:rsidRPr="005331B4">
        <w:t xml:space="preserve">The number of hospitalised temporary injuries that could benefit from accessible housing </w:t>
      </w:r>
      <w:r w:rsidR="001037B6">
        <w:rPr>
          <w:lang w:bidi="fa-IR"/>
        </w:rPr>
        <w:t>was</w:t>
      </w:r>
      <w:r w:rsidRPr="005331B4">
        <w:t xml:space="preserve"> estimated from the AIHW data for fracture, dislocation and soft-tissue injury in the lower body, adjusted by the age group and for those already included in the current estimates in the C</w:t>
      </w:r>
      <w:r w:rsidR="00B01E99">
        <w:t xml:space="preserve">onsultation </w:t>
      </w:r>
      <w:r w:rsidRPr="005331B4">
        <w:t>RIS (that is people with mobility disability and older people).</w:t>
      </w:r>
    </w:p>
    <w:p w14:paraId="5DA3549E" w14:textId="77777777" w:rsidR="00DD5DAA" w:rsidRPr="005331B4" w:rsidRDefault="00DD5DAA" w:rsidP="00DD5DAA">
      <w:pPr>
        <w:pStyle w:val="BodyText"/>
      </w:pPr>
      <w:r w:rsidRPr="005331B4">
        <w:t xml:space="preserve">For non-hospitalised temporary injuries, some proportion of emergency department attendances and non-hospital treatments to hospital admissions from the SDAC </w:t>
      </w:r>
      <w:r w:rsidR="001037B6">
        <w:rPr>
          <w:lang w:bidi="fa-IR"/>
        </w:rPr>
        <w:t>was</w:t>
      </w:r>
      <w:r w:rsidRPr="005331B4">
        <w:t xml:space="preserve"> applied to the estimated temporary hospitalised injuries to refine the estimates.</w:t>
      </w:r>
    </w:p>
    <w:p w14:paraId="5DF21BB8" w14:textId="77777777" w:rsidR="00DD5DAA" w:rsidRDefault="00DD5DAA" w:rsidP="00DD5DAA">
      <w:pPr>
        <w:pStyle w:val="BodyText"/>
        <w:rPr>
          <w:lang w:bidi="fa-IR"/>
        </w:rPr>
      </w:pPr>
      <w:r>
        <w:rPr>
          <w:lang w:bidi="fa-IR"/>
        </w:rPr>
        <w:t>It takes around 6 to 8 weeks for a minor fracture to heal. For serious ones, such as a tibia-fibula fracture, it takes about 3 to 6 months.</w:t>
      </w:r>
      <w:r>
        <w:rPr>
          <w:rStyle w:val="FootnoteReference"/>
          <w:lang w:bidi="fa-IR"/>
        </w:rPr>
        <w:footnoteReference w:id="65"/>
      </w:r>
      <w:r>
        <w:rPr>
          <w:lang w:bidi="fa-IR"/>
        </w:rPr>
        <w:t xml:space="preserve"> Workers compensation statistics in Australia suggest that workers are off-work for 8 weeks on average in the case of fractures.</w:t>
      </w:r>
      <w:r>
        <w:rPr>
          <w:rStyle w:val="FootnoteReference"/>
          <w:lang w:bidi="fa-IR"/>
        </w:rPr>
        <w:footnoteReference w:id="66"/>
      </w:r>
      <w:r>
        <w:rPr>
          <w:lang w:bidi="fa-IR"/>
        </w:rPr>
        <w:t xml:space="preserve"> For dislocation, the recovery is normally quicker. For example, it takes about 6 weeks to heal from a dislocated kneecap.</w:t>
      </w:r>
      <w:r>
        <w:rPr>
          <w:rStyle w:val="FootnoteReference"/>
          <w:lang w:bidi="fa-IR"/>
        </w:rPr>
        <w:footnoteReference w:id="67"/>
      </w:r>
    </w:p>
    <w:p w14:paraId="2C1E5862" w14:textId="77777777" w:rsidR="00DD5DAA" w:rsidRDefault="00DD5DAA" w:rsidP="00DD5DAA">
      <w:pPr>
        <w:pStyle w:val="BodyText"/>
        <w:rPr>
          <w:lang w:bidi="fa-IR"/>
        </w:rPr>
      </w:pPr>
      <w:r>
        <w:rPr>
          <w:lang w:bidi="fa-IR"/>
        </w:rPr>
        <w:t>For non-hospitalised temporary injuries, the length of required assistance would be much shorter.</w:t>
      </w:r>
    </w:p>
    <w:p w14:paraId="233168B7" w14:textId="77777777" w:rsidR="00DD5DAA" w:rsidRPr="001037B6" w:rsidRDefault="00DD5DAA" w:rsidP="00DD5DAA">
      <w:pPr>
        <w:pStyle w:val="BodyText"/>
        <w:rPr>
          <w:lang w:bidi="fa-IR"/>
        </w:rPr>
      </w:pPr>
      <w:r w:rsidRPr="005331B4">
        <w:t>With the information mentioned above, the average length of assistance required for temporary injuries</w:t>
      </w:r>
      <w:r w:rsidR="001037B6" w:rsidRPr="00060136">
        <w:rPr>
          <w:lang w:bidi="fa-IR"/>
        </w:rPr>
        <w:t xml:space="preserve"> was est</w:t>
      </w:r>
      <w:r w:rsidR="001037B6">
        <w:rPr>
          <w:lang w:bidi="fa-IR"/>
        </w:rPr>
        <w:t>i</w:t>
      </w:r>
      <w:r w:rsidR="001037B6" w:rsidRPr="00060136">
        <w:rPr>
          <w:lang w:bidi="fa-IR"/>
        </w:rPr>
        <w:t>mated</w:t>
      </w:r>
      <w:r w:rsidRPr="005331B4">
        <w:t>.</w:t>
      </w:r>
      <w:r w:rsidRPr="001037B6">
        <w:rPr>
          <w:lang w:bidi="fa-IR"/>
        </w:rPr>
        <w:t xml:space="preserve"> </w:t>
      </w:r>
    </w:p>
    <w:p w14:paraId="398B0867" w14:textId="77777777" w:rsidR="00DD5DAA" w:rsidRDefault="00DD5DAA" w:rsidP="00DD5DAA">
      <w:pPr>
        <w:pStyle w:val="BodyText"/>
        <w:rPr>
          <w:lang w:bidi="fa-IR"/>
        </w:rPr>
      </w:pPr>
      <w:r>
        <w:rPr>
          <w:lang w:bidi="fa-IR"/>
        </w:rPr>
        <w:t>This average length represents a fraction of the care needs, and thus a fraction of the benefit from improved accessibility for people with long term needs. Moreover, people with temporary injuries are likely to receive informal care rather than formal care.</w:t>
      </w:r>
      <w:r w:rsidR="00100463">
        <w:rPr>
          <w:lang w:bidi="fa-IR"/>
        </w:rPr>
        <w:t xml:space="preserve"> In addition, they face inconvenience to visit others living </w:t>
      </w:r>
      <w:r w:rsidR="008A3013">
        <w:rPr>
          <w:lang w:bidi="fa-IR"/>
        </w:rPr>
        <w:t>in</w:t>
      </w:r>
      <w:r w:rsidR="00100463">
        <w:rPr>
          <w:lang w:bidi="fa-IR"/>
        </w:rPr>
        <w:t xml:space="preserve"> inaccessible housing.</w:t>
      </w:r>
    </w:p>
    <w:p w14:paraId="25CE1BAE" w14:textId="77777777" w:rsidR="00DD5DAA" w:rsidRPr="005331B4" w:rsidRDefault="00DD5DAA" w:rsidP="00DD5DAA">
      <w:pPr>
        <w:pStyle w:val="BodyText"/>
      </w:pPr>
      <w:r w:rsidRPr="005331B4">
        <w:t xml:space="preserve">An indication of the potential benefits of accessible housing to people with temporary injuries </w:t>
      </w:r>
      <w:r w:rsidR="001037B6" w:rsidRPr="00060136">
        <w:rPr>
          <w:lang w:bidi="fa-IR"/>
        </w:rPr>
        <w:t>was</w:t>
      </w:r>
      <w:r w:rsidRPr="005331B4">
        <w:t xml:space="preserve"> estimated by applying this fraction to the annual cost of additional informal care</w:t>
      </w:r>
      <w:r w:rsidRPr="00060136">
        <w:rPr>
          <w:lang w:bidi="fa-IR"/>
        </w:rPr>
        <w:t xml:space="preserve"> </w:t>
      </w:r>
      <w:r w:rsidR="00100463">
        <w:rPr>
          <w:lang w:bidi="fa-IR"/>
        </w:rPr>
        <w:t>and costs associated with inability to visit others</w:t>
      </w:r>
      <w:r w:rsidR="00100463" w:rsidRPr="005331B4">
        <w:t xml:space="preserve"> </w:t>
      </w:r>
      <w:r w:rsidRPr="005331B4">
        <w:t xml:space="preserve">for people with long term needs, and multiplying by the number of people with temporary injuries who are likely to benefit from accessible housing. </w:t>
      </w:r>
    </w:p>
    <w:p w14:paraId="6F08A7E4" w14:textId="77777777" w:rsidR="00DD5DAA" w:rsidRDefault="00E64650" w:rsidP="00DD5DAA">
      <w:pPr>
        <w:pStyle w:val="Heading3"/>
        <w:numPr>
          <w:ilvl w:val="2"/>
          <w:numId w:val="5"/>
        </w:numPr>
        <w:rPr>
          <w:lang w:bidi="fa-IR"/>
        </w:rPr>
      </w:pPr>
      <w:bookmarkStart w:id="85" w:name="_Ref56604572"/>
      <w:bookmarkStart w:id="86" w:name="_Ref64926305"/>
      <w:bookmarkEnd w:id="79"/>
      <w:r>
        <w:rPr>
          <w:lang w:bidi="fa-IR"/>
        </w:rPr>
        <w:lastRenderedPageBreak/>
        <w:t>F</w:t>
      </w:r>
      <w:r w:rsidR="00DD5DAA">
        <w:rPr>
          <w:lang w:bidi="fa-IR"/>
        </w:rPr>
        <w:t xml:space="preserve">amilies with </w:t>
      </w:r>
      <w:bookmarkEnd w:id="85"/>
      <w:r>
        <w:rPr>
          <w:lang w:bidi="fa-IR"/>
        </w:rPr>
        <w:t>young dep</w:t>
      </w:r>
      <w:r w:rsidR="002B64BF">
        <w:rPr>
          <w:lang w:bidi="fa-IR"/>
        </w:rPr>
        <w:t>e</w:t>
      </w:r>
      <w:r>
        <w:rPr>
          <w:lang w:bidi="fa-IR"/>
        </w:rPr>
        <w:t>nd</w:t>
      </w:r>
      <w:r w:rsidR="003F2BCB">
        <w:rPr>
          <w:lang w:bidi="fa-IR"/>
        </w:rPr>
        <w:t>a</w:t>
      </w:r>
      <w:r>
        <w:rPr>
          <w:lang w:bidi="fa-IR"/>
        </w:rPr>
        <w:t>nts</w:t>
      </w:r>
      <w:bookmarkEnd w:id="86"/>
    </w:p>
    <w:p w14:paraId="3A1DD32F" w14:textId="77777777" w:rsidR="00DD5DAA" w:rsidRDefault="00DD5DAA" w:rsidP="00DD5DAA">
      <w:pPr>
        <w:pStyle w:val="BodyText"/>
        <w:rPr>
          <w:lang w:bidi="fa-IR"/>
        </w:rPr>
      </w:pPr>
      <w:r>
        <w:rPr>
          <w:lang w:bidi="fa-IR"/>
        </w:rPr>
        <w:t xml:space="preserve">Several submissions </w:t>
      </w:r>
      <w:r w:rsidR="00026DF0">
        <w:rPr>
          <w:lang w:bidi="fa-IR"/>
        </w:rPr>
        <w:t>suggest</w:t>
      </w:r>
      <w:r>
        <w:rPr>
          <w:lang w:bidi="fa-IR"/>
        </w:rPr>
        <w:t xml:space="preserve"> that the benefits to young families with children should be included in the analysis. Some types of benefits are:</w:t>
      </w:r>
    </w:p>
    <w:p w14:paraId="253B8792" w14:textId="77777777" w:rsidR="00DD5DAA" w:rsidRDefault="00DD5DAA" w:rsidP="00DD5DAA">
      <w:pPr>
        <w:pStyle w:val="ListBullet"/>
        <w:rPr>
          <w:lang w:bidi="fa-IR"/>
        </w:rPr>
      </w:pPr>
      <w:r>
        <w:rPr>
          <w:lang w:bidi="fa-IR"/>
        </w:rPr>
        <w:t xml:space="preserve">Young families seek accessibility </w:t>
      </w:r>
      <w:r w:rsidR="00026DF0">
        <w:rPr>
          <w:lang w:bidi="fa-IR"/>
        </w:rPr>
        <w:t>so</w:t>
      </w:r>
      <w:r>
        <w:rPr>
          <w:lang w:bidi="fa-IR"/>
        </w:rPr>
        <w:t xml:space="preserve"> ageing grandparents (and their peers) can participate in the lives of their children and contribute in supporting their family; and</w:t>
      </w:r>
    </w:p>
    <w:p w14:paraId="77CCA92D" w14:textId="77777777" w:rsidR="00DD5DAA" w:rsidRDefault="00DD5DAA" w:rsidP="00DD5DAA">
      <w:pPr>
        <w:pStyle w:val="ListBullet"/>
        <w:rPr>
          <w:lang w:bidi="fa-IR"/>
        </w:rPr>
      </w:pPr>
      <w:r>
        <w:rPr>
          <w:lang w:bidi="fa-IR"/>
        </w:rPr>
        <w:t xml:space="preserve">Accessible housing may help the movement of prams. </w:t>
      </w:r>
    </w:p>
    <w:p w14:paraId="01832BF2" w14:textId="77777777" w:rsidR="00DD5DAA" w:rsidRDefault="00DD5DAA" w:rsidP="00DD5DAA">
      <w:pPr>
        <w:pStyle w:val="BodyText"/>
        <w:rPr>
          <w:lang w:bidi="fa-IR"/>
        </w:rPr>
      </w:pPr>
      <w:r>
        <w:rPr>
          <w:lang w:bidi="fa-IR"/>
        </w:rPr>
        <w:t xml:space="preserve">The first type of benefit is included in the benefit associated with visitability (the ability for a person with mobility needs to visit others) which is discussed separately in this </w:t>
      </w:r>
      <w:r w:rsidR="00EA4D12">
        <w:rPr>
          <w:lang w:bidi="fa-IR"/>
        </w:rPr>
        <w:t>chapter</w:t>
      </w:r>
      <w:r>
        <w:rPr>
          <w:lang w:bidi="fa-IR"/>
        </w:rPr>
        <w:t xml:space="preserve"> in the social isolation sub-section.</w:t>
      </w:r>
    </w:p>
    <w:p w14:paraId="20399B7D" w14:textId="77777777" w:rsidR="00DD5DAA" w:rsidRDefault="00DD5DAA" w:rsidP="00DD5DAA">
      <w:pPr>
        <w:pStyle w:val="BodyText"/>
        <w:rPr>
          <w:lang w:bidi="fa-IR"/>
        </w:rPr>
      </w:pPr>
      <w:r>
        <w:rPr>
          <w:lang w:bidi="fa-IR"/>
        </w:rPr>
        <w:t xml:space="preserve">For the second type of benefit, the most relevant accessible feature is level </w:t>
      </w:r>
      <w:r w:rsidR="008A3013">
        <w:rPr>
          <w:lang w:bidi="fa-IR"/>
        </w:rPr>
        <w:t xml:space="preserve">step free </w:t>
      </w:r>
      <w:r>
        <w:rPr>
          <w:lang w:bidi="fa-IR"/>
        </w:rPr>
        <w:t>access. As a pram is smaller and lighter than a wheelchair, the inaccessible entrance issue could be solved by installing temporary ramps in most if not all cases.</w:t>
      </w:r>
      <w:r w:rsidR="00FA21A5">
        <w:rPr>
          <w:lang w:bidi="fa-IR"/>
        </w:rPr>
        <w:t xml:space="preserve"> In </w:t>
      </w:r>
      <w:r w:rsidR="00574E38">
        <w:rPr>
          <w:lang w:bidi="fa-IR"/>
        </w:rPr>
        <w:t>fact,</w:t>
      </w:r>
      <w:r w:rsidR="00FA21A5">
        <w:rPr>
          <w:lang w:bidi="fa-IR"/>
        </w:rPr>
        <w:t xml:space="preserve"> </w:t>
      </w:r>
      <w:r w:rsidR="001369EA">
        <w:rPr>
          <w:lang w:bidi="fa-IR"/>
        </w:rPr>
        <w:t xml:space="preserve">the inconvenience of unlevel access is so small that </w:t>
      </w:r>
      <w:r w:rsidR="00FA21A5">
        <w:rPr>
          <w:lang w:bidi="fa-IR"/>
        </w:rPr>
        <w:t xml:space="preserve">not many </w:t>
      </w:r>
      <w:r w:rsidR="001369EA">
        <w:rPr>
          <w:lang w:bidi="fa-IR"/>
        </w:rPr>
        <w:t>families actually need to install a ramp.</w:t>
      </w:r>
    </w:p>
    <w:p w14:paraId="5D0EC335" w14:textId="619DE655" w:rsidR="00DD5DAA" w:rsidRPr="005331B4" w:rsidRDefault="00E64650" w:rsidP="00DD5DAA">
      <w:pPr>
        <w:pStyle w:val="BodyText"/>
      </w:pPr>
      <w:r>
        <w:rPr>
          <w:lang w:bidi="fa-IR"/>
        </w:rPr>
        <w:t>An indicative upper bound estimate of</w:t>
      </w:r>
      <w:r w:rsidRPr="00060136">
        <w:rPr>
          <w:lang w:bidi="fa-IR"/>
        </w:rPr>
        <w:t xml:space="preserve"> </w:t>
      </w:r>
      <w:r w:rsidR="00DD5DAA" w:rsidRPr="005331B4">
        <w:t xml:space="preserve">benefit of accessible housing to families with </w:t>
      </w:r>
      <w:r>
        <w:rPr>
          <w:lang w:bidi="fa-IR"/>
        </w:rPr>
        <w:t>young depend</w:t>
      </w:r>
      <w:r w:rsidR="003F2BCB">
        <w:rPr>
          <w:lang w:bidi="fa-IR"/>
        </w:rPr>
        <w:t>a</w:t>
      </w:r>
      <w:r>
        <w:rPr>
          <w:lang w:bidi="fa-IR"/>
        </w:rPr>
        <w:t>nts</w:t>
      </w:r>
      <w:r w:rsidRPr="00060136">
        <w:rPr>
          <w:lang w:bidi="fa-IR"/>
        </w:rPr>
        <w:t xml:space="preserve"> </w:t>
      </w:r>
      <w:r>
        <w:rPr>
          <w:lang w:bidi="fa-IR"/>
        </w:rPr>
        <w:t>was made</w:t>
      </w:r>
      <w:r w:rsidR="00DD5DAA" w:rsidRPr="005331B4">
        <w:t xml:space="preserve"> by </w:t>
      </w:r>
      <w:r>
        <w:rPr>
          <w:lang w:bidi="fa-IR"/>
        </w:rPr>
        <w:t xml:space="preserve">assuming </w:t>
      </w:r>
      <w:r w:rsidR="004113B4">
        <w:rPr>
          <w:lang w:bidi="fa-IR"/>
        </w:rPr>
        <w:t xml:space="preserve">a </w:t>
      </w:r>
      <w:r>
        <w:rPr>
          <w:lang w:bidi="fa-IR"/>
        </w:rPr>
        <w:t xml:space="preserve">certain proportion of </w:t>
      </w:r>
      <w:r w:rsidR="00FA21A5">
        <w:rPr>
          <w:lang w:bidi="fa-IR"/>
        </w:rPr>
        <w:t xml:space="preserve">families purchasing a ramp to overcome </w:t>
      </w:r>
      <w:r w:rsidR="00FA21A5" w:rsidRPr="005331B4">
        <w:t xml:space="preserve">the </w:t>
      </w:r>
      <w:r w:rsidR="00FA21A5">
        <w:rPr>
          <w:lang w:bidi="fa-IR"/>
        </w:rPr>
        <w:t>inconvenience of unlevel access (for more details, see sub-section ‘</w:t>
      </w:r>
      <w:r w:rsidR="0077601B">
        <w:rPr>
          <w:lang w:bidi="fa-IR"/>
        </w:rPr>
        <w:fldChar w:fldCharType="begin"/>
      </w:r>
      <w:r w:rsidR="0077601B">
        <w:rPr>
          <w:lang w:bidi="fa-IR"/>
        </w:rPr>
        <w:instrText xml:space="preserve"> REF _Ref62812313 \h </w:instrText>
      </w:r>
      <w:r w:rsidR="0077601B">
        <w:rPr>
          <w:lang w:bidi="fa-IR"/>
        </w:rPr>
      </w:r>
      <w:r w:rsidR="0077601B">
        <w:rPr>
          <w:lang w:bidi="fa-IR"/>
        </w:rPr>
        <w:fldChar w:fldCharType="separate"/>
      </w:r>
      <w:r w:rsidR="000F445C">
        <w:rPr>
          <w:lang w:eastAsia="en-US" w:bidi="fa-IR"/>
        </w:rPr>
        <w:t>Families with young dependants</w:t>
      </w:r>
      <w:r w:rsidR="0077601B">
        <w:rPr>
          <w:lang w:bidi="fa-IR"/>
        </w:rPr>
        <w:fldChar w:fldCharType="end"/>
      </w:r>
      <w:r w:rsidR="00FA21A5">
        <w:rPr>
          <w:lang w:bidi="fa-IR"/>
        </w:rPr>
        <w:t xml:space="preserve">’ in chapter </w:t>
      </w:r>
      <w:r w:rsidR="00F6452C">
        <w:rPr>
          <w:lang w:bidi="fa-IR"/>
        </w:rPr>
        <w:t>three</w:t>
      </w:r>
      <w:r w:rsidR="00FA21A5">
        <w:rPr>
          <w:lang w:bidi="fa-IR"/>
        </w:rPr>
        <w:t xml:space="preserve"> on page </w:t>
      </w:r>
      <w:r w:rsidR="00FA21A5">
        <w:rPr>
          <w:lang w:bidi="fa-IR"/>
        </w:rPr>
        <w:fldChar w:fldCharType="begin"/>
      </w:r>
      <w:r w:rsidR="00FA21A5">
        <w:rPr>
          <w:lang w:bidi="fa-IR"/>
        </w:rPr>
        <w:instrText xml:space="preserve"> PAGEREF _Ref56612753 \h </w:instrText>
      </w:r>
      <w:r w:rsidR="00FA21A5">
        <w:rPr>
          <w:lang w:bidi="fa-IR"/>
        </w:rPr>
      </w:r>
      <w:r w:rsidR="00FA21A5">
        <w:rPr>
          <w:lang w:bidi="fa-IR"/>
        </w:rPr>
        <w:fldChar w:fldCharType="separate"/>
      </w:r>
      <w:r w:rsidR="000F445C">
        <w:rPr>
          <w:noProof/>
          <w:lang w:bidi="fa-IR"/>
        </w:rPr>
        <w:t>112</w:t>
      </w:r>
      <w:r w:rsidR="00FA21A5">
        <w:rPr>
          <w:lang w:bidi="fa-IR"/>
        </w:rPr>
        <w:fldChar w:fldCharType="end"/>
      </w:r>
      <w:r w:rsidR="00FA21A5">
        <w:rPr>
          <w:lang w:bidi="fa-IR"/>
        </w:rPr>
        <w:t>)</w:t>
      </w:r>
      <w:r w:rsidR="00DD5DAA" w:rsidRPr="00060136">
        <w:rPr>
          <w:lang w:bidi="fa-IR"/>
        </w:rPr>
        <w:t>.</w:t>
      </w:r>
      <w:r w:rsidR="00DD5DAA" w:rsidRPr="005331B4">
        <w:t xml:space="preserve"> </w:t>
      </w:r>
    </w:p>
    <w:p w14:paraId="1A63A175" w14:textId="77777777" w:rsidR="00DD5DAA" w:rsidRDefault="00DD5DAA" w:rsidP="00DD5DAA">
      <w:pPr>
        <w:pStyle w:val="Heading3"/>
        <w:numPr>
          <w:ilvl w:val="2"/>
          <w:numId w:val="5"/>
        </w:numPr>
        <w:rPr>
          <w:lang w:bidi="fa-IR"/>
        </w:rPr>
      </w:pPr>
      <w:bookmarkStart w:id="87" w:name="_Ref56604579"/>
      <w:r>
        <w:rPr>
          <w:lang w:bidi="fa-IR"/>
        </w:rPr>
        <w:t>Anxiety and mental health impacts</w:t>
      </w:r>
      <w:bookmarkEnd w:id="87"/>
    </w:p>
    <w:p w14:paraId="7B35D586" w14:textId="77777777" w:rsidR="00DD5DAA" w:rsidRDefault="00DD5DAA" w:rsidP="00DD5DAA">
      <w:pPr>
        <w:pStyle w:val="BodyText"/>
        <w:rPr>
          <w:lang w:bidi="fa-IR"/>
        </w:rPr>
      </w:pPr>
      <w:r w:rsidRPr="00F37FAF">
        <w:rPr>
          <w:lang w:bidi="fa-IR"/>
        </w:rPr>
        <w:t xml:space="preserve">Housing accessibility or inaccessibility has significant impact on self-reported mental health and wellbeing. </w:t>
      </w:r>
      <w:r>
        <w:rPr>
          <w:lang w:bidi="fa-IR"/>
        </w:rPr>
        <w:t>For example, the MDI survey</w:t>
      </w:r>
      <w:r w:rsidR="005C1E44">
        <w:rPr>
          <w:lang w:bidi="fa-IR"/>
        </w:rPr>
        <w:t xml:space="preserve"> found that</w:t>
      </w:r>
      <w:r>
        <w:rPr>
          <w:lang w:bidi="fa-IR"/>
        </w:rPr>
        <w:t xml:space="preserve"> </w:t>
      </w:r>
      <w:r w:rsidRPr="00F37FAF">
        <w:rPr>
          <w:lang w:bidi="fa-IR"/>
        </w:rPr>
        <w:t>60 per cent of people with both low and high support needs living in accessible housing reported improved self-reported mental health and wellbeing, thanks to the accessibility of their home. In contrast, 71.7 per cent of people with high support needs, and 50.0 per cent of people with low support needs, living in inaccessible housing reported worsened mental health and wellbeing</w:t>
      </w:r>
      <w:r w:rsidRPr="00665AAB">
        <w:rPr>
          <w:lang w:bidi="fa-IR"/>
        </w:rPr>
        <w:t>.</w:t>
      </w:r>
    </w:p>
    <w:p w14:paraId="5B4D7595" w14:textId="77777777" w:rsidR="00DD5DAA" w:rsidRPr="00144FBA" w:rsidRDefault="00E1081E" w:rsidP="00DD5DAA">
      <w:pPr>
        <w:pStyle w:val="BodyText"/>
        <w:rPr>
          <w:i/>
          <w:lang w:bidi="fa-IR"/>
        </w:rPr>
      </w:pPr>
      <w:r>
        <w:rPr>
          <w:iCs/>
          <w:lang w:bidi="fa-IR"/>
        </w:rPr>
        <w:t>M</w:t>
      </w:r>
      <w:r w:rsidR="00DD5DAA" w:rsidRPr="005331B4">
        <w:t xml:space="preserve">ental health </w:t>
      </w:r>
      <w:r w:rsidR="007B6EF5" w:rsidRPr="00060136">
        <w:rPr>
          <w:iCs/>
          <w:lang w:bidi="fa-IR"/>
        </w:rPr>
        <w:t>form</w:t>
      </w:r>
      <w:r>
        <w:rPr>
          <w:iCs/>
          <w:lang w:bidi="fa-IR"/>
        </w:rPr>
        <w:t>s</w:t>
      </w:r>
      <w:r w:rsidR="007B6EF5" w:rsidRPr="00060136">
        <w:rPr>
          <w:iCs/>
          <w:lang w:bidi="fa-IR"/>
        </w:rPr>
        <w:t xml:space="preserve"> a component of the quality of life impacts.</w:t>
      </w:r>
      <w:r w:rsidR="007B6EF5">
        <w:rPr>
          <w:i/>
          <w:lang w:bidi="fa-IR"/>
        </w:rPr>
        <w:t xml:space="preserve"> </w:t>
      </w:r>
      <w:r w:rsidR="007B6EF5" w:rsidRPr="00060136">
        <w:rPr>
          <w:iCs/>
          <w:lang w:bidi="fa-IR"/>
        </w:rPr>
        <w:t>U</w:t>
      </w:r>
      <w:r w:rsidR="00DD5DAA" w:rsidRPr="00060136">
        <w:rPr>
          <w:iCs/>
          <w:lang w:bidi="fa-IR"/>
        </w:rPr>
        <w:t>sing</w:t>
      </w:r>
      <w:r w:rsidR="00DD5DAA" w:rsidRPr="005331B4">
        <w:t xml:space="preserve"> the information from the MDI survey and other sources</w:t>
      </w:r>
      <w:r w:rsidR="007B6EF5" w:rsidRPr="00060136">
        <w:rPr>
          <w:iCs/>
          <w:lang w:bidi="fa-IR"/>
        </w:rPr>
        <w:t xml:space="preserve">, CIE </w:t>
      </w:r>
      <w:r w:rsidR="00DD5DAA" w:rsidRPr="00060136">
        <w:rPr>
          <w:iCs/>
          <w:lang w:bidi="fa-IR"/>
        </w:rPr>
        <w:t>estimate</w:t>
      </w:r>
      <w:r w:rsidR="007B6EF5" w:rsidRPr="00060136">
        <w:rPr>
          <w:iCs/>
          <w:lang w:bidi="fa-IR"/>
        </w:rPr>
        <w:t>d</w:t>
      </w:r>
      <w:r w:rsidR="00DD5DAA" w:rsidRPr="005331B4">
        <w:t xml:space="preserve"> the difference for people living in inaccessible and accessible housing as a measurement of the mental health and stress problem caused by inaccessibility.</w:t>
      </w:r>
    </w:p>
    <w:p w14:paraId="45A4B15E" w14:textId="77777777" w:rsidR="00DD5DAA" w:rsidRDefault="00DD5DAA" w:rsidP="00DD5DAA">
      <w:pPr>
        <w:pStyle w:val="BodyText"/>
        <w:rPr>
          <w:lang w:bidi="fa-IR"/>
        </w:rPr>
      </w:pPr>
      <w:r>
        <w:rPr>
          <w:lang w:bidi="fa-IR"/>
        </w:rPr>
        <w:t>The ABS National Survey of Mental Health and Wellbeing (Cate.No.4326.0) and National Health Survey (Cate.No. 4364.0.55.001) provide data on the number of people suffering from mental health issues, and the AIHW estimates that spending on mental health-related services in Australia from all sources (government and non-government) was around $9.9 billion, or $400 per person, in 2017-18.</w:t>
      </w:r>
      <w:r>
        <w:rPr>
          <w:rStyle w:val="FootnoteReference"/>
          <w:lang w:bidi="fa-IR"/>
        </w:rPr>
        <w:footnoteReference w:id="68"/>
      </w:r>
      <w:r>
        <w:rPr>
          <w:lang w:bidi="fa-IR"/>
        </w:rPr>
        <w:t xml:space="preserve"> </w:t>
      </w:r>
    </w:p>
    <w:p w14:paraId="5A352DA0" w14:textId="77777777" w:rsidR="00DD5DAA" w:rsidRDefault="00DD5DAA" w:rsidP="00DD5DAA">
      <w:pPr>
        <w:pStyle w:val="BodyText"/>
        <w:rPr>
          <w:lang w:bidi="fa-IR"/>
        </w:rPr>
      </w:pPr>
      <w:r>
        <w:rPr>
          <w:lang w:bidi="fa-IR"/>
        </w:rPr>
        <w:t>However, the actual costs related to mental health issues are much higher than the amount spent by government and non-government sources in 2017-18. For example</w:t>
      </w:r>
      <w:r w:rsidR="00E0725C">
        <w:rPr>
          <w:lang w:bidi="fa-IR"/>
        </w:rPr>
        <w:t>:</w:t>
      </w:r>
      <w:r>
        <w:rPr>
          <w:lang w:bidi="fa-IR"/>
        </w:rPr>
        <w:t xml:space="preserve"> </w:t>
      </w:r>
    </w:p>
    <w:p w14:paraId="45244218" w14:textId="77777777" w:rsidR="00DD5DAA" w:rsidRDefault="00DD5DAA" w:rsidP="00DD5DAA">
      <w:pPr>
        <w:pStyle w:val="ListBullet"/>
        <w:rPr>
          <w:lang w:bidi="fa-IR"/>
        </w:rPr>
      </w:pPr>
      <w:r>
        <w:rPr>
          <w:lang w:bidi="fa-IR"/>
        </w:rPr>
        <w:lastRenderedPageBreak/>
        <w:t xml:space="preserve">A report commissioned by the </w:t>
      </w:r>
      <w:hyperlink r:id="rId26" w:history="1">
        <w:r w:rsidRPr="00ED4963">
          <w:rPr>
            <w:lang w:bidi="fa-IR"/>
          </w:rPr>
          <w:t xml:space="preserve">Royal Australian </w:t>
        </w:r>
        <w:r w:rsidR="00EA6A49">
          <w:rPr>
            <w:lang w:bidi="fa-IR"/>
          </w:rPr>
          <w:t>and</w:t>
        </w:r>
        <w:r w:rsidRPr="00ED4963">
          <w:rPr>
            <w:lang w:bidi="fa-IR"/>
          </w:rPr>
          <w:t xml:space="preserve"> New Zealand College of Psychiatrists</w:t>
        </w:r>
      </w:hyperlink>
      <w:r>
        <w:rPr>
          <w:lang w:bidi="fa-IR"/>
        </w:rPr>
        <w:t xml:space="preserve"> (RANZCP) and the Australian Health Policy Collaboration estimated in 2014 that the cost of severe mental illness in Australia was $56.7 billion per year, including the direct economic costs of severe mental illness arising from the use of health and other services, as well as indirect costs due to lost productivity because people are unable to work.</w:t>
      </w:r>
      <w:r>
        <w:rPr>
          <w:rStyle w:val="FootnoteReference"/>
          <w:lang w:bidi="fa-IR"/>
        </w:rPr>
        <w:footnoteReference w:id="69"/>
      </w:r>
    </w:p>
    <w:p w14:paraId="1B086CEF" w14:textId="77777777" w:rsidR="00DD5DAA" w:rsidRDefault="00DD5DAA" w:rsidP="00DD5DAA">
      <w:pPr>
        <w:pStyle w:val="ListBullet"/>
        <w:rPr>
          <w:lang w:bidi="fa-IR"/>
        </w:rPr>
      </w:pPr>
      <w:r>
        <w:rPr>
          <w:lang w:bidi="fa-IR"/>
        </w:rPr>
        <w:t xml:space="preserve">In December 2016, the National Mental Health Commission </w:t>
      </w:r>
      <w:hyperlink r:id="rId27" w:history="1">
        <w:r w:rsidRPr="00ED4963">
          <w:rPr>
            <w:lang w:bidi="fa-IR"/>
          </w:rPr>
          <w:t>stated</w:t>
        </w:r>
      </w:hyperlink>
      <w:r>
        <w:rPr>
          <w:lang w:bidi="fa-IR"/>
        </w:rPr>
        <w:t xml:space="preserve"> that the cost of mental ill-health in Australia each year was around $4,000 per person, or $60 billion in total.</w:t>
      </w:r>
      <w:r>
        <w:rPr>
          <w:rStyle w:val="FootnoteReference"/>
          <w:lang w:bidi="fa-IR"/>
        </w:rPr>
        <w:footnoteReference w:id="70"/>
      </w:r>
    </w:p>
    <w:p w14:paraId="2D47DAFA" w14:textId="77777777" w:rsidR="00DD5DAA" w:rsidRDefault="00DD5DAA" w:rsidP="00233C02">
      <w:pPr>
        <w:pStyle w:val="ListBullet"/>
        <w:numPr>
          <w:ilvl w:val="0"/>
          <w:numId w:val="0"/>
        </w:numPr>
        <w:ind w:left="284"/>
        <w:rPr>
          <w:lang w:bidi="fa-IR"/>
        </w:rPr>
      </w:pPr>
      <w:r>
        <w:rPr>
          <w:lang w:bidi="fa-IR"/>
        </w:rPr>
        <w:t xml:space="preserve">The 2018 KPMG and Mental Health Australia report, </w:t>
      </w:r>
      <w:hyperlink r:id="rId28" w:history="1">
        <w:r w:rsidRPr="001D0BED">
          <w:rPr>
            <w:i/>
            <w:iCs/>
            <w:lang w:bidi="fa-IR"/>
          </w:rPr>
          <w:t>Investing to Save</w:t>
        </w:r>
      </w:hyperlink>
      <w:r>
        <w:rPr>
          <w:lang w:bidi="fa-IR"/>
        </w:rPr>
        <w:t>, estimated that, mental ill-health in the workplace costs an average of $3,200 per employee with mental illness, and up to $5,600 for employees with severe mental illness. Overall, it was estimated that the cost of workplace mental ill-health in Australia was $12.8</w:t>
      </w:r>
      <w:r w:rsidR="005E084E">
        <w:rPr>
          <w:lang w:bidi="fa-IR"/>
        </w:rPr>
        <w:t xml:space="preserve"> </w:t>
      </w:r>
      <w:r>
        <w:rPr>
          <w:lang w:bidi="fa-IR"/>
        </w:rPr>
        <w:t>billion in 2015–16.</w:t>
      </w:r>
      <w:r>
        <w:rPr>
          <w:rStyle w:val="FootnoteReference"/>
          <w:lang w:bidi="fa-IR"/>
        </w:rPr>
        <w:footnoteReference w:id="71"/>
      </w:r>
    </w:p>
    <w:p w14:paraId="38A86D9B" w14:textId="2347DAAB" w:rsidR="007B6EF5" w:rsidRPr="00F11742" w:rsidRDefault="00DD5DAA" w:rsidP="00DD5DAA">
      <w:pPr>
        <w:pStyle w:val="BodyText"/>
        <w:rPr>
          <w:rFonts w:ascii="Calisto MT" w:hAnsi="Calisto MT"/>
          <w:b/>
          <w:i/>
          <w:kern w:val="28"/>
          <w:sz w:val="25"/>
        </w:rPr>
      </w:pPr>
      <w:r w:rsidRPr="005331B4">
        <w:t xml:space="preserve">The above mentioned incidence of mental health impacts due to inaccessible housing from the MDI survey results and the cost estimates for mental ill-health </w:t>
      </w:r>
      <w:r w:rsidR="007B6EF5" w:rsidRPr="00060136">
        <w:rPr>
          <w:iCs/>
          <w:lang w:bidi="fa-IR"/>
        </w:rPr>
        <w:t>were used to</w:t>
      </w:r>
      <w:r w:rsidRPr="00060136">
        <w:rPr>
          <w:iCs/>
          <w:lang w:bidi="fa-IR"/>
        </w:rPr>
        <w:t xml:space="preserve"> </w:t>
      </w:r>
      <w:r w:rsidR="007B6EF5" w:rsidRPr="00060136">
        <w:rPr>
          <w:iCs/>
          <w:lang w:bidi="fa-IR"/>
        </w:rPr>
        <w:t xml:space="preserve">estimate </w:t>
      </w:r>
      <w:r w:rsidRPr="00060136">
        <w:rPr>
          <w:iCs/>
          <w:lang w:bidi="fa-IR"/>
        </w:rPr>
        <w:t xml:space="preserve">the </w:t>
      </w:r>
      <w:r w:rsidR="007B6EF5" w:rsidRPr="00060136">
        <w:rPr>
          <w:iCs/>
          <w:lang w:bidi="fa-IR"/>
        </w:rPr>
        <w:t xml:space="preserve">indicative </w:t>
      </w:r>
      <w:r w:rsidRPr="00060136">
        <w:rPr>
          <w:iCs/>
          <w:lang w:bidi="fa-IR"/>
        </w:rPr>
        <w:t xml:space="preserve">mental </w:t>
      </w:r>
      <w:r w:rsidR="00562EE1">
        <w:rPr>
          <w:iCs/>
          <w:lang w:bidi="fa-IR"/>
        </w:rPr>
        <w:t xml:space="preserve">health </w:t>
      </w:r>
      <w:r w:rsidRPr="00060136">
        <w:rPr>
          <w:iCs/>
          <w:lang w:bidi="fa-IR"/>
        </w:rPr>
        <w:t>impact costs.</w:t>
      </w:r>
      <w:r w:rsidR="00BD27E8">
        <w:rPr>
          <w:iCs/>
          <w:lang w:bidi="fa-IR"/>
        </w:rPr>
        <w:t xml:space="preserve"> For more details see section ‘</w:t>
      </w:r>
      <w:r w:rsidR="00BD27E8">
        <w:rPr>
          <w:iCs/>
          <w:lang w:bidi="fa-IR"/>
        </w:rPr>
        <w:fldChar w:fldCharType="begin"/>
      </w:r>
      <w:r w:rsidR="00BD27E8">
        <w:rPr>
          <w:iCs/>
          <w:lang w:bidi="fa-IR"/>
        </w:rPr>
        <w:instrText xml:space="preserve"> REF _Ref56613674 \h </w:instrText>
      </w:r>
      <w:r w:rsidR="00BD27E8">
        <w:rPr>
          <w:iCs/>
          <w:lang w:bidi="fa-IR"/>
        </w:rPr>
      </w:r>
      <w:r w:rsidR="00BD27E8">
        <w:rPr>
          <w:iCs/>
          <w:lang w:bidi="fa-IR"/>
        </w:rPr>
        <w:fldChar w:fldCharType="separate"/>
      </w:r>
      <w:r w:rsidR="000F445C" w:rsidRPr="004B79EC">
        <w:t>Mental health impacts</w:t>
      </w:r>
      <w:r w:rsidR="00BD27E8">
        <w:rPr>
          <w:iCs/>
          <w:lang w:bidi="fa-IR"/>
        </w:rPr>
        <w:fldChar w:fldCharType="end"/>
      </w:r>
      <w:r w:rsidR="00BD27E8">
        <w:rPr>
          <w:iCs/>
          <w:lang w:bidi="fa-IR"/>
        </w:rPr>
        <w:t xml:space="preserve">’ </w:t>
      </w:r>
      <w:r w:rsidR="00967FA4">
        <w:rPr>
          <w:iCs/>
          <w:lang w:bidi="fa-IR"/>
        </w:rPr>
        <w:t>in</w:t>
      </w:r>
      <w:r w:rsidR="00BD27E8">
        <w:rPr>
          <w:iCs/>
          <w:lang w:bidi="fa-IR"/>
        </w:rPr>
        <w:t xml:space="preserve"> </w:t>
      </w:r>
      <w:r w:rsidR="008C1F2A">
        <w:rPr>
          <w:iCs/>
          <w:lang w:bidi="fa-IR"/>
        </w:rPr>
        <w:t>a</w:t>
      </w:r>
      <w:r w:rsidR="00BD27E8">
        <w:rPr>
          <w:iCs/>
          <w:lang w:bidi="fa-IR"/>
        </w:rPr>
        <w:t xml:space="preserve">ppendix </w:t>
      </w:r>
      <w:r w:rsidR="00BD27E8">
        <w:rPr>
          <w:iCs/>
          <w:lang w:bidi="fa-IR"/>
        </w:rPr>
        <w:fldChar w:fldCharType="begin"/>
      </w:r>
      <w:r w:rsidR="00BD27E8">
        <w:rPr>
          <w:iCs/>
          <w:lang w:bidi="fa-IR"/>
        </w:rPr>
        <w:instrText xml:space="preserve"> REF _Ref55206770 \n \h </w:instrText>
      </w:r>
      <w:r w:rsidR="00BD27E8">
        <w:rPr>
          <w:iCs/>
          <w:lang w:bidi="fa-IR"/>
        </w:rPr>
      </w:r>
      <w:r w:rsidR="00BD27E8">
        <w:rPr>
          <w:iCs/>
          <w:lang w:bidi="fa-IR"/>
        </w:rPr>
        <w:fldChar w:fldCharType="separate"/>
      </w:r>
      <w:r w:rsidR="000F445C">
        <w:rPr>
          <w:iCs/>
          <w:lang w:bidi="fa-IR"/>
        </w:rPr>
        <w:t>I</w:t>
      </w:r>
      <w:r w:rsidR="00BD27E8">
        <w:rPr>
          <w:iCs/>
          <w:lang w:bidi="fa-IR"/>
        </w:rPr>
        <w:fldChar w:fldCharType="end"/>
      </w:r>
      <w:r w:rsidR="00562EE1" w:rsidRPr="00C17114">
        <w:rPr>
          <w:iCs/>
          <w:lang w:bidi="fa-IR"/>
        </w:rPr>
        <w:t>, page</w:t>
      </w:r>
      <w:r w:rsidR="005211EC">
        <w:rPr>
          <w:iCs/>
          <w:lang w:bidi="fa-IR"/>
        </w:rPr>
        <w:t xml:space="preserve"> </w:t>
      </w:r>
      <w:r w:rsidR="005211EC">
        <w:rPr>
          <w:iCs/>
          <w:lang w:bidi="fa-IR"/>
        </w:rPr>
        <w:fldChar w:fldCharType="begin"/>
      </w:r>
      <w:r w:rsidR="005211EC">
        <w:rPr>
          <w:iCs/>
          <w:lang w:bidi="fa-IR"/>
        </w:rPr>
        <w:instrText xml:space="preserve"> PAGEREF _Ref56613674 \h </w:instrText>
      </w:r>
      <w:r w:rsidR="005211EC">
        <w:rPr>
          <w:iCs/>
          <w:lang w:bidi="fa-IR"/>
        </w:rPr>
      </w:r>
      <w:r w:rsidR="005211EC">
        <w:rPr>
          <w:iCs/>
          <w:lang w:bidi="fa-IR"/>
        </w:rPr>
        <w:fldChar w:fldCharType="separate"/>
      </w:r>
      <w:r w:rsidR="000F445C">
        <w:rPr>
          <w:iCs/>
          <w:noProof/>
          <w:lang w:bidi="fa-IR"/>
        </w:rPr>
        <w:t>342</w:t>
      </w:r>
      <w:r w:rsidR="005211EC">
        <w:rPr>
          <w:iCs/>
          <w:lang w:bidi="fa-IR"/>
        </w:rPr>
        <w:fldChar w:fldCharType="end"/>
      </w:r>
      <w:r w:rsidR="00BD27E8" w:rsidRPr="00C17114">
        <w:rPr>
          <w:iCs/>
          <w:lang w:bidi="fa-IR"/>
        </w:rPr>
        <w:t>.</w:t>
      </w:r>
    </w:p>
    <w:p w14:paraId="3081A369" w14:textId="77777777" w:rsidR="00DD5DAA" w:rsidRPr="00067A88" w:rsidRDefault="00DD5DAA" w:rsidP="00DD5DAA">
      <w:pPr>
        <w:pStyle w:val="Heading3"/>
        <w:numPr>
          <w:ilvl w:val="2"/>
          <w:numId w:val="5"/>
        </w:numPr>
        <w:rPr>
          <w:lang w:bidi="fa-IR"/>
        </w:rPr>
      </w:pPr>
      <w:bookmarkStart w:id="88" w:name="_Ref56604587"/>
      <w:r w:rsidRPr="00067A88">
        <w:rPr>
          <w:lang w:bidi="fa-IR"/>
        </w:rPr>
        <w:t xml:space="preserve">Social </w:t>
      </w:r>
      <w:r w:rsidR="00C54F29">
        <w:rPr>
          <w:lang w:bidi="fa-IR"/>
        </w:rPr>
        <w:t>i</w:t>
      </w:r>
      <w:r w:rsidRPr="00067A88">
        <w:rPr>
          <w:lang w:bidi="fa-IR"/>
        </w:rPr>
        <w:t>solation</w:t>
      </w:r>
      <w:bookmarkEnd w:id="88"/>
    </w:p>
    <w:p w14:paraId="7866AD49" w14:textId="77777777" w:rsidR="00DD5DAA" w:rsidRDefault="00DD5DAA" w:rsidP="00DD5DAA">
      <w:pPr>
        <w:pStyle w:val="BodyText"/>
        <w:rPr>
          <w:lang w:bidi="fa-IR"/>
        </w:rPr>
      </w:pPr>
      <w:r w:rsidRPr="00301116">
        <w:rPr>
          <w:lang w:bidi="fa-IR"/>
        </w:rPr>
        <w:t xml:space="preserve">Several submissions </w:t>
      </w:r>
      <w:r>
        <w:rPr>
          <w:lang w:bidi="fa-IR"/>
        </w:rPr>
        <w:t xml:space="preserve">suggest measuring the benefit of reduced social isolation in addition to measuring the benefit of reduced loneliness. </w:t>
      </w:r>
    </w:p>
    <w:p w14:paraId="1612C7ED" w14:textId="77777777" w:rsidR="00DD5DAA" w:rsidRDefault="00DD5DAA" w:rsidP="00DD5DAA">
      <w:pPr>
        <w:pStyle w:val="BodyText"/>
        <w:rPr>
          <w:lang w:bidi="fa-IR"/>
        </w:rPr>
      </w:pPr>
      <w:r>
        <w:rPr>
          <w:lang w:bidi="fa-IR"/>
        </w:rPr>
        <w:t>There is a subtle distinction between social isolation, which is where an individual has minimal contact with others, and loneliness, which is a subjective state of negative feelings about having a lower level of social contact than desired, according to AIHW.</w:t>
      </w:r>
      <w:r>
        <w:rPr>
          <w:rStyle w:val="FootnoteReference"/>
          <w:lang w:bidi="fa-IR"/>
        </w:rPr>
        <w:footnoteReference w:id="72"/>
      </w:r>
      <w:r>
        <w:rPr>
          <w:lang w:bidi="fa-IR"/>
        </w:rPr>
        <w:t xml:space="preserve"> The </w:t>
      </w:r>
      <w:r w:rsidR="00761FD2">
        <w:rPr>
          <w:lang w:bidi="fa-IR"/>
        </w:rPr>
        <w:t>method used to</w:t>
      </w:r>
      <w:r>
        <w:rPr>
          <w:lang w:bidi="fa-IR"/>
        </w:rPr>
        <w:t xml:space="preserve"> estimat</w:t>
      </w:r>
      <w:r w:rsidR="00761FD2">
        <w:rPr>
          <w:lang w:bidi="fa-IR"/>
        </w:rPr>
        <w:t>e</w:t>
      </w:r>
      <w:r>
        <w:rPr>
          <w:lang w:bidi="fa-IR"/>
        </w:rPr>
        <w:t xml:space="preserve"> loneliness in the C</w:t>
      </w:r>
      <w:r w:rsidR="00B01E99">
        <w:rPr>
          <w:lang w:bidi="fa-IR"/>
        </w:rPr>
        <w:t xml:space="preserve">onsultation </w:t>
      </w:r>
      <w:r>
        <w:rPr>
          <w:lang w:bidi="fa-IR"/>
        </w:rPr>
        <w:t xml:space="preserve">RIS is sufficient for a measure of social isolation, especially because the estimates include both impacts on individuals </w:t>
      </w:r>
      <w:r w:rsidR="00A30F2E">
        <w:rPr>
          <w:lang w:bidi="fa-IR"/>
        </w:rPr>
        <w:t>with</w:t>
      </w:r>
      <w:r>
        <w:rPr>
          <w:lang w:bidi="fa-IR"/>
        </w:rPr>
        <w:t xml:space="preserve"> mobility disability receiving visits from others and paying visits to others.</w:t>
      </w:r>
    </w:p>
    <w:p w14:paraId="698C930E" w14:textId="77777777" w:rsidR="00DD5DAA" w:rsidRPr="00CB7AC3" w:rsidRDefault="00DD5DAA" w:rsidP="00DD5DAA">
      <w:pPr>
        <w:pStyle w:val="BodyText"/>
        <w:rPr>
          <w:lang w:bidi="fa-IR"/>
        </w:rPr>
      </w:pPr>
      <w:r>
        <w:rPr>
          <w:lang w:bidi="fa-IR"/>
        </w:rPr>
        <w:t xml:space="preserve">That said, a further refinement </w:t>
      </w:r>
      <w:r w:rsidR="00761FD2">
        <w:rPr>
          <w:lang w:bidi="fa-IR"/>
        </w:rPr>
        <w:t>can</w:t>
      </w:r>
      <w:r>
        <w:rPr>
          <w:lang w:bidi="fa-IR"/>
        </w:rPr>
        <w:t xml:space="preserve"> improve the estimates of realised benefits of reduced social isolation/loneliness. </w:t>
      </w:r>
    </w:p>
    <w:p w14:paraId="50F2769F" w14:textId="77777777" w:rsidR="00DD5DAA" w:rsidRDefault="00DD5DAA" w:rsidP="00DD5DAA">
      <w:pPr>
        <w:pStyle w:val="BodyText"/>
        <w:rPr>
          <w:lang w:bidi="fa-IR"/>
        </w:rPr>
      </w:pPr>
      <w:r>
        <w:rPr>
          <w:lang w:bidi="fa-IR"/>
        </w:rPr>
        <w:lastRenderedPageBreak/>
        <w:t>In the C</w:t>
      </w:r>
      <w:r w:rsidR="00B01E99">
        <w:rPr>
          <w:lang w:bidi="fa-IR"/>
        </w:rPr>
        <w:t xml:space="preserve">onsultation </w:t>
      </w:r>
      <w:r>
        <w:rPr>
          <w:lang w:bidi="fa-IR"/>
        </w:rPr>
        <w:t>RIS, the realised benefit of reduced social isolation/loneliness is grouped with other avoided costs and subject to the ‘allocation’ of new accessible housing to people with accessible needs. Th</w:t>
      </w:r>
      <w:r w:rsidR="00761FD2">
        <w:rPr>
          <w:lang w:bidi="fa-IR"/>
        </w:rPr>
        <w:t>is</w:t>
      </w:r>
      <w:r>
        <w:rPr>
          <w:lang w:bidi="fa-IR"/>
        </w:rPr>
        <w:t xml:space="preserve"> part of the benefits should not be subject to the allocation of new accessible housing only to people with </w:t>
      </w:r>
      <w:r w:rsidR="009711D2">
        <w:rPr>
          <w:lang w:bidi="fa-IR"/>
        </w:rPr>
        <w:t xml:space="preserve">accessibility </w:t>
      </w:r>
      <w:r>
        <w:rPr>
          <w:lang w:bidi="fa-IR"/>
        </w:rPr>
        <w:t>needs because it would be applicable for all new accessible houses.</w:t>
      </w:r>
    </w:p>
    <w:p w14:paraId="00BD993E" w14:textId="38F58E3D" w:rsidR="00FB6548" w:rsidRPr="00060136" w:rsidRDefault="00DD5DAA" w:rsidP="00DD5DAA">
      <w:pPr>
        <w:pStyle w:val="BodyText"/>
        <w:rPr>
          <w:lang w:bidi="fa-IR"/>
        </w:rPr>
      </w:pPr>
      <w:r w:rsidRPr="00060136">
        <w:rPr>
          <w:lang w:bidi="fa-IR"/>
        </w:rPr>
        <w:t>In t</w:t>
      </w:r>
      <w:r w:rsidR="009711D2">
        <w:rPr>
          <w:lang w:bidi="fa-IR"/>
        </w:rPr>
        <w:t>his</w:t>
      </w:r>
      <w:r w:rsidRPr="00060136">
        <w:rPr>
          <w:lang w:bidi="fa-IR"/>
        </w:rPr>
        <w:t xml:space="preserve"> RIS, </w:t>
      </w:r>
      <w:r w:rsidR="00FB6548" w:rsidRPr="00060136">
        <w:rPr>
          <w:lang w:bidi="fa-IR"/>
        </w:rPr>
        <w:t xml:space="preserve">social isolation </w:t>
      </w:r>
      <w:r w:rsidR="00BE33C2">
        <w:rPr>
          <w:lang w:bidi="fa-IR"/>
        </w:rPr>
        <w:t>h</w:t>
      </w:r>
      <w:r w:rsidR="005F4B75">
        <w:rPr>
          <w:lang w:bidi="fa-IR"/>
        </w:rPr>
        <w:t>a</w:t>
      </w:r>
      <w:r w:rsidR="00FB6548" w:rsidRPr="00060136">
        <w:rPr>
          <w:lang w:bidi="fa-IR"/>
        </w:rPr>
        <w:t>s</w:t>
      </w:r>
      <w:r w:rsidR="00BE33C2">
        <w:rPr>
          <w:lang w:bidi="fa-IR"/>
        </w:rPr>
        <w:t xml:space="preserve"> been</w:t>
      </w:r>
      <w:r w:rsidR="00FB6548" w:rsidRPr="00060136">
        <w:rPr>
          <w:lang w:bidi="fa-IR"/>
        </w:rPr>
        <w:t xml:space="preserve"> included as a part of the quality of life discussion (</w:t>
      </w:r>
      <w:r w:rsidR="00FB6548">
        <w:rPr>
          <w:lang w:bidi="fa-IR"/>
        </w:rPr>
        <w:t>see sub-section ‘</w:t>
      </w:r>
      <w:r w:rsidR="00732966">
        <w:rPr>
          <w:lang w:bidi="fa-IR"/>
        </w:rPr>
        <w:fldChar w:fldCharType="begin"/>
      </w:r>
      <w:r w:rsidR="00732966">
        <w:rPr>
          <w:lang w:bidi="fa-IR"/>
        </w:rPr>
        <w:instrText xml:space="preserve"> REF _Ref60090613 \h </w:instrText>
      </w:r>
      <w:r w:rsidR="00732966">
        <w:rPr>
          <w:lang w:bidi="fa-IR"/>
        </w:rPr>
      </w:r>
      <w:r w:rsidR="00732966">
        <w:rPr>
          <w:lang w:bidi="fa-IR"/>
        </w:rPr>
        <w:fldChar w:fldCharType="separate"/>
      </w:r>
      <w:r w:rsidR="000F445C">
        <w:rPr>
          <w:lang w:eastAsia="en-US" w:bidi="fa-IR"/>
        </w:rPr>
        <w:t>Quality of life impacts</w:t>
      </w:r>
      <w:r w:rsidR="00732966">
        <w:rPr>
          <w:lang w:bidi="fa-IR"/>
        </w:rPr>
        <w:fldChar w:fldCharType="end"/>
      </w:r>
      <w:r w:rsidR="00FB6548">
        <w:rPr>
          <w:lang w:bidi="fa-IR"/>
        </w:rPr>
        <w:t xml:space="preserve">’ in chapter </w:t>
      </w:r>
      <w:r w:rsidR="00F6452C">
        <w:rPr>
          <w:lang w:bidi="fa-IR"/>
        </w:rPr>
        <w:t>three</w:t>
      </w:r>
      <w:r w:rsidR="00FB6548">
        <w:rPr>
          <w:lang w:bidi="fa-IR"/>
        </w:rPr>
        <w:t xml:space="preserve"> on page</w:t>
      </w:r>
      <w:r w:rsidR="00732966">
        <w:rPr>
          <w:lang w:bidi="fa-IR"/>
        </w:rPr>
        <w:t> </w:t>
      </w:r>
      <w:r w:rsidR="00732966">
        <w:rPr>
          <w:lang w:bidi="fa-IR"/>
        </w:rPr>
        <w:fldChar w:fldCharType="begin"/>
      </w:r>
      <w:r w:rsidR="00732966">
        <w:rPr>
          <w:lang w:bidi="fa-IR"/>
        </w:rPr>
        <w:instrText xml:space="preserve"> PAGEREF _Ref60090613 \h </w:instrText>
      </w:r>
      <w:r w:rsidR="00732966">
        <w:rPr>
          <w:lang w:bidi="fa-IR"/>
        </w:rPr>
      </w:r>
      <w:r w:rsidR="00732966">
        <w:rPr>
          <w:lang w:bidi="fa-IR"/>
        </w:rPr>
        <w:fldChar w:fldCharType="separate"/>
      </w:r>
      <w:r w:rsidR="000F445C">
        <w:rPr>
          <w:noProof/>
          <w:lang w:bidi="fa-IR"/>
        </w:rPr>
        <w:t>88</w:t>
      </w:r>
      <w:r w:rsidR="00732966">
        <w:rPr>
          <w:lang w:bidi="fa-IR"/>
        </w:rPr>
        <w:fldChar w:fldCharType="end"/>
      </w:r>
      <w:r w:rsidR="00FB6548" w:rsidRPr="00060136">
        <w:rPr>
          <w:lang w:bidi="fa-IR"/>
        </w:rPr>
        <w:t xml:space="preserve">). In addition, the cost associated with </w:t>
      </w:r>
      <w:r w:rsidR="006622E6">
        <w:rPr>
          <w:lang w:bidi="fa-IR"/>
        </w:rPr>
        <w:t>a lack of</w:t>
      </w:r>
      <w:r w:rsidR="00FB6548" w:rsidRPr="00060136">
        <w:rPr>
          <w:lang w:bidi="fa-IR"/>
        </w:rPr>
        <w:t xml:space="preserve"> visitability (unable to visit family or friends living in inaccessible housing) of people with mobility disability and older Australians were updated</w:t>
      </w:r>
      <w:r w:rsidR="00FB6548">
        <w:rPr>
          <w:lang w:bidi="fa-IR"/>
        </w:rPr>
        <w:t xml:space="preserve"> (sub-section ‘</w:t>
      </w:r>
      <w:r w:rsidR="00FB6548">
        <w:rPr>
          <w:lang w:bidi="fa-IR"/>
        </w:rPr>
        <w:fldChar w:fldCharType="begin"/>
      </w:r>
      <w:r w:rsidR="00FB6548">
        <w:rPr>
          <w:lang w:bidi="fa-IR"/>
        </w:rPr>
        <w:instrText xml:space="preserve"> REF _Ref56093864 \h </w:instrText>
      </w:r>
      <w:r w:rsidR="00FB6548">
        <w:rPr>
          <w:lang w:bidi="fa-IR"/>
        </w:rPr>
      </w:r>
      <w:r w:rsidR="00FB6548">
        <w:rPr>
          <w:lang w:bidi="fa-IR"/>
        </w:rPr>
        <w:fldChar w:fldCharType="separate"/>
      </w:r>
      <w:r w:rsidR="000F445C">
        <w:rPr>
          <w:lang w:bidi="fa-IR"/>
        </w:rPr>
        <w:t>Inability to visit family and friends in inaccessible housing</w:t>
      </w:r>
      <w:r w:rsidR="00FB6548">
        <w:rPr>
          <w:lang w:bidi="fa-IR"/>
        </w:rPr>
        <w:fldChar w:fldCharType="end"/>
      </w:r>
      <w:r w:rsidR="00FB6548">
        <w:rPr>
          <w:lang w:bidi="fa-IR"/>
        </w:rPr>
        <w:t>’ in chapter </w:t>
      </w:r>
      <w:r w:rsidR="00F6452C">
        <w:rPr>
          <w:lang w:bidi="fa-IR"/>
        </w:rPr>
        <w:t>three</w:t>
      </w:r>
      <w:r w:rsidR="00FB6548">
        <w:rPr>
          <w:lang w:bidi="fa-IR"/>
        </w:rPr>
        <w:t xml:space="preserve"> on page </w:t>
      </w:r>
      <w:r w:rsidR="00FB6548">
        <w:rPr>
          <w:lang w:bidi="fa-IR"/>
        </w:rPr>
        <w:fldChar w:fldCharType="begin"/>
      </w:r>
      <w:r w:rsidR="00FB6548">
        <w:rPr>
          <w:lang w:bidi="fa-IR"/>
        </w:rPr>
        <w:instrText xml:space="preserve"> PAGEREF _Ref56093864 \h </w:instrText>
      </w:r>
      <w:r w:rsidR="00FB6548">
        <w:rPr>
          <w:lang w:bidi="fa-IR"/>
        </w:rPr>
      </w:r>
      <w:r w:rsidR="00FB6548">
        <w:rPr>
          <w:lang w:bidi="fa-IR"/>
        </w:rPr>
        <w:fldChar w:fldCharType="separate"/>
      </w:r>
      <w:r w:rsidR="000F445C">
        <w:rPr>
          <w:noProof/>
          <w:lang w:bidi="fa-IR"/>
        </w:rPr>
        <w:t>101</w:t>
      </w:r>
      <w:r w:rsidR="00FB6548">
        <w:rPr>
          <w:lang w:bidi="fa-IR"/>
        </w:rPr>
        <w:fldChar w:fldCharType="end"/>
      </w:r>
      <w:r w:rsidR="00FB6548">
        <w:rPr>
          <w:lang w:bidi="fa-IR"/>
        </w:rPr>
        <w:t>)</w:t>
      </w:r>
      <w:r w:rsidR="00FB6548" w:rsidRPr="00060136">
        <w:rPr>
          <w:lang w:bidi="fa-IR"/>
        </w:rPr>
        <w:t xml:space="preserve">. </w:t>
      </w:r>
    </w:p>
    <w:p w14:paraId="04AC8D15" w14:textId="77777777" w:rsidR="00DD5DAA" w:rsidRPr="00FD28F6" w:rsidRDefault="00FB6548" w:rsidP="00DD5DAA">
      <w:pPr>
        <w:pStyle w:val="BodyText"/>
        <w:rPr>
          <w:lang w:bidi="fa-IR"/>
        </w:rPr>
      </w:pPr>
      <w:r w:rsidRPr="00FD28F6">
        <w:rPr>
          <w:lang w:bidi="fa-IR"/>
        </w:rPr>
        <w:t xml:space="preserve">The </w:t>
      </w:r>
      <w:r w:rsidR="00DD5DAA" w:rsidRPr="00FD28F6">
        <w:rPr>
          <w:lang w:bidi="fa-IR"/>
        </w:rPr>
        <w:t xml:space="preserve">realised benefits from people with mobility disability and older people being able to visit others </w:t>
      </w:r>
      <w:r w:rsidR="00FD28F6" w:rsidRPr="00FD28F6">
        <w:rPr>
          <w:lang w:bidi="fa-IR"/>
        </w:rPr>
        <w:t>is</w:t>
      </w:r>
      <w:r w:rsidR="00DD5DAA" w:rsidRPr="00FD28F6">
        <w:rPr>
          <w:lang w:bidi="fa-IR"/>
        </w:rPr>
        <w:t xml:space="preserve"> separately attributed to all new housing (not subject to allocation)</w:t>
      </w:r>
      <w:r w:rsidRPr="00FD28F6">
        <w:rPr>
          <w:lang w:bidi="fa-IR"/>
        </w:rPr>
        <w:t xml:space="preserve"> in the </w:t>
      </w:r>
      <w:r w:rsidR="00B03166">
        <w:rPr>
          <w:lang w:bidi="fa-IR"/>
        </w:rPr>
        <w:t>CBA</w:t>
      </w:r>
      <w:r w:rsidRPr="00FD28F6">
        <w:rPr>
          <w:lang w:bidi="fa-IR"/>
        </w:rPr>
        <w:t>.</w:t>
      </w:r>
    </w:p>
    <w:p w14:paraId="6AAD22E3" w14:textId="77777777" w:rsidR="00DD5DAA" w:rsidRDefault="00DD5DAA" w:rsidP="00DD5DAA">
      <w:pPr>
        <w:pStyle w:val="Heading3"/>
        <w:numPr>
          <w:ilvl w:val="2"/>
          <w:numId w:val="5"/>
        </w:numPr>
        <w:rPr>
          <w:lang w:bidi="fa-IR"/>
        </w:rPr>
      </w:pPr>
      <w:bookmarkStart w:id="89" w:name="_Ref56604594"/>
      <w:r>
        <w:rPr>
          <w:lang w:bidi="fa-IR"/>
        </w:rPr>
        <w:t>Quality of life</w:t>
      </w:r>
      <w:bookmarkEnd w:id="89"/>
    </w:p>
    <w:p w14:paraId="0F205603" w14:textId="77777777" w:rsidR="00DD5DAA" w:rsidRDefault="00DD5DAA" w:rsidP="00DD5DAA">
      <w:pPr>
        <w:pStyle w:val="BodyText"/>
        <w:rPr>
          <w:lang w:bidi="fa-IR"/>
        </w:rPr>
      </w:pPr>
      <w:r>
        <w:rPr>
          <w:lang w:bidi="fa-IR"/>
        </w:rPr>
        <w:t xml:space="preserve">A number of submissions </w:t>
      </w:r>
      <w:r w:rsidR="00D97FC5">
        <w:rPr>
          <w:lang w:bidi="fa-IR"/>
        </w:rPr>
        <w:t>suggest</w:t>
      </w:r>
      <w:r>
        <w:rPr>
          <w:lang w:bidi="fa-IR"/>
        </w:rPr>
        <w:t xml:space="preserve"> that the benefit of improved quality of life due to accessible housing should be considered.</w:t>
      </w:r>
    </w:p>
    <w:p w14:paraId="669068C2" w14:textId="77777777" w:rsidR="00DD5DAA" w:rsidRDefault="00DD5DAA" w:rsidP="00DD5DAA">
      <w:pPr>
        <w:pStyle w:val="BodyText"/>
        <w:rPr>
          <w:lang w:bidi="fa-IR"/>
        </w:rPr>
      </w:pPr>
      <w:r>
        <w:rPr>
          <w:lang w:bidi="fa-IR"/>
        </w:rPr>
        <w:t xml:space="preserve">There is very limited data to support an accurate estimate of this type of benefit. The only </w:t>
      </w:r>
      <w:r w:rsidR="00D97FC5">
        <w:rPr>
          <w:lang w:bidi="fa-IR"/>
        </w:rPr>
        <w:t xml:space="preserve">data located by </w:t>
      </w:r>
      <w:r>
        <w:rPr>
          <w:lang w:bidi="fa-IR"/>
        </w:rPr>
        <w:t>CIE is the paper by Carnemolla and Bridge (2016) on the impact of home modification on Assessment of Quality of Life (AQoL).</w:t>
      </w:r>
      <w:r>
        <w:rPr>
          <w:rStyle w:val="FootnoteReference"/>
          <w:lang w:bidi="fa-IR"/>
        </w:rPr>
        <w:footnoteReference w:id="73"/>
      </w:r>
      <w:r>
        <w:rPr>
          <w:lang w:bidi="fa-IR"/>
        </w:rPr>
        <w:t xml:space="preserve"> The study found that home modifications to improve accessibility increase the AQoL utility score by 0.12 (from 0.3 before modification to 0.42 after modification). The AQoL utility score consists of four dimensions/components – independent living, relationships, mental health and senses.</w:t>
      </w:r>
    </w:p>
    <w:p w14:paraId="4D0FD91B" w14:textId="02DB082C" w:rsidR="00DD5DAA" w:rsidRPr="00060136" w:rsidRDefault="003F52F1" w:rsidP="003F52F1">
      <w:pPr>
        <w:pStyle w:val="BodyText"/>
        <w:rPr>
          <w:lang w:bidi="fa-IR"/>
        </w:rPr>
      </w:pPr>
      <w:r>
        <w:rPr>
          <w:lang w:bidi="fa-IR"/>
        </w:rPr>
        <w:t>As a part of the qualitative analysis, WTP survey results were used to estimate the indicative size of quality of life impact, noting that there may exist double counting with other quantified problems and/or other qualitative issues. For more details, see sub-section ‘</w:t>
      </w:r>
      <w:r w:rsidR="00732966">
        <w:rPr>
          <w:lang w:bidi="fa-IR"/>
        </w:rPr>
        <w:fldChar w:fldCharType="begin"/>
      </w:r>
      <w:r w:rsidR="00732966">
        <w:rPr>
          <w:lang w:bidi="fa-IR"/>
        </w:rPr>
        <w:instrText xml:space="preserve"> REF _Ref60090613 \h </w:instrText>
      </w:r>
      <w:r w:rsidR="00732966">
        <w:rPr>
          <w:lang w:bidi="fa-IR"/>
        </w:rPr>
      </w:r>
      <w:r w:rsidR="00732966">
        <w:rPr>
          <w:lang w:bidi="fa-IR"/>
        </w:rPr>
        <w:fldChar w:fldCharType="separate"/>
      </w:r>
      <w:r w:rsidR="000F445C">
        <w:rPr>
          <w:lang w:eastAsia="en-US" w:bidi="fa-IR"/>
        </w:rPr>
        <w:t>Quality of life impacts</w:t>
      </w:r>
      <w:r w:rsidR="00732966">
        <w:rPr>
          <w:lang w:bidi="fa-IR"/>
        </w:rPr>
        <w:fldChar w:fldCharType="end"/>
      </w:r>
      <w:r>
        <w:rPr>
          <w:lang w:bidi="fa-IR"/>
        </w:rPr>
        <w:t xml:space="preserve">’ in chapter </w:t>
      </w:r>
      <w:r w:rsidR="00F6452C">
        <w:rPr>
          <w:lang w:bidi="fa-IR"/>
        </w:rPr>
        <w:t>three</w:t>
      </w:r>
      <w:r>
        <w:rPr>
          <w:lang w:bidi="fa-IR"/>
        </w:rPr>
        <w:t xml:space="preserve"> on page</w:t>
      </w:r>
      <w:r w:rsidR="00732966">
        <w:rPr>
          <w:lang w:bidi="fa-IR"/>
        </w:rPr>
        <w:t> </w:t>
      </w:r>
      <w:r w:rsidR="00732966">
        <w:rPr>
          <w:lang w:bidi="fa-IR"/>
        </w:rPr>
        <w:fldChar w:fldCharType="begin"/>
      </w:r>
      <w:r w:rsidR="00732966">
        <w:rPr>
          <w:lang w:bidi="fa-IR"/>
        </w:rPr>
        <w:instrText xml:space="preserve"> PAGEREF _Ref56093864 \h </w:instrText>
      </w:r>
      <w:r w:rsidR="00732966">
        <w:rPr>
          <w:lang w:bidi="fa-IR"/>
        </w:rPr>
      </w:r>
      <w:r w:rsidR="00732966">
        <w:rPr>
          <w:lang w:bidi="fa-IR"/>
        </w:rPr>
        <w:fldChar w:fldCharType="separate"/>
      </w:r>
      <w:r w:rsidR="000F445C">
        <w:rPr>
          <w:noProof/>
          <w:lang w:bidi="fa-IR"/>
        </w:rPr>
        <w:t>101</w:t>
      </w:r>
      <w:r w:rsidR="00732966">
        <w:rPr>
          <w:lang w:bidi="fa-IR"/>
        </w:rPr>
        <w:fldChar w:fldCharType="end"/>
      </w:r>
      <w:r>
        <w:rPr>
          <w:lang w:bidi="fa-IR"/>
        </w:rPr>
        <w:t xml:space="preserve"> and appendix </w:t>
      </w:r>
      <w:r>
        <w:rPr>
          <w:lang w:bidi="fa-IR"/>
        </w:rPr>
        <w:fldChar w:fldCharType="begin"/>
      </w:r>
      <w:r>
        <w:rPr>
          <w:lang w:bidi="fa-IR"/>
        </w:rPr>
        <w:instrText xml:space="preserve"> REF _Ref55206770 \n \h </w:instrText>
      </w:r>
      <w:r>
        <w:rPr>
          <w:lang w:bidi="fa-IR"/>
        </w:rPr>
      </w:r>
      <w:r>
        <w:rPr>
          <w:lang w:bidi="fa-IR"/>
        </w:rPr>
        <w:fldChar w:fldCharType="separate"/>
      </w:r>
      <w:r w:rsidR="000F445C">
        <w:rPr>
          <w:lang w:bidi="fa-IR"/>
        </w:rPr>
        <w:t>I</w:t>
      </w:r>
      <w:r>
        <w:rPr>
          <w:lang w:bidi="fa-IR"/>
        </w:rPr>
        <w:fldChar w:fldCharType="end"/>
      </w:r>
      <w:r>
        <w:rPr>
          <w:lang w:bidi="fa-IR"/>
        </w:rPr>
        <w:t>.</w:t>
      </w:r>
    </w:p>
    <w:p w14:paraId="7408B999" w14:textId="77777777" w:rsidR="00DD5DAA" w:rsidRDefault="00DD5DAA" w:rsidP="00DD5DAA">
      <w:pPr>
        <w:pStyle w:val="Heading3"/>
        <w:numPr>
          <w:ilvl w:val="2"/>
          <w:numId w:val="5"/>
        </w:numPr>
        <w:rPr>
          <w:lang w:bidi="fa-IR"/>
        </w:rPr>
      </w:pPr>
      <w:r>
        <w:rPr>
          <w:lang w:bidi="fa-IR"/>
        </w:rPr>
        <w:t>Informal care cost</w:t>
      </w:r>
    </w:p>
    <w:p w14:paraId="0DC505CA" w14:textId="77777777" w:rsidR="00DD5DAA" w:rsidRDefault="00DD5DAA" w:rsidP="00DD5DAA">
      <w:pPr>
        <w:pStyle w:val="BodyText"/>
        <w:rPr>
          <w:lang w:bidi="fa-IR"/>
        </w:rPr>
      </w:pPr>
      <w:r>
        <w:rPr>
          <w:lang w:bidi="fa-IR"/>
        </w:rPr>
        <w:t>The C</w:t>
      </w:r>
      <w:r w:rsidR="00B01E99">
        <w:rPr>
          <w:lang w:bidi="fa-IR"/>
        </w:rPr>
        <w:t xml:space="preserve">onsultation </w:t>
      </w:r>
      <w:r>
        <w:rPr>
          <w:lang w:bidi="fa-IR"/>
        </w:rPr>
        <w:t xml:space="preserve">RIS used the minimum wage rate in Australia of $19.49 per hour to measure the cost of additional informal care due to inaccessibility. It </w:t>
      </w:r>
      <w:r w:rsidR="00CB7651">
        <w:rPr>
          <w:lang w:bidi="fa-IR"/>
        </w:rPr>
        <w:t>was suggested</w:t>
      </w:r>
      <w:r>
        <w:rPr>
          <w:lang w:bidi="fa-IR"/>
        </w:rPr>
        <w:t xml:space="preserve"> </w:t>
      </w:r>
      <w:r w:rsidR="00CB7651">
        <w:rPr>
          <w:lang w:bidi="fa-IR"/>
        </w:rPr>
        <w:t>in</w:t>
      </w:r>
      <w:r>
        <w:rPr>
          <w:lang w:bidi="fa-IR"/>
        </w:rPr>
        <w:t xml:space="preserve"> some submissions that a higher rate</w:t>
      </w:r>
      <w:r w:rsidR="00A974DB">
        <w:rPr>
          <w:lang w:bidi="fa-IR"/>
        </w:rPr>
        <w:t xml:space="preserve"> should be used</w:t>
      </w:r>
      <w:r>
        <w:rPr>
          <w:lang w:bidi="fa-IR"/>
        </w:rPr>
        <w:t>, for example, the formal care unit cost of $65 per hour.</w:t>
      </w:r>
    </w:p>
    <w:p w14:paraId="5A7BDCBD" w14:textId="77777777" w:rsidR="00DD5DAA" w:rsidRDefault="00DD5DAA" w:rsidP="00DD5DAA">
      <w:pPr>
        <w:pStyle w:val="BodyText"/>
        <w:rPr>
          <w:lang w:bidi="fa-IR"/>
        </w:rPr>
      </w:pPr>
      <w:r>
        <w:rPr>
          <w:lang w:bidi="fa-IR"/>
        </w:rPr>
        <w:t xml:space="preserve">A recent report by Deloitte Access Economics on the value of informal care in Australia found that the average hourly cost of employing a formal carer to replace an informal </w:t>
      </w:r>
      <w:r>
        <w:rPr>
          <w:lang w:bidi="fa-IR"/>
        </w:rPr>
        <w:lastRenderedPageBreak/>
        <w:t xml:space="preserve">carer, </w:t>
      </w:r>
      <w:r w:rsidRPr="00F5386C">
        <w:rPr>
          <w:b/>
          <w:bCs/>
          <w:lang w:bidi="fa-IR"/>
        </w:rPr>
        <w:t>with all relevant loadings</w:t>
      </w:r>
      <w:r>
        <w:rPr>
          <w:lang w:bidi="fa-IR"/>
        </w:rPr>
        <w:t>, was $36.12 in 2020.</w:t>
      </w:r>
      <w:r>
        <w:rPr>
          <w:rStyle w:val="FootnoteReference"/>
          <w:lang w:bidi="fa-IR"/>
        </w:rPr>
        <w:footnoteReference w:id="74"/>
      </w:r>
      <w:r>
        <w:rPr>
          <w:lang w:bidi="fa-IR"/>
        </w:rPr>
        <w:t xml:space="preserve"> Hourly rate including </w:t>
      </w:r>
      <w:r w:rsidRPr="002D05B1">
        <w:rPr>
          <w:b/>
          <w:bCs/>
          <w:lang w:bidi="fa-IR"/>
        </w:rPr>
        <w:t>overheads</w:t>
      </w:r>
      <w:r>
        <w:rPr>
          <w:lang w:bidi="fa-IR"/>
        </w:rPr>
        <w:t xml:space="preserve"> in May 2019 was $33.12.</w:t>
      </w:r>
      <w:r>
        <w:rPr>
          <w:rStyle w:val="FootnoteReference"/>
          <w:lang w:bidi="fa-IR"/>
        </w:rPr>
        <w:footnoteReference w:id="75"/>
      </w:r>
      <w:r>
        <w:rPr>
          <w:lang w:bidi="fa-IR"/>
        </w:rPr>
        <w:t xml:space="preserve"> The report does not provide an estimate of the proportion of overheads in the hourly rate.</w:t>
      </w:r>
      <w:r w:rsidR="00CB7651">
        <w:rPr>
          <w:lang w:bidi="fa-IR"/>
        </w:rPr>
        <w:t xml:space="preserve"> As o</w:t>
      </w:r>
      <w:r>
        <w:rPr>
          <w:lang w:bidi="fa-IR"/>
        </w:rPr>
        <w:t xml:space="preserve">verheads are costs related to running a business </w:t>
      </w:r>
      <w:r w:rsidR="00CB7651">
        <w:rPr>
          <w:lang w:bidi="fa-IR"/>
        </w:rPr>
        <w:t>they</w:t>
      </w:r>
      <w:r>
        <w:rPr>
          <w:lang w:bidi="fa-IR"/>
        </w:rPr>
        <w:t xml:space="preserve"> should not be included in the informal care cost </w:t>
      </w:r>
      <w:r w:rsidR="00CB7651">
        <w:rPr>
          <w:lang w:bidi="fa-IR"/>
        </w:rPr>
        <w:t>which</w:t>
      </w:r>
      <w:r>
        <w:rPr>
          <w:lang w:bidi="fa-IR"/>
        </w:rPr>
        <w:t xml:space="preserve"> is voluntarily provided.</w:t>
      </w:r>
    </w:p>
    <w:p w14:paraId="5CD02E01" w14:textId="77777777" w:rsidR="00DD5DAA" w:rsidRDefault="00425877" w:rsidP="00DD5DAA">
      <w:pPr>
        <w:pStyle w:val="BodyText"/>
        <w:rPr>
          <w:lang w:bidi="fa-IR"/>
        </w:rPr>
      </w:pPr>
      <w:r>
        <w:rPr>
          <w:lang w:bidi="fa-IR"/>
        </w:rPr>
        <w:t>A</w:t>
      </w:r>
      <w:r w:rsidR="00DD5DAA">
        <w:rPr>
          <w:lang w:bidi="fa-IR"/>
        </w:rPr>
        <w:t xml:space="preserve"> better measurement for the unit cost of informal care </w:t>
      </w:r>
      <w:r w:rsidR="00CB7651">
        <w:rPr>
          <w:lang w:bidi="fa-IR"/>
        </w:rPr>
        <w:t>is</w:t>
      </w:r>
      <w:r w:rsidR="00DD5DAA">
        <w:rPr>
          <w:lang w:bidi="fa-IR"/>
        </w:rPr>
        <w:t xml:space="preserve"> the average hourly pay for aged care workers because it is the compensation paid for providing similar care services. </w:t>
      </w:r>
      <w:r w:rsidR="00DD5DAA" w:rsidRPr="00023354">
        <w:rPr>
          <w:vanish/>
          <w:lang w:bidi="fa-IR"/>
        </w:rPr>
        <w:t>The hour</w:t>
      </w:r>
      <w:r w:rsidR="00DD5DAA">
        <w:rPr>
          <w:lang w:bidi="fa-IR"/>
        </w:rPr>
        <w:t>ly rate is $22.85 in Sydney.</w:t>
      </w:r>
      <w:r w:rsidR="00DD5DAA" w:rsidRPr="00A068BA">
        <w:rPr>
          <w:rStyle w:val="FootnoteReference"/>
          <w:lang w:bidi="fa-IR"/>
        </w:rPr>
        <w:footnoteReference w:id="76"/>
      </w:r>
      <w:r w:rsidR="00DD5DAA">
        <w:rPr>
          <w:lang w:bidi="fa-IR"/>
        </w:rPr>
        <w:t xml:space="preserve"> </w:t>
      </w:r>
    </w:p>
    <w:p w14:paraId="3981B30E" w14:textId="21CC0321" w:rsidR="00DD5DAA" w:rsidRPr="005331B4" w:rsidRDefault="00DD5DAA" w:rsidP="00DD5DAA">
      <w:pPr>
        <w:pStyle w:val="BodyText"/>
      </w:pPr>
      <w:r w:rsidRPr="005331B4">
        <w:t xml:space="preserve">Based on the above discussion, </w:t>
      </w:r>
      <w:r w:rsidR="00CB7651">
        <w:t>the RIS incorporates a</w:t>
      </w:r>
      <w:r w:rsidRPr="005331B4">
        <w:t xml:space="preserve"> unit cost for informal care above the minimum wage rate to reflect the average hourly pay for aged care workers</w:t>
      </w:r>
      <w:r w:rsidR="00F80E95" w:rsidRPr="00060136">
        <w:rPr>
          <w:lang w:bidi="fa-IR"/>
        </w:rPr>
        <w:t xml:space="preserve"> (see sub-section ‘</w:t>
      </w:r>
      <w:r w:rsidR="00F80E95" w:rsidRPr="00060136">
        <w:rPr>
          <w:lang w:bidi="fa-IR"/>
        </w:rPr>
        <w:fldChar w:fldCharType="begin"/>
      </w:r>
      <w:r w:rsidR="00F80E95" w:rsidRPr="00060136">
        <w:rPr>
          <w:lang w:bidi="fa-IR"/>
        </w:rPr>
        <w:instrText xml:space="preserve"> REF _Ref56614848 \h </w:instrText>
      </w:r>
      <w:r w:rsidR="00F80E95">
        <w:rPr>
          <w:lang w:bidi="fa-IR"/>
        </w:rPr>
        <w:instrText xml:space="preserve"> \* MERGEFORMAT </w:instrText>
      </w:r>
      <w:r w:rsidR="00F80E95" w:rsidRPr="00060136">
        <w:rPr>
          <w:lang w:bidi="fa-IR"/>
        </w:rPr>
      </w:r>
      <w:r w:rsidR="00F80E95" w:rsidRPr="00060136">
        <w:rPr>
          <w:lang w:bidi="fa-IR"/>
        </w:rPr>
        <w:fldChar w:fldCharType="separate"/>
      </w:r>
      <w:r w:rsidR="000F445C">
        <w:rPr>
          <w:lang w:eastAsia="en-US" w:bidi="fa-IR"/>
        </w:rPr>
        <w:t>The cost of additional assistance</w:t>
      </w:r>
      <w:r w:rsidR="00F80E95" w:rsidRPr="00060136">
        <w:rPr>
          <w:lang w:bidi="fa-IR"/>
        </w:rPr>
        <w:fldChar w:fldCharType="end"/>
      </w:r>
      <w:r w:rsidR="00F80E95" w:rsidRPr="00060136">
        <w:rPr>
          <w:lang w:bidi="fa-IR"/>
        </w:rPr>
        <w:t xml:space="preserve">’ in chapter </w:t>
      </w:r>
      <w:r w:rsidR="00F6452C">
        <w:rPr>
          <w:lang w:bidi="fa-IR"/>
        </w:rPr>
        <w:t>three</w:t>
      </w:r>
      <w:r w:rsidR="00F80E95" w:rsidRPr="00060136">
        <w:rPr>
          <w:lang w:bidi="fa-IR"/>
        </w:rPr>
        <w:t xml:space="preserve"> on page </w:t>
      </w:r>
      <w:r w:rsidR="00F80E95" w:rsidRPr="00060136">
        <w:rPr>
          <w:lang w:bidi="fa-IR"/>
        </w:rPr>
        <w:fldChar w:fldCharType="begin"/>
      </w:r>
      <w:r w:rsidR="00F80E95" w:rsidRPr="00060136">
        <w:rPr>
          <w:lang w:bidi="fa-IR"/>
        </w:rPr>
        <w:instrText xml:space="preserve"> PAGEREF _Ref56614848 \h </w:instrText>
      </w:r>
      <w:r w:rsidR="00F80E95" w:rsidRPr="00060136">
        <w:rPr>
          <w:lang w:bidi="fa-IR"/>
        </w:rPr>
      </w:r>
      <w:r w:rsidR="00F80E95" w:rsidRPr="00060136">
        <w:rPr>
          <w:lang w:bidi="fa-IR"/>
        </w:rPr>
        <w:fldChar w:fldCharType="separate"/>
      </w:r>
      <w:r w:rsidR="000F445C">
        <w:rPr>
          <w:noProof/>
          <w:lang w:bidi="fa-IR"/>
        </w:rPr>
        <w:t>84</w:t>
      </w:r>
      <w:r w:rsidR="00F80E95" w:rsidRPr="00060136">
        <w:rPr>
          <w:lang w:bidi="fa-IR"/>
        </w:rPr>
        <w:fldChar w:fldCharType="end"/>
      </w:r>
      <w:r w:rsidR="00F80E95" w:rsidRPr="00060136">
        <w:rPr>
          <w:lang w:bidi="fa-IR"/>
        </w:rPr>
        <w:t xml:space="preserve"> and appendix </w:t>
      </w:r>
      <w:r w:rsidR="00F80E95" w:rsidRPr="00060136">
        <w:rPr>
          <w:lang w:bidi="fa-IR"/>
        </w:rPr>
        <w:fldChar w:fldCharType="begin"/>
      </w:r>
      <w:r w:rsidR="00F80E95" w:rsidRPr="00060136">
        <w:rPr>
          <w:lang w:bidi="fa-IR"/>
        </w:rPr>
        <w:instrText xml:space="preserve"> REF _Ref55130688 \n \h </w:instrText>
      </w:r>
      <w:r w:rsidR="00F80E95">
        <w:rPr>
          <w:lang w:bidi="fa-IR"/>
        </w:rPr>
        <w:instrText xml:space="preserve"> \* MERGEFORMAT </w:instrText>
      </w:r>
      <w:r w:rsidR="00F80E95" w:rsidRPr="00060136">
        <w:rPr>
          <w:lang w:bidi="fa-IR"/>
        </w:rPr>
      </w:r>
      <w:r w:rsidR="00F80E95" w:rsidRPr="00060136">
        <w:rPr>
          <w:lang w:bidi="fa-IR"/>
        </w:rPr>
        <w:fldChar w:fldCharType="separate"/>
      </w:r>
      <w:r w:rsidR="000F445C">
        <w:rPr>
          <w:lang w:bidi="fa-IR"/>
        </w:rPr>
        <w:t>C</w:t>
      </w:r>
      <w:r w:rsidR="00F80E95" w:rsidRPr="00060136">
        <w:rPr>
          <w:lang w:bidi="fa-IR"/>
        </w:rPr>
        <w:fldChar w:fldCharType="end"/>
      </w:r>
      <w:r w:rsidR="00F80E95" w:rsidRPr="00060136">
        <w:rPr>
          <w:lang w:bidi="fa-IR"/>
        </w:rPr>
        <w:t>)</w:t>
      </w:r>
      <w:r w:rsidRPr="00060136">
        <w:rPr>
          <w:lang w:bidi="fa-IR"/>
        </w:rPr>
        <w:t>.</w:t>
      </w:r>
    </w:p>
    <w:p w14:paraId="3FBEFFFF" w14:textId="77777777" w:rsidR="00DD5DAA" w:rsidRDefault="00DD5DAA" w:rsidP="00DD5DAA">
      <w:pPr>
        <w:pStyle w:val="Heading3"/>
        <w:numPr>
          <w:ilvl w:val="2"/>
          <w:numId w:val="5"/>
        </w:numPr>
        <w:rPr>
          <w:lang w:bidi="fa-IR"/>
        </w:rPr>
      </w:pPr>
      <w:r>
        <w:rPr>
          <w:lang w:bidi="fa-IR"/>
        </w:rPr>
        <w:t>Person-based versus family-based approach</w:t>
      </w:r>
    </w:p>
    <w:p w14:paraId="1D6FA04C" w14:textId="77777777" w:rsidR="00DD5DAA" w:rsidRDefault="00DD5DAA" w:rsidP="00DD5DAA">
      <w:pPr>
        <w:pStyle w:val="BodyText"/>
        <w:rPr>
          <w:lang w:bidi="fa-IR"/>
        </w:rPr>
      </w:pPr>
      <w:r>
        <w:rPr>
          <w:lang w:bidi="fa-IR"/>
        </w:rPr>
        <w:t>S</w:t>
      </w:r>
      <w:r w:rsidR="00840359">
        <w:rPr>
          <w:lang w:bidi="fa-IR"/>
        </w:rPr>
        <w:t>everal</w:t>
      </w:r>
      <w:r>
        <w:rPr>
          <w:lang w:bidi="fa-IR"/>
        </w:rPr>
        <w:t xml:space="preserve"> submissions </w:t>
      </w:r>
      <w:r w:rsidR="00840359">
        <w:rPr>
          <w:lang w:bidi="fa-IR"/>
        </w:rPr>
        <w:t>suggest</w:t>
      </w:r>
      <w:r>
        <w:rPr>
          <w:lang w:bidi="fa-IR"/>
        </w:rPr>
        <w:t xml:space="preserve"> </w:t>
      </w:r>
      <w:r w:rsidR="00840359">
        <w:rPr>
          <w:lang w:bidi="fa-IR"/>
        </w:rPr>
        <w:t xml:space="preserve">it would be more appropriate to base </w:t>
      </w:r>
      <w:r>
        <w:rPr>
          <w:lang w:bidi="fa-IR"/>
        </w:rPr>
        <w:t xml:space="preserve">the analysis </w:t>
      </w:r>
      <w:r w:rsidR="00840359">
        <w:rPr>
          <w:lang w:bidi="fa-IR"/>
        </w:rPr>
        <w:t xml:space="preserve">in the RIS on the impacts on households rather than </w:t>
      </w:r>
      <w:r>
        <w:rPr>
          <w:lang w:bidi="fa-IR"/>
        </w:rPr>
        <w:t>on the impacts on the person with a mobility</w:t>
      </w:r>
      <w:r w:rsidR="568CD4EE" w:rsidRPr="7E24893C">
        <w:rPr>
          <w:lang w:bidi="fa-IR"/>
        </w:rPr>
        <w:t xml:space="preserve"> </w:t>
      </w:r>
      <w:r>
        <w:rPr>
          <w:lang w:bidi="fa-IR"/>
        </w:rPr>
        <w:t>related disability</w:t>
      </w:r>
      <w:r w:rsidR="00840359">
        <w:rPr>
          <w:lang w:bidi="fa-IR"/>
        </w:rPr>
        <w:t>.</w:t>
      </w:r>
    </w:p>
    <w:p w14:paraId="5E654219" w14:textId="77777777" w:rsidR="00DD5DAA" w:rsidRDefault="00DD5DAA" w:rsidP="00DD5DAA">
      <w:pPr>
        <w:pStyle w:val="BodyText"/>
        <w:rPr>
          <w:lang w:bidi="fa-IR"/>
        </w:rPr>
      </w:pPr>
      <w:r>
        <w:rPr>
          <w:lang w:bidi="fa-IR"/>
        </w:rPr>
        <w:t xml:space="preserve">There are several reasons why the analysis focuses mostly on </w:t>
      </w:r>
      <w:r w:rsidRPr="006934A1">
        <w:rPr>
          <w:b/>
          <w:bCs/>
          <w:lang w:bidi="fa-IR"/>
        </w:rPr>
        <w:t>people</w:t>
      </w:r>
      <w:r>
        <w:rPr>
          <w:lang w:bidi="fa-IR"/>
        </w:rPr>
        <w:t xml:space="preserve"> with disability, rather than </w:t>
      </w:r>
      <w:r w:rsidRPr="006934A1">
        <w:rPr>
          <w:b/>
          <w:bCs/>
          <w:lang w:bidi="fa-IR"/>
        </w:rPr>
        <w:t>households</w:t>
      </w:r>
      <w:r>
        <w:rPr>
          <w:lang w:bidi="fa-IR"/>
        </w:rPr>
        <w:t>.</w:t>
      </w:r>
    </w:p>
    <w:p w14:paraId="6DA5A5A7" w14:textId="77777777" w:rsidR="00DD5DAA" w:rsidRDefault="00DD5DAA" w:rsidP="00DD5DAA">
      <w:pPr>
        <w:pStyle w:val="ListBullet"/>
        <w:rPr>
          <w:lang w:bidi="fa-IR"/>
        </w:rPr>
      </w:pPr>
      <w:r>
        <w:rPr>
          <w:lang w:bidi="fa-IR"/>
        </w:rPr>
        <w:t>To a significant extent, the analysis relies on detailed cross-tabulations of data from the ABS SDAC</w:t>
      </w:r>
      <w:r w:rsidR="00F9529E">
        <w:rPr>
          <w:lang w:bidi="fa-IR"/>
        </w:rPr>
        <w:t xml:space="preserve"> </w:t>
      </w:r>
      <w:r>
        <w:rPr>
          <w:lang w:bidi="fa-IR"/>
        </w:rPr>
        <w:t>using TableBuilder. There is some SDAC data available at both the person and household level. However, the data is much more detailed at the person level. Much of the detailed cross</w:t>
      </w:r>
      <w:r>
        <w:rPr>
          <w:lang w:bidi="fa-IR"/>
        </w:rPr>
        <w:noBreakHyphen/>
        <w:t>tabulations to identify those affected by a lack of accessible housing is not possible at the household level.</w:t>
      </w:r>
    </w:p>
    <w:p w14:paraId="06D0D914" w14:textId="77777777" w:rsidR="00DD5DAA" w:rsidRDefault="00DD5DAA" w:rsidP="00DD5DAA">
      <w:pPr>
        <w:pStyle w:val="ListBullet"/>
        <w:rPr>
          <w:lang w:bidi="fa-IR"/>
        </w:rPr>
      </w:pPr>
      <w:r>
        <w:rPr>
          <w:lang w:bidi="fa-IR"/>
        </w:rPr>
        <w:t>For many of the categories that make up the problem that the regulatory proposal is seeking to address, the personal</w:t>
      </w:r>
      <w:r w:rsidR="220D4A33" w:rsidRPr="7E24893C">
        <w:rPr>
          <w:lang w:bidi="fa-IR"/>
        </w:rPr>
        <w:t xml:space="preserve"> </w:t>
      </w:r>
      <w:r>
        <w:rPr>
          <w:lang w:bidi="fa-IR"/>
        </w:rPr>
        <w:t xml:space="preserve">level statistics are a more relevant indicator. For example, it is the </w:t>
      </w:r>
      <w:r w:rsidRPr="0068329E">
        <w:rPr>
          <w:b/>
          <w:bCs/>
          <w:lang w:bidi="fa-IR"/>
        </w:rPr>
        <w:t>person</w:t>
      </w:r>
      <w:r>
        <w:rPr>
          <w:lang w:bidi="fa-IR"/>
        </w:rPr>
        <w:t xml:space="preserve"> with the disability who:</w:t>
      </w:r>
    </w:p>
    <w:p w14:paraId="15248CD7" w14:textId="77777777" w:rsidR="00DD5DAA" w:rsidRDefault="00DD5DAA" w:rsidP="00DD5DAA">
      <w:pPr>
        <w:pStyle w:val="ListBullet2"/>
        <w:rPr>
          <w:lang w:bidi="fa-IR"/>
        </w:rPr>
      </w:pPr>
      <w:r>
        <w:rPr>
          <w:lang w:bidi="fa-IR"/>
        </w:rPr>
        <w:t>is at risk of falls</w:t>
      </w:r>
    </w:p>
    <w:p w14:paraId="363BCCE7" w14:textId="77777777" w:rsidR="00DD5DAA" w:rsidRDefault="00DD5DAA" w:rsidP="00DD5DAA">
      <w:pPr>
        <w:pStyle w:val="ListBullet2"/>
        <w:rPr>
          <w:lang w:bidi="fa-IR"/>
        </w:rPr>
      </w:pPr>
      <w:r>
        <w:rPr>
          <w:lang w:bidi="fa-IR"/>
        </w:rPr>
        <w:t>may have longer stays in hospital</w:t>
      </w:r>
    </w:p>
    <w:p w14:paraId="2F30879F" w14:textId="77777777" w:rsidR="00DD5DAA" w:rsidRDefault="00DD5DAA" w:rsidP="00DD5DAA">
      <w:pPr>
        <w:pStyle w:val="ListBullet2"/>
        <w:rPr>
          <w:lang w:bidi="fa-IR"/>
        </w:rPr>
      </w:pPr>
      <w:r>
        <w:rPr>
          <w:lang w:bidi="fa-IR"/>
        </w:rPr>
        <w:t>may be prematurely admitted to residential aged care</w:t>
      </w:r>
    </w:p>
    <w:p w14:paraId="73CFA019" w14:textId="77777777" w:rsidR="00DD5DAA" w:rsidRDefault="00DD5DAA" w:rsidP="00DD5DAA">
      <w:pPr>
        <w:pStyle w:val="ListBullet2"/>
        <w:rPr>
          <w:lang w:bidi="fa-IR"/>
        </w:rPr>
      </w:pPr>
      <w:r>
        <w:rPr>
          <w:lang w:bidi="fa-IR"/>
        </w:rPr>
        <w:t>is unable to visit family/friends</w:t>
      </w:r>
      <w:r w:rsidR="0003666F">
        <w:rPr>
          <w:lang w:bidi="fa-IR"/>
        </w:rPr>
        <w:t>,</w:t>
      </w:r>
      <w:r>
        <w:rPr>
          <w:lang w:bidi="fa-IR"/>
        </w:rPr>
        <w:t xml:space="preserve"> etc.</w:t>
      </w:r>
    </w:p>
    <w:p w14:paraId="7F3DC7E7" w14:textId="77777777" w:rsidR="00DD5DAA" w:rsidRDefault="00C01F7F" w:rsidP="00DD5DAA">
      <w:pPr>
        <w:pStyle w:val="BodyText"/>
        <w:rPr>
          <w:lang w:bidi="fa-IR"/>
        </w:rPr>
      </w:pPr>
      <w:r>
        <w:rPr>
          <w:lang w:bidi="fa-IR"/>
        </w:rPr>
        <w:t>It is acknowledged t</w:t>
      </w:r>
      <w:r w:rsidR="00DD5DAA">
        <w:rPr>
          <w:lang w:bidi="fa-IR"/>
        </w:rPr>
        <w:t>hat other members of the household may also be affected by a lack of accessible housing in various ways. The analysis in the C</w:t>
      </w:r>
      <w:r w:rsidR="00B01E99">
        <w:rPr>
          <w:lang w:bidi="fa-IR"/>
        </w:rPr>
        <w:t xml:space="preserve">onsultation </w:t>
      </w:r>
      <w:r w:rsidR="00DD5DAA">
        <w:rPr>
          <w:lang w:bidi="fa-IR"/>
        </w:rPr>
        <w:t>RIS t</w:t>
      </w:r>
      <w:r>
        <w:rPr>
          <w:lang w:bidi="fa-IR"/>
        </w:rPr>
        <w:t>ook</w:t>
      </w:r>
      <w:r w:rsidR="00DD5DAA">
        <w:rPr>
          <w:lang w:bidi="fa-IR"/>
        </w:rPr>
        <w:t xml:space="preserve"> into account the broader impacts on family and friends in the following </w:t>
      </w:r>
      <w:r>
        <w:rPr>
          <w:lang w:bidi="fa-IR"/>
        </w:rPr>
        <w:t>way</w:t>
      </w:r>
      <w:r w:rsidR="00DD5DAA">
        <w:rPr>
          <w:lang w:bidi="fa-IR"/>
        </w:rPr>
        <w:t>s:</w:t>
      </w:r>
    </w:p>
    <w:p w14:paraId="002AED9F" w14:textId="77777777" w:rsidR="00DD5DAA" w:rsidRDefault="00DD5DAA" w:rsidP="00DD5DAA">
      <w:pPr>
        <w:pStyle w:val="ListBullet"/>
        <w:rPr>
          <w:lang w:bidi="fa-IR"/>
        </w:rPr>
      </w:pPr>
      <w:r>
        <w:rPr>
          <w:lang w:bidi="fa-IR"/>
        </w:rPr>
        <w:t xml:space="preserve">A lack of accessible housing may affect other members of the household through additional caring responsibilities. The analysis has already sought to measure the opportunity cost of the additional time spent caring for the household member with a </w:t>
      </w:r>
      <w:r>
        <w:rPr>
          <w:lang w:bidi="fa-IR"/>
        </w:rPr>
        <w:lastRenderedPageBreak/>
        <w:t>disability (i.e. informal care), as well as care provided by friends/family living outside the household.</w:t>
      </w:r>
    </w:p>
    <w:p w14:paraId="09EA9441" w14:textId="77777777" w:rsidR="00DD5DAA" w:rsidRDefault="00DD5DAA" w:rsidP="00DD5DAA">
      <w:pPr>
        <w:pStyle w:val="ListBullet"/>
        <w:rPr>
          <w:lang w:bidi="fa-IR"/>
        </w:rPr>
      </w:pPr>
      <w:r>
        <w:rPr>
          <w:lang w:bidi="fa-IR"/>
        </w:rPr>
        <w:t xml:space="preserve">The </w:t>
      </w:r>
      <w:r w:rsidR="00F73614">
        <w:rPr>
          <w:lang w:bidi="fa-IR"/>
        </w:rPr>
        <w:t>WTP</w:t>
      </w:r>
      <w:r>
        <w:rPr>
          <w:lang w:bidi="fa-IR"/>
        </w:rPr>
        <w:t xml:space="preserve"> approach was based on the household’s willingness to pay for accessible housing, which would incorporate the preferences of other members of the household. The proposed approach below will accommodate household’s WTP in the problem reduction approach.</w:t>
      </w:r>
    </w:p>
    <w:p w14:paraId="07462A88" w14:textId="77777777" w:rsidR="00DD5DAA" w:rsidRDefault="00DD5DAA" w:rsidP="00DD5DAA">
      <w:pPr>
        <w:pStyle w:val="ListBullet"/>
        <w:rPr>
          <w:lang w:bidi="fa-IR"/>
        </w:rPr>
      </w:pPr>
      <w:r>
        <w:rPr>
          <w:lang w:bidi="fa-IR"/>
        </w:rPr>
        <w:t xml:space="preserve">The analysis has also sought to measure the broader impacts on the community (i.e. the community’s preference for people with disability to live in housing that meets their needs). These impacts to some </w:t>
      </w:r>
      <w:r w:rsidRPr="00E50BE4">
        <w:rPr>
          <w:lang w:bidi="fa-IR"/>
        </w:rPr>
        <w:t xml:space="preserve">extent take into account the preferences of family and friends of people with </w:t>
      </w:r>
      <w:r w:rsidR="00D870C0" w:rsidRPr="00E50BE4">
        <w:rPr>
          <w:lang w:bidi="fa-IR"/>
        </w:rPr>
        <w:t xml:space="preserve">disability </w:t>
      </w:r>
      <w:r w:rsidR="00E50BE4" w:rsidRPr="00E50BE4">
        <w:rPr>
          <w:lang w:bidi="fa-IR"/>
        </w:rPr>
        <w:t>with disability</w:t>
      </w:r>
      <w:r w:rsidR="00E50BE4">
        <w:rPr>
          <w:lang w:bidi="fa-IR"/>
        </w:rPr>
        <w:t>.</w:t>
      </w:r>
    </w:p>
    <w:p w14:paraId="29DA45A4" w14:textId="77777777" w:rsidR="00DD5DAA" w:rsidRDefault="00DD5DAA" w:rsidP="00DD5DAA">
      <w:pPr>
        <w:pStyle w:val="BodyText"/>
        <w:rPr>
          <w:lang w:bidi="fa-IR"/>
        </w:rPr>
      </w:pPr>
      <w:r>
        <w:rPr>
          <w:lang w:bidi="fa-IR"/>
        </w:rPr>
        <w:t>It is possible that the current methodology does not capture some impacts on other members of the household, such as stress (and possibly travel time to visit) associated with:</w:t>
      </w:r>
    </w:p>
    <w:p w14:paraId="35AE6F89" w14:textId="77777777" w:rsidR="00DD5DAA" w:rsidRDefault="00DD5DAA" w:rsidP="00DD5DAA">
      <w:pPr>
        <w:pStyle w:val="ListBullet"/>
        <w:rPr>
          <w:lang w:bidi="fa-IR"/>
        </w:rPr>
      </w:pPr>
      <w:r>
        <w:rPr>
          <w:lang w:bidi="fa-IR"/>
        </w:rPr>
        <w:t>a family member spending longer than necessary in hospital;</w:t>
      </w:r>
    </w:p>
    <w:p w14:paraId="7FF9AE3C" w14:textId="77777777" w:rsidR="00DD5DAA" w:rsidRDefault="00DD5DAA" w:rsidP="00DD5DAA">
      <w:pPr>
        <w:pStyle w:val="ListBullet"/>
        <w:rPr>
          <w:lang w:bidi="fa-IR"/>
        </w:rPr>
      </w:pPr>
      <w:r>
        <w:rPr>
          <w:lang w:bidi="fa-IR"/>
        </w:rPr>
        <w:t>a family member prematurely entering into aged care; and</w:t>
      </w:r>
    </w:p>
    <w:p w14:paraId="289E4157" w14:textId="77777777" w:rsidR="00DD5DAA" w:rsidRDefault="00DD5DAA" w:rsidP="00DD5DAA">
      <w:pPr>
        <w:pStyle w:val="ListBullet"/>
        <w:rPr>
          <w:lang w:bidi="fa-IR"/>
        </w:rPr>
      </w:pPr>
      <w:r>
        <w:rPr>
          <w:lang w:bidi="fa-IR"/>
        </w:rPr>
        <w:t>providing care.</w:t>
      </w:r>
    </w:p>
    <w:p w14:paraId="5A3D5EBA" w14:textId="2000F601" w:rsidR="00DD5DAA" w:rsidRDefault="00DD5DAA" w:rsidP="00DD5DAA">
      <w:pPr>
        <w:pStyle w:val="BodyText"/>
        <w:rPr>
          <w:lang w:bidi="fa-IR"/>
        </w:rPr>
      </w:pPr>
      <w:bookmarkStart w:id="90" w:name="_Hlk53498788"/>
      <w:r w:rsidRPr="005331B4">
        <w:t xml:space="preserve">Health economics studies relating to the burden of disease generally do not take into account impacts on people beyond the individual directly affected. Impacts on the individual’s family and friends are generally considered to be reflected in the estimated </w:t>
      </w:r>
      <w:r w:rsidR="00903E27">
        <w:t>WTP</w:t>
      </w:r>
      <w:r w:rsidRPr="005331B4">
        <w:t xml:space="preserve"> to avoid disease.</w:t>
      </w:r>
      <w:r w:rsidR="008F5EF8" w:rsidRPr="005331B4">
        <w:t xml:space="preserve"> </w:t>
      </w:r>
      <w:r w:rsidR="008F5EF8">
        <w:rPr>
          <w:iCs/>
          <w:lang w:bidi="fa-IR"/>
        </w:rPr>
        <w:t>The WTP results used for estimating the indicative size of quality of life impacts were household based</w:t>
      </w:r>
      <w:r w:rsidR="00BA30AB">
        <w:rPr>
          <w:iCs/>
          <w:lang w:bidi="fa-IR"/>
        </w:rPr>
        <w:t xml:space="preserve"> (</w:t>
      </w:r>
      <w:r w:rsidR="00BA30AB">
        <w:rPr>
          <w:lang w:bidi="fa-IR"/>
        </w:rPr>
        <w:t>see sub-section</w:t>
      </w:r>
      <w:r w:rsidR="0085029A">
        <w:rPr>
          <w:lang w:bidi="fa-IR"/>
        </w:rPr>
        <w:t xml:space="preserve"> ‘</w:t>
      </w:r>
      <w:r w:rsidR="0085029A">
        <w:rPr>
          <w:lang w:bidi="fa-IR"/>
        </w:rPr>
        <w:fldChar w:fldCharType="begin"/>
      </w:r>
      <w:r w:rsidR="0085029A">
        <w:rPr>
          <w:lang w:bidi="fa-IR"/>
        </w:rPr>
        <w:instrText xml:space="preserve"> REF _Ref60090841 \h </w:instrText>
      </w:r>
      <w:r w:rsidR="0085029A">
        <w:rPr>
          <w:lang w:bidi="fa-IR"/>
        </w:rPr>
      </w:r>
      <w:r w:rsidR="0085029A">
        <w:rPr>
          <w:lang w:bidi="fa-IR"/>
        </w:rPr>
        <w:fldChar w:fldCharType="separate"/>
      </w:r>
      <w:r w:rsidR="000F445C">
        <w:rPr>
          <w:lang w:eastAsia="en-US"/>
        </w:rPr>
        <w:t>The willingness to pay approach</w:t>
      </w:r>
      <w:r w:rsidR="0085029A">
        <w:rPr>
          <w:lang w:bidi="fa-IR"/>
        </w:rPr>
        <w:fldChar w:fldCharType="end"/>
      </w:r>
      <w:r w:rsidR="00BA30AB">
        <w:rPr>
          <w:lang w:bidi="fa-IR"/>
        </w:rPr>
        <w:t xml:space="preserve">’ in chapter </w:t>
      </w:r>
      <w:r w:rsidR="00F6452C">
        <w:rPr>
          <w:lang w:bidi="fa-IR"/>
        </w:rPr>
        <w:t>three</w:t>
      </w:r>
      <w:r w:rsidR="00BA30AB">
        <w:rPr>
          <w:lang w:bidi="fa-IR"/>
        </w:rPr>
        <w:t xml:space="preserve"> on page</w:t>
      </w:r>
      <w:r w:rsidR="005211EC">
        <w:rPr>
          <w:lang w:bidi="fa-IR"/>
        </w:rPr>
        <w:t xml:space="preserve"> </w:t>
      </w:r>
      <w:r w:rsidR="005211EC">
        <w:rPr>
          <w:lang w:bidi="fa-IR"/>
        </w:rPr>
        <w:fldChar w:fldCharType="begin"/>
      </w:r>
      <w:r w:rsidR="005211EC">
        <w:rPr>
          <w:lang w:bidi="fa-IR"/>
        </w:rPr>
        <w:instrText xml:space="preserve"> PAGEREF _Ref60090841 \h </w:instrText>
      </w:r>
      <w:r w:rsidR="005211EC">
        <w:rPr>
          <w:lang w:bidi="fa-IR"/>
        </w:rPr>
      </w:r>
      <w:r w:rsidR="005211EC">
        <w:rPr>
          <w:lang w:bidi="fa-IR"/>
        </w:rPr>
        <w:fldChar w:fldCharType="separate"/>
      </w:r>
      <w:r w:rsidR="000F445C">
        <w:rPr>
          <w:noProof/>
          <w:lang w:bidi="fa-IR"/>
        </w:rPr>
        <w:t>91</w:t>
      </w:r>
      <w:r w:rsidR="005211EC">
        <w:rPr>
          <w:lang w:bidi="fa-IR"/>
        </w:rPr>
        <w:fldChar w:fldCharType="end"/>
      </w:r>
      <w:r w:rsidR="00BA30AB">
        <w:rPr>
          <w:lang w:bidi="fa-IR"/>
        </w:rPr>
        <w:t xml:space="preserve"> and appendix </w:t>
      </w:r>
      <w:r w:rsidR="00BA30AB">
        <w:rPr>
          <w:lang w:bidi="fa-IR"/>
        </w:rPr>
        <w:fldChar w:fldCharType="begin"/>
      </w:r>
      <w:r w:rsidR="00BA30AB">
        <w:rPr>
          <w:lang w:bidi="fa-IR"/>
        </w:rPr>
        <w:instrText xml:space="preserve"> REF _Ref55206770 \n \h </w:instrText>
      </w:r>
      <w:r w:rsidR="00BA30AB">
        <w:rPr>
          <w:lang w:bidi="fa-IR"/>
        </w:rPr>
      </w:r>
      <w:r w:rsidR="00BA30AB">
        <w:rPr>
          <w:lang w:bidi="fa-IR"/>
        </w:rPr>
        <w:fldChar w:fldCharType="separate"/>
      </w:r>
      <w:r w:rsidR="000F445C">
        <w:rPr>
          <w:lang w:bidi="fa-IR"/>
        </w:rPr>
        <w:t>I</w:t>
      </w:r>
      <w:r w:rsidR="00BA30AB">
        <w:rPr>
          <w:lang w:bidi="fa-IR"/>
        </w:rPr>
        <w:fldChar w:fldCharType="end"/>
      </w:r>
      <w:r w:rsidR="00BA30AB">
        <w:rPr>
          <w:iCs/>
          <w:lang w:bidi="fa-IR"/>
        </w:rPr>
        <w:t>)</w:t>
      </w:r>
      <w:r w:rsidR="008F5EF8">
        <w:rPr>
          <w:iCs/>
          <w:lang w:bidi="fa-IR"/>
        </w:rPr>
        <w:t xml:space="preserve">. In this sense, the </w:t>
      </w:r>
      <w:r w:rsidR="006E511E">
        <w:rPr>
          <w:iCs/>
          <w:lang w:bidi="fa-IR"/>
        </w:rPr>
        <w:t xml:space="preserve">current approach is consistent with </w:t>
      </w:r>
      <w:r w:rsidR="008F5EF8">
        <w:rPr>
          <w:iCs/>
          <w:lang w:bidi="fa-IR"/>
        </w:rPr>
        <w:t>a family-based approach.</w:t>
      </w:r>
    </w:p>
    <w:bookmarkEnd w:id="90"/>
    <w:p w14:paraId="7F67E147" w14:textId="77777777" w:rsidR="00DD5DAA" w:rsidRDefault="00DD5DAA" w:rsidP="00DD5DAA">
      <w:pPr>
        <w:pStyle w:val="Heading3"/>
        <w:numPr>
          <w:ilvl w:val="2"/>
          <w:numId w:val="5"/>
        </w:numPr>
        <w:rPr>
          <w:lang w:bidi="fa-IR"/>
        </w:rPr>
      </w:pPr>
      <w:r>
        <w:rPr>
          <w:lang w:bidi="fa-IR"/>
        </w:rPr>
        <w:t>Estimation of the impacts of existing policies</w:t>
      </w:r>
    </w:p>
    <w:p w14:paraId="4F3A6D95" w14:textId="77777777" w:rsidR="00DD5DAA" w:rsidRDefault="00DD5DAA" w:rsidP="00DD5DAA">
      <w:pPr>
        <w:pStyle w:val="BodyText"/>
        <w:rPr>
          <w:lang w:bidi="fa-IR"/>
        </w:rPr>
      </w:pPr>
      <w:r>
        <w:rPr>
          <w:lang w:bidi="fa-IR"/>
        </w:rPr>
        <w:t>S</w:t>
      </w:r>
      <w:r w:rsidR="00E362DE">
        <w:rPr>
          <w:lang w:bidi="fa-IR"/>
        </w:rPr>
        <w:t>everal</w:t>
      </w:r>
      <w:r>
        <w:rPr>
          <w:lang w:bidi="fa-IR"/>
        </w:rPr>
        <w:t xml:space="preserve"> stakeholders noted that the Consultation RIS did not attempt to estimate the impacts of existing policies aimed at ensuring that older Australians and people with </w:t>
      </w:r>
      <w:r w:rsidR="00D870C0">
        <w:rPr>
          <w:lang w:bidi="fa-IR"/>
        </w:rPr>
        <w:t xml:space="preserve">disability </w:t>
      </w:r>
      <w:r>
        <w:rPr>
          <w:lang w:bidi="fa-IR"/>
        </w:rPr>
        <w:t>have access to housing that meets their needs.</w:t>
      </w:r>
    </w:p>
    <w:p w14:paraId="0F8AD2A9" w14:textId="77777777" w:rsidR="00DD5DAA" w:rsidRDefault="00DD5DAA" w:rsidP="00DD5DAA">
      <w:pPr>
        <w:pStyle w:val="BodyText"/>
        <w:rPr>
          <w:lang w:bidi="fa-IR"/>
        </w:rPr>
      </w:pPr>
      <w:r>
        <w:rPr>
          <w:lang w:bidi="fa-IR"/>
        </w:rPr>
        <w:t xml:space="preserve">This issue has direct relevance to the RIS, and the impacts of existing policies have been implicitly included in the status quo. </w:t>
      </w:r>
      <w:r w:rsidR="00E362DE">
        <w:rPr>
          <w:lang w:bidi="fa-IR"/>
        </w:rPr>
        <w:t>S</w:t>
      </w:r>
      <w:r>
        <w:rPr>
          <w:lang w:bidi="fa-IR"/>
        </w:rPr>
        <w:t xml:space="preserve">eparately estimating the impacts of these policies would be significant and </w:t>
      </w:r>
      <w:r w:rsidR="00E362DE">
        <w:rPr>
          <w:lang w:bidi="fa-IR"/>
        </w:rPr>
        <w:t xml:space="preserve">is </w:t>
      </w:r>
      <w:r>
        <w:rPr>
          <w:lang w:bidi="fa-IR"/>
        </w:rPr>
        <w:t>beyond the scope of the RIS.</w:t>
      </w:r>
    </w:p>
    <w:p w14:paraId="5BC05597" w14:textId="77777777" w:rsidR="00DD5DAA" w:rsidRDefault="00DD5DAA" w:rsidP="00DD5DAA">
      <w:pPr>
        <w:pStyle w:val="BodyText"/>
        <w:rPr>
          <w:lang w:bidi="fa-IR"/>
        </w:rPr>
      </w:pPr>
      <w:r>
        <w:rPr>
          <w:lang w:bidi="fa-IR"/>
        </w:rPr>
        <w:t>The estimates in the C</w:t>
      </w:r>
      <w:r w:rsidR="00B01E99">
        <w:rPr>
          <w:lang w:bidi="fa-IR"/>
        </w:rPr>
        <w:t xml:space="preserve">onsultation </w:t>
      </w:r>
      <w:r>
        <w:rPr>
          <w:lang w:bidi="fa-IR"/>
        </w:rPr>
        <w:t xml:space="preserve">RIS are mostly based on recent survey evidence of the </w:t>
      </w:r>
      <w:r w:rsidRPr="00AD0F56">
        <w:rPr>
          <w:b/>
          <w:bCs/>
          <w:lang w:bidi="fa-IR"/>
        </w:rPr>
        <w:t>outcomes</w:t>
      </w:r>
      <w:r>
        <w:rPr>
          <w:lang w:bidi="fa-IR"/>
        </w:rPr>
        <w:t xml:space="preserve"> delivered under current policy settings</w:t>
      </w:r>
      <w:r w:rsidR="00E06420">
        <w:rPr>
          <w:lang w:bidi="fa-IR"/>
        </w:rPr>
        <w:t xml:space="preserve"> (i.e. the </w:t>
      </w:r>
      <w:r w:rsidR="00A97285">
        <w:rPr>
          <w:lang w:bidi="fa-IR"/>
        </w:rPr>
        <w:t xml:space="preserve">ABS </w:t>
      </w:r>
      <w:r w:rsidR="00E06420">
        <w:rPr>
          <w:lang w:bidi="fa-IR"/>
        </w:rPr>
        <w:t>2018 Survey of Disabilities, Ageing and Carers)</w:t>
      </w:r>
      <w:r>
        <w:rPr>
          <w:lang w:bidi="fa-IR"/>
        </w:rPr>
        <w:t>. This survey evidence implicitly include</w:t>
      </w:r>
      <w:r w:rsidR="00987D15">
        <w:rPr>
          <w:lang w:bidi="fa-IR"/>
        </w:rPr>
        <w:t>s</w:t>
      </w:r>
      <w:r>
        <w:rPr>
          <w:lang w:bidi="fa-IR"/>
        </w:rPr>
        <w:t xml:space="preserve"> the impact of existing policies, to the extent that these policies contribute to the outcomes delivered. That said, to the extent that policies are changing and these changes will have a material impact on the baseline, it is unlikely that this has been fully taken into account.</w:t>
      </w:r>
    </w:p>
    <w:p w14:paraId="7CA06488" w14:textId="77777777" w:rsidR="00DD5DAA" w:rsidRDefault="00DD5DAA" w:rsidP="00DD5DAA">
      <w:pPr>
        <w:pStyle w:val="ListBullet"/>
        <w:rPr>
          <w:lang w:bidi="fa-IR"/>
        </w:rPr>
      </w:pPr>
      <w:r>
        <w:rPr>
          <w:lang w:bidi="fa-IR"/>
        </w:rPr>
        <w:t>In particular, some aspects of the NDIS are still in the ‘ramp up’ phase and could be expected to deliver improved outcomes for eligible participants in the period ahead (diminishing both costs and benefits). But some aspects of the further evol</w:t>
      </w:r>
      <w:r w:rsidR="00F974B3">
        <w:rPr>
          <w:lang w:bidi="fa-IR"/>
        </w:rPr>
        <w:t>ution</w:t>
      </w:r>
      <w:r>
        <w:rPr>
          <w:lang w:bidi="fa-IR"/>
        </w:rPr>
        <w:t xml:space="preserve"> of the prog</w:t>
      </w:r>
      <w:r w:rsidR="00F974B3">
        <w:rPr>
          <w:lang w:bidi="fa-IR"/>
        </w:rPr>
        <w:t>ram</w:t>
      </w:r>
      <w:r>
        <w:rPr>
          <w:lang w:bidi="fa-IR"/>
        </w:rPr>
        <w:t xml:space="preserve"> are currently unknown, making it difficult to take them into account in the RIS.</w:t>
      </w:r>
    </w:p>
    <w:p w14:paraId="303DBE14" w14:textId="77777777" w:rsidR="00DD5DAA" w:rsidRDefault="00DD5DAA" w:rsidP="00DD5DAA">
      <w:pPr>
        <w:pStyle w:val="ListBullet"/>
        <w:rPr>
          <w:lang w:bidi="fa-IR"/>
        </w:rPr>
      </w:pPr>
      <w:r>
        <w:rPr>
          <w:lang w:bidi="fa-IR"/>
        </w:rPr>
        <w:lastRenderedPageBreak/>
        <w:t>There may also be policy changes arising from the Royal Commissions. However, as these are currently unknown, it is not possible to take them into account in this current analysis.</w:t>
      </w:r>
    </w:p>
    <w:p w14:paraId="4BB1C4BB" w14:textId="77777777" w:rsidR="00DD5DAA" w:rsidRPr="005331B4" w:rsidRDefault="005F257B" w:rsidP="00DD5DAA">
      <w:pPr>
        <w:pStyle w:val="BodyText"/>
        <w:rPr>
          <w:lang w:bidi="fa-IR"/>
        </w:rPr>
      </w:pPr>
      <w:r>
        <w:rPr>
          <w:lang w:bidi="fa-IR"/>
        </w:rPr>
        <w:t xml:space="preserve">In response to stakeholder feedback, </w:t>
      </w:r>
      <w:r w:rsidR="00DD5DAA" w:rsidRPr="005331B4">
        <w:rPr>
          <w:lang w:bidi="fa-IR"/>
        </w:rPr>
        <w:t>the baseline assumptions</w:t>
      </w:r>
      <w:r>
        <w:rPr>
          <w:lang w:bidi="fa-IR"/>
        </w:rPr>
        <w:t xml:space="preserve"> in the RIS have been reviewed to ensure that </w:t>
      </w:r>
      <w:r w:rsidR="005F4B75">
        <w:rPr>
          <w:lang w:bidi="fa-IR"/>
        </w:rPr>
        <w:t xml:space="preserve">estimates </w:t>
      </w:r>
      <w:r>
        <w:rPr>
          <w:lang w:bidi="fa-IR"/>
        </w:rPr>
        <w:t>are</w:t>
      </w:r>
      <w:r w:rsidR="005F4B75">
        <w:rPr>
          <w:lang w:bidi="fa-IR"/>
        </w:rPr>
        <w:t xml:space="preserve"> based on actual outcomes under current policy settings</w:t>
      </w:r>
      <w:r w:rsidR="00DD5DAA" w:rsidRPr="005331B4">
        <w:rPr>
          <w:lang w:bidi="fa-IR"/>
        </w:rPr>
        <w:t>.</w:t>
      </w:r>
    </w:p>
    <w:p w14:paraId="7DD50E00" w14:textId="77777777" w:rsidR="00DD5DAA" w:rsidRDefault="00DD5DAA" w:rsidP="00DD5DAA">
      <w:pPr>
        <w:pStyle w:val="Heading3"/>
        <w:numPr>
          <w:ilvl w:val="2"/>
          <w:numId w:val="5"/>
        </w:numPr>
        <w:rPr>
          <w:lang w:bidi="fa-IR"/>
        </w:rPr>
      </w:pPr>
      <w:r>
        <w:rPr>
          <w:lang w:bidi="fa-IR"/>
        </w:rPr>
        <w:t>Employment and productivity impacts</w:t>
      </w:r>
    </w:p>
    <w:p w14:paraId="71870E8F" w14:textId="77777777" w:rsidR="00DD5DAA" w:rsidRDefault="00DD5DAA" w:rsidP="00DD5DAA">
      <w:pPr>
        <w:pStyle w:val="BodyText"/>
        <w:rPr>
          <w:lang w:bidi="fa-IR"/>
        </w:rPr>
      </w:pPr>
      <w:r>
        <w:rPr>
          <w:lang w:bidi="fa-IR"/>
        </w:rPr>
        <w:t>In the Consultation RIS, CIE concluded that there was insufficient evidence of the impacts that accessible housing has employment and productivity outcomes.</w:t>
      </w:r>
    </w:p>
    <w:p w14:paraId="654667D4" w14:textId="77777777" w:rsidR="00DD5DAA" w:rsidRDefault="00DD5DAA" w:rsidP="00DD5DAA">
      <w:pPr>
        <w:pStyle w:val="BodyText"/>
        <w:rPr>
          <w:lang w:bidi="fa-IR"/>
        </w:rPr>
      </w:pPr>
      <w:r>
        <w:rPr>
          <w:lang w:bidi="fa-IR"/>
        </w:rPr>
        <w:t>The submission from the MDI and the Summer Foundation provided evidence from a survey of 1</w:t>
      </w:r>
      <w:r w:rsidR="00C878DD">
        <w:rPr>
          <w:lang w:bidi="fa-IR"/>
        </w:rPr>
        <w:t> </w:t>
      </w:r>
      <w:r>
        <w:rPr>
          <w:lang w:bidi="fa-IR"/>
        </w:rPr>
        <w:t>187 people with disability and older people and in</w:t>
      </w:r>
      <w:r>
        <w:rPr>
          <w:lang w:bidi="fa-IR"/>
        </w:rPr>
        <w:noBreakHyphen/>
        <w:t>depth interviews with 45 respondents on the mechanisms through which inaccessible housing reduces productivity and work opportunities as follows:</w:t>
      </w:r>
    </w:p>
    <w:p w14:paraId="590A0ECC" w14:textId="77777777" w:rsidR="00DD5DAA" w:rsidRDefault="00DD5DAA" w:rsidP="00DD5DAA">
      <w:pPr>
        <w:pStyle w:val="ListBullet"/>
        <w:rPr>
          <w:lang w:bidi="fa-IR"/>
        </w:rPr>
      </w:pPr>
      <w:r>
        <w:rPr>
          <w:lang w:bidi="fa-IR"/>
        </w:rPr>
        <w:t>Limitations or enablers to allow work or study from home influenced both employment opportunities and work productivity.</w:t>
      </w:r>
    </w:p>
    <w:p w14:paraId="71E69FB1" w14:textId="77777777" w:rsidR="00DD5DAA" w:rsidRDefault="00DD5DAA" w:rsidP="00DD5DAA">
      <w:pPr>
        <w:pStyle w:val="ListBullet"/>
        <w:rPr>
          <w:lang w:bidi="fa-IR"/>
        </w:rPr>
      </w:pPr>
      <w:r>
        <w:rPr>
          <w:lang w:bidi="fa-IR"/>
        </w:rPr>
        <w:t>Difficulties finding accessible homes close to employment opportunities.</w:t>
      </w:r>
    </w:p>
    <w:p w14:paraId="3789459C" w14:textId="77777777" w:rsidR="00DD5DAA" w:rsidRDefault="00DD5DAA" w:rsidP="00DD5DAA">
      <w:pPr>
        <w:pStyle w:val="ListBullet"/>
        <w:rPr>
          <w:lang w:bidi="fa-IR"/>
        </w:rPr>
      </w:pPr>
      <w:r>
        <w:rPr>
          <w:lang w:bidi="fa-IR"/>
        </w:rPr>
        <w:t>Fatigue from living in inaccessible homes and the additional time and energy spent on self</w:t>
      </w:r>
      <w:r>
        <w:rPr>
          <w:lang w:bidi="fa-IR"/>
        </w:rPr>
        <w:noBreakHyphen/>
        <w:t>care and home care activities reduces productivity, motivation, self</w:t>
      </w:r>
      <w:r>
        <w:rPr>
          <w:lang w:bidi="fa-IR"/>
        </w:rPr>
        <w:noBreakHyphen/>
        <w:t>confidence and the capacity to work, study or volunteer.</w:t>
      </w:r>
    </w:p>
    <w:p w14:paraId="28403256" w14:textId="77777777" w:rsidR="00DD5DAA" w:rsidRDefault="00DD5DAA" w:rsidP="00DD5DAA">
      <w:pPr>
        <w:pStyle w:val="ListBullet"/>
        <w:rPr>
          <w:lang w:bidi="fa-IR"/>
        </w:rPr>
      </w:pPr>
      <w:r>
        <w:rPr>
          <w:lang w:bidi="fa-IR"/>
        </w:rPr>
        <w:t>Inaccessible housing increase</w:t>
      </w:r>
      <w:r w:rsidR="00B24A70">
        <w:rPr>
          <w:lang w:bidi="fa-IR"/>
        </w:rPr>
        <w:t>s</w:t>
      </w:r>
      <w:r>
        <w:rPr>
          <w:lang w:bidi="fa-IR"/>
        </w:rPr>
        <w:t xml:space="preserve"> reliance on paid/unpaid support with personal and domestic activities, limiting ability to take on employment.</w:t>
      </w:r>
    </w:p>
    <w:p w14:paraId="41D7DDB7" w14:textId="2917A65F" w:rsidR="00DD5DAA" w:rsidRDefault="00DD5DAA" w:rsidP="00DD5DAA">
      <w:pPr>
        <w:pStyle w:val="BodyText"/>
        <w:rPr>
          <w:lang w:bidi="fa-IR"/>
        </w:rPr>
      </w:pPr>
      <w:r>
        <w:rPr>
          <w:lang w:bidi="fa-IR"/>
        </w:rPr>
        <w:t>This work adds to the evidence base on the impact of accessible housing on employment opportunities and productivity</w:t>
      </w:r>
      <w:r w:rsidR="00C878DD">
        <w:rPr>
          <w:lang w:bidi="fa-IR"/>
        </w:rPr>
        <w:t xml:space="preserve"> and its application in the development of th</w:t>
      </w:r>
      <w:r w:rsidR="00B24A70">
        <w:rPr>
          <w:lang w:bidi="fa-IR"/>
        </w:rPr>
        <w:t>is</w:t>
      </w:r>
      <w:r w:rsidR="00C878DD">
        <w:rPr>
          <w:lang w:bidi="fa-IR"/>
        </w:rPr>
        <w:t xml:space="preserve"> RIS is outlined in </w:t>
      </w:r>
      <w:r w:rsidR="00394797">
        <w:rPr>
          <w:lang w:bidi="fa-IR"/>
        </w:rPr>
        <w:t>b</w:t>
      </w:r>
      <w:r w:rsidR="00C878DD">
        <w:rPr>
          <w:lang w:bidi="fa-IR"/>
        </w:rPr>
        <w:t>ox 2.1 (page </w:t>
      </w:r>
      <w:r w:rsidR="00C878DD">
        <w:rPr>
          <w:lang w:bidi="fa-IR"/>
        </w:rPr>
        <w:fldChar w:fldCharType="begin"/>
      </w:r>
      <w:r w:rsidR="00C878DD">
        <w:rPr>
          <w:lang w:bidi="fa-IR"/>
        </w:rPr>
        <w:instrText xml:space="preserve"> PAGEREF _Ref61279079 \h </w:instrText>
      </w:r>
      <w:r w:rsidR="00C878DD">
        <w:rPr>
          <w:lang w:bidi="fa-IR"/>
        </w:rPr>
      </w:r>
      <w:r w:rsidR="00C878DD">
        <w:rPr>
          <w:lang w:bidi="fa-IR"/>
        </w:rPr>
        <w:fldChar w:fldCharType="separate"/>
      </w:r>
      <w:r w:rsidR="000F445C">
        <w:rPr>
          <w:noProof/>
          <w:lang w:bidi="fa-IR"/>
        </w:rPr>
        <w:t>33</w:t>
      </w:r>
      <w:r w:rsidR="00C878DD">
        <w:rPr>
          <w:lang w:bidi="fa-IR"/>
        </w:rPr>
        <w:fldChar w:fldCharType="end"/>
      </w:r>
      <w:r w:rsidR="00C878DD">
        <w:rPr>
          <w:lang w:bidi="fa-IR"/>
        </w:rPr>
        <w:t>).</w:t>
      </w:r>
    </w:p>
    <w:p w14:paraId="11619278" w14:textId="77777777" w:rsidR="00DD5DAA" w:rsidRDefault="00DD5DAA" w:rsidP="00DD5DAA">
      <w:pPr>
        <w:pStyle w:val="BodyText"/>
        <w:rPr>
          <w:lang w:bidi="fa-IR"/>
        </w:rPr>
      </w:pPr>
      <w:r>
        <w:rPr>
          <w:lang w:bidi="fa-IR"/>
        </w:rPr>
        <w:t>However, there is a concern around the representativeness of the sample. The survey was circulated via email through disability services and advocacy networks. Although this approach is effective in identifying the target audience, it could also potentially skew the sample towards those who have experienced the biggest issues (self-selection bias).</w:t>
      </w:r>
    </w:p>
    <w:p w14:paraId="673CC907" w14:textId="4D5884FF" w:rsidR="00DD5DAA" w:rsidRPr="005331B4" w:rsidRDefault="00DD5DAA" w:rsidP="00DD5DAA">
      <w:pPr>
        <w:pStyle w:val="BodyText"/>
      </w:pPr>
      <w:r w:rsidRPr="005331B4">
        <w:t xml:space="preserve">CIE </w:t>
      </w:r>
      <w:r w:rsidR="00807E40">
        <w:t xml:space="preserve">has </w:t>
      </w:r>
      <w:r w:rsidRPr="00060136">
        <w:rPr>
          <w:iCs/>
          <w:lang w:bidi="fa-IR"/>
        </w:rPr>
        <w:t>investigate</w:t>
      </w:r>
      <w:r w:rsidR="000E103F" w:rsidRPr="00060136">
        <w:rPr>
          <w:iCs/>
          <w:lang w:bidi="fa-IR"/>
        </w:rPr>
        <w:t>d</w:t>
      </w:r>
      <w:r w:rsidRPr="005331B4">
        <w:t xml:space="preserve"> the extent to which the outcomes reported in the sample can be cross</w:t>
      </w:r>
      <w:r w:rsidRPr="005331B4">
        <w:noBreakHyphen/>
        <w:t xml:space="preserve">checked/stratified against data from SDAC to produce </w:t>
      </w:r>
      <w:r w:rsidRPr="00060136">
        <w:rPr>
          <w:iCs/>
          <w:lang w:bidi="fa-IR"/>
        </w:rPr>
        <w:t>a</w:t>
      </w:r>
      <w:r w:rsidR="000E103F" w:rsidRPr="00060136">
        <w:rPr>
          <w:iCs/>
          <w:lang w:bidi="fa-IR"/>
        </w:rPr>
        <w:t>n indicative</w:t>
      </w:r>
      <w:r w:rsidRPr="005331B4">
        <w:t xml:space="preserve"> quantitative estimate and </w:t>
      </w:r>
      <w:r w:rsidR="000E103F" w:rsidRPr="00060136">
        <w:rPr>
          <w:iCs/>
          <w:lang w:bidi="fa-IR"/>
        </w:rPr>
        <w:t>included it</w:t>
      </w:r>
      <w:r w:rsidRPr="005331B4">
        <w:t xml:space="preserve"> in the qualitative analysis in th</w:t>
      </w:r>
      <w:r w:rsidR="00394797">
        <w:t>is</w:t>
      </w:r>
      <w:r w:rsidRPr="005331B4">
        <w:t xml:space="preserve"> RIS</w:t>
      </w:r>
      <w:r w:rsidR="000E103F" w:rsidRPr="00060136">
        <w:rPr>
          <w:iCs/>
          <w:lang w:bidi="fa-IR"/>
        </w:rPr>
        <w:t xml:space="preserve"> (see sub-section ‘</w:t>
      </w:r>
      <w:r w:rsidR="000E103F" w:rsidRPr="00060136">
        <w:rPr>
          <w:iCs/>
          <w:lang w:bidi="fa-IR"/>
        </w:rPr>
        <w:fldChar w:fldCharType="begin"/>
      </w:r>
      <w:r w:rsidR="000E103F" w:rsidRPr="00060136">
        <w:rPr>
          <w:iCs/>
          <w:lang w:bidi="fa-IR"/>
        </w:rPr>
        <w:instrText xml:space="preserve"> REF _Ref56615356 \h </w:instrText>
      </w:r>
      <w:r w:rsidR="00FA1F48">
        <w:rPr>
          <w:iCs/>
          <w:lang w:bidi="fa-IR"/>
        </w:rPr>
        <w:instrText xml:space="preserve"> \* MERGEFORMAT </w:instrText>
      </w:r>
      <w:r w:rsidR="000E103F" w:rsidRPr="00060136">
        <w:rPr>
          <w:iCs/>
          <w:lang w:bidi="fa-IR"/>
        </w:rPr>
      </w:r>
      <w:r w:rsidR="000E103F" w:rsidRPr="00060136">
        <w:rPr>
          <w:iCs/>
          <w:lang w:bidi="fa-IR"/>
        </w:rPr>
        <w:fldChar w:fldCharType="separate"/>
      </w:r>
      <w:r w:rsidR="000F445C" w:rsidRPr="000F445C">
        <w:rPr>
          <w:iCs/>
          <w:lang w:eastAsia="en-US" w:bidi="fa-IR"/>
        </w:rPr>
        <w:t>Employment and productivity impacts</w:t>
      </w:r>
      <w:r w:rsidR="000E103F" w:rsidRPr="00060136">
        <w:rPr>
          <w:iCs/>
          <w:lang w:bidi="fa-IR"/>
        </w:rPr>
        <w:fldChar w:fldCharType="end"/>
      </w:r>
      <w:r w:rsidR="000E103F" w:rsidRPr="00060136">
        <w:rPr>
          <w:iCs/>
          <w:lang w:bidi="fa-IR"/>
        </w:rPr>
        <w:t>’ in chapter </w:t>
      </w:r>
      <w:r w:rsidR="00F6452C">
        <w:rPr>
          <w:iCs/>
          <w:lang w:bidi="fa-IR"/>
        </w:rPr>
        <w:t>three</w:t>
      </w:r>
      <w:r w:rsidR="000E103F" w:rsidRPr="00060136">
        <w:rPr>
          <w:iCs/>
          <w:lang w:bidi="fa-IR"/>
        </w:rPr>
        <w:t xml:space="preserve"> on page</w:t>
      </w:r>
      <w:r w:rsidR="00FA1F48" w:rsidRPr="00060136">
        <w:rPr>
          <w:iCs/>
          <w:lang w:bidi="fa-IR"/>
        </w:rPr>
        <w:t> </w:t>
      </w:r>
      <w:r w:rsidR="005211EC">
        <w:rPr>
          <w:iCs/>
          <w:lang w:bidi="fa-IR"/>
        </w:rPr>
        <w:fldChar w:fldCharType="begin"/>
      </w:r>
      <w:r w:rsidR="005211EC">
        <w:rPr>
          <w:iCs/>
          <w:lang w:bidi="fa-IR"/>
        </w:rPr>
        <w:instrText xml:space="preserve"> PAGEREF _Ref56615356 \h </w:instrText>
      </w:r>
      <w:r w:rsidR="005211EC">
        <w:rPr>
          <w:iCs/>
          <w:lang w:bidi="fa-IR"/>
        </w:rPr>
      </w:r>
      <w:r w:rsidR="005211EC">
        <w:rPr>
          <w:iCs/>
          <w:lang w:bidi="fa-IR"/>
        </w:rPr>
        <w:fldChar w:fldCharType="separate"/>
      </w:r>
      <w:r w:rsidR="000F445C">
        <w:rPr>
          <w:iCs/>
          <w:noProof/>
          <w:lang w:bidi="fa-IR"/>
        </w:rPr>
        <w:t>115</w:t>
      </w:r>
      <w:r w:rsidR="005211EC">
        <w:rPr>
          <w:iCs/>
          <w:lang w:bidi="fa-IR"/>
        </w:rPr>
        <w:fldChar w:fldCharType="end"/>
      </w:r>
      <w:r w:rsidR="000E103F" w:rsidRPr="00060136">
        <w:rPr>
          <w:iCs/>
          <w:lang w:bidi="fa-IR"/>
        </w:rPr>
        <w:t xml:space="preserve"> and appendix </w:t>
      </w:r>
      <w:r w:rsidR="000E103F" w:rsidRPr="00060136">
        <w:rPr>
          <w:iCs/>
          <w:lang w:bidi="fa-IR"/>
        </w:rPr>
        <w:fldChar w:fldCharType="begin"/>
      </w:r>
      <w:r w:rsidR="000E103F" w:rsidRPr="00060136">
        <w:rPr>
          <w:iCs/>
          <w:lang w:bidi="fa-IR"/>
        </w:rPr>
        <w:instrText xml:space="preserve"> REF _Ref56268185 \n \h </w:instrText>
      </w:r>
      <w:r w:rsidR="00FA1F48">
        <w:rPr>
          <w:iCs/>
          <w:lang w:bidi="fa-IR"/>
        </w:rPr>
        <w:instrText xml:space="preserve"> \* MERGEFORMAT </w:instrText>
      </w:r>
      <w:r w:rsidR="000E103F" w:rsidRPr="00060136">
        <w:rPr>
          <w:iCs/>
          <w:lang w:bidi="fa-IR"/>
        </w:rPr>
      </w:r>
      <w:r w:rsidR="000E103F" w:rsidRPr="00060136">
        <w:rPr>
          <w:iCs/>
          <w:lang w:bidi="fa-IR"/>
        </w:rPr>
        <w:fldChar w:fldCharType="separate"/>
      </w:r>
      <w:r w:rsidR="000F445C">
        <w:rPr>
          <w:iCs/>
          <w:lang w:bidi="fa-IR"/>
        </w:rPr>
        <w:t>J</w:t>
      </w:r>
      <w:r w:rsidR="000E103F" w:rsidRPr="00060136">
        <w:rPr>
          <w:iCs/>
          <w:lang w:bidi="fa-IR"/>
        </w:rPr>
        <w:fldChar w:fldCharType="end"/>
      </w:r>
      <w:r w:rsidR="000E103F" w:rsidRPr="00060136">
        <w:rPr>
          <w:iCs/>
          <w:lang w:bidi="fa-IR"/>
        </w:rPr>
        <w:t>)</w:t>
      </w:r>
      <w:r w:rsidRPr="00060136">
        <w:rPr>
          <w:iCs/>
          <w:lang w:bidi="fa-IR"/>
        </w:rPr>
        <w:t>.</w:t>
      </w:r>
    </w:p>
    <w:p w14:paraId="21F8FDAB" w14:textId="77777777" w:rsidR="004E736E" w:rsidRPr="00F51AF6" w:rsidRDefault="004E736E" w:rsidP="005B0289">
      <w:pPr>
        <w:pStyle w:val="Heading1"/>
      </w:pPr>
      <w:bookmarkStart w:id="91" w:name="_Ref56070826"/>
      <w:bookmarkStart w:id="92" w:name="_Ref56108926"/>
      <w:bookmarkStart w:id="93" w:name="_Toc32321744"/>
      <w:bookmarkStart w:id="94" w:name="_Toc44598432"/>
      <w:bookmarkStart w:id="95" w:name="_Toc45654063"/>
      <w:bookmarkStart w:id="96" w:name="_Toc70505094"/>
      <w:r>
        <w:lastRenderedPageBreak/>
        <w:t>Statement of the problem</w:t>
      </w:r>
      <w:bookmarkEnd w:id="91"/>
      <w:bookmarkEnd w:id="92"/>
      <w:bookmarkEnd w:id="93"/>
      <w:bookmarkEnd w:id="94"/>
      <w:bookmarkEnd w:id="95"/>
      <w:bookmarkEnd w:id="96"/>
    </w:p>
    <w:p w14:paraId="682840B7" w14:textId="77777777" w:rsidR="00E4023A" w:rsidRDefault="00E4023A" w:rsidP="00E4023A">
      <w:pPr>
        <w:pStyle w:val="Heading2"/>
        <w:numPr>
          <w:ilvl w:val="1"/>
          <w:numId w:val="5"/>
        </w:numPr>
      </w:pPr>
      <w:bookmarkStart w:id="97" w:name="_Toc32321745"/>
      <w:bookmarkStart w:id="98" w:name="_Toc44598433"/>
      <w:bookmarkStart w:id="99" w:name="_Toc44696040"/>
      <w:bookmarkStart w:id="100" w:name="_Toc45654064"/>
      <w:bookmarkStart w:id="101" w:name="_Toc70505095"/>
      <w:r>
        <w:t>Summary</w:t>
      </w:r>
      <w:bookmarkEnd w:id="97"/>
      <w:bookmarkEnd w:id="98"/>
      <w:bookmarkEnd w:id="99"/>
      <w:bookmarkEnd w:id="100"/>
      <w:bookmarkEnd w:id="101"/>
    </w:p>
    <w:p w14:paraId="6B47A423" w14:textId="77777777" w:rsidR="00E4023A" w:rsidRDefault="00E4023A" w:rsidP="00E4023A">
      <w:pPr>
        <w:pStyle w:val="BodyText"/>
      </w:pPr>
      <w:r>
        <w:t>A key element of a RIS is understanding the nature and size of the problem (or issue) that government intervention would address through a regulatory proposal.</w:t>
      </w:r>
    </w:p>
    <w:p w14:paraId="3670D5FD" w14:textId="77777777" w:rsidR="00E4023A" w:rsidRPr="008F2F43" w:rsidRDefault="00E4023A" w:rsidP="00E4023A">
      <w:pPr>
        <w:pStyle w:val="ListBullet"/>
        <w:numPr>
          <w:ilvl w:val="0"/>
          <w:numId w:val="16"/>
        </w:numPr>
      </w:pPr>
      <w:r>
        <w:t xml:space="preserve">Based on 2018 ABS data, there are around </w:t>
      </w:r>
      <w:r w:rsidRPr="008F2F43">
        <w:t xml:space="preserve">3 million Australians with a mobility limitation </w:t>
      </w:r>
      <w:r w:rsidR="00322092">
        <w:t>and/or a self</w:t>
      </w:r>
      <w:r w:rsidR="00322092">
        <w:noBreakHyphen/>
        <w:t xml:space="preserve">care limitation </w:t>
      </w:r>
      <w:r w:rsidRPr="008F2F43">
        <w:t>due to disability</w:t>
      </w:r>
      <w:r w:rsidR="00880162">
        <w:t>, which includes people with the greatest need for help or who are unable to do an activity; people who sometimes need help and/or have difficulty; people who need no help but have difficulty</w:t>
      </w:r>
      <w:r w:rsidR="00AD6B2F">
        <w:t>,</w:t>
      </w:r>
      <w:r w:rsidR="00880162">
        <w:t xml:space="preserve"> and people who need no help and have no difficulty but use aids or have limitations.</w:t>
      </w:r>
      <w:r w:rsidR="00880162">
        <w:rPr>
          <w:rStyle w:val="FootnoteReference"/>
        </w:rPr>
        <w:footnoteReference w:id="77"/>
      </w:r>
      <w:r w:rsidR="00457B62">
        <w:t xml:space="preserve"> </w:t>
      </w:r>
    </w:p>
    <w:p w14:paraId="21CE2DBE" w14:textId="77777777" w:rsidR="00E4023A" w:rsidRPr="008F2F43" w:rsidRDefault="00152C14" w:rsidP="00E4023A">
      <w:pPr>
        <w:pStyle w:val="ListBullet"/>
        <w:numPr>
          <w:ilvl w:val="0"/>
          <w:numId w:val="16"/>
        </w:numPr>
      </w:pPr>
      <w:r>
        <w:t>It is</w:t>
      </w:r>
      <w:r w:rsidRPr="008F2F43">
        <w:t xml:space="preserve"> </w:t>
      </w:r>
      <w:r w:rsidR="00E4023A" w:rsidRPr="008F2F43">
        <w:t>estimate</w:t>
      </w:r>
      <w:r>
        <w:t>d that</w:t>
      </w:r>
      <w:r w:rsidR="00E4023A" w:rsidRPr="008F2F43">
        <w:t xml:space="preserve"> this will increase to around 5.75 million people over the next 40 years, due to population growth and the effects of an ageing population.</w:t>
      </w:r>
    </w:p>
    <w:p w14:paraId="7DBD9BE6" w14:textId="77777777" w:rsidR="00E4023A" w:rsidRDefault="00E4023A" w:rsidP="00E4023A">
      <w:pPr>
        <w:pStyle w:val="BodyText"/>
      </w:pPr>
      <w:r>
        <w:t>F</w:t>
      </w:r>
      <w:r w:rsidRPr="005527ED">
        <w:t>inding suitable accommodation is important to all Australians</w:t>
      </w:r>
      <w:r>
        <w:t xml:space="preserve"> and</w:t>
      </w:r>
      <w:r w:rsidRPr="005527ED">
        <w:t xml:space="preserve"> is a prerequisite for a happy</w:t>
      </w:r>
      <w:r>
        <w:t>,</w:t>
      </w:r>
      <w:r w:rsidRPr="005527ED">
        <w:t xml:space="preserve"> stable </w:t>
      </w:r>
      <w:r>
        <w:t xml:space="preserve">and dignified </w:t>
      </w:r>
      <w:r w:rsidRPr="005527ED">
        <w:t>life.</w:t>
      </w:r>
      <w:r w:rsidRPr="005527ED">
        <w:rPr>
          <w:rStyle w:val="FootnoteReference"/>
        </w:rPr>
        <w:footnoteReference w:id="78"/>
      </w:r>
      <w:r>
        <w:t xml:space="preserve"> </w:t>
      </w:r>
      <w:r w:rsidR="006F18DD">
        <w:t>T</w:t>
      </w:r>
      <w:r w:rsidR="00C62DEC">
        <w:t>he right to accommodation and social participation is recognised in international treaties.</w:t>
      </w:r>
      <w:r w:rsidR="003C6ED6">
        <w:t xml:space="preserve"> </w:t>
      </w:r>
      <w:r w:rsidR="006F18DD">
        <w:t xml:space="preserve">Under the status quo without intervention it will continue to be contended that international treaty obligations are not being met. </w:t>
      </w:r>
      <w:r w:rsidRPr="006D339B">
        <w:t xml:space="preserve">There is evidence that people with </w:t>
      </w:r>
      <w:r w:rsidR="00D870C0" w:rsidRPr="006D339B">
        <w:t>disabilit</w:t>
      </w:r>
      <w:r w:rsidR="00D870C0">
        <w:t>y</w:t>
      </w:r>
      <w:r w:rsidR="00D870C0" w:rsidRPr="006D339B">
        <w:t xml:space="preserve"> </w:t>
      </w:r>
      <w:r w:rsidRPr="006D339B">
        <w:t>and older Australians have trouble finding housing that meets their needs.</w:t>
      </w:r>
      <w:r>
        <w:t xml:space="preserve"> Housing that is inaccessible for people with mobility limitation can impose various costs on those people</w:t>
      </w:r>
      <w:r w:rsidR="006F18DD">
        <w:t>,</w:t>
      </w:r>
      <w:r>
        <w:t xml:space="preserve"> their families</w:t>
      </w:r>
      <w:r w:rsidR="00B20747">
        <w:t>,</w:t>
      </w:r>
      <w:r>
        <w:t xml:space="preserve"> </w:t>
      </w:r>
      <w:r w:rsidR="00457B62">
        <w:t xml:space="preserve">those with temporary injuries, those with young children, carers </w:t>
      </w:r>
      <w:r>
        <w:t>and the community more broadly. These costs include</w:t>
      </w:r>
      <w:r w:rsidR="00322092">
        <w:t xml:space="preserve"> the following.</w:t>
      </w:r>
    </w:p>
    <w:p w14:paraId="6E12CA80" w14:textId="77777777" w:rsidR="00322092" w:rsidRDefault="00322092" w:rsidP="00E4023A">
      <w:pPr>
        <w:pStyle w:val="ListBullet"/>
        <w:numPr>
          <w:ilvl w:val="0"/>
          <w:numId w:val="16"/>
        </w:numPr>
        <w:rPr>
          <w:lang w:eastAsia="en-US" w:bidi="fa-IR"/>
        </w:rPr>
      </w:pPr>
      <w:r>
        <w:rPr>
          <w:lang w:eastAsia="en-US" w:bidi="fa-IR"/>
        </w:rPr>
        <w:t>Where people with mobility limitation remain living in housing that does not meet their needs, the costs include:</w:t>
      </w:r>
    </w:p>
    <w:p w14:paraId="61EF8BC1" w14:textId="77777777" w:rsidR="00E4023A" w:rsidRDefault="00E4023A" w:rsidP="00F11742">
      <w:pPr>
        <w:pStyle w:val="ListBullet2"/>
        <w:rPr>
          <w:lang w:eastAsia="en-US" w:bidi="fa-IR"/>
        </w:rPr>
      </w:pPr>
      <w:r>
        <w:rPr>
          <w:lang w:eastAsia="en-US" w:bidi="fa-IR"/>
        </w:rPr>
        <w:t>safety</w:t>
      </w:r>
      <w:r w:rsidR="3A770693" w:rsidRPr="7E24893C">
        <w:rPr>
          <w:lang w:eastAsia="en-US" w:bidi="fa-IR"/>
        </w:rPr>
        <w:t xml:space="preserve"> </w:t>
      </w:r>
      <w:r>
        <w:rPr>
          <w:lang w:eastAsia="en-US" w:bidi="fa-IR"/>
        </w:rPr>
        <w:t xml:space="preserve">related costs where people </w:t>
      </w:r>
      <w:r w:rsidR="00322092">
        <w:rPr>
          <w:lang w:eastAsia="en-US" w:bidi="fa-IR"/>
        </w:rPr>
        <w:t>may be</w:t>
      </w:r>
      <w:r>
        <w:rPr>
          <w:lang w:eastAsia="en-US" w:bidi="fa-IR"/>
        </w:rPr>
        <w:t xml:space="preserve"> at higher risk of falls</w:t>
      </w:r>
    </w:p>
    <w:p w14:paraId="3DD163AC" w14:textId="77777777" w:rsidR="00E4023A" w:rsidRDefault="00E4023A" w:rsidP="00F11742">
      <w:pPr>
        <w:pStyle w:val="ListBullet2"/>
        <w:rPr>
          <w:lang w:eastAsia="en-US" w:bidi="fa-IR"/>
        </w:rPr>
      </w:pPr>
      <w:r>
        <w:rPr>
          <w:lang w:eastAsia="en-US" w:bidi="fa-IR"/>
        </w:rPr>
        <w:t>costs associated with additional care needs</w:t>
      </w:r>
    </w:p>
    <w:p w14:paraId="24E9A14A" w14:textId="77777777" w:rsidR="00322092" w:rsidRDefault="00322092" w:rsidP="00322092">
      <w:pPr>
        <w:pStyle w:val="ListBullet2"/>
        <w:rPr>
          <w:lang w:eastAsia="en-US" w:bidi="fa-IR"/>
        </w:rPr>
      </w:pPr>
      <w:r>
        <w:rPr>
          <w:lang w:eastAsia="en-US" w:bidi="fa-IR"/>
        </w:rPr>
        <w:t>reduce</w:t>
      </w:r>
      <w:r w:rsidR="00233C64">
        <w:rPr>
          <w:lang w:eastAsia="en-US" w:bidi="fa-IR"/>
        </w:rPr>
        <w:t>d</w:t>
      </w:r>
      <w:r>
        <w:rPr>
          <w:lang w:eastAsia="en-US" w:bidi="fa-IR"/>
        </w:rPr>
        <w:t xml:space="preserve"> ‘quality of life’</w:t>
      </w:r>
    </w:p>
    <w:p w14:paraId="31DD6BA0" w14:textId="77777777" w:rsidR="00322092" w:rsidRDefault="00322092" w:rsidP="00E4023A">
      <w:pPr>
        <w:pStyle w:val="ListBullet"/>
        <w:numPr>
          <w:ilvl w:val="0"/>
          <w:numId w:val="16"/>
        </w:numPr>
        <w:rPr>
          <w:lang w:eastAsia="en-US" w:bidi="fa-IR"/>
        </w:rPr>
      </w:pPr>
      <w:r>
        <w:rPr>
          <w:lang w:eastAsia="en-US" w:bidi="fa-IR"/>
        </w:rPr>
        <w:t>Other costs could include</w:t>
      </w:r>
      <w:r w:rsidR="006C65D7">
        <w:rPr>
          <w:lang w:eastAsia="en-US" w:bidi="fa-IR"/>
        </w:rPr>
        <w:t xml:space="preserve"> those associated with:</w:t>
      </w:r>
    </w:p>
    <w:p w14:paraId="1676A781" w14:textId="77777777" w:rsidR="00E4023A" w:rsidRDefault="00E4023A" w:rsidP="00F11742">
      <w:pPr>
        <w:pStyle w:val="ListBullet2"/>
        <w:rPr>
          <w:lang w:eastAsia="en-US" w:bidi="fa-IR"/>
        </w:rPr>
      </w:pPr>
      <w:r>
        <w:rPr>
          <w:lang w:eastAsia="en-US" w:bidi="fa-IR"/>
        </w:rPr>
        <w:t xml:space="preserve">unnecessarily </w:t>
      </w:r>
      <w:r w:rsidR="006C65D7">
        <w:rPr>
          <w:lang w:eastAsia="en-US" w:bidi="fa-IR"/>
        </w:rPr>
        <w:t>expensive</w:t>
      </w:r>
      <w:r>
        <w:rPr>
          <w:lang w:eastAsia="en-US" w:bidi="fa-IR"/>
        </w:rPr>
        <w:t xml:space="preserve"> home modifications</w:t>
      </w:r>
      <w:r w:rsidR="00AD15B6">
        <w:rPr>
          <w:lang w:eastAsia="en-US" w:bidi="fa-IR"/>
        </w:rPr>
        <w:t xml:space="preserve"> to make the dwelling more accessible</w:t>
      </w:r>
    </w:p>
    <w:p w14:paraId="6104B330" w14:textId="77777777" w:rsidR="00AD15B6" w:rsidRDefault="00AD15B6" w:rsidP="00AD15B6">
      <w:pPr>
        <w:pStyle w:val="ListBullet2"/>
        <w:rPr>
          <w:lang w:eastAsia="en-US" w:bidi="fa-IR"/>
        </w:rPr>
      </w:pPr>
      <w:r>
        <w:rPr>
          <w:lang w:eastAsia="en-US" w:bidi="fa-IR"/>
        </w:rPr>
        <w:t>longer stays in hospital and transition care, where discharge is delayed due to their home lacking accessibility features</w:t>
      </w:r>
    </w:p>
    <w:p w14:paraId="0C5B228A" w14:textId="77777777" w:rsidR="00E4023A" w:rsidRDefault="00E4023A" w:rsidP="00F11742">
      <w:pPr>
        <w:pStyle w:val="ListBullet2"/>
        <w:rPr>
          <w:lang w:eastAsia="en-US" w:bidi="fa-IR"/>
        </w:rPr>
      </w:pPr>
      <w:r>
        <w:rPr>
          <w:lang w:eastAsia="en-US" w:bidi="fa-IR"/>
        </w:rPr>
        <w:t>avoidable moves to more suitable accommodation</w:t>
      </w:r>
    </w:p>
    <w:p w14:paraId="1F48C367" w14:textId="77777777" w:rsidR="00E4023A" w:rsidRDefault="00AD15B6" w:rsidP="00F11742">
      <w:pPr>
        <w:pStyle w:val="ListBullet2"/>
        <w:rPr>
          <w:lang w:eastAsia="en-US" w:bidi="fa-IR"/>
        </w:rPr>
      </w:pPr>
      <w:r>
        <w:rPr>
          <w:lang w:eastAsia="en-US" w:bidi="fa-IR"/>
        </w:rPr>
        <w:t>people with limited mobility be</w:t>
      </w:r>
      <w:r w:rsidR="006C65D7">
        <w:rPr>
          <w:lang w:eastAsia="en-US" w:bidi="fa-IR"/>
        </w:rPr>
        <w:t>ing</w:t>
      </w:r>
      <w:r>
        <w:rPr>
          <w:lang w:eastAsia="en-US" w:bidi="fa-IR"/>
        </w:rPr>
        <w:t xml:space="preserve"> unable to</w:t>
      </w:r>
      <w:r w:rsidR="00E4023A">
        <w:rPr>
          <w:lang w:eastAsia="en-US" w:bidi="fa-IR"/>
        </w:rPr>
        <w:t xml:space="preserve"> visit friends and relatives (people without accessibility needs may also be impacted if family and friends with accessibility needs are unable to visit them)</w:t>
      </w:r>
    </w:p>
    <w:p w14:paraId="457D13E5" w14:textId="77777777" w:rsidR="00E4023A" w:rsidRDefault="00E4023A" w:rsidP="00F11742">
      <w:pPr>
        <w:pStyle w:val="ListBullet2"/>
        <w:rPr>
          <w:lang w:eastAsia="en-US" w:bidi="fa-IR"/>
        </w:rPr>
      </w:pPr>
      <w:r>
        <w:rPr>
          <w:lang w:eastAsia="en-US" w:bidi="fa-IR"/>
        </w:rPr>
        <w:lastRenderedPageBreak/>
        <w:t>inappropriate or premature entry into residential aged care (or other institutional care) due to dwellings lacking accessibility features</w:t>
      </w:r>
    </w:p>
    <w:p w14:paraId="6A710AFC" w14:textId="77777777" w:rsidR="00AD15B6" w:rsidRDefault="00AD15B6" w:rsidP="00AD15B6">
      <w:pPr>
        <w:pStyle w:val="ListBullet2"/>
        <w:rPr>
          <w:lang w:eastAsia="en-US" w:bidi="fa-IR"/>
        </w:rPr>
      </w:pPr>
      <w:r>
        <w:rPr>
          <w:lang w:eastAsia="en-US" w:bidi="fa-IR"/>
        </w:rPr>
        <w:t>inconvenience for families with young children (who may use a pram)</w:t>
      </w:r>
    </w:p>
    <w:p w14:paraId="0DBF5ABD" w14:textId="77777777" w:rsidR="00AD15B6" w:rsidRDefault="00AD15B6" w:rsidP="00F11742">
      <w:pPr>
        <w:pStyle w:val="ListBullet2"/>
        <w:rPr>
          <w:lang w:eastAsia="en-US" w:bidi="fa-IR"/>
        </w:rPr>
      </w:pPr>
      <w:r>
        <w:rPr>
          <w:lang w:eastAsia="en-US" w:bidi="fa-IR"/>
        </w:rPr>
        <w:t>inconvenience for people with short</w:t>
      </w:r>
      <w:r>
        <w:rPr>
          <w:lang w:eastAsia="en-US" w:bidi="fa-IR"/>
        </w:rPr>
        <w:noBreakHyphen/>
        <w:t>term injuries.</w:t>
      </w:r>
    </w:p>
    <w:p w14:paraId="0108BB70" w14:textId="77777777" w:rsidR="00E4023A" w:rsidRDefault="00E4023A" w:rsidP="00E4023A">
      <w:pPr>
        <w:pStyle w:val="BodyText"/>
      </w:pPr>
      <w:r>
        <w:t xml:space="preserve">There are a significant number of government policies in place to either subsidise, directly provide or encourage private provision of housing that meets the needs of people with </w:t>
      </w:r>
      <w:r w:rsidR="00D870C0">
        <w:t xml:space="preserve">disability </w:t>
      </w:r>
      <w:r>
        <w:t xml:space="preserve">and older people. Key policies to ensure that people with </w:t>
      </w:r>
      <w:r w:rsidR="00D870C0">
        <w:t xml:space="preserve">disability </w:t>
      </w:r>
      <w:r>
        <w:t>and older people have access to housing that meets their needs include:</w:t>
      </w:r>
    </w:p>
    <w:p w14:paraId="470B62B2" w14:textId="77777777" w:rsidR="00E4023A" w:rsidRPr="006D339B" w:rsidRDefault="00E4023A" w:rsidP="00E4023A">
      <w:pPr>
        <w:pStyle w:val="ListBullet"/>
        <w:numPr>
          <w:ilvl w:val="0"/>
          <w:numId w:val="16"/>
        </w:numPr>
      </w:pPr>
      <w:r w:rsidRPr="006D339B">
        <w:t>funding home modifications and other support services (through the NDIS and various aged care policies) to support people with mobility limitations to stay in their own home</w:t>
      </w:r>
    </w:p>
    <w:p w14:paraId="1AD62A8C" w14:textId="77777777" w:rsidR="00E4023A" w:rsidRDefault="00E4023A" w:rsidP="00E4023A">
      <w:pPr>
        <w:pStyle w:val="ListBullet"/>
        <w:numPr>
          <w:ilvl w:val="0"/>
          <w:numId w:val="16"/>
        </w:numPr>
      </w:pPr>
      <w:r>
        <w:t>funding for residential aged care places</w:t>
      </w:r>
    </w:p>
    <w:p w14:paraId="252B00AC" w14:textId="77777777" w:rsidR="00E4023A" w:rsidRDefault="00E4023A" w:rsidP="00E4023A">
      <w:pPr>
        <w:pStyle w:val="ListBullet"/>
        <w:numPr>
          <w:ilvl w:val="0"/>
          <w:numId w:val="16"/>
        </w:numPr>
      </w:pPr>
      <w:r>
        <w:t>state and local government</w:t>
      </w:r>
      <w:r w:rsidR="00DD7A31">
        <w:t xml:space="preserve"> planning policies</w:t>
      </w:r>
      <w:r>
        <w:t xml:space="preserve"> </w:t>
      </w:r>
      <w:r w:rsidR="00DD7A31">
        <w:t>that</w:t>
      </w:r>
      <w:r>
        <w:t xml:space="preserve"> encourage private provision of accessible housing</w:t>
      </w:r>
      <w:r w:rsidR="00233C02">
        <w:t>,</w:t>
      </w:r>
      <w:r w:rsidR="00DD7A31">
        <w:t xml:space="preserve"> and</w:t>
      </w:r>
    </w:p>
    <w:p w14:paraId="7DC588B8" w14:textId="77777777" w:rsidR="00E4023A" w:rsidRDefault="00E4023A" w:rsidP="00E4023A">
      <w:pPr>
        <w:pStyle w:val="ListBullet"/>
        <w:numPr>
          <w:ilvl w:val="0"/>
          <w:numId w:val="16"/>
        </w:numPr>
      </w:pPr>
      <w:r>
        <w:t>provision of accessible social and community housing.</w:t>
      </w:r>
    </w:p>
    <w:p w14:paraId="1E1AEA90" w14:textId="77777777" w:rsidR="00E51647" w:rsidRPr="00FB225F" w:rsidRDefault="00E4023A" w:rsidP="00E4023A">
      <w:pPr>
        <w:pStyle w:val="BodyText"/>
        <w:rPr>
          <w:spacing w:val="-3"/>
        </w:rPr>
      </w:pPr>
      <w:r w:rsidRPr="00FB225F">
        <w:rPr>
          <w:spacing w:val="-3"/>
        </w:rPr>
        <w:t xml:space="preserve">Despite these policies and other services available, </w:t>
      </w:r>
      <w:r w:rsidR="00A418CC" w:rsidRPr="00FB225F">
        <w:rPr>
          <w:spacing w:val="-3"/>
        </w:rPr>
        <w:t>there are limitations</w:t>
      </w:r>
      <w:r w:rsidR="00AD15B6" w:rsidRPr="00FB225F">
        <w:rPr>
          <w:spacing w:val="-3"/>
        </w:rPr>
        <w:t xml:space="preserve"> </w:t>
      </w:r>
      <w:r w:rsidR="00A418CC" w:rsidRPr="00FB225F">
        <w:rPr>
          <w:spacing w:val="-3"/>
        </w:rPr>
        <w:t xml:space="preserve">and </w:t>
      </w:r>
      <w:r w:rsidRPr="00FB225F">
        <w:rPr>
          <w:spacing w:val="-3"/>
        </w:rPr>
        <w:t xml:space="preserve">a range of costs that could potentially be avoided through increased provision of accessible housing. These are complex matters and the indicators used to identify the number of people affected and other information relied onto to quantify the benefits are imperfect. As such there is significant uncertainty around </w:t>
      </w:r>
      <w:r w:rsidR="00186324" w:rsidRPr="00FB225F">
        <w:rPr>
          <w:spacing w:val="-3"/>
        </w:rPr>
        <w:t xml:space="preserve">the </w:t>
      </w:r>
      <w:r w:rsidR="00E51647" w:rsidRPr="00FB225F">
        <w:rPr>
          <w:spacing w:val="-3"/>
        </w:rPr>
        <w:t>number of people affected by each of the problems outline above</w:t>
      </w:r>
      <w:r w:rsidR="00457B62" w:rsidRPr="00FB225F">
        <w:rPr>
          <w:spacing w:val="-3"/>
        </w:rPr>
        <w:t>.</w:t>
      </w:r>
    </w:p>
    <w:p w14:paraId="09A56990" w14:textId="77777777" w:rsidR="00E51647" w:rsidRPr="00FB225F" w:rsidRDefault="00E51647" w:rsidP="00E51647">
      <w:pPr>
        <w:pStyle w:val="BodyText"/>
        <w:rPr>
          <w:spacing w:val="-3"/>
        </w:rPr>
      </w:pPr>
      <w:r w:rsidRPr="00FB225F">
        <w:rPr>
          <w:spacing w:val="-3"/>
        </w:rPr>
        <w:t>Based on the evidence available, the number of people per year that could be affected by a lack of accessible housing is summarised in table 3.1. Note that these estimates are not additive across each of the problems as many people may be affected by multiple problems.</w:t>
      </w:r>
    </w:p>
    <w:p w14:paraId="29CF6539" w14:textId="77C825D4" w:rsidR="00E51647" w:rsidRDefault="00076C9B" w:rsidP="00076C9B">
      <w:pPr>
        <w:pStyle w:val="Caption"/>
        <w:spacing w:after="60"/>
      </w:pPr>
      <w:bookmarkStart w:id="102" w:name="_Toc70505500"/>
      <w:r>
        <w:t>3.1</w:t>
      </w:r>
      <w:r w:rsidR="00E51647" w:rsidRPr="00695C93">
        <w:tab/>
      </w:r>
      <w:r w:rsidR="00E51647">
        <w:t xml:space="preserve">Number of people affected by </w:t>
      </w:r>
      <w:r w:rsidR="009C436D">
        <w:t xml:space="preserve">a </w:t>
      </w:r>
      <w:r w:rsidR="001B3CE4">
        <w:t xml:space="preserve">lack of accessible </w:t>
      </w:r>
      <w:r w:rsidR="00E51647">
        <w:t>housing per year</w:t>
      </w:r>
      <w:bookmarkEnd w:id="102"/>
    </w:p>
    <w:tbl>
      <w:tblPr>
        <w:tblW w:w="0" w:type="auto"/>
        <w:tblLayout w:type="fixed"/>
        <w:tblLook w:val="0000" w:firstRow="0" w:lastRow="0" w:firstColumn="0" w:lastColumn="0" w:noHBand="0" w:noVBand="0"/>
        <w:tblCaption w:val="Table 3.1: Number of people affected by a lack of accessible housing per year"/>
        <w:tblDescription w:val="This table contains a summary of the problems of inaccessible housing and the number of people affected by each type of problem per year. Problems include safety costs (325,100 people afffected), additional carer-related costs (453,400 people affected) and quality of life (554,400 people affected)."/>
      </w:tblPr>
      <w:tblGrid>
        <w:gridCol w:w="3968"/>
        <w:gridCol w:w="3969"/>
      </w:tblGrid>
      <w:tr w:rsidR="00E51647" w14:paraId="099A8712" w14:textId="77777777" w:rsidTr="00E51647">
        <w:tc>
          <w:tcPr>
            <w:tcW w:w="3968" w:type="dxa"/>
            <w:tcBorders>
              <w:bottom w:val="single" w:sz="8" w:space="0" w:color="FFFFFF" w:themeColor="background1"/>
            </w:tcBorders>
            <w:shd w:val="clear" w:color="auto" w:fill="6F6652"/>
            <w:tcMar>
              <w:left w:w="57" w:type="dxa"/>
              <w:right w:w="57" w:type="dxa"/>
            </w:tcMar>
          </w:tcPr>
          <w:p w14:paraId="146B001F" w14:textId="77777777" w:rsidR="00E51647" w:rsidRDefault="00FB1245" w:rsidP="005908AC">
            <w:pPr>
              <w:pStyle w:val="TableTextColumnHeading"/>
            </w:pPr>
            <w:r>
              <w:t>Assessed p</w:t>
            </w:r>
            <w:r w:rsidR="00E51647">
              <w:t>roblem</w:t>
            </w:r>
          </w:p>
        </w:tc>
        <w:tc>
          <w:tcPr>
            <w:tcW w:w="3969" w:type="dxa"/>
            <w:tcBorders>
              <w:bottom w:val="single" w:sz="8" w:space="0" w:color="FFFFFF" w:themeColor="background1"/>
            </w:tcBorders>
            <w:shd w:val="clear" w:color="auto" w:fill="6F6652"/>
            <w:tcMar>
              <w:left w:w="57" w:type="dxa"/>
              <w:right w:w="57" w:type="dxa"/>
            </w:tcMar>
          </w:tcPr>
          <w:p w14:paraId="67F05284" w14:textId="77777777" w:rsidR="00E51647" w:rsidRDefault="00E51647" w:rsidP="005908AC">
            <w:pPr>
              <w:pStyle w:val="TableTextColumnHeading"/>
            </w:pPr>
            <w:r>
              <w:t>Estimated number of people affected per year</w:t>
            </w:r>
          </w:p>
        </w:tc>
      </w:tr>
      <w:tr w:rsidR="00E51647" w14:paraId="373AF85F"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3C6D59" w14:textId="77777777" w:rsidR="00E51647" w:rsidRDefault="00E51647" w:rsidP="005908AC">
            <w:pPr>
              <w:pStyle w:val="TableTextEntries"/>
            </w:pPr>
            <w:r>
              <w:t>Safety-</w:t>
            </w:r>
            <w:r w:rsidR="006E3EE5">
              <w:t>risks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B9E77" w14:textId="77777777" w:rsidR="00E51647" w:rsidRDefault="00E51647" w:rsidP="005908AC">
            <w:pPr>
              <w:pStyle w:val="TableTextEntries"/>
            </w:pPr>
            <w:r>
              <w:t>325 100</w:t>
            </w:r>
          </w:p>
        </w:tc>
      </w:tr>
      <w:tr w:rsidR="00E51647" w14:paraId="5974B771"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5736BE" w14:textId="77777777" w:rsidR="00E51647" w:rsidRDefault="00E51647" w:rsidP="005908AC">
            <w:pPr>
              <w:pStyle w:val="TableTextEntries"/>
            </w:pPr>
            <w:r>
              <w:t>Additional care</w:t>
            </w:r>
            <w:r w:rsidR="006E3EE5">
              <w:t xml:space="preserve"> needs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DBF5E1" w14:textId="77777777" w:rsidR="00E51647" w:rsidRDefault="00E51647" w:rsidP="005908AC">
            <w:pPr>
              <w:pStyle w:val="TableTextEntries"/>
            </w:pPr>
            <w:r>
              <w:t>453 400</w:t>
            </w:r>
            <w:r w:rsidRPr="00E4232C">
              <w:rPr>
                <w:rStyle w:val="NoteLabel"/>
              </w:rPr>
              <w:t xml:space="preserve"> </w:t>
            </w:r>
          </w:p>
        </w:tc>
      </w:tr>
      <w:tr w:rsidR="00E51647" w14:paraId="3E9DDC54"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AE49CF" w14:textId="77777777" w:rsidR="00E51647" w:rsidRDefault="00E51647" w:rsidP="005908AC">
            <w:pPr>
              <w:pStyle w:val="TableTextEntries"/>
            </w:pPr>
            <w:r>
              <w:t>Quality of life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526948" w14:textId="77777777" w:rsidR="00E51647" w:rsidRDefault="00E51647" w:rsidP="005908AC">
            <w:pPr>
              <w:pStyle w:val="TableTextEntries"/>
            </w:pPr>
            <w:r>
              <w:t>554 400</w:t>
            </w:r>
          </w:p>
        </w:tc>
      </w:tr>
      <w:tr w:rsidR="00E51647" w14:paraId="455F34E5"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1A4EF1" w14:textId="77777777" w:rsidR="00E51647" w:rsidRDefault="00E51647" w:rsidP="005908AC">
            <w:pPr>
              <w:pStyle w:val="TableTextEntries"/>
            </w:pPr>
            <w:r>
              <w:t>Additional time in hospital/transition care</w:t>
            </w:r>
            <w:r w:rsidRPr="00E4232C">
              <w:rPr>
                <w:rStyle w:val="NoteLabel"/>
              </w:rPr>
              <w:t xml:space="preserve"> </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5357E2" w14:textId="77777777" w:rsidR="00E51647" w:rsidRDefault="00E51647" w:rsidP="005908AC">
            <w:pPr>
              <w:pStyle w:val="TableTextEntries"/>
            </w:pPr>
            <w:r>
              <w:t>159 900</w:t>
            </w:r>
          </w:p>
        </w:tc>
      </w:tr>
      <w:tr w:rsidR="00E51647" w14:paraId="27EF8100" w14:textId="77777777" w:rsidTr="00E51647">
        <w:trPr>
          <w:trHeight w:val="317"/>
        </w:trPr>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7D0D14" w14:textId="77777777" w:rsidR="00E51647" w:rsidRDefault="00E51647" w:rsidP="005908AC">
            <w:pPr>
              <w:pStyle w:val="TableTextEntries"/>
            </w:pPr>
            <w:r>
              <w:t>Home modifications</w:t>
            </w:r>
            <w:r w:rsidR="000C6461">
              <w:t xml:space="preserve"> per annum</w:t>
            </w:r>
            <w:r>
              <w:rPr>
                <w:rStyle w:val="NoteLabel"/>
              </w:rPr>
              <w:t xml:space="preserve"> a</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6BBAF2" w14:textId="77777777" w:rsidR="00E51647" w:rsidRDefault="00E51647" w:rsidP="005908AC">
            <w:pPr>
              <w:pStyle w:val="TableTextEntries"/>
            </w:pPr>
            <w:r>
              <w:t>21 790</w:t>
            </w:r>
          </w:p>
        </w:tc>
      </w:tr>
      <w:tr w:rsidR="00E51647" w14:paraId="3D39F3D8"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4A17C" w14:textId="77777777" w:rsidR="00E51647" w:rsidRDefault="00E51647" w:rsidP="005908AC">
            <w:pPr>
              <w:pStyle w:val="TableTextEntries"/>
            </w:pPr>
            <w:r>
              <w:t xml:space="preserve">Additional </w:t>
            </w:r>
            <w:r w:rsidR="000C7A10">
              <w:t>home moves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23ECA3" w14:textId="77777777" w:rsidR="00E51647" w:rsidRDefault="000A5F83" w:rsidP="005908AC">
            <w:pPr>
              <w:pStyle w:val="TableTextEntries"/>
            </w:pPr>
            <w:r>
              <w:t xml:space="preserve">Range of </w:t>
            </w:r>
            <w:r w:rsidR="00E51647">
              <w:t xml:space="preserve">6 400 – 17 300 </w:t>
            </w:r>
          </w:p>
        </w:tc>
      </w:tr>
      <w:tr w:rsidR="00E51647" w14:paraId="69B8A1DC"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4C7C02" w14:textId="77777777" w:rsidR="00E51647" w:rsidRDefault="00E51647" w:rsidP="005908AC">
            <w:pPr>
              <w:pStyle w:val="TableTextEntries"/>
            </w:pPr>
            <w:r>
              <w:t xml:space="preserve">Premature/inappropriate entry into </w:t>
            </w:r>
            <w:r w:rsidR="00BD593E">
              <w:t xml:space="preserve">residential </w:t>
            </w:r>
            <w:r>
              <w:t>aged care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3E510F" w14:textId="77777777" w:rsidR="00E51647" w:rsidRDefault="00FE7EEA" w:rsidP="005908AC">
            <w:pPr>
              <w:pStyle w:val="TableTextEntries"/>
            </w:pPr>
            <w:r>
              <w:t xml:space="preserve">Range of </w:t>
            </w:r>
            <w:r w:rsidR="00E51647">
              <w:t>2 767 – 6 199</w:t>
            </w:r>
          </w:p>
        </w:tc>
      </w:tr>
      <w:tr w:rsidR="00E51647" w14:paraId="7462F5BC"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2666F6" w14:textId="77777777" w:rsidR="00E51647" w:rsidRDefault="000C7A10" w:rsidP="005908AC">
            <w:pPr>
              <w:pStyle w:val="TableTextEntries"/>
            </w:pPr>
            <w:r>
              <w:t>Inability to visit family and friends (</w:t>
            </w:r>
            <w:r w:rsidR="00E51647">
              <w:t>vis</w:t>
            </w:r>
            <w:r>
              <w:t>i</w:t>
            </w:r>
            <w:r w:rsidR="00E51647">
              <w:t>tability</w:t>
            </w:r>
            <w:r>
              <w:t>)</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48D6BD" w14:textId="77777777" w:rsidR="00E51647" w:rsidRDefault="00E51647" w:rsidP="005908AC">
            <w:pPr>
              <w:pStyle w:val="TableTextEntries"/>
            </w:pPr>
            <w:r>
              <w:t>85 800</w:t>
            </w:r>
          </w:p>
        </w:tc>
      </w:tr>
      <w:tr w:rsidR="00E51647" w14:paraId="1986CE85" w14:textId="77777777" w:rsidTr="00E51647">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7A2EC7" w14:textId="77777777" w:rsidR="00E51647" w:rsidRDefault="00E51647" w:rsidP="005908AC">
            <w:pPr>
              <w:pStyle w:val="TableTextEntries"/>
            </w:pPr>
            <w:r>
              <w:t xml:space="preserve">Families with young </w:t>
            </w:r>
            <w:r w:rsidR="003F2BCB">
              <w:t>dependants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6136F9" w14:textId="77777777" w:rsidR="00E51647" w:rsidRDefault="00FE7EEA" w:rsidP="005908AC">
            <w:pPr>
              <w:pStyle w:val="TableTextEntries"/>
            </w:pPr>
            <w:r>
              <w:t xml:space="preserve">Up to </w:t>
            </w:r>
            <w:r w:rsidR="00E51647">
              <w:t>16 000</w:t>
            </w:r>
          </w:p>
        </w:tc>
      </w:tr>
      <w:tr w:rsidR="00E51647" w14:paraId="5AAC85EA" w14:textId="77777777" w:rsidTr="00E51647">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14:paraId="63AD728C" w14:textId="77777777" w:rsidR="00E51647" w:rsidRDefault="00E51647" w:rsidP="005908AC">
            <w:pPr>
              <w:pStyle w:val="TableTextEntries"/>
            </w:pPr>
            <w:r>
              <w:t>Short-term injuries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14:paraId="10104179" w14:textId="77777777" w:rsidR="00E51647" w:rsidRDefault="00E51647" w:rsidP="005908AC">
            <w:pPr>
              <w:pStyle w:val="TableTextEntries"/>
            </w:pPr>
            <w:r>
              <w:t>17 551</w:t>
            </w:r>
          </w:p>
        </w:tc>
      </w:tr>
    </w:tbl>
    <w:p w14:paraId="279A3C60" w14:textId="77777777" w:rsidR="00E51647" w:rsidRDefault="00E51647" w:rsidP="00E51647">
      <w:pPr>
        <w:pStyle w:val="Note"/>
        <w:rPr>
          <w:lang w:bidi="fa-IR"/>
        </w:rPr>
      </w:pPr>
      <w:r>
        <w:rPr>
          <w:rStyle w:val="NoteLabel"/>
        </w:rPr>
        <w:t>a</w:t>
      </w:r>
      <w:r>
        <w:t xml:space="preserve"> Assumes 1 person per relevant modification per year </w:t>
      </w:r>
      <w:r>
        <w:br/>
      </w:r>
      <w:r w:rsidRPr="0010789E">
        <w:rPr>
          <w:lang w:bidi="fa-IR"/>
        </w:rPr>
        <w:t>Note:</w:t>
      </w:r>
      <w:r w:rsidRPr="00E879B8">
        <w:rPr>
          <w:lang w:bidi="fa-IR"/>
        </w:rPr>
        <w:t xml:space="preserve"> </w:t>
      </w:r>
      <w:r>
        <w:rPr>
          <w:lang w:bidi="fa-IR"/>
        </w:rPr>
        <w:t>the number of people affected is not additive across each type of problem</w:t>
      </w:r>
      <w:r w:rsidR="00067B3B">
        <w:rPr>
          <w:lang w:bidi="fa-IR"/>
        </w:rPr>
        <w:t>.</w:t>
      </w:r>
    </w:p>
    <w:p w14:paraId="630AE499" w14:textId="77777777" w:rsidR="00E51647" w:rsidRPr="000846CB" w:rsidRDefault="00E51647" w:rsidP="00E51647">
      <w:pPr>
        <w:pStyle w:val="Note"/>
        <w:rPr>
          <w:i/>
          <w:iCs/>
        </w:rPr>
      </w:pPr>
      <w:r w:rsidRPr="0010789E">
        <w:rPr>
          <w:lang w:bidi="fa-IR"/>
        </w:rPr>
        <w:t>Source: CIE</w:t>
      </w:r>
      <w:r w:rsidR="002E14B2" w:rsidRPr="0010789E">
        <w:rPr>
          <w:lang w:bidi="fa-IR"/>
        </w:rPr>
        <w:t xml:space="preserve"> (details are provided in chapter </w:t>
      </w:r>
      <w:r w:rsidR="004C7A95" w:rsidRPr="0010789E">
        <w:rPr>
          <w:lang w:bidi="fa-IR"/>
        </w:rPr>
        <w:t xml:space="preserve">three </w:t>
      </w:r>
      <w:r w:rsidR="002E14B2" w:rsidRPr="0010789E">
        <w:rPr>
          <w:lang w:bidi="fa-IR"/>
        </w:rPr>
        <w:t xml:space="preserve"> and appendices B </w:t>
      </w:r>
      <w:r w:rsidR="00FB1245" w:rsidRPr="0010789E">
        <w:rPr>
          <w:lang w:bidi="fa-IR"/>
        </w:rPr>
        <w:t>-</w:t>
      </w:r>
      <w:r w:rsidR="002E14B2" w:rsidRPr="0010789E">
        <w:rPr>
          <w:lang w:bidi="fa-IR"/>
        </w:rPr>
        <w:t xml:space="preserve"> I</w:t>
      </w:r>
      <w:r w:rsidR="005913B3" w:rsidRPr="0010789E">
        <w:rPr>
          <w:lang w:bidi="fa-IR"/>
        </w:rPr>
        <w:t>)</w:t>
      </w:r>
      <w:r w:rsidR="00FB225F">
        <w:rPr>
          <w:lang w:bidi="fa-IR"/>
        </w:rPr>
        <w:t>.</w:t>
      </w:r>
    </w:p>
    <w:p w14:paraId="33F0A47D" w14:textId="77777777" w:rsidR="00554412" w:rsidRDefault="00554412" w:rsidP="00E4023A">
      <w:pPr>
        <w:pStyle w:val="BodyText"/>
        <w:rPr>
          <w:lang w:bidi="fa-IR"/>
        </w:rPr>
      </w:pPr>
      <w:r>
        <w:rPr>
          <w:lang w:bidi="fa-IR"/>
        </w:rPr>
        <w:lastRenderedPageBreak/>
        <w:t xml:space="preserve">While the number of people affected by inaccessible housing appears </w:t>
      </w:r>
      <w:r w:rsidR="00FB1245">
        <w:rPr>
          <w:lang w:bidi="fa-IR"/>
        </w:rPr>
        <w:t xml:space="preserve">to be </w:t>
      </w:r>
      <w:r>
        <w:rPr>
          <w:lang w:bidi="fa-IR"/>
        </w:rPr>
        <w:t xml:space="preserve">a small proportion of the total population, the costs to the community for those whose needs are not met (or have incurred significant cost in having their needs met) are estimated to be significant. The costs to the community are assessed and estimated around each type of problem. </w:t>
      </w:r>
    </w:p>
    <w:p w14:paraId="31E32042" w14:textId="77777777" w:rsidR="00E4023A" w:rsidRDefault="00E51647" w:rsidP="00E4023A">
      <w:pPr>
        <w:pStyle w:val="BodyText"/>
      </w:pPr>
      <w:r>
        <w:t>T</w:t>
      </w:r>
      <w:r w:rsidR="00E4023A" w:rsidRPr="006D339B">
        <w:t xml:space="preserve">he size of the problem </w:t>
      </w:r>
      <w:r>
        <w:t xml:space="preserve">has also been estimated in dollar terms. As there is significant uncertainty around some costs, </w:t>
      </w:r>
      <w:r w:rsidR="00E4023A" w:rsidRPr="006D339B">
        <w:t>a range</w:t>
      </w:r>
      <w:r w:rsidR="00186324">
        <w:t xml:space="preserve"> has been estimated</w:t>
      </w:r>
      <w:r>
        <w:t xml:space="preserve"> in some cases</w:t>
      </w:r>
      <w:r w:rsidR="00E4023A" w:rsidRPr="006D339B">
        <w:t>.</w:t>
      </w:r>
      <w:r w:rsidR="00E4023A">
        <w:t xml:space="preserve"> </w:t>
      </w:r>
    </w:p>
    <w:p w14:paraId="71595D70" w14:textId="77777777" w:rsidR="00E4023A" w:rsidRDefault="00E4023A" w:rsidP="00E4023A">
      <w:pPr>
        <w:pStyle w:val="ListBullet"/>
        <w:numPr>
          <w:ilvl w:val="0"/>
          <w:numId w:val="16"/>
        </w:numPr>
      </w:pPr>
      <w:r>
        <w:t xml:space="preserve">Based on the information available </w:t>
      </w:r>
      <w:r w:rsidR="00CF3739">
        <w:t xml:space="preserve">it is </w:t>
      </w:r>
      <w:r>
        <w:t>estimate</w:t>
      </w:r>
      <w:r w:rsidR="00CF3739">
        <w:t>d</w:t>
      </w:r>
      <w:r>
        <w:t xml:space="preserve"> that the costs associated with a lack of accessible housing could be in a range between </w:t>
      </w:r>
      <w:r w:rsidRPr="00D61347">
        <w:t>around $</w:t>
      </w:r>
      <w:r w:rsidR="00AD15B6">
        <w:t>3</w:t>
      </w:r>
      <w:r w:rsidR="00596939" w:rsidRPr="00D61347">
        <w:t>.</w:t>
      </w:r>
      <w:r w:rsidR="007C147A" w:rsidRPr="00D61347">
        <w:t>0</w:t>
      </w:r>
      <w:r w:rsidRPr="00D61347">
        <w:t> billion and $</w:t>
      </w:r>
      <w:r w:rsidR="00AD15B6">
        <w:t>6.</w:t>
      </w:r>
      <w:r w:rsidR="00BF5152">
        <w:t>7</w:t>
      </w:r>
      <w:r w:rsidR="00BF5152" w:rsidRPr="00D61347">
        <w:t> </w:t>
      </w:r>
      <w:r w:rsidRPr="00D61347">
        <w:t>billion per year, with a central case estimate of around $</w:t>
      </w:r>
      <w:r w:rsidR="00AD15B6">
        <w:t>4.</w:t>
      </w:r>
      <w:r w:rsidR="00BF5152">
        <w:t>2</w:t>
      </w:r>
      <w:r w:rsidR="00BF5152" w:rsidRPr="00D61347">
        <w:t> </w:t>
      </w:r>
      <w:r w:rsidRPr="00D61347">
        <w:t xml:space="preserve">billion (based on 2018 </w:t>
      </w:r>
      <w:r w:rsidR="00710EE1" w:rsidRPr="00D61347">
        <w:t xml:space="preserve">SDAC </w:t>
      </w:r>
      <w:r w:rsidRPr="00D61347">
        <w:t>data) (table </w:t>
      </w:r>
      <w:r w:rsidR="005F4FC0">
        <w:rPr>
          <w:lang w:eastAsia="en-US"/>
        </w:rPr>
        <w:t>3.</w:t>
      </w:r>
      <w:r w:rsidR="00E51647">
        <w:rPr>
          <w:lang w:eastAsia="en-US"/>
        </w:rPr>
        <w:t>2</w:t>
      </w:r>
      <w:r w:rsidRPr="00D61347">
        <w:t xml:space="preserve">). </w:t>
      </w:r>
      <w:r w:rsidR="00360E05" w:rsidRPr="00D61347">
        <w:t>In response to public submissions to the</w:t>
      </w:r>
      <w:r w:rsidR="00360E05">
        <w:t xml:space="preserve"> Consultation RIS, the following updates/adjustment have been made:</w:t>
      </w:r>
    </w:p>
    <w:p w14:paraId="0C628D3F" w14:textId="77777777" w:rsidR="00AD15B6" w:rsidRDefault="00AD15B6" w:rsidP="00E4023A">
      <w:pPr>
        <w:pStyle w:val="ListBullet2"/>
        <w:numPr>
          <w:ilvl w:val="1"/>
          <w:numId w:val="16"/>
        </w:numPr>
        <w:ind w:left="568" w:hanging="284"/>
      </w:pPr>
      <w:r>
        <w:t>morbidity costs associated with falls have been included in the estimate</w:t>
      </w:r>
    </w:p>
    <w:p w14:paraId="3BD17198" w14:textId="77777777" w:rsidR="00AD15B6" w:rsidRDefault="00AD15B6" w:rsidP="00E4023A">
      <w:pPr>
        <w:pStyle w:val="ListBullet2"/>
        <w:numPr>
          <w:ilvl w:val="1"/>
          <w:numId w:val="16"/>
        </w:numPr>
        <w:ind w:left="568" w:hanging="284"/>
      </w:pPr>
      <w:r>
        <w:t>reduced ‘quality of life’ due to inaccessible housing has been estimated (albeit based on limited evidence)</w:t>
      </w:r>
    </w:p>
    <w:p w14:paraId="6CFFA789" w14:textId="77777777" w:rsidR="00360E05" w:rsidRDefault="00360E05" w:rsidP="00E4023A">
      <w:pPr>
        <w:pStyle w:val="ListBullet2"/>
        <w:numPr>
          <w:ilvl w:val="1"/>
          <w:numId w:val="16"/>
        </w:numPr>
        <w:ind w:left="568" w:hanging="284"/>
      </w:pPr>
      <w:r>
        <w:t>informal care costs are updated to reflect the replacement cost of providing similar care</w:t>
      </w:r>
    </w:p>
    <w:p w14:paraId="26CB3260" w14:textId="77777777" w:rsidR="00360E05" w:rsidRDefault="00BE133F" w:rsidP="00E4023A">
      <w:pPr>
        <w:pStyle w:val="ListBullet2"/>
        <w:numPr>
          <w:ilvl w:val="1"/>
          <w:numId w:val="16"/>
        </w:numPr>
        <w:ind w:left="568" w:hanging="284"/>
      </w:pPr>
      <w:r>
        <w:t>the estimated cost of additional moves due to inaccessible housing has been updated to reflect a broader range of costs</w:t>
      </w:r>
      <w:r w:rsidR="00FB225F">
        <w:t>,</w:t>
      </w:r>
      <w:r>
        <w:t xml:space="preserve"> </w:t>
      </w:r>
      <w:r w:rsidR="007C147A">
        <w:t>and</w:t>
      </w:r>
    </w:p>
    <w:p w14:paraId="5C584D3D" w14:textId="77777777" w:rsidR="00E4023A" w:rsidRDefault="00360E05" w:rsidP="00E4023A">
      <w:pPr>
        <w:pStyle w:val="ListBullet2"/>
        <w:numPr>
          <w:ilvl w:val="1"/>
          <w:numId w:val="16"/>
        </w:numPr>
        <w:ind w:left="568" w:hanging="284"/>
      </w:pPr>
      <w:r>
        <w:t xml:space="preserve">impacts on short-term mobility injuries and on families with young </w:t>
      </w:r>
      <w:r w:rsidR="003F2BCB">
        <w:t xml:space="preserve">dependants </w:t>
      </w:r>
      <w:r>
        <w:t>have been added</w:t>
      </w:r>
      <w:r w:rsidR="007C147A">
        <w:t>.</w:t>
      </w:r>
    </w:p>
    <w:p w14:paraId="4297F820" w14:textId="77777777" w:rsidR="00E4023A" w:rsidRDefault="00E4023A" w:rsidP="00E4023A">
      <w:pPr>
        <w:pStyle w:val="ListBullet"/>
        <w:numPr>
          <w:ilvl w:val="0"/>
          <w:numId w:val="16"/>
        </w:numPr>
      </w:pPr>
      <w:r>
        <w:t xml:space="preserve">If these costs increase in proportion to the number of people with accessibility needs, </w:t>
      </w:r>
      <w:r w:rsidR="00CF3739">
        <w:t xml:space="preserve">it is </w:t>
      </w:r>
      <w:r>
        <w:t>estimate</w:t>
      </w:r>
      <w:r w:rsidR="00CF3739">
        <w:t>d</w:t>
      </w:r>
      <w:r>
        <w:t xml:space="preserve"> that these costs could increase to between </w:t>
      </w:r>
      <w:r w:rsidRPr="0041473F">
        <w:t>around $</w:t>
      </w:r>
      <w:r w:rsidR="00BE133F">
        <w:t>4.</w:t>
      </w:r>
      <w:r w:rsidR="00BF5152">
        <w:t>6</w:t>
      </w:r>
      <w:r w:rsidR="00BF5152" w:rsidRPr="003673E8">
        <w:t> </w:t>
      </w:r>
      <w:r w:rsidRPr="003673E8">
        <w:t xml:space="preserve">billion and </w:t>
      </w:r>
      <w:r w:rsidRPr="007726E5">
        <w:t>$</w:t>
      </w:r>
      <w:r w:rsidR="00BF5152">
        <w:t>10.2</w:t>
      </w:r>
      <w:r w:rsidRPr="0041473F">
        <w:t> </w:t>
      </w:r>
      <w:r w:rsidRPr="004B4391">
        <w:t>billion</w:t>
      </w:r>
      <w:r w:rsidRPr="00331E11">
        <w:t xml:space="preserve"> </w:t>
      </w:r>
      <w:r w:rsidRPr="003673E8">
        <w:t>per ann</w:t>
      </w:r>
      <w:r>
        <w:t>um by 2040, with a central case estimate of $</w:t>
      </w:r>
      <w:r w:rsidR="00BF5152">
        <w:t>6.4</w:t>
      </w:r>
      <w:r>
        <w:t> billion.</w:t>
      </w:r>
    </w:p>
    <w:p w14:paraId="5B16AABB" w14:textId="77777777" w:rsidR="007C147A" w:rsidRDefault="007C147A" w:rsidP="007C147A">
      <w:pPr>
        <w:pStyle w:val="ListBullet"/>
        <w:numPr>
          <w:ilvl w:val="0"/>
          <w:numId w:val="16"/>
        </w:numPr>
      </w:pPr>
      <w:r>
        <w:t xml:space="preserve">In addition, </w:t>
      </w:r>
      <w:r w:rsidR="00CF3739">
        <w:t xml:space="preserve">CIE </w:t>
      </w:r>
      <w:r>
        <w:t>ha</w:t>
      </w:r>
      <w:r w:rsidR="00DD7A31">
        <w:t>s</w:t>
      </w:r>
      <w:r>
        <w:t xml:space="preserve"> tried to provide some indicative estimates</w:t>
      </w:r>
      <w:r w:rsidR="004D61C9">
        <w:t xml:space="preserve"> or an order of magnitude</w:t>
      </w:r>
      <w:r>
        <w:t xml:space="preserve"> for the unquantifiable costs of the problem</w:t>
      </w:r>
      <w:r w:rsidR="00A418CC">
        <w:t xml:space="preserve"> in </w:t>
      </w:r>
      <w:r w:rsidR="00D66679">
        <w:t>a</w:t>
      </w:r>
      <w:r w:rsidR="00A418CC">
        <w:t>ppendi</w:t>
      </w:r>
      <w:r w:rsidR="00D66679">
        <w:t>ces</w:t>
      </w:r>
      <w:r w:rsidR="00A418CC">
        <w:t xml:space="preserve"> </w:t>
      </w:r>
      <w:r w:rsidR="009717D2">
        <w:t>J</w:t>
      </w:r>
      <w:r w:rsidR="00D66679">
        <w:t xml:space="preserve"> </w:t>
      </w:r>
      <w:r w:rsidR="009717D2">
        <w:t>and</w:t>
      </w:r>
      <w:r w:rsidR="00D66679">
        <w:t xml:space="preserve"> K</w:t>
      </w:r>
      <w:r>
        <w:t>, including</w:t>
      </w:r>
      <w:r w:rsidR="0072286A">
        <w:t>:</w:t>
      </w:r>
    </w:p>
    <w:p w14:paraId="0FA0B03D" w14:textId="77777777" w:rsidR="007C147A" w:rsidRDefault="007C147A" w:rsidP="007C147A">
      <w:pPr>
        <w:pStyle w:val="ListBullet2"/>
        <w:numPr>
          <w:ilvl w:val="1"/>
          <w:numId w:val="16"/>
        </w:numPr>
        <w:ind w:left="568" w:hanging="284"/>
      </w:pPr>
      <w:r>
        <w:t xml:space="preserve">employment and productivity impacts </w:t>
      </w:r>
      <w:r w:rsidR="00C45022">
        <w:t xml:space="preserve">more </w:t>
      </w:r>
      <w:r>
        <w:t>on people with disability and older Australians of inaccessible housing</w:t>
      </w:r>
      <w:r w:rsidR="00EF57CD">
        <w:t xml:space="preserve">, which </w:t>
      </w:r>
      <w:r w:rsidR="00391104">
        <w:t>could be in the order of several hundred million dollars per year</w:t>
      </w:r>
      <w:r w:rsidR="003F2110">
        <w:t>,</w:t>
      </w:r>
      <w:r w:rsidR="00391104">
        <w:t xml:space="preserve"> although </w:t>
      </w:r>
      <w:r w:rsidR="00CF3739">
        <w:t>CIE is</w:t>
      </w:r>
      <w:r w:rsidR="00391104">
        <w:t xml:space="preserve"> unable to estimate it with any certainty</w:t>
      </w:r>
      <w:r>
        <w:t>;</w:t>
      </w:r>
      <w:r w:rsidR="009717D2">
        <w:t xml:space="preserve"> and</w:t>
      </w:r>
    </w:p>
    <w:p w14:paraId="2295C1A5" w14:textId="77777777" w:rsidR="007C147A" w:rsidRDefault="007C147A" w:rsidP="007C147A">
      <w:pPr>
        <w:pStyle w:val="ListBullet2"/>
        <w:numPr>
          <w:ilvl w:val="1"/>
          <w:numId w:val="16"/>
        </w:numPr>
        <w:ind w:left="568" w:hanging="284"/>
      </w:pPr>
      <w:r>
        <w:t>social justice and equity (that is cost to the broader community)</w:t>
      </w:r>
      <w:r w:rsidR="00391104">
        <w:t xml:space="preserve"> could be around $390 million dollars per year</w:t>
      </w:r>
      <w:r w:rsidR="009717D2">
        <w:t>.</w:t>
      </w:r>
    </w:p>
    <w:p w14:paraId="6632943B" w14:textId="6C7F85AF" w:rsidR="00322092" w:rsidRDefault="00076C9B" w:rsidP="00F11742">
      <w:pPr>
        <w:pStyle w:val="Caption"/>
      </w:pPr>
      <w:bookmarkStart w:id="103" w:name="_Toc70505501"/>
      <w:r>
        <w:t>3.2</w:t>
      </w:r>
      <w:r w:rsidR="00322092" w:rsidRPr="00695C93">
        <w:tab/>
      </w:r>
      <w:r w:rsidR="00322092">
        <w:t>Estimated size of the problem</w:t>
      </w:r>
      <w:r w:rsidR="00AD15B6">
        <w:t xml:space="preserve"> — quantifiable costs</w:t>
      </w:r>
      <w:bookmarkEnd w:id="103"/>
    </w:p>
    <w:tbl>
      <w:tblPr>
        <w:tblW w:w="7938" w:type="dxa"/>
        <w:tblLayout w:type="fixed"/>
        <w:tblLook w:val="0000" w:firstRow="0" w:lastRow="0" w:firstColumn="0" w:lastColumn="0" w:noHBand="0" w:noVBand="0"/>
        <w:tblCaption w:val="Table 3.2: Estimated size of the problem — quantifiable costs"/>
        <w:tblDescription w:val="This table lists the problems listed in Table 3.1 (including safety-related costs, additional carer-related costs, and quality of life) and low, central and high estimates of the cost of each problem, in millions of dollars. The total low estimate for all problems listed is nearly 3 billion dollars. The total central case estimate is approximately 4.2 billion dollars. The total high estimate is almost 6.7 billion dollars."/>
      </w:tblPr>
      <w:tblGrid>
        <w:gridCol w:w="3674"/>
        <w:gridCol w:w="1422"/>
        <w:gridCol w:w="1421"/>
        <w:gridCol w:w="1421"/>
      </w:tblGrid>
      <w:tr w:rsidR="00322092" w:rsidRPr="00233C02" w14:paraId="63DAEACE" w14:textId="77777777" w:rsidTr="00BF5152">
        <w:trPr>
          <w:trHeight w:val="490"/>
          <w:tblHeader/>
        </w:trPr>
        <w:tc>
          <w:tcPr>
            <w:tcW w:w="3674" w:type="dxa"/>
            <w:tcBorders>
              <w:bottom w:val="single" w:sz="8" w:space="0" w:color="FFFFFF" w:themeColor="background1"/>
            </w:tcBorders>
            <w:shd w:val="clear" w:color="auto" w:fill="6F6652"/>
            <w:tcMar>
              <w:left w:w="57" w:type="dxa"/>
              <w:right w:w="57" w:type="dxa"/>
            </w:tcMar>
          </w:tcPr>
          <w:p w14:paraId="3D6D8B9A" w14:textId="77777777" w:rsidR="00322092" w:rsidRPr="00233C02" w:rsidRDefault="00FB1245" w:rsidP="00F11742">
            <w:pPr>
              <w:pStyle w:val="TableDataColumnHeading"/>
              <w:jc w:val="left"/>
            </w:pPr>
            <w:r>
              <w:t>Assessed pr</w:t>
            </w:r>
            <w:r w:rsidR="005B22AC">
              <w:t>oblem</w:t>
            </w:r>
          </w:p>
        </w:tc>
        <w:tc>
          <w:tcPr>
            <w:tcW w:w="1422" w:type="dxa"/>
            <w:tcBorders>
              <w:bottom w:val="single" w:sz="8" w:space="0" w:color="FFFFFF" w:themeColor="background1"/>
            </w:tcBorders>
            <w:shd w:val="clear" w:color="auto" w:fill="6F6652"/>
            <w:tcMar>
              <w:left w:w="57" w:type="dxa"/>
              <w:right w:w="57" w:type="dxa"/>
            </w:tcMar>
          </w:tcPr>
          <w:p w14:paraId="2E916990" w14:textId="77777777" w:rsidR="00322092" w:rsidRPr="00233C02" w:rsidRDefault="00322092" w:rsidP="00F11742">
            <w:pPr>
              <w:pStyle w:val="TableDataColumnHeading"/>
            </w:pPr>
            <w:r w:rsidRPr="00233C02">
              <w:t xml:space="preserve">Low estimate </w:t>
            </w:r>
            <w:r w:rsidR="00C91839" w:rsidRPr="00233C02">
              <w:br/>
            </w:r>
            <w:r w:rsidRPr="00233C02">
              <w:t>($ million)</w:t>
            </w:r>
          </w:p>
        </w:tc>
        <w:tc>
          <w:tcPr>
            <w:tcW w:w="1421" w:type="dxa"/>
            <w:tcBorders>
              <w:bottom w:val="single" w:sz="8" w:space="0" w:color="FFFFFF" w:themeColor="background1"/>
            </w:tcBorders>
            <w:shd w:val="clear" w:color="auto" w:fill="6F6652"/>
            <w:tcMar>
              <w:left w:w="57" w:type="dxa"/>
              <w:right w:w="57" w:type="dxa"/>
            </w:tcMar>
          </w:tcPr>
          <w:p w14:paraId="1B8B9241" w14:textId="77777777" w:rsidR="00322092" w:rsidRPr="00233C02" w:rsidRDefault="00322092" w:rsidP="00F11742">
            <w:pPr>
              <w:pStyle w:val="TableDataColumnHeading"/>
            </w:pPr>
            <w:r w:rsidRPr="00233C02">
              <w:t xml:space="preserve">Central case </w:t>
            </w:r>
            <w:r w:rsidR="00C91839" w:rsidRPr="00233C02">
              <w:br/>
            </w:r>
            <w:r w:rsidRPr="00233C02">
              <w:t>($ million)</w:t>
            </w:r>
          </w:p>
        </w:tc>
        <w:tc>
          <w:tcPr>
            <w:tcW w:w="1421" w:type="dxa"/>
            <w:tcBorders>
              <w:bottom w:val="single" w:sz="8" w:space="0" w:color="FFFFFF" w:themeColor="background1"/>
            </w:tcBorders>
            <w:shd w:val="clear" w:color="auto" w:fill="6F6652"/>
            <w:tcMar>
              <w:left w:w="57" w:type="dxa"/>
              <w:right w:w="57" w:type="dxa"/>
            </w:tcMar>
          </w:tcPr>
          <w:p w14:paraId="54769264" w14:textId="77777777" w:rsidR="00322092" w:rsidRPr="00233C02" w:rsidRDefault="00322092" w:rsidP="00F11742">
            <w:pPr>
              <w:pStyle w:val="TableDataColumnHeading"/>
            </w:pPr>
            <w:r w:rsidRPr="00233C02">
              <w:t xml:space="preserve">High estimate </w:t>
            </w:r>
            <w:r w:rsidR="00E34AAC" w:rsidRPr="00233C02">
              <w:br/>
            </w:r>
            <w:r w:rsidRPr="00233C02">
              <w:t>($ million)</w:t>
            </w:r>
          </w:p>
        </w:tc>
      </w:tr>
      <w:tr w:rsidR="00BF5152" w14:paraId="7C902D86"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6ED0ED" w14:textId="77777777" w:rsidR="00BF5152" w:rsidRDefault="00BF5152" w:rsidP="00BF5152">
            <w:pPr>
              <w:pStyle w:val="TableDataEntries"/>
              <w:jc w:val="left"/>
            </w:pPr>
            <w:r>
              <w:t>Safety-</w:t>
            </w:r>
            <w:r w:rsidR="00C91839">
              <w:t>risks</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520A1D" w14:textId="77777777" w:rsidR="00BF5152" w:rsidRPr="00BF5152" w:rsidRDefault="00BF5152" w:rsidP="00BF5152">
            <w:pPr>
              <w:pStyle w:val="TableDataEntries"/>
            </w:pPr>
            <w:r w:rsidRPr="00BF5152">
              <w:t xml:space="preserve"> 0.00</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5AB13B" w14:textId="77777777" w:rsidR="00BF5152" w:rsidRPr="00BF5152" w:rsidRDefault="00BF5152" w:rsidP="00BF5152">
            <w:pPr>
              <w:pStyle w:val="TableDataEntries"/>
            </w:pPr>
            <w:r w:rsidRPr="00BF5152">
              <w:t xml:space="preserve"> 154.14</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4E1534" w14:textId="77777777" w:rsidR="00BF5152" w:rsidRPr="00BF5152" w:rsidRDefault="00BF5152" w:rsidP="00BF5152">
            <w:pPr>
              <w:pStyle w:val="TableDataEntries"/>
            </w:pPr>
            <w:r w:rsidRPr="00BF5152">
              <w:t xml:space="preserve"> 570.30</w:t>
            </w:r>
          </w:p>
        </w:tc>
      </w:tr>
      <w:tr w:rsidR="00BF5152" w14:paraId="2C81BC8D"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2F7261" w14:textId="77777777" w:rsidR="00BF5152" w:rsidRDefault="00BF5152" w:rsidP="00BF5152">
            <w:pPr>
              <w:pStyle w:val="TableDataEntries"/>
              <w:jc w:val="left"/>
            </w:pPr>
            <w:r>
              <w:t>Additional care</w:t>
            </w:r>
            <w:r w:rsidR="00C91839">
              <w:t xml:space="preserve"> needs</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43C117" w14:textId="77777777" w:rsidR="00BF5152" w:rsidRPr="00BF5152" w:rsidRDefault="00BF5152" w:rsidP="00BF5152">
            <w:pPr>
              <w:pStyle w:val="TableDataEntries"/>
            </w:pPr>
            <w:r w:rsidRPr="00BF5152">
              <w:t xml:space="preserve"> 938.52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535EA2" w14:textId="77777777" w:rsidR="00BF5152" w:rsidRPr="00BF5152" w:rsidRDefault="00BF5152" w:rsidP="00BF5152">
            <w:pPr>
              <w:pStyle w:val="TableDataEntries"/>
            </w:pPr>
            <w:r w:rsidRPr="00BF5152">
              <w:t xml:space="preserve"> 938.52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622713" w14:textId="77777777" w:rsidR="00BF5152" w:rsidRPr="00BF5152" w:rsidRDefault="00BF5152" w:rsidP="00BF5152">
            <w:pPr>
              <w:pStyle w:val="TableDataEntries"/>
            </w:pPr>
            <w:r w:rsidRPr="00BF5152">
              <w:t xml:space="preserve"> 938.52</w:t>
            </w:r>
          </w:p>
        </w:tc>
      </w:tr>
      <w:tr w:rsidR="00BF5152" w14:paraId="1C9EDE39"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2B2CFE" w14:textId="77777777" w:rsidR="00BF5152" w:rsidRDefault="00BF5152" w:rsidP="00BF5152">
            <w:pPr>
              <w:pStyle w:val="TableDataEntries"/>
              <w:jc w:val="left"/>
            </w:pPr>
            <w:r>
              <w:t>Quality of life</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69AF7D" w14:textId="77777777" w:rsidR="00BF5152" w:rsidRPr="00BF5152" w:rsidRDefault="00BF5152" w:rsidP="00BF5152">
            <w:pPr>
              <w:pStyle w:val="TableDataEntries"/>
            </w:pPr>
            <w:r w:rsidRPr="00BF5152">
              <w:t>1 063.89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7E367D" w14:textId="77777777" w:rsidR="00BF5152" w:rsidRPr="00BF5152" w:rsidRDefault="00BF5152" w:rsidP="00BF5152">
            <w:pPr>
              <w:pStyle w:val="TableDataEntries"/>
            </w:pPr>
            <w:r w:rsidRPr="00BF5152">
              <w:t>1 913.23</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FD186D" w14:textId="77777777" w:rsidR="00BF5152" w:rsidRPr="00BF5152" w:rsidRDefault="00BF5152" w:rsidP="00BF5152">
            <w:pPr>
              <w:pStyle w:val="TableDataEntries"/>
            </w:pPr>
            <w:r w:rsidRPr="00BF5152">
              <w:t>3 770.10</w:t>
            </w:r>
          </w:p>
        </w:tc>
      </w:tr>
      <w:tr w:rsidR="00BF5152" w14:paraId="036C6097"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BFF545" w14:textId="77777777" w:rsidR="00BF5152" w:rsidRDefault="00BF5152" w:rsidP="00BF5152">
            <w:pPr>
              <w:pStyle w:val="TableDataEntries"/>
              <w:jc w:val="left"/>
            </w:pPr>
            <w:r>
              <w:t>Additional time in hospital/transition care</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311344" w14:textId="77777777" w:rsidR="00BF5152" w:rsidRPr="00BF5152" w:rsidRDefault="00BF5152" w:rsidP="00BF5152">
            <w:pPr>
              <w:pStyle w:val="TableDataEntries"/>
            </w:pPr>
            <w:r w:rsidRPr="00BF5152">
              <w:t xml:space="preserve"> 234.59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BCB7D8" w14:textId="77777777" w:rsidR="00BF5152" w:rsidRPr="00BF5152" w:rsidRDefault="00BF5152" w:rsidP="00BF5152">
            <w:pPr>
              <w:pStyle w:val="TableDataEntries"/>
            </w:pPr>
            <w:r w:rsidRPr="00BF5152">
              <w:t xml:space="preserve"> 234.59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E5D6C0" w14:textId="77777777" w:rsidR="00BF5152" w:rsidRPr="00BF5152" w:rsidRDefault="00BF5152" w:rsidP="00BF5152">
            <w:pPr>
              <w:pStyle w:val="TableDataEntries"/>
            </w:pPr>
            <w:r w:rsidRPr="00BF5152">
              <w:t xml:space="preserve"> 234.59</w:t>
            </w:r>
          </w:p>
        </w:tc>
      </w:tr>
      <w:tr w:rsidR="00BF5152" w14:paraId="4F4C5BF2"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C2365A" w14:textId="77777777" w:rsidR="00BF5152" w:rsidRDefault="00BF5152" w:rsidP="00BF5152">
            <w:pPr>
              <w:pStyle w:val="TableDataEntries"/>
              <w:jc w:val="left"/>
            </w:pPr>
            <w:r>
              <w:t>Home modifications</w:t>
            </w:r>
            <w:r w:rsidR="00C91839">
              <w:t xml:space="preserve"> per annum</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AC0F10" w14:textId="77777777" w:rsidR="00BF5152" w:rsidRPr="00BF5152" w:rsidRDefault="00BF5152" w:rsidP="00BF5152">
            <w:pPr>
              <w:pStyle w:val="TableDataEntries"/>
            </w:pPr>
            <w:r w:rsidRPr="00BF5152">
              <w:t xml:space="preserve"> 498.86</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CA8FBC" w14:textId="77777777" w:rsidR="00BF5152" w:rsidRPr="00BF5152" w:rsidRDefault="00BF5152" w:rsidP="00BF5152">
            <w:pPr>
              <w:pStyle w:val="TableDataEntries"/>
            </w:pPr>
            <w:r w:rsidRPr="00BF5152">
              <w:t xml:space="preserve"> 498.86</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F8FE9B" w14:textId="77777777" w:rsidR="00BF5152" w:rsidRPr="00BF5152" w:rsidRDefault="00BF5152" w:rsidP="00BF5152">
            <w:pPr>
              <w:pStyle w:val="TableDataEntries"/>
            </w:pPr>
            <w:r w:rsidRPr="00BF5152">
              <w:t xml:space="preserve"> 498.86</w:t>
            </w:r>
          </w:p>
        </w:tc>
      </w:tr>
      <w:tr w:rsidR="00BF5152" w14:paraId="0EA99804"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703260" w14:textId="77777777" w:rsidR="00BF5152" w:rsidRDefault="00BF5152" w:rsidP="00BF5152">
            <w:pPr>
              <w:pStyle w:val="TableDataEntries"/>
              <w:jc w:val="left"/>
            </w:pPr>
            <w:r>
              <w:t xml:space="preserve">Additional </w:t>
            </w:r>
            <w:r w:rsidR="00E34AAC">
              <w:t>home moves</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495016" w14:textId="77777777" w:rsidR="00BF5152" w:rsidRPr="00BF5152" w:rsidRDefault="00BF5152" w:rsidP="00BF5152">
            <w:pPr>
              <w:pStyle w:val="TableDataEntries"/>
            </w:pPr>
            <w:r w:rsidRPr="00BF5152">
              <w:t xml:space="preserve"> 81.51</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923335" w14:textId="77777777" w:rsidR="00BF5152" w:rsidRPr="00BF5152" w:rsidRDefault="00BF5152" w:rsidP="00BF5152">
            <w:pPr>
              <w:pStyle w:val="TableDataEntries"/>
            </w:pPr>
            <w:r w:rsidRPr="00BF5152">
              <w:t xml:space="preserve"> 161.91</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C36294" w14:textId="77777777" w:rsidR="00BF5152" w:rsidRPr="00BF5152" w:rsidRDefault="00BF5152" w:rsidP="00BF5152">
            <w:pPr>
              <w:pStyle w:val="TableDataEntries"/>
            </w:pPr>
            <w:r w:rsidRPr="00BF5152">
              <w:t xml:space="preserve"> 242.31</w:t>
            </w:r>
          </w:p>
        </w:tc>
      </w:tr>
      <w:tr w:rsidR="00BF5152" w14:paraId="024CF18E"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399989" w14:textId="77777777" w:rsidR="00BF5152" w:rsidRDefault="00BF5152" w:rsidP="00BF5152">
            <w:pPr>
              <w:pStyle w:val="TableDataEntries"/>
              <w:jc w:val="left"/>
            </w:pPr>
            <w:r>
              <w:lastRenderedPageBreak/>
              <w:t xml:space="preserve">Premature/inappropriate entry into </w:t>
            </w:r>
            <w:r w:rsidR="005B22AC">
              <w:t xml:space="preserve">residential </w:t>
            </w:r>
            <w:r>
              <w:t>aged care</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C3EC92" w14:textId="77777777" w:rsidR="00BF5152" w:rsidRPr="00BF5152" w:rsidRDefault="00BF5152" w:rsidP="00BF5152">
            <w:pPr>
              <w:pStyle w:val="TableDataEntries"/>
            </w:pPr>
            <w:r w:rsidRPr="00BF5152">
              <w:t xml:space="preserve"> 119.56</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5761AC" w14:textId="77777777" w:rsidR="00BF5152" w:rsidRPr="00BF5152" w:rsidRDefault="00BF5152" w:rsidP="00BF5152">
            <w:pPr>
              <w:pStyle w:val="TableDataEntries"/>
            </w:pPr>
            <w:r w:rsidRPr="00BF5152">
              <w:t xml:space="preserve"> 184.81</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4AEC03" w14:textId="77777777" w:rsidR="00BF5152" w:rsidRPr="00BF5152" w:rsidRDefault="00BF5152" w:rsidP="00BF5152">
            <w:pPr>
              <w:pStyle w:val="TableDataEntries"/>
            </w:pPr>
            <w:r w:rsidRPr="00BF5152">
              <w:t xml:space="preserve"> 267.86</w:t>
            </w:r>
          </w:p>
        </w:tc>
      </w:tr>
      <w:tr w:rsidR="00BF5152" w14:paraId="12D252D7"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DB8C7B" w14:textId="77777777" w:rsidR="00BF5152" w:rsidRDefault="00C86955" w:rsidP="00BF5152">
            <w:pPr>
              <w:pStyle w:val="TableDataEntries"/>
              <w:jc w:val="left"/>
            </w:pPr>
            <w:r>
              <w:t xml:space="preserve">Inability </w:t>
            </w:r>
            <w:r w:rsidR="005F0659">
              <w:t>to visit family and friends</w:t>
            </w:r>
            <w:r w:rsidR="004004D8">
              <w:t xml:space="preserve"> </w:t>
            </w:r>
            <w:r w:rsidR="005F0659">
              <w:t>(</w:t>
            </w:r>
            <w:r w:rsidR="00BF5152">
              <w:t>visitability</w:t>
            </w:r>
            <w:r w:rsidR="005F0659">
              <w:t>)</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A937DB" w14:textId="77777777" w:rsidR="00BF5152" w:rsidRPr="00BF5152" w:rsidRDefault="00BF5152" w:rsidP="00BF5152">
            <w:pPr>
              <w:pStyle w:val="TableDataEntries"/>
            </w:pPr>
            <w:r w:rsidRPr="00BF5152">
              <w:t xml:space="preserve"> 35.73</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D0AFFE" w14:textId="77777777" w:rsidR="00BF5152" w:rsidRPr="00BF5152" w:rsidRDefault="00BF5152" w:rsidP="00BF5152">
            <w:pPr>
              <w:pStyle w:val="TableDataEntries"/>
            </w:pPr>
            <w:r w:rsidRPr="00BF5152">
              <w:t xml:space="preserve"> 80.93</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FC583F" w14:textId="77777777" w:rsidR="00BF5152" w:rsidRPr="00BF5152" w:rsidRDefault="00BF5152" w:rsidP="00BF5152">
            <w:pPr>
              <w:pStyle w:val="TableDataEntries"/>
            </w:pPr>
            <w:r w:rsidRPr="00BF5152">
              <w:t xml:space="preserve"> 126.12</w:t>
            </w:r>
          </w:p>
        </w:tc>
      </w:tr>
      <w:tr w:rsidR="00BF5152" w14:paraId="1552843D"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C0AF70" w14:textId="77777777" w:rsidR="00BF5152" w:rsidRDefault="00BF5152" w:rsidP="00BF5152">
            <w:pPr>
              <w:pStyle w:val="TableDataEntries"/>
              <w:jc w:val="left"/>
            </w:pPr>
            <w:r>
              <w:t xml:space="preserve">Families with young </w:t>
            </w:r>
            <w:r w:rsidR="003F2BCB">
              <w:t>dependants</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173167" w14:textId="77777777" w:rsidR="00BF5152" w:rsidRPr="00BF5152" w:rsidRDefault="00BF5152" w:rsidP="00BF5152">
            <w:pPr>
              <w:pStyle w:val="TableDataEntries"/>
            </w:pPr>
            <w:r w:rsidRPr="00BF5152">
              <w:t>0</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CF34D3" w14:textId="77777777" w:rsidR="00BF5152" w:rsidRPr="00BF5152" w:rsidRDefault="00BF5152" w:rsidP="00BF5152">
            <w:pPr>
              <w:pStyle w:val="TableDataEntries"/>
            </w:pPr>
            <w:r w:rsidRPr="00BF5152">
              <w:t>0.62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2A7EE2" w14:textId="77777777" w:rsidR="00BF5152" w:rsidRPr="00BF5152" w:rsidRDefault="00BF5152" w:rsidP="00BF5152">
            <w:pPr>
              <w:pStyle w:val="TableDataEntries"/>
            </w:pPr>
            <w:r w:rsidRPr="00BF5152">
              <w:t>1.23</w:t>
            </w:r>
          </w:p>
        </w:tc>
      </w:tr>
      <w:tr w:rsidR="00BF5152" w14:paraId="3B937D42" w14:textId="77777777" w:rsidTr="00D6774F">
        <w:trPr>
          <w:trHeight w:val="245"/>
        </w:trPr>
        <w:tc>
          <w:tcPr>
            <w:tcW w:w="3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A7CD5D" w14:textId="77777777" w:rsidR="00BF5152" w:rsidRDefault="00BF5152" w:rsidP="00BF5152">
            <w:pPr>
              <w:pStyle w:val="TableDataEntries"/>
              <w:jc w:val="left"/>
            </w:pPr>
            <w:r>
              <w:t>Short-term injuries</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7E1AE9" w14:textId="77777777" w:rsidR="00BF5152" w:rsidRPr="00BF5152" w:rsidRDefault="00BF5152" w:rsidP="00BF5152">
            <w:pPr>
              <w:pStyle w:val="TableDataEntries"/>
            </w:pPr>
            <w:r w:rsidRPr="00BF5152">
              <w:t xml:space="preserve"> 26.25</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DB4A56" w14:textId="77777777" w:rsidR="00BF5152" w:rsidRPr="00BF5152" w:rsidRDefault="00BF5152" w:rsidP="00BF5152">
            <w:pPr>
              <w:pStyle w:val="TableDataEntries"/>
            </w:pPr>
            <w:r w:rsidRPr="00BF5152">
              <w:t xml:space="preserve"> 28.09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BFC273" w14:textId="77777777" w:rsidR="00BF5152" w:rsidRPr="00BF5152" w:rsidRDefault="00BF5152" w:rsidP="00BF5152">
            <w:pPr>
              <w:pStyle w:val="TableDataEntries"/>
            </w:pPr>
            <w:r w:rsidRPr="00BF5152">
              <w:t xml:space="preserve"> 29.92</w:t>
            </w:r>
          </w:p>
        </w:tc>
      </w:tr>
      <w:tr w:rsidR="00BF5152" w:rsidRPr="00BF5152" w14:paraId="53F5EA33" w14:textId="77777777" w:rsidTr="00D6774F">
        <w:trPr>
          <w:trHeight w:val="245"/>
        </w:trPr>
        <w:tc>
          <w:tcPr>
            <w:tcW w:w="367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43931C2" w14:textId="77777777" w:rsidR="00BF5152" w:rsidRPr="00BF5152" w:rsidRDefault="00BF5152" w:rsidP="00BF5152">
            <w:pPr>
              <w:pStyle w:val="TableDataEntries"/>
              <w:jc w:val="left"/>
              <w:rPr>
                <w:rFonts w:ascii="Franklin Gothic Demi" w:hAnsi="Franklin Gothic Demi"/>
              </w:rPr>
            </w:pPr>
            <w:r w:rsidRPr="00BF5152">
              <w:rPr>
                <w:rFonts w:ascii="Franklin Gothic Demi" w:hAnsi="Franklin Gothic Demi"/>
              </w:rPr>
              <w:t>Total</w:t>
            </w:r>
          </w:p>
        </w:tc>
        <w:tc>
          <w:tcPr>
            <w:tcW w:w="142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1369EB7" w14:textId="77777777" w:rsidR="00BF5152" w:rsidRPr="00BF5152" w:rsidRDefault="00BF5152" w:rsidP="00BF5152">
            <w:pPr>
              <w:pStyle w:val="TableDataEntries"/>
              <w:rPr>
                <w:rFonts w:ascii="Franklin Gothic Demi" w:hAnsi="Franklin Gothic Demi"/>
              </w:rPr>
            </w:pPr>
            <w:r w:rsidRPr="00BF5152">
              <w:rPr>
                <w:rFonts w:ascii="Franklin Gothic Demi" w:hAnsi="Franklin Gothic Demi"/>
              </w:rPr>
              <w:t>2 998.92</w:t>
            </w:r>
          </w:p>
        </w:tc>
        <w:tc>
          <w:tcPr>
            <w:tcW w:w="142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773B802" w14:textId="77777777" w:rsidR="00BF5152" w:rsidRPr="00BF5152" w:rsidRDefault="00BF5152" w:rsidP="00BF5152">
            <w:pPr>
              <w:pStyle w:val="TableDataEntries"/>
              <w:rPr>
                <w:rFonts w:ascii="Franklin Gothic Demi" w:hAnsi="Franklin Gothic Demi"/>
              </w:rPr>
            </w:pPr>
            <w:r w:rsidRPr="00BF5152">
              <w:rPr>
                <w:rFonts w:ascii="Franklin Gothic Demi" w:hAnsi="Franklin Gothic Demi"/>
              </w:rPr>
              <w:t>4 195.69</w:t>
            </w:r>
          </w:p>
        </w:tc>
        <w:tc>
          <w:tcPr>
            <w:tcW w:w="142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D670349" w14:textId="77777777" w:rsidR="00BF5152" w:rsidRPr="00BF5152" w:rsidRDefault="00BF5152" w:rsidP="00BF5152">
            <w:pPr>
              <w:pStyle w:val="TableDataEntries"/>
              <w:rPr>
                <w:rFonts w:ascii="Franklin Gothic Demi" w:hAnsi="Franklin Gothic Demi"/>
              </w:rPr>
            </w:pPr>
            <w:r w:rsidRPr="00BF5152">
              <w:rPr>
                <w:rFonts w:ascii="Franklin Gothic Demi" w:hAnsi="Franklin Gothic Demi"/>
              </w:rPr>
              <w:t>6 679.81</w:t>
            </w:r>
          </w:p>
        </w:tc>
      </w:tr>
    </w:tbl>
    <w:p w14:paraId="1C2688D6" w14:textId="77777777" w:rsidR="00A560AD" w:rsidRDefault="00A560AD" w:rsidP="00A560AD">
      <w:pPr>
        <w:pStyle w:val="Note"/>
        <w:rPr>
          <w:lang w:bidi="fa-IR"/>
        </w:rPr>
      </w:pPr>
      <w:r w:rsidRPr="0010789E">
        <w:rPr>
          <w:lang w:bidi="fa-IR"/>
        </w:rPr>
        <w:t>Note:</w:t>
      </w:r>
      <w:r>
        <w:rPr>
          <w:lang w:bidi="fa-IR"/>
        </w:rPr>
        <w:t xml:space="preserve"> Based on 2018 SDAC data and RIS appendices B-J.</w:t>
      </w:r>
    </w:p>
    <w:p w14:paraId="0D5C3936" w14:textId="77777777" w:rsidR="00A560AD" w:rsidRDefault="00A560AD" w:rsidP="0010789E">
      <w:pPr>
        <w:pStyle w:val="Note"/>
        <w:rPr>
          <w:lang w:bidi="fa-IR"/>
        </w:rPr>
      </w:pPr>
      <w:r w:rsidRPr="0010789E">
        <w:rPr>
          <w:lang w:bidi="fa-IR"/>
        </w:rPr>
        <w:t>Source:</w:t>
      </w:r>
      <w:r>
        <w:rPr>
          <w:lang w:bidi="fa-IR"/>
        </w:rPr>
        <w:t xml:space="preserve"> CIE estimates.</w:t>
      </w:r>
    </w:p>
    <w:p w14:paraId="260B7A53" w14:textId="77777777" w:rsidR="00E51647" w:rsidRDefault="00E51647" w:rsidP="00E51647">
      <w:pPr>
        <w:pStyle w:val="BodyText"/>
        <w:rPr>
          <w:lang w:eastAsia="en-US"/>
        </w:rPr>
      </w:pPr>
      <w:r>
        <w:rPr>
          <w:lang w:eastAsia="en-US"/>
        </w:rPr>
        <w:t>By definition, unquantifiable costs are difficult to estimate. The figures provided above are highly uncertain and may exist with other areas of unquantifiable costs or may result in double counting with quantifiable costs. For these reasons, these estimates are not directly additive to each other or to the quantifiable costs. Nevertheless</w:t>
      </w:r>
      <w:r w:rsidR="00574E38">
        <w:rPr>
          <w:lang w:eastAsia="en-US"/>
        </w:rPr>
        <w:t>,</w:t>
      </w:r>
      <w:r>
        <w:rPr>
          <w:lang w:eastAsia="en-US"/>
        </w:rPr>
        <w:t xml:space="preserve"> the indicative estimates suggest these costs could be significant.</w:t>
      </w:r>
    </w:p>
    <w:p w14:paraId="2160945A" w14:textId="77777777" w:rsidR="00E4023A" w:rsidRDefault="00E4023A" w:rsidP="00E4023A">
      <w:pPr>
        <w:pStyle w:val="BodyText"/>
        <w:rPr>
          <w:lang w:eastAsia="en-US"/>
        </w:rPr>
      </w:pPr>
      <w:r>
        <w:rPr>
          <w:lang w:eastAsia="en-US"/>
        </w:rPr>
        <w:t>Underlying causes of these issues include the following.</w:t>
      </w:r>
    </w:p>
    <w:p w14:paraId="1127FE24" w14:textId="77777777" w:rsidR="00E4023A" w:rsidRDefault="00E4023A" w:rsidP="00E4023A">
      <w:pPr>
        <w:pStyle w:val="ListBullet"/>
        <w:numPr>
          <w:ilvl w:val="0"/>
          <w:numId w:val="16"/>
        </w:numPr>
        <w:rPr>
          <w:lang w:eastAsia="en-US"/>
        </w:rPr>
      </w:pPr>
      <w:r>
        <w:rPr>
          <w:lang w:eastAsia="en-US"/>
        </w:rPr>
        <w:t>There appear to be a range of market imperfections, including:</w:t>
      </w:r>
    </w:p>
    <w:p w14:paraId="464D5C75" w14:textId="77777777" w:rsidR="00E4023A" w:rsidRPr="008F2F43" w:rsidRDefault="00E4023A" w:rsidP="00E4023A">
      <w:pPr>
        <w:pStyle w:val="ListBullet2"/>
        <w:numPr>
          <w:ilvl w:val="1"/>
          <w:numId w:val="16"/>
        </w:numPr>
        <w:ind w:left="568" w:hanging="284"/>
        <w:rPr>
          <w:lang w:eastAsia="en-US"/>
        </w:rPr>
      </w:pPr>
      <w:r>
        <w:rPr>
          <w:lang w:eastAsia="en-US"/>
        </w:rPr>
        <w:t xml:space="preserve">some homebuyers (particularly younger homebuyers) </w:t>
      </w:r>
      <w:r w:rsidRPr="008F2F43">
        <w:rPr>
          <w:lang w:eastAsia="en-US"/>
        </w:rPr>
        <w:t>are failing to foresee future accessibility needs when they make design choices</w:t>
      </w:r>
    </w:p>
    <w:p w14:paraId="20E0C2E2" w14:textId="77777777" w:rsidR="00E4023A" w:rsidRDefault="00E4023A" w:rsidP="00E4023A">
      <w:pPr>
        <w:pStyle w:val="ListBullet2"/>
        <w:numPr>
          <w:ilvl w:val="1"/>
          <w:numId w:val="16"/>
        </w:numPr>
        <w:ind w:left="568" w:hanging="284"/>
        <w:rPr>
          <w:lang w:eastAsia="en-US"/>
        </w:rPr>
      </w:pPr>
      <w:r>
        <w:rPr>
          <w:lang w:eastAsia="en-US"/>
        </w:rPr>
        <w:t xml:space="preserve">the characteristics of </w:t>
      </w:r>
      <w:r w:rsidR="00621E3C">
        <w:rPr>
          <w:lang w:eastAsia="en-US"/>
        </w:rPr>
        <w:t xml:space="preserve">the </w:t>
      </w:r>
      <w:r>
        <w:rPr>
          <w:lang w:eastAsia="en-US"/>
        </w:rPr>
        <w:t>housing delivery chain, which can make it difficult for some homebuyers to deviate from standard designs to incorporate accessibility features</w:t>
      </w:r>
    </w:p>
    <w:p w14:paraId="69A10B6D" w14:textId="77777777" w:rsidR="00E4023A" w:rsidRDefault="00E4023A" w:rsidP="00E4023A">
      <w:pPr>
        <w:pStyle w:val="ListBullet2"/>
        <w:numPr>
          <w:ilvl w:val="1"/>
          <w:numId w:val="16"/>
        </w:numPr>
        <w:ind w:left="568" w:hanging="284"/>
        <w:rPr>
          <w:lang w:eastAsia="en-US"/>
        </w:rPr>
      </w:pPr>
      <w:r>
        <w:rPr>
          <w:lang w:eastAsia="en-US"/>
        </w:rPr>
        <w:t xml:space="preserve">as many apartments are built to be purchased off the plan, they are designed to appeal to the </w:t>
      </w:r>
      <w:r w:rsidR="00B20747">
        <w:rPr>
          <w:lang w:eastAsia="en-US"/>
        </w:rPr>
        <w:t xml:space="preserve">buyers’ current </w:t>
      </w:r>
      <w:r>
        <w:rPr>
          <w:lang w:eastAsia="en-US"/>
        </w:rPr>
        <w:t xml:space="preserve">average demand, rather than the specific needs </w:t>
      </w:r>
      <w:r>
        <w:rPr>
          <w:lang w:bidi="fa-IR"/>
        </w:rPr>
        <w:t>of an individual buyer</w:t>
      </w:r>
      <w:r>
        <w:rPr>
          <w:lang w:eastAsia="en-US"/>
        </w:rPr>
        <w:t>.</w:t>
      </w:r>
    </w:p>
    <w:p w14:paraId="62403EB2" w14:textId="77777777" w:rsidR="00E4023A" w:rsidRDefault="00E4023A" w:rsidP="00E4023A">
      <w:pPr>
        <w:pStyle w:val="ListBullet"/>
        <w:numPr>
          <w:ilvl w:val="0"/>
          <w:numId w:val="16"/>
        </w:numPr>
        <w:rPr>
          <w:lang w:eastAsia="en-US"/>
        </w:rPr>
      </w:pPr>
      <w:r>
        <w:rPr>
          <w:lang w:eastAsia="en-US"/>
        </w:rPr>
        <w:t>Landlords are reluctant to allow modifications for private renters, which means that home modifications are often not an option for renters with accessibility needs.</w:t>
      </w:r>
    </w:p>
    <w:p w14:paraId="55B2144B" w14:textId="77777777" w:rsidR="00E4023A" w:rsidRPr="003D1DF7" w:rsidRDefault="00E4023A" w:rsidP="00E4023A">
      <w:pPr>
        <w:pStyle w:val="ListBullet"/>
        <w:numPr>
          <w:ilvl w:val="0"/>
          <w:numId w:val="16"/>
        </w:numPr>
        <w:rPr>
          <w:lang w:eastAsia="en-US"/>
        </w:rPr>
      </w:pPr>
      <w:r>
        <w:rPr>
          <w:lang w:eastAsia="en-US"/>
        </w:rPr>
        <w:t xml:space="preserve">Many households containing people with </w:t>
      </w:r>
      <w:r w:rsidR="00D870C0">
        <w:rPr>
          <w:lang w:eastAsia="en-US"/>
        </w:rPr>
        <w:t xml:space="preserve">disability </w:t>
      </w:r>
      <w:r>
        <w:rPr>
          <w:lang w:eastAsia="en-US"/>
        </w:rPr>
        <w:t>have low incomes.</w:t>
      </w:r>
    </w:p>
    <w:p w14:paraId="2BC17516" w14:textId="77777777" w:rsidR="00E4023A" w:rsidRDefault="00E4023A" w:rsidP="00E4023A">
      <w:pPr>
        <w:pStyle w:val="Heading2"/>
        <w:numPr>
          <w:ilvl w:val="1"/>
          <w:numId w:val="5"/>
        </w:numPr>
      </w:pPr>
      <w:bookmarkStart w:id="104" w:name="_Toc32321746"/>
      <w:bookmarkStart w:id="105" w:name="_Toc44598434"/>
      <w:bookmarkStart w:id="106" w:name="_Toc44696041"/>
      <w:bookmarkStart w:id="107" w:name="_Toc45654065"/>
      <w:bookmarkStart w:id="108" w:name="_Toc70505096"/>
      <w:r>
        <w:t>The need for accessible housing</w:t>
      </w:r>
      <w:bookmarkEnd w:id="104"/>
      <w:bookmarkEnd w:id="105"/>
      <w:bookmarkEnd w:id="106"/>
      <w:bookmarkEnd w:id="107"/>
      <w:bookmarkEnd w:id="108"/>
    </w:p>
    <w:p w14:paraId="37B59FCA" w14:textId="77777777" w:rsidR="00E4023A" w:rsidRDefault="005B22AC" w:rsidP="00E4023A">
      <w:pPr>
        <w:pStyle w:val="BodyText"/>
      </w:pPr>
      <w:r>
        <w:t xml:space="preserve">The </w:t>
      </w:r>
      <w:r w:rsidR="00E4023A">
        <w:t xml:space="preserve">ABCB define ‘accessible housing’ as </w:t>
      </w:r>
      <w:r w:rsidR="00C76439">
        <w:t>‘</w:t>
      </w:r>
      <w:r w:rsidR="00E4023A">
        <w:t>any housing that includes features that enable use by people either with a disability or transitioning through life stages</w:t>
      </w:r>
      <w:r w:rsidR="00C76439">
        <w:t>’</w:t>
      </w:r>
      <w:r w:rsidR="00E4023A">
        <w:t>.</w:t>
      </w:r>
      <w:r w:rsidR="00E4023A">
        <w:rPr>
          <w:rStyle w:val="FootnoteReference"/>
        </w:rPr>
        <w:footnoteReference w:id="79"/>
      </w:r>
      <w:r w:rsidR="00E4023A">
        <w:t xml:space="preserve"> Based on findings from the literature on accessible housing and consultation with stakeholders, accessible housing can potentially:</w:t>
      </w:r>
    </w:p>
    <w:p w14:paraId="4DBFD735" w14:textId="77777777" w:rsidR="00E4023A" w:rsidRDefault="00E4023A" w:rsidP="00E4023A">
      <w:pPr>
        <w:pStyle w:val="ListBullet"/>
        <w:numPr>
          <w:ilvl w:val="0"/>
          <w:numId w:val="16"/>
        </w:numPr>
        <w:rPr>
          <w:lang w:eastAsia="en-US" w:bidi="fa-IR"/>
        </w:rPr>
      </w:pPr>
      <w:r>
        <w:rPr>
          <w:lang w:eastAsia="en-US" w:bidi="fa-IR"/>
        </w:rPr>
        <w:t>reduce the incidence of falls for people with mobility limitations</w:t>
      </w:r>
    </w:p>
    <w:p w14:paraId="53AFE964" w14:textId="77777777" w:rsidR="00E4023A" w:rsidRDefault="00E4023A" w:rsidP="00E4023A">
      <w:pPr>
        <w:pStyle w:val="ListBullet"/>
        <w:numPr>
          <w:ilvl w:val="0"/>
          <w:numId w:val="16"/>
        </w:numPr>
        <w:rPr>
          <w:lang w:eastAsia="en-US" w:bidi="fa-IR"/>
        </w:rPr>
      </w:pPr>
      <w:r>
        <w:rPr>
          <w:lang w:eastAsia="en-US" w:bidi="fa-IR"/>
        </w:rPr>
        <w:t>reduce care needs</w:t>
      </w:r>
    </w:p>
    <w:p w14:paraId="1E9972B4" w14:textId="77777777" w:rsidR="00BE133F" w:rsidRDefault="00BE133F" w:rsidP="00E4023A">
      <w:pPr>
        <w:pStyle w:val="ListBullet"/>
        <w:numPr>
          <w:ilvl w:val="0"/>
          <w:numId w:val="16"/>
        </w:numPr>
        <w:rPr>
          <w:lang w:eastAsia="en-US" w:bidi="fa-IR"/>
        </w:rPr>
      </w:pPr>
      <w:r>
        <w:rPr>
          <w:lang w:eastAsia="en-US" w:bidi="fa-IR"/>
        </w:rPr>
        <w:t>improve the quality of life of people with limited mobility</w:t>
      </w:r>
    </w:p>
    <w:p w14:paraId="7FD220E7" w14:textId="77777777" w:rsidR="00E4023A" w:rsidRDefault="00E4023A" w:rsidP="00E4023A">
      <w:pPr>
        <w:pStyle w:val="ListBullet"/>
        <w:numPr>
          <w:ilvl w:val="0"/>
          <w:numId w:val="16"/>
        </w:numPr>
        <w:rPr>
          <w:lang w:eastAsia="en-US" w:bidi="fa-IR"/>
        </w:rPr>
      </w:pPr>
      <w:r>
        <w:rPr>
          <w:lang w:eastAsia="en-US" w:bidi="fa-IR"/>
        </w:rPr>
        <w:t>reduce costs associated with home modifications</w:t>
      </w:r>
    </w:p>
    <w:p w14:paraId="3B4542FE" w14:textId="77777777" w:rsidR="00E4023A" w:rsidRDefault="00E4023A" w:rsidP="00E4023A">
      <w:pPr>
        <w:pStyle w:val="ListBullet"/>
        <w:numPr>
          <w:ilvl w:val="0"/>
          <w:numId w:val="16"/>
        </w:numPr>
        <w:rPr>
          <w:lang w:eastAsia="en-US" w:bidi="fa-IR"/>
        </w:rPr>
      </w:pPr>
      <w:r>
        <w:rPr>
          <w:lang w:eastAsia="en-US" w:bidi="fa-IR"/>
        </w:rPr>
        <w:t>avoid the need for people who acquire a mobility</w:t>
      </w:r>
      <w:r>
        <w:rPr>
          <w:lang w:eastAsia="en-US" w:bidi="fa-IR"/>
        </w:rPr>
        <w:noBreakHyphen/>
        <w:t>related disability to move to more suitable accommodation</w:t>
      </w:r>
    </w:p>
    <w:p w14:paraId="6B27D486" w14:textId="77777777" w:rsidR="00E4023A" w:rsidRDefault="00E4023A" w:rsidP="00E4023A">
      <w:pPr>
        <w:pStyle w:val="ListBullet"/>
        <w:numPr>
          <w:ilvl w:val="0"/>
          <w:numId w:val="16"/>
        </w:numPr>
        <w:rPr>
          <w:lang w:eastAsia="en-US" w:bidi="fa-IR"/>
        </w:rPr>
      </w:pPr>
      <w:r>
        <w:rPr>
          <w:lang w:eastAsia="en-US" w:bidi="fa-IR"/>
        </w:rPr>
        <w:lastRenderedPageBreak/>
        <w:t>reduce the length of hospital stays</w:t>
      </w:r>
    </w:p>
    <w:p w14:paraId="7211191B" w14:textId="77777777" w:rsidR="00E4023A" w:rsidRDefault="00E4023A" w:rsidP="00E4023A">
      <w:pPr>
        <w:pStyle w:val="ListBullet"/>
        <w:numPr>
          <w:ilvl w:val="0"/>
          <w:numId w:val="16"/>
        </w:numPr>
        <w:rPr>
          <w:lang w:eastAsia="en-US" w:bidi="fa-IR"/>
        </w:rPr>
      </w:pPr>
      <w:r>
        <w:rPr>
          <w:lang w:eastAsia="en-US" w:bidi="fa-IR"/>
        </w:rPr>
        <w:t xml:space="preserve">increase the ability of people with </w:t>
      </w:r>
      <w:r w:rsidR="00D870C0">
        <w:rPr>
          <w:lang w:eastAsia="en-US" w:bidi="fa-IR"/>
        </w:rPr>
        <w:t xml:space="preserve">disability </w:t>
      </w:r>
      <w:r>
        <w:rPr>
          <w:lang w:eastAsia="en-US" w:bidi="fa-IR"/>
        </w:rPr>
        <w:t>and the elderly to participate in</w:t>
      </w:r>
      <w:r w:rsidR="009717D2">
        <w:rPr>
          <w:lang w:eastAsia="en-US" w:bidi="fa-IR"/>
        </w:rPr>
        <w:t xml:space="preserve"> and be included in</w:t>
      </w:r>
      <w:r>
        <w:rPr>
          <w:lang w:eastAsia="en-US" w:bidi="fa-IR"/>
        </w:rPr>
        <w:t xml:space="preserve"> society</w:t>
      </w:r>
    </w:p>
    <w:p w14:paraId="14FD078A" w14:textId="77777777" w:rsidR="00E4023A" w:rsidRDefault="00E4023A" w:rsidP="00E4023A">
      <w:pPr>
        <w:pStyle w:val="ListBullet"/>
        <w:numPr>
          <w:ilvl w:val="0"/>
          <w:numId w:val="16"/>
        </w:numPr>
        <w:rPr>
          <w:lang w:eastAsia="en-US" w:bidi="fa-IR"/>
        </w:rPr>
      </w:pPr>
      <w:r>
        <w:rPr>
          <w:lang w:eastAsia="en-US" w:bidi="fa-IR"/>
        </w:rPr>
        <w:t>reduce the inappropriate or premature entry into aged care or other institutional care.</w:t>
      </w:r>
    </w:p>
    <w:p w14:paraId="4A16EDCF" w14:textId="77777777" w:rsidR="0004364D" w:rsidRDefault="00E4023A" w:rsidP="00E4023A">
      <w:pPr>
        <w:pStyle w:val="BodyText"/>
      </w:pPr>
      <w:r>
        <w:t xml:space="preserve">Despite these benefits, many new dwellings are not built to meet the current and future accessibility needs of all members of the community, including people with mobility </w:t>
      </w:r>
      <w:r w:rsidR="00FD5EDA">
        <w:t>limitation</w:t>
      </w:r>
      <w:r>
        <w:t xml:space="preserve">, such as older people and people with </w:t>
      </w:r>
      <w:r w:rsidR="00D870C0">
        <w:t>disability</w:t>
      </w:r>
      <w:r>
        <w:t xml:space="preserve">, as well as those with temporary mobility </w:t>
      </w:r>
      <w:r w:rsidR="00FD5EDA">
        <w:t>limitation</w:t>
      </w:r>
      <w:r>
        <w:t>.</w:t>
      </w:r>
    </w:p>
    <w:p w14:paraId="6CADEC46" w14:textId="235D38B8" w:rsidR="00E4023A" w:rsidRDefault="0004364D" w:rsidP="00E4023A">
      <w:pPr>
        <w:pStyle w:val="BodyText"/>
      </w:pPr>
      <w:r>
        <w:t>Submissions provided qualitative evidence of a lack of accessible housing (</w:t>
      </w:r>
      <w:r w:rsidR="00587754">
        <w:t>box 3.3)</w:t>
      </w:r>
      <w:r w:rsidR="00C619C1">
        <w:t xml:space="preserve"> </w:t>
      </w:r>
      <w:r>
        <w:t xml:space="preserve">outlines </w:t>
      </w:r>
      <w:r w:rsidR="00C619C1">
        <w:t xml:space="preserve">some </w:t>
      </w:r>
      <w:r w:rsidR="00284B21">
        <w:t>lived</w:t>
      </w:r>
      <w:r w:rsidR="00C619C1">
        <w:t xml:space="preserve"> experiences </w:t>
      </w:r>
      <w:r>
        <w:t>finding accessible housing provided in submissions)</w:t>
      </w:r>
      <w:r w:rsidR="00C619C1">
        <w:t>.</w:t>
      </w:r>
    </w:p>
    <w:p w14:paraId="674E1D9B" w14:textId="77777777" w:rsidR="00B91312" w:rsidRDefault="00B91312" w:rsidP="00466E7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 Lived experience - lack of supply of accessible housing"/>
        <w:tblDescription w:val="Three case studies provided in submissions about situations where suitable accessible housing was not available for sale or rent for extended periods of time or at all."/>
      </w:tblPr>
      <w:tblGrid>
        <w:gridCol w:w="7938"/>
      </w:tblGrid>
      <w:tr w:rsidR="00B91312" w:rsidRPr="00E05C8C" w14:paraId="41CE93D5" w14:textId="77777777" w:rsidTr="009717D2">
        <w:trPr>
          <w:cantSplit/>
          <w:tblHeader/>
        </w:trPr>
        <w:tc>
          <w:tcPr>
            <w:tcW w:w="7938" w:type="dxa"/>
            <w:tcBorders>
              <w:top w:val="nil"/>
              <w:left w:val="nil"/>
              <w:bottom w:val="nil"/>
              <w:right w:val="nil"/>
            </w:tcBorders>
            <w:shd w:val="clear" w:color="auto" w:fill="C6BFAB" w:themeFill="accent3"/>
          </w:tcPr>
          <w:p w14:paraId="3AD2BDF8" w14:textId="56588FE8" w:rsidR="00B91312" w:rsidRPr="00E05C8C" w:rsidRDefault="00076C9B" w:rsidP="00B91312">
            <w:pPr>
              <w:pStyle w:val="Caption"/>
              <w:numPr>
                <w:ilvl w:val="0"/>
                <w:numId w:val="13"/>
              </w:numPr>
              <w:spacing w:before="120" w:after="100"/>
            </w:pPr>
            <w:bookmarkStart w:id="109" w:name="_Toc57643586"/>
            <w:bookmarkStart w:id="110" w:name="_Toc70505502"/>
            <w:r>
              <w:t>3.3</w:t>
            </w:r>
            <w:r w:rsidR="00B91312" w:rsidRPr="00E05C8C">
              <w:tab/>
            </w:r>
            <w:r w:rsidR="00284B21">
              <w:t>Lived</w:t>
            </w:r>
            <w:r w:rsidR="00B91312">
              <w:t xml:space="preserve"> experience – lack of supply of accessible housing</w:t>
            </w:r>
            <w:bookmarkEnd w:id="109"/>
            <w:bookmarkEnd w:id="110"/>
          </w:p>
        </w:tc>
      </w:tr>
      <w:tr w:rsidR="00F76823" w14:paraId="0C54E47C" w14:textId="77777777" w:rsidTr="009717D2">
        <w:tblPrEx>
          <w:shd w:val="clear" w:color="6F6652" w:fill="F1EFEA"/>
        </w:tblPrEx>
        <w:tc>
          <w:tcPr>
            <w:tcW w:w="7938" w:type="dxa"/>
            <w:tcBorders>
              <w:top w:val="nil"/>
              <w:left w:val="nil"/>
              <w:bottom w:val="nil"/>
              <w:right w:val="nil"/>
            </w:tcBorders>
            <w:shd w:val="clear" w:color="auto" w:fill="E9E8E5" w:themeFill="background2"/>
          </w:tcPr>
          <w:p w14:paraId="2D0A29D2" w14:textId="77777777" w:rsidR="00B91312" w:rsidRPr="000D048E" w:rsidRDefault="00B91312" w:rsidP="00FF2A58">
            <w:pPr>
              <w:pStyle w:val="BoxHeading1"/>
              <w:spacing w:before="80"/>
            </w:pPr>
            <w:r w:rsidRPr="000D048E">
              <w:t>Lack of supply and ageing in place (MND sufferer and ageing parents)</w:t>
            </w:r>
          </w:p>
          <w:p w14:paraId="79F33627" w14:textId="77777777" w:rsidR="00B91312" w:rsidRDefault="00B91312" w:rsidP="00B91312">
            <w:pPr>
              <w:pStyle w:val="BodyText"/>
            </w:pPr>
            <w:r w:rsidRPr="00F56439">
              <w:t>I became interested in accessible housing three years ago, after my 38 year old husband was diagnosed with Motor Neurone Disease.</w:t>
            </w:r>
          </w:p>
          <w:p w14:paraId="02716058" w14:textId="77777777" w:rsidR="00B91312" w:rsidRDefault="00B91312" w:rsidP="00B91312">
            <w:pPr>
              <w:pStyle w:val="BodyText"/>
            </w:pPr>
            <w:r w:rsidRPr="00F56439">
              <w:t xml:space="preserve">As it happens, our family home is single storey, with a level entry.  We were already planning a minor renovation so we altered the plans to include a wheelchair accessible bathroom.  At the time, we measured the main corridor and the doorways to ensure that they were wide enough for a wheelchair.  Luckily they are - just! </w:t>
            </w:r>
          </w:p>
          <w:p w14:paraId="5289D248" w14:textId="77777777" w:rsidR="00B91312" w:rsidRPr="00BF2F67" w:rsidRDefault="00B91312" w:rsidP="003F1EE7">
            <w:pPr>
              <w:pStyle w:val="BodyText"/>
            </w:pPr>
            <w:r w:rsidRPr="00F56439">
              <w:t>So we have been able to remain in our beloved home, and my husband has been able to remain with us despite his deteriorating condition.</w:t>
            </w:r>
          </w:p>
        </w:tc>
      </w:tr>
      <w:tr w:rsidR="00F76823" w14:paraId="2F858B45" w14:textId="77777777" w:rsidTr="009717D2">
        <w:tblPrEx>
          <w:shd w:val="clear" w:color="6F6652" w:fill="F1EFEA"/>
        </w:tblPrEx>
        <w:tc>
          <w:tcPr>
            <w:tcW w:w="7938" w:type="dxa"/>
            <w:tcBorders>
              <w:top w:val="nil"/>
              <w:left w:val="nil"/>
              <w:bottom w:val="nil"/>
              <w:right w:val="nil"/>
            </w:tcBorders>
            <w:shd w:val="clear" w:color="auto" w:fill="E9E8E5" w:themeFill="background2"/>
          </w:tcPr>
          <w:p w14:paraId="2FCE28BD" w14:textId="77777777" w:rsidR="00FC71D4" w:rsidRDefault="00FC71D4" w:rsidP="00FC71D4">
            <w:pPr>
              <w:pStyle w:val="BodyText"/>
            </w:pPr>
            <w:r w:rsidRPr="00F56439">
              <w:t>However, we live in regional Victoria and our families live in Melbourne. We used to visit them regularly, and stay overnight.  It quickly became apparent that this would no longer be feasible as my husband's mobility deteriorated, because of the poor accessibility of their homes. My parents were planning to buy an investment property so they suggested that they would look for an accessible property, which would provide us with a base to stay overnight when we came to visit</w:t>
            </w:r>
            <w:r w:rsidR="00A74782">
              <w:t>.</w:t>
            </w:r>
            <w:r w:rsidRPr="00F56439">
              <w:t xml:space="preserve"> We looked for over 12 months.</w:t>
            </w:r>
          </w:p>
          <w:p w14:paraId="12FD9D46" w14:textId="77777777" w:rsidR="00FC71D4" w:rsidRDefault="00FC71D4" w:rsidP="00FC71D4">
            <w:pPr>
              <w:pStyle w:val="BodyText"/>
            </w:pPr>
            <w:r w:rsidRPr="00F56439">
              <w:t>There was… NOTHING.</w:t>
            </w:r>
          </w:p>
          <w:p w14:paraId="26874C44" w14:textId="77777777" w:rsidR="00FC71D4" w:rsidRPr="00F56439" w:rsidRDefault="00FC71D4" w:rsidP="00FC71D4">
            <w:pPr>
              <w:pStyle w:val="BodyText"/>
            </w:pPr>
            <w:r w:rsidRPr="00F56439">
              <w:t>It brought home to us how fortunate we are to be in our current home, and how dire the housing market is for those with “special needs”.</w:t>
            </w:r>
          </w:p>
        </w:tc>
      </w:tr>
      <w:tr w:rsidR="00F76823" w14:paraId="7E4F5ECE" w14:textId="77777777" w:rsidTr="00233C02">
        <w:tblPrEx>
          <w:shd w:val="clear" w:color="6F6652" w:fill="F1EFEA"/>
        </w:tblPrEx>
        <w:tc>
          <w:tcPr>
            <w:tcW w:w="7938" w:type="dxa"/>
            <w:tcBorders>
              <w:top w:val="nil"/>
              <w:left w:val="nil"/>
              <w:bottom w:val="nil"/>
              <w:right w:val="nil"/>
            </w:tcBorders>
            <w:shd w:val="clear" w:color="auto" w:fill="E9E8E5" w:themeFill="background2"/>
          </w:tcPr>
          <w:p w14:paraId="313CA33E" w14:textId="77777777" w:rsidR="00273126" w:rsidRDefault="00B91312" w:rsidP="00B91312">
            <w:pPr>
              <w:pStyle w:val="BodyText"/>
            </w:pPr>
            <w:r w:rsidRPr="00F56439">
              <w:t>It also brought home how difficult remaining at home will be for my parents as they age and we are actively discussing whether they will modify their house in order to 'future proof' it, or whether they will move out now into some other home.</w:t>
            </w:r>
          </w:p>
        </w:tc>
      </w:tr>
      <w:tr w:rsidR="00F76823" w14:paraId="125AE6F5" w14:textId="77777777" w:rsidTr="00233C02">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45F50A82" w14:textId="77777777" w:rsidR="00F915C5" w:rsidRDefault="00F56439" w:rsidP="00F56439">
            <w:pPr>
              <w:pStyle w:val="BodyText"/>
            </w:pPr>
            <w:r w:rsidRPr="00F56439">
              <w:t>But perhaps what was most dispiriting was that of the many, many new buildings that we looked at, none of them were suitable. There was clearly no regulation that imposed an accessible or universal design on these new developments. In particular, although some townhouses had been built with internal lifts, the placement of the lifts - and the general design of the home around them - had clearly not been properly considered, for example the lift that opened out onto the top of a flight of stairs!</w:t>
            </w:r>
          </w:p>
          <w:p w14:paraId="64A0F8DD" w14:textId="77777777" w:rsidR="00F915C5" w:rsidRDefault="00F56439" w:rsidP="00F56439">
            <w:pPr>
              <w:pStyle w:val="BodyText"/>
            </w:pPr>
            <w:r w:rsidRPr="00F56439">
              <w:lastRenderedPageBreak/>
              <w:t>I had never heard of accessible design until my husband's diagnosis sent us into a tailspin.  But we are not the only family to whom something unexpected will happen.  And everyone faces the prospect of aging and the associated deterioration in physical mobility.  It makes sense to ensure that housing stock is created to cater for all needs and abilities; that all new homes are built with accessibility as a baseline consideration. No-one should have to move out of their home because they can no longer safely move around in it.</w:t>
            </w:r>
          </w:p>
          <w:p w14:paraId="0E7815BF" w14:textId="77777777" w:rsidR="00F915C5" w:rsidRPr="00233C02" w:rsidRDefault="00F915C5" w:rsidP="00F915C5">
            <w:pPr>
              <w:pStyle w:val="Source"/>
              <w:rPr>
                <w:rFonts w:ascii="Franklin Gothic Medium" w:hAnsi="Franklin Gothic Medium"/>
                <w:szCs w:val="14"/>
                <w:lang w:eastAsia="en-AU"/>
              </w:rPr>
            </w:pPr>
            <w:r w:rsidRPr="00233C02">
              <w:rPr>
                <w:rFonts w:ascii="Franklin Gothic Medium" w:hAnsi="Franklin Gothic Medium"/>
                <w:i/>
                <w:iCs/>
                <w:szCs w:val="14"/>
                <w:lang w:eastAsia="en-AU"/>
              </w:rPr>
              <w:t>Source: Anonymous response 570905003</w:t>
            </w:r>
            <w:r w:rsidRPr="00233C02">
              <w:rPr>
                <w:rStyle w:val="FootnoteReference"/>
                <w:rFonts w:ascii="Franklin Gothic Medium" w:hAnsi="Franklin Gothic Medium"/>
                <w:sz w:val="14"/>
                <w:szCs w:val="14"/>
              </w:rPr>
              <w:footnoteReference w:id="80"/>
            </w:r>
          </w:p>
          <w:p w14:paraId="2FE70399" w14:textId="77777777" w:rsidR="00F915C5" w:rsidRDefault="005B543C" w:rsidP="00233C02">
            <w:pPr>
              <w:pStyle w:val="BoxHeading1"/>
              <w:rPr>
                <w:lang w:eastAsia="en-US"/>
              </w:rPr>
            </w:pPr>
            <w:r>
              <w:rPr>
                <w:lang w:eastAsia="en-US"/>
              </w:rPr>
              <w:t>Lack of accessible rental</w:t>
            </w:r>
            <w:r w:rsidR="00CB397A">
              <w:rPr>
                <w:lang w:eastAsia="en-US"/>
              </w:rPr>
              <w:t xml:space="preserve"> property</w:t>
            </w:r>
          </w:p>
          <w:p w14:paraId="4C81DBCC" w14:textId="77777777" w:rsidR="000D0051" w:rsidRDefault="000D0051" w:rsidP="00233C02">
            <w:pPr>
              <w:pStyle w:val="BodyText"/>
              <w:spacing w:before="0"/>
              <w:rPr>
                <w:lang w:eastAsia="en-US"/>
              </w:rPr>
            </w:pPr>
            <w:r>
              <w:rPr>
                <w:lang w:eastAsia="en-US"/>
              </w:rPr>
              <w:t xml:space="preserve">After a number of years I moved into private rental </w:t>
            </w:r>
            <w:r w:rsidR="006663E3">
              <w:rPr>
                <w:lang w:eastAsia="en-US"/>
              </w:rPr>
              <w:t xml:space="preserve">– </w:t>
            </w:r>
            <w:r>
              <w:rPr>
                <w:lang w:eastAsia="en-US"/>
              </w:rPr>
              <w:t>it</w:t>
            </w:r>
            <w:r w:rsidR="006663E3">
              <w:rPr>
                <w:lang w:eastAsia="en-US"/>
              </w:rPr>
              <w:t xml:space="preserve"> </w:t>
            </w:r>
            <w:r>
              <w:rPr>
                <w:lang w:eastAsia="en-US"/>
              </w:rPr>
              <w:t>was very difficult to find a unit with accessibility in the private rental market, and it was only a fluke that an old residential aged care facility had sold off its accommodation units and these were in the private rental market that there was a unit available that had level entry an accessible bathroom and that it was available at an affordable price and was close to public transport.</w:t>
            </w:r>
          </w:p>
          <w:p w14:paraId="2CDA0B6F" w14:textId="77777777" w:rsidR="000D0051" w:rsidRPr="00233C02" w:rsidRDefault="000D0051" w:rsidP="00233C02">
            <w:pPr>
              <w:pStyle w:val="BodyText"/>
              <w:spacing w:before="0"/>
              <w:rPr>
                <w:rFonts w:ascii="Franklin Gothic Medium" w:hAnsi="Franklin Gothic Medium"/>
                <w:i/>
                <w:iCs/>
                <w:sz w:val="14"/>
                <w:szCs w:val="14"/>
                <w:lang w:eastAsia="en-US"/>
              </w:rPr>
            </w:pPr>
            <w:r w:rsidRPr="00233C02">
              <w:rPr>
                <w:rStyle w:val="SourceChar"/>
                <w:rFonts w:ascii="Franklin Gothic Medium" w:hAnsi="Franklin Gothic Medium"/>
                <w:i/>
                <w:iCs/>
                <w:szCs w:val="14"/>
              </w:rPr>
              <w:t>Source: Raelene West Response</w:t>
            </w:r>
            <w:r w:rsidRPr="00233C02">
              <w:rPr>
                <w:rStyle w:val="FootnoteReference"/>
                <w:rFonts w:ascii="Franklin Gothic Medium" w:hAnsi="Franklin Gothic Medium"/>
                <w:sz w:val="14"/>
                <w:szCs w:val="14"/>
              </w:rPr>
              <w:footnoteReference w:id="81"/>
            </w:r>
          </w:p>
          <w:p w14:paraId="43F5717F" w14:textId="77777777" w:rsidR="00CB397A" w:rsidRDefault="00CB397A" w:rsidP="00233C02">
            <w:pPr>
              <w:pStyle w:val="BodyText"/>
              <w:spacing w:before="240"/>
              <w:rPr>
                <w:lang w:eastAsia="en-US"/>
              </w:rPr>
            </w:pPr>
            <w:r>
              <w:rPr>
                <w:lang w:eastAsia="en-US"/>
              </w:rPr>
              <w:t xml:space="preserve">In several weeks of searching [for a rental property] …. not one of the properties we saw was suitable for someone with a power chair and no walking ability at all, in that we didn't see any [properties] that were ground floor with flat access. In the price range we looked at, first floor with a lift and good stairs was the best we found. Only one listing mentioned disability access - to say there was none. </w:t>
            </w:r>
          </w:p>
          <w:p w14:paraId="3A0FFC9D" w14:textId="77777777" w:rsidR="00CB397A" w:rsidRPr="00233C02" w:rsidRDefault="00CB397A" w:rsidP="00233C02">
            <w:pPr>
              <w:pStyle w:val="BodyText"/>
              <w:spacing w:before="0" w:after="120"/>
              <w:rPr>
                <w:rFonts w:ascii="Franklin Gothic Medium" w:hAnsi="Franklin Gothic Medium"/>
                <w:sz w:val="14"/>
                <w:szCs w:val="14"/>
                <w:lang w:eastAsia="en-US"/>
              </w:rPr>
            </w:pPr>
            <w:r w:rsidRPr="00233C02">
              <w:rPr>
                <w:rStyle w:val="SourceChar"/>
                <w:rFonts w:ascii="Franklin Gothic Medium" w:hAnsi="Franklin Gothic Medium"/>
                <w:i/>
                <w:iCs/>
                <w:szCs w:val="14"/>
              </w:rPr>
              <w:t>Source: Physical Disability Council of NSW</w:t>
            </w:r>
            <w:r w:rsidRPr="00233C02">
              <w:rPr>
                <w:rStyle w:val="FootnoteReference"/>
                <w:rFonts w:ascii="Franklin Gothic Medium" w:hAnsi="Franklin Gothic Medium"/>
                <w:i/>
                <w:iCs/>
                <w:position w:val="0"/>
                <w:sz w:val="14"/>
                <w:szCs w:val="14"/>
                <w:lang w:eastAsia="en-US"/>
              </w:rPr>
              <w:t xml:space="preserve"> </w:t>
            </w:r>
            <w:r w:rsidRPr="00233C02">
              <w:rPr>
                <w:rStyle w:val="FootnoteReference"/>
                <w:rFonts w:ascii="Franklin Gothic Medium" w:hAnsi="Franklin Gothic Medium"/>
                <w:sz w:val="14"/>
                <w:szCs w:val="14"/>
                <w:lang w:eastAsia="en-US"/>
              </w:rPr>
              <w:footnoteReference w:id="82"/>
            </w:r>
          </w:p>
        </w:tc>
      </w:tr>
    </w:tbl>
    <w:p w14:paraId="445B0943" w14:textId="77777777" w:rsidR="00E4023A" w:rsidRDefault="00E4023A" w:rsidP="00E4023A">
      <w:pPr>
        <w:pStyle w:val="BodyText"/>
      </w:pPr>
      <w:r>
        <w:lastRenderedPageBreak/>
        <w:t xml:space="preserve">As each individual with a disability (including ageing members of the community) will have specific accessibility needs, it is not possible to design houses that will meet the needs (including accessibility needs) of all members of the community. However, under universal design principles houses are designed for the </w:t>
      </w:r>
      <w:r w:rsidR="00A74782">
        <w:t>great</w:t>
      </w:r>
      <w:r>
        <w:t>est number of people.</w:t>
      </w:r>
      <w:r>
        <w:rPr>
          <w:rStyle w:val="FootnoteReference"/>
        </w:rPr>
        <w:footnoteReference w:id="83"/>
      </w:r>
    </w:p>
    <w:p w14:paraId="737F3B62" w14:textId="77777777" w:rsidR="00E4023A" w:rsidRDefault="00E4023A" w:rsidP="00E4023A">
      <w:pPr>
        <w:pStyle w:val="BodyText"/>
      </w:pPr>
      <w:r>
        <w:lastRenderedPageBreak/>
        <w:t xml:space="preserve">To meet the needs of members of the community with mobility </w:t>
      </w:r>
      <w:r w:rsidR="00C72492">
        <w:t>limitation</w:t>
      </w:r>
      <w:r>
        <w:t>, housing should be:</w:t>
      </w:r>
      <w:r>
        <w:rPr>
          <w:rStyle w:val="FootnoteReference"/>
        </w:rPr>
        <w:footnoteReference w:id="84"/>
      </w:r>
    </w:p>
    <w:p w14:paraId="73161BF4" w14:textId="77777777" w:rsidR="00E4023A" w:rsidRDefault="00E4023A" w:rsidP="00E4023A">
      <w:pPr>
        <w:pStyle w:val="ListBullet"/>
        <w:numPr>
          <w:ilvl w:val="0"/>
          <w:numId w:val="16"/>
        </w:numPr>
      </w:pPr>
      <w:r>
        <w:t>easy to enter (and leave)</w:t>
      </w:r>
    </w:p>
    <w:p w14:paraId="323B5B80" w14:textId="77777777" w:rsidR="00E4023A" w:rsidRDefault="00E4023A" w:rsidP="00E4023A">
      <w:pPr>
        <w:pStyle w:val="ListBullet"/>
        <w:numPr>
          <w:ilvl w:val="0"/>
          <w:numId w:val="16"/>
        </w:numPr>
      </w:pPr>
      <w:r>
        <w:t>easy to navigate in and around</w:t>
      </w:r>
    </w:p>
    <w:p w14:paraId="2A31FAB8" w14:textId="77777777" w:rsidR="00E4023A" w:rsidRDefault="00E4023A" w:rsidP="00E4023A">
      <w:pPr>
        <w:pStyle w:val="ListBullet"/>
        <w:numPr>
          <w:ilvl w:val="0"/>
          <w:numId w:val="16"/>
        </w:numPr>
      </w:pPr>
      <w:r>
        <w:t>be capable of easy and cost</w:t>
      </w:r>
      <w:r>
        <w:noBreakHyphen/>
        <w:t>effective adaptation</w:t>
      </w:r>
    </w:p>
    <w:p w14:paraId="5A6C27AE" w14:textId="77777777" w:rsidR="00E4023A" w:rsidRDefault="00E4023A" w:rsidP="00E4023A">
      <w:pPr>
        <w:pStyle w:val="ListBullet"/>
        <w:numPr>
          <w:ilvl w:val="0"/>
          <w:numId w:val="16"/>
        </w:numPr>
      </w:pPr>
      <w:r>
        <w:t>be responsive to the changing needs of home occupants.</w:t>
      </w:r>
    </w:p>
    <w:p w14:paraId="023B18F4" w14:textId="77777777" w:rsidR="00E4023A" w:rsidRDefault="00F529A8" w:rsidP="00E4023A">
      <w:pPr>
        <w:pStyle w:val="BodyText"/>
      </w:pPr>
      <w:r>
        <w:t>In addition to accessibility needs, p</w:t>
      </w:r>
      <w:r w:rsidR="00E4023A">
        <w:t xml:space="preserve">eople with mobility </w:t>
      </w:r>
      <w:r w:rsidR="002D54C3">
        <w:t>limitation</w:t>
      </w:r>
      <w:r w:rsidR="00E4023A">
        <w:t xml:space="preserve"> </w:t>
      </w:r>
      <w:r>
        <w:t xml:space="preserve">also </w:t>
      </w:r>
      <w:r w:rsidR="00E4023A">
        <w:t>have needs and preferences beyond accessibility, including preferences relating to the type of housing they live in, location and other factors.</w:t>
      </w:r>
    </w:p>
    <w:p w14:paraId="3038FAD8" w14:textId="77777777" w:rsidR="00E4023A" w:rsidRDefault="00E4023A" w:rsidP="00E4023A">
      <w:pPr>
        <w:pStyle w:val="BodyText"/>
      </w:pPr>
      <w:r w:rsidRPr="005527ED">
        <w:t xml:space="preserve">According to the </w:t>
      </w:r>
      <w:r w:rsidR="002D54C3">
        <w:t>NDS</w:t>
      </w:r>
      <w:r w:rsidRPr="005527ED">
        <w:t>, finding suitable accommodation is important to all Australians</w:t>
      </w:r>
      <w:r>
        <w:t xml:space="preserve"> and</w:t>
      </w:r>
      <w:r w:rsidRPr="005527ED">
        <w:t xml:space="preserve"> is a prerequisite for a happy and stable life. However, there is evidence that many people with accessibility needs are not able to secure suitable</w:t>
      </w:r>
      <w:r>
        <w:t xml:space="preserve"> housing.</w:t>
      </w:r>
    </w:p>
    <w:p w14:paraId="14FBFEC6" w14:textId="77777777" w:rsidR="00E4023A" w:rsidRPr="00692247" w:rsidRDefault="00E4023A" w:rsidP="00E4023A">
      <w:pPr>
        <w:pStyle w:val="ListBullet"/>
        <w:numPr>
          <w:ilvl w:val="0"/>
          <w:numId w:val="16"/>
        </w:numPr>
      </w:pPr>
      <w:r>
        <w:t>T</w:t>
      </w:r>
      <w:r w:rsidRPr="00692247">
        <w:t xml:space="preserve">he current </w:t>
      </w:r>
      <w:r w:rsidR="002D54C3">
        <w:t>NDS</w:t>
      </w:r>
      <w:r>
        <w:t xml:space="preserve"> notes</w:t>
      </w:r>
      <w:r w:rsidRPr="00692247">
        <w:t xml:space="preserve"> there is evidence that people with disability experience substantial barriers in finding a place to live, especially in the private market. </w:t>
      </w:r>
      <w:r>
        <w:t xml:space="preserve">Housing </w:t>
      </w:r>
      <w:r w:rsidRPr="00692247">
        <w:t xml:space="preserve">designs </w:t>
      </w:r>
      <w:r>
        <w:t>that</w:t>
      </w:r>
      <w:r w:rsidRPr="00692247">
        <w:t xml:space="preserve"> do not allow the building structure of the home to change to meet the needs of a person who is ageing or </w:t>
      </w:r>
      <w:r w:rsidR="006E5B85">
        <w:t>with</w:t>
      </w:r>
      <w:r w:rsidRPr="00692247">
        <w:t xml:space="preserve"> disability without significant expense</w:t>
      </w:r>
      <w:r>
        <w:t xml:space="preserve"> is identified</w:t>
      </w:r>
      <w:r w:rsidRPr="00692247">
        <w:t xml:space="preserve"> as a key barrier.</w:t>
      </w:r>
      <w:r w:rsidRPr="005527ED">
        <w:rPr>
          <w:rStyle w:val="FootnoteReference"/>
        </w:rPr>
        <w:footnoteReference w:id="85"/>
      </w:r>
    </w:p>
    <w:p w14:paraId="2269B54B" w14:textId="77777777" w:rsidR="00E4023A" w:rsidRDefault="00E4023A" w:rsidP="00E4023A">
      <w:pPr>
        <w:pStyle w:val="ListBullet"/>
        <w:numPr>
          <w:ilvl w:val="0"/>
          <w:numId w:val="16"/>
        </w:numPr>
      </w:pPr>
      <w:r>
        <w:t xml:space="preserve">A </w:t>
      </w:r>
      <w:r>
        <w:rPr>
          <w:lang w:eastAsia="en-US" w:bidi="fa-IR"/>
        </w:rPr>
        <w:t>survey conducted by the ANUHD, found that 68 per cent of respondents had experienced difficulty in finding accessible housing.</w:t>
      </w:r>
    </w:p>
    <w:p w14:paraId="4C5CBD09" w14:textId="77777777" w:rsidR="00E4023A" w:rsidRDefault="00E4023A" w:rsidP="00E4023A">
      <w:pPr>
        <w:pStyle w:val="ListBullet"/>
        <w:numPr>
          <w:ilvl w:val="0"/>
          <w:numId w:val="16"/>
        </w:numPr>
      </w:pPr>
      <w:r>
        <w:t>During CIE’s targeted consultation</w:t>
      </w:r>
      <w:r w:rsidR="003766EB">
        <w:t xml:space="preserve"> for the preparation of </w:t>
      </w:r>
      <w:r w:rsidR="00015F9E">
        <w:t xml:space="preserve">the </w:t>
      </w:r>
      <w:r w:rsidR="003766EB">
        <w:t>Consultation RIS</w:t>
      </w:r>
      <w:r>
        <w:t xml:space="preserve">, multiple stakeholders provided </w:t>
      </w:r>
      <w:r w:rsidR="00015F9E">
        <w:t>qualitative</w:t>
      </w:r>
      <w:r>
        <w:t xml:space="preserve"> evidence of people with </w:t>
      </w:r>
      <w:r w:rsidR="00D870C0">
        <w:t xml:space="preserve">disability </w:t>
      </w:r>
      <w:r>
        <w:t>experiencing difficulties in finding suitable accommodation.</w:t>
      </w:r>
    </w:p>
    <w:p w14:paraId="1CCCE45A" w14:textId="77777777" w:rsidR="00E4023A" w:rsidRDefault="00E4023A" w:rsidP="00E4023A">
      <w:pPr>
        <w:pStyle w:val="Heading3"/>
        <w:numPr>
          <w:ilvl w:val="2"/>
          <w:numId w:val="5"/>
        </w:numPr>
      </w:pPr>
      <w:r>
        <w:t>Number of people that potentially have accessibility needs</w:t>
      </w:r>
    </w:p>
    <w:p w14:paraId="7B61219D" w14:textId="77777777" w:rsidR="00E4023A" w:rsidRDefault="005B0289" w:rsidP="005B0289">
      <w:pPr>
        <w:pStyle w:val="BodyText"/>
      </w:pPr>
      <w:r>
        <w:t xml:space="preserve">The Consultation RIS reported that based on the ABS’s 2018 Survey of Disabilities, Ageing and Carers (SDAC), there were around 2.98 million people who could potentially benefit from more accessible housing. This estimate was based on the number of people </w:t>
      </w:r>
      <w:r w:rsidR="0001535B">
        <w:t>with mobility limitation</w:t>
      </w:r>
      <w:r w:rsidR="00A8712C">
        <w:t>s</w:t>
      </w:r>
      <w:r w:rsidR="0001535B">
        <w:t xml:space="preserve"> due to disability. </w:t>
      </w:r>
      <w:r w:rsidR="00E4023A">
        <w:t>Some stakeholders were concerned that the Consultation RIS may have under</w:t>
      </w:r>
      <w:r w:rsidR="00E4023A">
        <w:noBreakHyphen/>
        <w:t>estimated the number of members of the community that could benefit from more accessible housing for the following reasons</w:t>
      </w:r>
      <w:r w:rsidR="005B22AC">
        <w:t>:</w:t>
      </w:r>
    </w:p>
    <w:p w14:paraId="58538AD4" w14:textId="77777777" w:rsidR="008049A2" w:rsidRDefault="008049A2" w:rsidP="008049A2">
      <w:pPr>
        <w:pStyle w:val="ListBullet"/>
      </w:pPr>
      <w:r>
        <w:t>The SDAC survey does not capture people with temporary accessibility needs, such as those with temporary injuries.</w:t>
      </w:r>
    </w:p>
    <w:p w14:paraId="1801DE87" w14:textId="77777777" w:rsidR="00E4023A" w:rsidRDefault="00E4023A" w:rsidP="00E4023A">
      <w:pPr>
        <w:pStyle w:val="ListBullet"/>
      </w:pPr>
      <w:r>
        <w:t>Some stakeholders argued that people with long</w:t>
      </w:r>
      <w:r>
        <w:noBreakHyphen/>
        <w:t>term health conditions with accessibility needs may have been excluded from the estimates because many do not identify as having a disability.</w:t>
      </w:r>
    </w:p>
    <w:p w14:paraId="1AC2B005" w14:textId="77777777" w:rsidR="0001535B" w:rsidRDefault="0001535B" w:rsidP="0001535B">
      <w:pPr>
        <w:pStyle w:val="ListBullet"/>
      </w:pPr>
      <w:r>
        <w:lastRenderedPageBreak/>
        <w:t>Some stakeholder</w:t>
      </w:r>
      <w:r w:rsidR="127555EC">
        <w:t>s</w:t>
      </w:r>
      <w:r>
        <w:t xml:space="preserve"> argued that the Consultation RIS focused only on people with mobility limitations and therefore did not capture those with </w:t>
      </w:r>
      <w:r w:rsidR="0088211D">
        <w:t xml:space="preserve">a range of other disabilities, including those with low vision and those that may require assistance with daily living tasks (e.g. cognitive or intellectual disability or a person with no arm or hand function) that </w:t>
      </w:r>
      <w:r>
        <w:t>could also benefit from some accessible design</w:t>
      </w:r>
      <w:r w:rsidR="0088211D">
        <w:t xml:space="preserve"> features</w:t>
      </w:r>
      <w:r>
        <w:t>.</w:t>
      </w:r>
      <w:r w:rsidR="0088211D">
        <w:rPr>
          <w:rStyle w:val="FootnoteReference"/>
        </w:rPr>
        <w:footnoteReference w:id="86"/>
      </w:r>
    </w:p>
    <w:p w14:paraId="39E77487" w14:textId="77777777" w:rsidR="008049A2" w:rsidRDefault="0001535B" w:rsidP="008049A2">
      <w:pPr>
        <w:pStyle w:val="BodyText"/>
      </w:pPr>
      <w:r>
        <w:t xml:space="preserve">In relation to the </w:t>
      </w:r>
      <w:r w:rsidR="007E1820">
        <w:t>first point</w:t>
      </w:r>
      <w:r>
        <w:t xml:space="preserve">, </w:t>
      </w:r>
      <w:r w:rsidR="008049A2">
        <w:t>the SDAC survey includes people with health conditions that have lasted, or are likely to last</w:t>
      </w:r>
      <w:r w:rsidR="00EE30C6">
        <w:t>,</w:t>
      </w:r>
      <w:r w:rsidR="008049A2">
        <w:t xml:space="preserve"> for 6 months or more. As such, it would include people with temporary disabilities that last for 6 months or more, but would exclude people with shorter</w:t>
      </w:r>
      <w:r w:rsidR="39F84261">
        <w:t xml:space="preserve"> </w:t>
      </w:r>
      <w:r w:rsidR="008049A2">
        <w:t xml:space="preserve">term conditions. That said, where the ‘size of the problem’ has been quantified (see below), </w:t>
      </w:r>
      <w:r w:rsidR="00A35B39">
        <w:t>CIE has</w:t>
      </w:r>
      <w:r w:rsidR="008049A2">
        <w:t xml:space="preserve"> not relied on SDAC to estimate all aspects of the problem. As such, some costs associated with temporary injuries</w:t>
      </w:r>
      <w:r w:rsidR="007E1820">
        <w:t xml:space="preserve"> would be included in </w:t>
      </w:r>
      <w:r w:rsidR="0086302E">
        <w:t xml:space="preserve">the </w:t>
      </w:r>
      <w:r w:rsidR="007E1820">
        <w:t>estimates</w:t>
      </w:r>
      <w:r w:rsidR="00EF4534">
        <w:t>;</w:t>
      </w:r>
      <w:r w:rsidR="00AB20A3">
        <w:t xml:space="preserve"> for example, the costs associated with delayed discharge from hospital does not rely on SDAC data and would therefore include people with shorter</w:t>
      </w:r>
      <w:r w:rsidR="00AB20A3">
        <w:noBreakHyphen/>
        <w:t>term functional limitations, where relevant</w:t>
      </w:r>
      <w:r w:rsidR="007E1820">
        <w:t>.</w:t>
      </w:r>
    </w:p>
    <w:p w14:paraId="7F6E282B" w14:textId="77777777" w:rsidR="000F4E4B" w:rsidRDefault="007E1820" w:rsidP="00E4023A">
      <w:pPr>
        <w:pStyle w:val="BodyText"/>
      </w:pPr>
      <w:r>
        <w:t>In relation to the other points relating to whether the measure used in the SDAC captures all relevant people that would potentially benefit from</w:t>
      </w:r>
      <w:r w:rsidR="00AB20A3">
        <w:t xml:space="preserve"> accessible housing</w:t>
      </w:r>
      <w:r w:rsidR="000F4E4B">
        <w:t>, it is important to be clear about what the SDAC is measuring. I</w:t>
      </w:r>
      <w:r w:rsidR="00F573A6">
        <w:t>n the</w:t>
      </w:r>
      <w:r w:rsidR="00F82C18">
        <w:t xml:space="preserve"> SDAC survey</w:t>
      </w:r>
      <w:r w:rsidR="000F4E4B">
        <w:t>,</w:t>
      </w:r>
      <w:r w:rsidR="00F82C18">
        <w:t xml:space="preserve"> </w:t>
      </w:r>
      <w:r w:rsidR="00F573A6">
        <w:t>people are categorised as having core limitation</w:t>
      </w:r>
      <w:r w:rsidR="00AD4F54">
        <w:t>s</w:t>
      </w:r>
      <w:r w:rsidR="00F573A6">
        <w:t xml:space="preserve"> due to disability (mobility, self</w:t>
      </w:r>
      <w:r w:rsidR="00F573A6">
        <w:noBreakHyphen/>
        <w:t xml:space="preserve">care or communication) </w:t>
      </w:r>
      <w:r w:rsidR="00F82C18">
        <w:t xml:space="preserve">based on </w:t>
      </w:r>
      <w:r w:rsidR="00F573A6">
        <w:t xml:space="preserve">questions about their </w:t>
      </w:r>
      <w:r w:rsidR="00F82C18">
        <w:t xml:space="preserve">functional </w:t>
      </w:r>
      <w:r w:rsidR="00F573A6">
        <w:t>abilities</w:t>
      </w:r>
      <w:r w:rsidR="00F82C18">
        <w:t>.</w:t>
      </w:r>
    </w:p>
    <w:p w14:paraId="4008049D" w14:textId="77777777" w:rsidR="005B0289" w:rsidRDefault="00F573A6" w:rsidP="000F4E4B">
      <w:pPr>
        <w:pStyle w:val="ListBullet"/>
      </w:pPr>
      <w:r>
        <w:t>The estimate from SDAC</w:t>
      </w:r>
      <w:r w:rsidR="00F82C18">
        <w:t xml:space="preserve"> </w:t>
      </w:r>
      <w:r w:rsidR="00AB20A3">
        <w:t>does</w:t>
      </w:r>
      <w:r w:rsidR="00F82C18">
        <w:t xml:space="preserve"> not </w:t>
      </w:r>
      <w:r w:rsidR="00AB20A3">
        <w:t>rely on people</w:t>
      </w:r>
      <w:r w:rsidR="00F82C18">
        <w:t xml:space="preserve"> self</w:t>
      </w:r>
      <w:r w:rsidR="00F82C18">
        <w:noBreakHyphen/>
        <w:t>identif</w:t>
      </w:r>
      <w:r w:rsidR="00AB20A3">
        <w:t>ying as having a disability</w:t>
      </w:r>
      <w:r w:rsidR="00F82C18">
        <w:t xml:space="preserve"> and does not distinguish between disability and long</w:t>
      </w:r>
      <w:r w:rsidR="00F82C18">
        <w:noBreakHyphen/>
        <w:t>term health conditions</w:t>
      </w:r>
      <w:r w:rsidR="00455D46">
        <w:t>,</w:t>
      </w:r>
      <w:r w:rsidR="00F82C18">
        <w:t xml:space="preserve"> unlike </w:t>
      </w:r>
      <w:r w:rsidR="00AB20A3">
        <w:t>some other surveys, such as the Census</w:t>
      </w:r>
      <w:r w:rsidR="00F82C18">
        <w:t>.</w:t>
      </w:r>
      <w:r>
        <w:t xml:space="preserve"> This measure should therefore capture those with ‘long</w:t>
      </w:r>
      <w:r>
        <w:noBreakHyphen/>
        <w:t>term health conditions’ that affect their mobility.</w:t>
      </w:r>
      <w:r w:rsidR="00B00F97">
        <w:t xml:space="preserve"> SDAC generally produces lower estimates of the prevalence of disability and long</w:t>
      </w:r>
      <w:r w:rsidR="00B00F97">
        <w:noBreakHyphen/>
        <w:t xml:space="preserve">term health conditions than some other </w:t>
      </w:r>
      <w:r w:rsidR="00AB20A3">
        <w:t>surveys</w:t>
      </w:r>
      <w:r w:rsidR="00B00F97">
        <w:t xml:space="preserve"> because it excludes those with conditions that do not restrict everyday activities.</w:t>
      </w:r>
      <w:r w:rsidR="00B00F97">
        <w:rPr>
          <w:rStyle w:val="FootnoteReference"/>
        </w:rPr>
        <w:footnoteReference w:id="87"/>
      </w:r>
      <w:r w:rsidR="00B00F97">
        <w:t xml:space="preserve"> The extent to which people are restricted in their ability to do everyday activities is a more relevant indicator of their accessibility needs in relation to housing.</w:t>
      </w:r>
    </w:p>
    <w:p w14:paraId="0EA5D2C8" w14:textId="49772E9D" w:rsidR="000F4E4B" w:rsidRDefault="000F4E4B" w:rsidP="000F4E4B">
      <w:pPr>
        <w:pStyle w:val="ListBullet"/>
      </w:pPr>
      <w:r>
        <w:t>The number of people with a core mobility limitation will include many people with the types of disabilities mentioned in submissions if their disability means they have a mobility limitation.</w:t>
      </w:r>
      <w:r w:rsidR="00AB20A3">
        <w:t xml:space="preserve"> Table </w:t>
      </w:r>
      <w:r w:rsidR="00587754">
        <w:rPr>
          <w:noProof/>
        </w:rPr>
        <w:t>3.4</w:t>
      </w:r>
      <w:r w:rsidR="00AB20A3">
        <w:t xml:space="preserve"> shows the number of people with mobility limitation (i.e. that would be included in the estimate reported in the Consultation RIS). As above, functional limitations are</w:t>
      </w:r>
      <w:r w:rsidR="00DA33CC">
        <w:t xml:space="preserve"> the</w:t>
      </w:r>
      <w:r w:rsidR="00AB20A3">
        <w:t xml:space="preserve"> most relevant </w:t>
      </w:r>
      <w:r w:rsidR="005F4930">
        <w:t>indicator of</w:t>
      </w:r>
      <w:r w:rsidR="00AB20A3">
        <w:t xml:space="preserve"> their accessibility needs in relation to housing.</w:t>
      </w:r>
    </w:p>
    <w:p w14:paraId="0A93EAAC" w14:textId="09885317" w:rsidR="000F4E4B" w:rsidRDefault="00076C9B" w:rsidP="000F4E4B">
      <w:pPr>
        <w:pStyle w:val="Caption"/>
      </w:pPr>
      <w:bookmarkStart w:id="111" w:name="_Toc57643587"/>
      <w:bookmarkStart w:id="112" w:name="_Toc70505503"/>
      <w:r>
        <w:t>3.4</w:t>
      </w:r>
      <w:r w:rsidR="000F4E4B" w:rsidRPr="00695C93">
        <w:tab/>
      </w:r>
      <w:r w:rsidR="000F4E4B">
        <w:t>Mobility limitation by disability type</w:t>
      </w:r>
      <w:bookmarkEnd w:id="111"/>
      <w:bookmarkEnd w:id="112"/>
    </w:p>
    <w:tbl>
      <w:tblPr>
        <w:tblW w:w="7936" w:type="dxa"/>
        <w:tblLayout w:type="fixed"/>
        <w:tblLook w:val="0000" w:firstRow="0" w:lastRow="0" w:firstColumn="0" w:lastColumn="0" w:noHBand="0" w:noVBand="0"/>
        <w:tblCaption w:val="Table 3.4: Mobility limitation by disability type"/>
        <w:tblDescription w:val="This table lists types of disability, and the numbers of people with and without mobility limitation with each disability type. Examples include loss of sight, breathing difficulties, chronic pain and memory problems. Nearly 3 million people in total have a mobility limitation, out of more than 4.3 million people with a disability."/>
      </w:tblPr>
      <w:tblGrid>
        <w:gridCol w:w="3379"/>
        <w:gridCol w:w="1519"/>
        <w:gridCol w:w="1519"/>
        <w:gridCol w:w="1519"/>
      </w:tblGrid>
      <w:tr w:rsidR="00DB7694" w14:paraId="7915CDCB" w14:textId="77777777" w:rsidTr="008E0999">
        <w:trPr>
          <w:trHeight w:val="245"/>
          <w:tblHeader/>
        </w:trPr>
        <w:tc>
          <w:tcPr>
            <w:tcW w:w="3379" w:type="dxa"/>
            <w:tcBorders>
              <w:bottom w:val="single" w:sz="8" w:space="0" w:color="FFFFFF" w:themeColor="background1"/>
            </w:tcBorders>
            <w:shd w:val="clear" w:color="auto" w:fill="6F6652"/>
            <w:tcMar>
              <w:left w:w="57" w:type="dxa"/>
              <w:right w:w="57" w:type="dxa"/>
            </w:tcMar>
          </w:tcPr>
          <w:p w14:paraId="679E7BCF" w14:textId="77777777" w:rsidR="00DB7694" w:rsidRDefault="00DB7694" w:rsidP="000F4E4B">
            <w:pPr>
              <w:pStyle w:val="TableDataColumnHeading"/>
              <w:jc w:val="left"/>
            </w:pPr>
            <w:r>
              <w:t>Disability type</w:t>
            </w:r>
          </w:p>
        </w:tc>
        <w:tc>
          <w:tcPr>
            <w:tcW w:w="1519" w:type="dxa"/>
            <w:tcBorders>
              <w:bottom w:val="single" w:sz="8" w:space="0" w:color="FFFFFF" w:themeColor="background1"/>
            </w:tcBorders>
            <w:shd w:val="clear" w:color="auto" w:fill="6F6652"/>
            <w:tcMar>
              <w:left w:w="57" w:type="dxa"/>
              <w:right w:w="57" w:type="dxa"/>
            </w:tcMar>
          </w:tcPr>
          <w:p w14:paraId="46009E4C" w14:textId="77777777" w:rsidR="00DB7694" w:rsidRDefault="00DB7694" w:rsidP="000F4E4B">
            <w:pPr>
              <w:pStyle w:val="TableDataColumnHeading"/>
            </w:pPr>
            <w:r>
              <w:t>Mobility limitation (‘000)</w:t>
            </w:r>
          </w:p>
        </w:tc>
        <w:tc>
          <w:tcPr>
            <w:tcW w:w="1519" w:type="dxa"/>
            <w:tcBorders>
              <w:bottom w:val="single" w:sz="8" w:space="0" w:color="FFFFFF" w:themeColor="background1"/>
            </w:tcBorders>
            <w:shd w:val="clear" w:color="auto" w:fill="6F6652"/>
            <w:tcMar>
              <w:left w:w="57" w:type="dxa"/>
              <w:right w:w="57" w:type="dxa"/>
            </w:tcMar>
          </w:tcPr>
          <w:p w14:paraId="20C5AB3E" w14:textId="77777777" w:rsidR="00DB7694" w:rsidRDefault="00DB7694" w:rsidP="000F4E4B">
            <w:pPr>
              <w:pStyle w:val="TableDataColumnHeading"/>
            </w:pPr>
            <w:r>
              <w:t>No mobility limitation (‘000)</w:t>
            </w:r>
          </w:p>
        </w:tc>
        <w:tc>
          <w:tcPr>
            <w:tcW w:w="1519" w:type="dxa"/>
            <w:tcBorders>
              <w:bottom w:val="single" w:sz="8" w:space="0" w:color="FFFFFF" w:themeColor="background1"/>
            </w:tcBorders>
            <w:shd w:val="clear" w:color="auto" w:fill="6F6652"/>
            <w:tcMar>
              <w:left w:w="57" w:type="dxa"/>
              <w:right w:w="57" w:type="dxa"/>
            </w:tcMar>
          </w:tcPr>
          <w:p w14:paraId="5A4736FF" w14:textId="77777777" w:rsidR="00DB7694" w:rsidRDefault="00DB7694" w:rsidP="000F4E4B">
            <w:pPr>
              <w:pStyle w:val="TableDataColumnHeading"/>
            </w:pPr>
            <w:r>
              <w:t>Total (‘000)</w:t>
            </w:r>
          </w:p>
        </w:tc>
      </w:tr>
      <w:tr w:rsidR="000F4E4B" w14:paraId="2A7552D8"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84D9EF" w14:textId="77777777" w:rsidR="000F4E4B" w:rsidRDefault="000F4E4B" w:rsidP="000F4E4B">
            <w:pPr>
              <w:pStyle w:val="TableDataEntries"/>
              <w:jc w:val="left"/>
            </w:pPr>
            <w:r>
              <w:t>Loss of sight</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A982F7" w14:textId="77777777" w:rsidR="000F4E4B" w:rsidRDefault="000F4E4B" w:rsidP="000F4E4B">
            <w:pPr>
              <w:pStyle w:val="TableDataEntries"/>
            </w:pPr>
            <w:r>
              <w:t xml:space="preserve"> 205.7</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11E8BE" w14:textId="77777777" w:rsidR="000F4E4B" w:rsidRDefault="000F4E4B" w:rsidP="000F4E4B">
            <w:pPr>
              <w:pStyle w:val="TableDataEntries"/>
            </w:pPr>
            <w:r>
              <w:t xml:space="preserve"> 47.5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1A7E8B" w14:textId="77777777" w:rsidR="000F4E4B" w:rsidRDefault="000F4E4B" w:rsidP="000F4E4B">
            <w:pPr>
              <w:pStyle w:val="TableDataEntries"/>
            </w:pPr>
            <w:r>
              <w:t xml:space="preserve"> 253.8</w:t>
            </w:r>
          </w:p>
        </w:tc>
      </w:tr>
      <w:tr w:rsidR="000F4E4B" w14:paraId="4E379595"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F7F2B9" w14:textId="77777777" w:rsidR="000F4E4B" w:rsidRDefault="000F4E4B" w:rsidP="000F4E4B">
            <w:pPr>
              <w:pStyle w:val="TableDataEntries"/>
              <w:jc w:val="left"/>
            </w:pPr>
            <w:r>
              <w:lastRenderedPageBreak/>
              <w:t>Loss of hearing</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279446" w14:textId="77777777" w:rsidR="000F4E4B" w:rsidRDefault="000F4E4B" w:rsidP="000F4E4B">
            <w:pPr>
              <w:pStyle w:val="TableDataEntries"/>
            </w:pPr>
            <w:r>
              <w:t xml:space="preserve"> 558.0</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701F05" w14:textId="77777777" w:rsidR="000F4E4B" w:rsidRDefault="000F4E4B" w:rsidP="000F4E4B">
            <w:pPr>
              <w:pStyle w:val="TableDataEntries"/>
            </w:pPr>
            <w:r>
              <w:t xml:space="preserve"> 513.8</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62B145" w14:textId="77777777" w:rsidR="000F4E4B" w:rsidRDefault="000F4E4B" w:rsidP="000F4E4B">
            <w:pPr>
              <w:pStyle w:val="TableDataEntries"/>
            </w:pPr>
            <w:r>
              <w:t>1 072.4</w:t>
            </w:r>
          </w:p>
        </w:tc>
      </w:tr>
      <w:tr w:rsidR="00DB7694" w14:paraId="67BD5297" w14:textId="77777777" w:rsidTr="00D13F4A">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725629" w14:textId="77777777" w:rsidR="00DB7694" w:rsidRDefault="00DB7694" w:rsidP="000F4E4B">
            <w:pPr>
              <w:pStyle w:val="TableDataEntries"/>
              <w:jc w:val="left"/>
            </w:pPr>
            <w:r>
              <w:t>Speech difficulties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60455A" w14:textId="77777777" w:rsidR="00DB7694" w:rsidRDefault="00DB7694" w:rsidP="000F4E4B">
            <w:pPr>
              <w:pStyle w:val="TableDataEntries"/>
            </w:pPr>
            <w:r>
              <w:t xml:space="preserve"> 256.5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15B18" w14:textId="77777777" w:rsidR="00DB7694" w:rsidRDefault="00DB7694" w:rsidP="000F4E4B">
            <w:pPr>
              <w:pStyle w:val="TableDataEntries"/>
            </w:pPr>
            <w:r>
              <w:t xml:space="preserve"> 78.3</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2099E8" w14:textId="77777777" w:rsidR="00DB7694" w:rsidRDefault="00DB7694" w:rsidP="000F4E4B">
            <w:pPr>
              <w:pStyle w:val="TableDataEntries"/>
            </w:pPr>
            <w:r>
              <w:t xml:space="preserve"> 334.8</w:t>
            </w:r>
          </w:p>
        </w:tc>
      </w:tr>
      <w:tr w:rsidR="000F4E4B" w14:paraId="4587A8C7"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1647B1" w14:textId="77777777" w:rsidR="000F4E4B" w:rsidRDefault="000F4E4B" w:rsidP="000F4E4B">
            <w:pPr>
              <w:pStyle w:val="TableDataEntries"/>
              <w:jc w:val="left"/>
            </w:pPr>
            <w:r>
              <w:t>Breathing difficulties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C92D2A" w14:textId="77777777" w:rsidR="000F4E4B" w:rsidRDefault="000F4E4B" w:rsidP="000F4E4B">
            <w:pPr>
              <w:pStyle w:val="TableDataEntries"/>
            </w:pPr>
            <w:r>
              <w:t xml:space="preserve"> 398.5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D67243" w14:textId="77777777" w:rsidR="000F4E4B" w:rsidRDefault="000F4E4B" w:rsidP="000F4E4B">
            <w:pPr>
              <w:pStyle w:val="TableDataEntries"/>
            </w:pPr>
            <w:r>
              <w:t xml:space="preserve"> 31.9</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EA2B30" w14:textId="77777777" w:rsidR="000F4E4B" w:rsidRDefault="000F4E4B" w:rsidP="000F4E4B">
            <w:pPr>
              <w:pStyle w:val="TableDataEntries"/>
            </w:pPr>
            <w:r>
              <w:t xml:space="preserve"> 430.9</w:t>
            </w:r>
          </w:p>
        </w:tc>
      </w:tr>
      <w:tr w:rsidR="000F4E4B" w14:paraId="7A6D69C6"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62BA0E" w14:textId="77777777" w:rsidR="000F4E4B" w:rsidRDefault="000F4E4B" w:rsidP="000F4E4B">
            <w:pPr>
              <w:pStyle w:val="TableDataEntries"/>
              <w:jc w:val="left"/>
            </w:pPr>
            <w:r>
              <w:t>Blackouts, seizures or loss of consciousness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863CE" w14:textId="77777777" w:rsidR="000F4E4B" w:rsidRDefault="000F4E4B" w:rsidP="000F4E4B">
            <w:pPr>
              <w:pStyle w:val="TableDataEntries"/>
            </w:pPr>
            <w:r>
              <w:t xml:space="preserve"> 181.3</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69C2F0" w14:textId="77777777" w:rsidR="000F4E4B" w:rsidRDefault="000F4E4B" w:rsidP="000F4E4B">
            <w:pPr>
              <w:pStyle w:val="TableDataEntries"/>
            </w:pPr>
            <w:r>
              <w:t xml:space="preserve"> 50.9</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681EAC" w14:textId="77777777" w:rsidR="000F4E4B" w:rsidRDefault="000F4E4B" w:rsidP="000F4E4B">
            <w:pPr>
              <w:pStyle w:val="TableDataEntries"/>
            </w:pPr>
            <w:r>
              <w:t xml:space="preserve"> 233.2</w:t>
            </w:r>
          </w:p>
        </w:tc>
      </w:tr>
      <w:tr w:rsidR="000F4E4B" w14:paraId="45EB00C5"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7FC119" w14:textId="77777777" w:rsidR="000F4E4B" w:rsidRDefault="000F4E4B" w:rsidP="000F4E4B">
            <w:pPr>
              <w:pStyle w:val="TableDataEntries"/>
              <w:jc w:val="left"/>
            </w:pPr>
            <w:r>
              <w:t>Chronic or recurring pain or discomfort</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1FB2C7" w14:textId="77777777" w:rsidR="000F4E4B" w:rsidRDefault="000F4E4B" w:rsidP="000F4E4B">
            <w:pPr>
              <w:pStyle w:val="TableDataEntries"/>
            </w:pPr>
            <w:r>
              <w:t>1 277.7</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1A35D6" w14:textId="77777777" w:rsidR="000F4E4B" w:rsidRDefault="000F4E4B" w:rsidP="000F4E4B">
            <w:pPr>
              <w:pStyle w:val="TableDataEntries"/>
            </w:pPr>
            <w:r>
              <w:t xml:space="preserve"> 179.5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903FC3" w14:textId="77777777" w:rsidR="000F4E4B" w:rsidRDefault="000F4E4B" w:rsidP="000F4E4B">
            <w:pPr>
              <w:pStyle w:val="TableDataEntries"/>
            </w:pPr>
            <w:r>
              <w:t>1 457.6</w:t>
            </w:r>
          </w:p>
        </w:tc>
      </w:tr>
      <w:tr w:rsidR="000F4E4B" w14:paraId="3050B49D"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8952D1" w14:textId="77777777" w:rsidR="000F4E4B" w:rsidRDefault="000F4E4B" w:rsidP="000F4E4B">
            <w:pPr>
              <w:pStyle w:val="TableDataEntries"/>
              <w:jc w:val="left"/>
            </w:pPr>
            <w:r>
              <w:t>Difficulty learning or understanding things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3B002F" w14:textId="77777777" w:rsidR="000F4E4B" w:rsidRDefault="000F4E4B" w:rsidP="000F4E4B">
            <w:pPr>
              <w:pStyle w:val="TableDataEntries"/>
            </w:pPr>
            <w:r>
              <w:t xml:space="preserve"> 586.9</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82BFE6" w14:textId="77777777" w:rsidR="000F4E4B" w:rsidRDefault="000F4E4B" w:rsidP="000F4E4B">
            <w:pPr>
              <w:pStyle w:val="TableDataEntries"/>
            </w:pPr>
            <w:r>
              <w:t xml:space="preserve"> 142.4</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08B690" w14:textId="77777777" w:rsidR="000F4E4B" w:rsidRDefault="000F4E4B" w:rsidP="000F4E4B">
            <w:pPr>
              <w:pStyle w:val="TableDataEntries"/>
            </w:pPr>
            <w:r>
              <w:t xml:space="preserve"> 730.3</w:t>
            </w:r>
          </w:p>
        </w:tc>
      </w:tr>
      <w:tr w:rsidR="00DB7694" w14:paraId="26B251F5" w14:textId="77777777" w:rsidTr="00D13F4A">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2DC015" w14:textId="77777777" w:rsidR="00DB7694" w:rsidRDefault="00DB7694" w:rsidP="000F4E4B">
            <w:pPr>
              <w:pStyle w:val="TableDataEntries"/>
              <w:jc w:val="left"/>
            </w:pPr>
            <w:r>
              <w:t>Incomplete use of arms or fingers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2E9F53" w14:textId="77777777" w:rsidR="00DB7694" w:rsidRDefault="00DB7694" w:rsidP="000F4E4B">
            <w:pPr>
              <w:pStyle w:val="TableDataEntries"/>
            </w:pPr>
            <w:r>
              <w:t xml:space="preserve"> 336.0</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A307BE" w14:textId="77777777" w:rsidR="00DB7694" w:rsidRDefault="00DB7694" w:rsidP="000F4E4B">
            <w:pPr>
              <w:pStyle w:val="TableDataEntries"/>
            </w:pPr>
            <w:r>
              <w:t xml:space="preserve"> 50.5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6D0700" w14:textId="77777777" w:rsidR="00DB7694" w:rsidRDefault="00DB7694" w:rsidP="000F4E4B">
            <w:pPr>
              <w:pStyle w:val="TableDataEntries"/>
            </w:pPr>
            <w:r>
              <w:t xml:space="preserve"> 388.2</w:t>
            </w:r>
          </w:p>
        </w:tc>
      </w:tr>
      <w:tr w:rsidR="000F4E4B" w14:paraId="0F0957A1"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FEFE5F" w14:textId="77777777" w:rsidR="000F4E4B" w:rsidRDefault="000F4E4B" w:rsidP="000F4E4B">
            <w:pPr>
              <w:pStyle w:val="TableDataEntries"/>
              <w:jc w:val="left"/>
            </w:pPr>
            <w:r>
              <w:t>Difficulty gripping or holding things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71383C" w14:textId="77777777" w:rsidR="000F4E4B" w:rsidRDefault="000F4E4B" w:rsidP="000F4E4B">
            <w:pPr>
              <w:pStyle w:val="TableDataEntries"/>
            </w:pPr>
            <w:r>
              <w:t xml:space="preserve"> 769.0</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8738B3" w14:textId="77777777" w:rsidR="000F4E4B" w:rsidRDefault="000F4E4B" w:rsidP="000F4E4B">
            <w:pPr>
              <w:pStyle w:val="TableDataEntries"/>
            </w:pPr>
            <w:r>
              <w:t xml:space="preserve"> 135.8</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97223D" w14:textId="77777777" w:rsidR="000F4E4B" w:rsidRDefault="000F4E4B" w:rsidP="000F4E4B">
            <w:pPr>
              <w:pStyle w:val="TableDataEntries"/>
            </w:pPr>
            <w:r>
              <w:t xml:space="preserve"> 904.9</w:t>
            </w:r>
          </w:p>
        </w:tc>
      </w:tr>
      <w:tr w:rsidR="000F4E4B" w14:paraId="0BA31E7A"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36A51" w14:textId="77777777" w:rsidR="000F4E4B" w:rsidRDefault="000F4E4B" w:rsidP="000F4E4B">
            <w:pPr>
              <w:pStyle w:val="TableDataEntries"/>
              <w:jc w:val="left"/>
            </w:pPr>
            <w:r>
              <w:t>Incomplete use of feet or legs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C2936D" w14:textId="77777777" w:rsidR="000F4E4B" w:rsidRDefault="000F4E4B" w:rsidP="000F4E4B">
            <w:pPr>
              <w:pStyle w:val="TableDataEntries"/>
            </w:pPr>
            <w:r>
              <w:t xml:space="preserve"> 577.0</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E6296" w14:textId="77777777" w:rsidR="000F4E4B" w:rsidRDefault="000F4E4B" w:rsidP="000F4E4B">
            <w:pPr>
              <w:pStyle w:val="TableDataEntries"/>
            </w:pPr>
            <w:r>
              <w:t xml:space="preserve"> 21.3</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38F1DB" w14:textId="77777777" w:rsidR="000F4E4B" w:rsidRDefault="000F4E4B" w:rsidP="000F4E4B">
            <w:pPr>
              <w:pStyle w:val="TableDataEntries"/>
            </w:pPr>
            <w:r>
              <w:t xml:space="preserve"> 597.8</w:t>
            </w:r>
          </w:p>
        </w:tc>
      </w:tr>
      <w:tr w:rsidR="000F4E4B" w14:paraId="61FFB145"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4DF7A" w14:textId="77777777" w:rsidR="000F4E4B" w:rsidRDefault="000F4E4B" w:rsidP="000F4E4B">
            <w:pPr>
              <w:pStyle w:val="TableDataEntries"/>
              <w:jc w:val="left"/>
            </w:pPr>
            <w:r>
              <w:t>Nervous or emotional condition</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8E04CB" w14:textId="77777777" w:rsidR="000F4E4B" w:rsidRDefault="000F4E4B" w:rsidP="000F4E4B">
            <w:pPr>
              <w:pStyle w:val="TableDataEntries"/>
            </w:pPr>
            <w:r>
              <w:t xml:space="preserve"> 509.2</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5A9F6F" w14:textId="77777777" w:rsidR="000F4E4B" w:rsidRDefault="000F4E4B" w:rsidP="000F4E4B">
            <w:pPr>
              <w:pStyle w:val="TableDataEntries"/>
            </w:pPr>
            <w:r>
              <w:t xml:space="preserve"> 123.3</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A34E4D" w14:textId="77777777" w:rsidR="000F4E4B" w:rsidRDefault="000F4E4B" w:rsidP="000F4E4B">
            <w:pPr>
              <w:pStyle w:val="TableDataEntries"/>
            </w:pPr>
            <w:r>
              <w:t xml:space="preserve"> 632.5</w:t>
            </w:r>
          </w:p>
        </w:tc>
      </w:tr>
      <w:tr w:rsidR="00DB7694" w14:paraId="4165EF4F" w14:textId="77777777" w:rsidTr="00D13F4A">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4080FB" w14:textId="77777777" w:rsidR="00DB7694" w:rsidRDefault="00DB7694" w:rsidP="000F4E4B">
            <w:pPr>
              <w:pStyle w:val="TableDataEntries"/>
              <w:jc w:val="left"/>
            </w:pPr>
            <w:r>
              <w:t>Restriction in physical activities or work</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0D9A7" w14:textId="77777777" w:rsidR="00DB7694" w:rsidRDefault="00DB7694" w:rsidP="000F4E4B">
            <w:pPr>
              <w:pStyle w:val="TableDataEntries"/>
            </w:pPr>
            <w:r>
              <w:t>1 527.5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AA58B" w14:textId="77777777" w:rsidR="00DB7694" w:rsidRDefault="00DB7694" w:rsidP="000F4E4B">
            <w:pPr>
              <w:pStyle w:val="TableDataEntries"/>
            </w:pPr>
            <w:r>
              <w:t xml:space="preserve"> 147.8</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3DC972" w14:textId="77777777" w:rsidR="00DB7694" w:rsidRDefault="00DB7694" w:rsidP="000F4E4B">
            <w:pPr>
              <w:pStyle w:val="TableDataEntries"/>
            </w:pPr>
            <w:r>
              <w:t>1 674.7</w:t>
            </w:r>
          </w:p>
        </w:tc>
      </w:tr>
      <w:tr w:rsidR="000F4E4B" w14:paraId="1135FB40"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9A7BD1" w14:textId="77777777" w:rsidR="000F4E4B" w:rsidRDefault="000F4E4B" w:rsidP="000F4E4B">
            <w:pPr>
              <w:pStyle w:val="TableDataEntries"/>
              <w:jc w:val="left"/>
            </w:pPr>
            <w:r>
              <w:t>Disfigurement or deformity</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8D0421" w14:textId="77777777" w:rsidR="000F4E4B" w:rsidRDefault="000F4E4B" w:rsidP="000F4E4B">
            <w:pPr>
              <w:pStyle w:val="TableDataEntries"/>
            </w:pPr>
            <w:r>
              <w:t xml:space="preserve"> 159.7</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E41B90" w14:textId="77777777" w:rsidR="000F4E4B" w:rsidRDefault="000F4E4B" w:rsidP="000F4E4B">
            <w:pPr>
              <w:pStyle w:val="TableDataEntries"/>
            </w:pPr>
            <w:r>
              <w:t xml:space="preserve"> 45.8</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023849" w14:textId="77777777" w:rsidR="000F4E4B" w:rsidRDefault="000F4E4B" w:rsidP="000F4E4B">
            <w:pPr>
              <w:pStyle w:val="TableDataEntries"/>
            </w:pPr>
            <w:r>
              <w:t xml:space="preserve"> 206.2</w:t>
            </w:r>
          </w:p>
        </w:tc>
      </w:tr>
      <w:tr w:rsidR="000F4E4B" w14:paraId="23B8E704"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F4789A" w14:textId="77777777" w:rsidR="000F4E4B" w:rsidRDefault="000F4E4B" w:rsidP="000F4E4B">
            <w:pPr>
              <w:pStyle w:val="TableDataEntries"/>
              <w:jc w:val="left"/>
            </w:pPr>
            <w:r>
              <w:t>Mental illness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C3882E" w14:textId="77777777" w:rsidR="000F4E4B" w:rsidRDefault="000F4E4B" w:rsidP="000F4E4B">
            <w:pPr>
              <w:pStyle w:val="TableDataEntries"/>
            </w:pPr>
            <w:r>
              <w:t xml:space="preserve"> 414.2</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4C3D8D" w14:textId="77777777" w:rsidR="000F4E4B" w:rsidRDefault="000F4E4B" w:rsidP="000F4E4B">
            <w:pPr>
              <w:pStyle w:val="TableDataEntries"/>
            </w:pPr>
            <w:r>
              <w:t xml:space="preserve"> 31.7</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E23932" w14:textId="77777777" w:rsidR="000F4E4B" w:rsidRDefault="000F4E4B" w:rsidP="000F4E4B">
            <w:pPr>
              <w:pStyle w:val="TableDataEntries"/>
            </w:pPr>
            <w:r>
              <w:t xml:space="preserve"> 445.0</w:t>
            </w:r>
          </w:p>
        </w:tc>
      </w:tr>
      <w:tr w:rsidR="000F4E4B" w14:paraId="0A61395E"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83529B" w14:textId="77777777" w:rsidR="000F4E4B" w:rsidRDefault="000F4E4B" w:rsidP="000F4E4B">
            <w:pPr>
              <w:pStyle w:val="TableDataEntries"/>
              <w:jc w:val="left"/>
            </w:pPr>
            <w:r>
              <w:t>Memory problems or periods of confusion</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04C918" w14:textId="77777777" w:rsidR="000F4E4B" w:rsidRDefault="000F4E4B" w:rsidP="000F4E4B">
            <w:pPr>
              <w:pStyle w:val="TableDataEntries"/>
            </w:pPr>
            <w:r>
              <w:t xml:space="preserve"> 414.6</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A36DD1" w14:textId="77777777" w:rsidR="000F4E4B" w:rsidRDefault="000F4E4B" w:rsidP="000F4E4B">
            <w:pPr>
              <w:pStyle w:val="TableDataEntries"/>
            </w:pPr>
            <w:r>
              <w:t xml:space="preserve"> 14.6</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B8CB6F" w14:textId="77777777" w:rsidR="000F4E4B" w:rsidRDefault="000F4E4B" w:rsidP="000F4E4B">
            <w:pPr>
              <w:pStyle w:val="TableDataEntries"/>
            </w:pPr>
            <w:r>
              <w:t xml:space="preserve"> 428.7</w:t>
            </w:r>
          </w:p>
        </w:tc>
      </w:tr>
      <w:tr w:rsidR="000F4E4B" w14:paraId="77C84D34"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E28F08" w14:textId="77777777" w:rsidR="000F4E4B" w:rsidRDefault="000F4E4B" w:rsidP="000F4E4B">
            <w:pPr>
              <w:pStyle w:val="TableDataEntries"/>
              <w:jc w:val="left"/>
            </w:pPr>
            <w:r>
              <w:t>Social or behavioural difficulties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961579" w14:textId="77777777" w:rsidR="000F4E4B" w:rsidRDefault="000F4E4B" w:rsidP="000F4E4B">
            <w:pPr>
              <w:pStyle w:val="TableDataEntries"/>
            </w:pPr>
            <w:r>
              <w:t xml:space="preserve"> 404.4</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C2AE8D" w14:textId="77777777" w:rsidR="000F4E4B" w:rsidRDefault="000F4E4B" w:rsidP="000F4E4B">
            <w:pPr>
              <w:pStyle w:val="TableDataEntries"/>
            </w:pPr>
            <w:r>
              <w:t xml:space="preserve"> 50.4</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F5123" w14:textId="77777777" w:rsidR="000F4E4B" w:rsidRDefault="000F4E4B" w:rsidP="000F4E4B">
            <w:pPr>
              <w:pStyle w:val="TableDataEntries"/>
            </w:pPr>
            <w:r>
              <w:t xml:space="preserve"> 455.7</w:t>
            </w:r>
          </w:p>
        </w:tc>
      </w:tr>
      <w:tr w:rsidR="000F4E4B" w14:paraId="32CBF83B" w14:textId="77777777" w:rsidTr="000F4E4B">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46CB82" w14:textId="77777777" w:rsidR="000F4E4B" w:rsidRDefault="000F4E4B" w:rsidP="000F4E4B">
            <w:pPr>
              <w:pStyle w:val="TableDataEntries"/>
              <w:jc w:val="left"/>
            </w:pPr>
            <w:r>
              <w:t>Head injury, stroke or other acquired brain injury</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FA31BC" w14:textId="77777777" w:rsidR="000F4E4B" w:rsidRDefault="000F4E4B" w:rsidP="000F4E4B">
            <w:pPr>
              <w:pStyle w:val="TableDataEntries"/>
            </w:pPr>
            <w:r>
              <w:t xml:space="preserve"> 277.5</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52EEA2" w14:textId="77777777" w:rsidR="000F4E4B" w:rsidRDefault="000F4E4B" w:rsidP="000F4E4B">
            <w:pPr>
              <w:pStyle w:val="TableDataEntries"/>
            </w:pPr>
            <w:r>
              <w:t xml:space="preserve"> 47.7</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99A7ED" w14:textId="77777777" w:rsidR="000F4E4B" w:rsidRDefault="000F4E4B" w:rsidP="000F4E4B">
            <w:pPr>
              <w:pStyle w:val="TableDataEntries"/>
            </w:pPr>
            <w:r>
              <w:t xml:space="preserve"> 323.2</w:t>
            </w:r>
          </w:p>
        </w:tc>
      </w:tr>
      <w:tr w:rsidR="00DB7694" w14:paraId="2CDC330F" w14:textId="77777777" w:rsidTr="00D13F4A">
        <w:trPr>
          <w:trHeight w:val="245"/>
        </w:trPr>
        <w:tc>
          <w:tcPr>
            <w:tcW w:w="33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FEADB3" w14:textId="77777777" w:rsidR="00DB7694" w:rsidRDefault="00DB7694" w:rsidP="000F4E4B">
            <w:pPr>
              <w:pStyle w:val="TableDataEntries"/>
              <w:jc w:val="left"/>
            </w:pPr>
            <w:r>
              <w:t>Other disability type(s)</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5A83B2" w14:textId="77777777" w:rsidR="00DB7694" w:rsidRDefault="00DB7694" w:rsidP="000F4E4B">
            <w:pPr>
              <w:pStyle w:val="TableDataEntries"/>
            </w:pPr>
            <w:r>
              <w:t>1 550.9</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7B0B11" w14:textId="77777777" w:rsidR="00DB7694" w:rsidRDefault="00DB7694" w:rsidP="000F4E4B">
            <w:pPr>
              <w:pStyle w:val="TableDataEntries"/>
            </w:pPr>
            <w:r>
              <w:t xml:space="preserve"> 254.3</w:t>
            </w:r>
          </w:p>
        </w:tc>
        <w:tc>
          <w:tcPr>
            <w:tcW w:w="1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648F5A" w14:textId="77777777" w:rsidR="00DB7694" w:rsidRDefault="00DB7694" w:rsidP="000F4E4B">
            <w:pPr>
              <w:pStyle w:val="TableDataEntries"/>
            </w:pPr>
            <w:r>
              <w:t>1 805.8</w:t>
            </w:r>
          </w:p>
        </w:tc>
      </w:tr>
      <w:tr w:rsidR="00DB7694" w:rsidRPr="001376A2" w14:paraId="10D06F74" w14:textId="77777777" w:rsidTr="00D13F4A">
        <w:trPr>
          <w:trHeight w:val="245"/>
        </w:trPr>
        <w:tc>
          <w:tcPr>
            <w:tcW w:w="337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69F853E" w14:textId="77777777" w:rsidR="00DB7694" w:rsidRPr="001376A2" w:rsidRDefault="00DB7694" w:rsidP="000F4E4B">
            <w:pPr>
              <w:pStyle w:val="TableDataEntries"/>
              <w:jc w:val="left"/>
              <w:rPr>
                <w:rFonts w:ascii="Franklin Gothic Demi" w:hAnsi="Franklin Gothic Demi"/>
              </w:rPr>
            </w:pPr>
            <w:r w:rsidRPr="001376A2">
              <w:rPr>
                <w:rFonts w:ascii="Franklin Gothic Demi" w:hAnsi="Franklin Gothic Demi"/>
              </w:rPr>
              <w:t>Total</w:t>
            </w:r>
          </w:p>
        </w:tc>
        <w:tc>
          <w:tcPr>
            <w:tcW w:w="15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0C765A2" w14:textId="77777777" w:rsidR="00DB7694" w:rsidRPr="001376A2" w:rsidRDefault="00DB7694" w:rsidP="000F4E4B">
            <w:pPr>
              <w:pStyle w:val="TableDataEntries"/>
              <w:rPr>
                <w:rFonts w:ascii="Franklin Gothic Demi" w:hAnsi="Franklin Gothic Demi"/>
              </w:rPr>
            </w:pPr>
            <w:r w:rsidRPr="001376A2">
              <w:rPr>
                <w:rFonts w:ascii="Franklin Gothic Demi" w:hAnsi="Franklin Gothic Demi"/>
              </w:rPr>
              <w:t>2 980.8</w:t>
            </w:r>
          </w:p>
        </w:tc>
        <w:tc>
          <w:tcPr>
            <w:tcW w:w="15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C929D9D" w14:textId="77777777" w:rsidR="00DB7694" w:rsidRPr="001376A2" w:rsidRDefault="00DB7694" w:rsidP="000F4E4B">
            <w:pPr>
              <w:pStyle w:val="TableDataEntries"/>
              <w:rPr>
                <w:rFonts w:ascii="Franklin Gothic Demi" w:hAnsi="Franklin Gothic Demi"/>
              </w:rPr>
            </w:pPr>
            <w:r w:rsidRPr="001376A2">
              <w:rPr>
                <w:rFonts w:ascii="Franklin Gothic Demi" w:hAnsi="Franklin Gothic Demi"/>
              </w:rPr>
              <w:t>1 385.9</w:t>
            </w:r>
          </w:p>
        </w:tc>
        <w:tc>
          <w:tcPr>
            <w:tcW w:w="15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FB57EDC" w14:textId="77777777" w:rsidR="00DB7694" w:rsidRPr="001376A2" w:rsidRDefault="00DB7694" w:rsidP="000F4E4B">
            <w:pPr>
              <w:pStyle w:val="TableDataEntries"/>
              <w:rPr>
                <w:rFonts w:ascii="Franklin Gothic Demi" w:hAnsi="Franklin Gothic Demi"/>
              </w:rPr>
            </w:pPr>
            <w:r w:rsidRPr="001376A2">
              <w:rPr>
                <w:rFonts w:ascii="Franklin Gothic Demi" w:hAnsi="Franklin Gothic Demi"/>
              </w:rPr>
              <w:t>4 367.2</w:t>
            </w:r>
          </w:p>
        </w:tc>
      </w:tr>
    </w:tbl>
    <w:p w14:paraId="27506B17" w14:textId="77777777" w:rsidR="000F4E4B" w:rsidRDefault="000F4E4B" w:rsidP="0010789E">
      <w:pPr>
        <w:pStyle w:val="Note"/>
        <w:rPr>
          <w:lang w:bidi="fa-IR"/>
        </w:rPr>
      </w:pPr>
      <w:r w:rsidRPr="0010789E">
        <w:rPr>
          <w:lang w:bidi="fa-IR"/>
        </w:rPr>
        <w:t>Source:</w:t>
      </w:r>
      <w:r>
        <w:rPr>
          <w:lang w:bidi="fa-IR"/>
        </w:rPr>
        <w:t xml:space="preserve"> </w:t>
      </w:r>
      <w:r w:rsidR="00C71077">
        <w:rPr>
          <w:lang w:bidi="fa-IR"/>
        </w:rPr>
        <w:t>ABS, 2018 Survey of Disabilities, Ageing and Carers, TableBuilder, CIE.</w:t>
      </w:r>
    </w:p>
    <w:p w14:paraId="532922CD" w14:textId="12C5427A" w:rsidR="00532A31" w:rsidRDefault="000F4E4B" w:rsidP="00E4023A">
      <w:pPr>
        <w:pStyle w:val="BodyText"/>
      </w:pPr>
      <w:r>
        <w:t>T</w:t>
      </w:r>
      <w:r w:rsidR="00AB20A3">
        <w:t>here may be some people with self</w:t>
      </w:r>
      <w:r w:rsidR="00AB20A3">
        <w:noBreakHyphen/>
        <w:t>care limitation</w:t>
      </w:r>
      <w:r w:rsidR="005059F7">
        <w:t>s</w:t>
      </w:r>
      <w:r w:rsidR="00AB20A3">
        <w:t xml:space="preserve"> that could also benefit from some accessible design features (such as an accessible toilet and shower) that </w:t>
      </w:r>
      <w:r w:rsidR="00C71077">
        <w:t>were</w:t>
      </w:r>
      <w:r w:rsidR="00AB20A3">
        <w:t xml:space="preserve"> excluded from the estimates reported in the Consultation RIS (i.e. those that do not also have mobility limitation). </w:t>
      </w:r>
      <w:r w:rsidR="00E04509">
        <w:t>According to t</w:t>
      </w:r>
      <w:r w:rsidR="00532A31">
        <w:t>he SDAC survey</w:t>
      </w:r>
      <w:r w:rsidR="00E04509">
        <w:t>, there are around 1.43 million Australians with self</w:t>
      </w:r>
      <w:r w:rsidR="00E04509">
        <w:noBreakHyphen/>
        <w:t>care limitation</w:t>
      </w:r>
      <w:r w:rsidR="005839F6">
        <w:t>s</w:t>
      </w:r>
      <w:r w:rsidR="00D2034E">
        <w:t xml:space="preserve"> that could potentially benefit from more accessible housing (table </w:t>
      </w:r>
      <w:r w:rsidR="00587754">
        <w:rPr>
          <w:noProof/>
        </w:rPr>
        <w:t>3.5</w:t>
      </w:r>
      <w:r w:rsidR="00D2034E">
        <w:t>). However, most people with self</w:t>
      </w:r>
      <w:r w:rsidR="00D2034E">
        <w:noBreakHyphen/>
        <w:t xml:space="preserve">care limitations also have mobility limitation and were therefore already included in the estimates set out in the Consultation RIS; only around 76 600 </w:t>
      </w:r>
      <w:r w:rsidR="005F4930">
        <w:t>of people with self</w:t>
      </w:r>
      <w:r w:rsidR="005F4930">
        <w:noBreakHyphen/>
        <w:t>care limitation</w:t>
      </w:r>
      <w:r w:rsidR="005839F6">
        <w:t>s</w:t>
      </w:r>
      <w:r w:rsidR="005F4930">
        <w:t xml:space="preserve"> </w:t>
      </w:r>
      <w:r w:rsidR="00D2034E">
        <w:t>do not also have mobility limitation.</w:t>
      </w:r>
    </w:p>
    <w:p w14:paraId="6C28FD51" w14:textId="77777777" w:rsidR="00D2034E" w:rsidRDefault="00D2034E" w:rsidP="00E4023A">
      <w:pPr>
        <w:pStyle w:val="BodyText"/>
      </w:pPr>
      <w:r>
        <w:t>There are around 3.06 million Australians with mobility limitation and/or self</w:t>
      </w:r>
      <w:r>
        <w:noBreakHyphen/>
        <w:t xml:space="preserve">care limitation. </w:t>
      </w:r>
      <w:r>
        <w:rPr>
          <w:lang w:eastAsia="en-US" w:bidi="fa-IR"/>
        </w:rPr>
        <w:t>However, not all people with mobility limitation</w:t>
      </w:r>
      <w:r w:rsidR="00400E5F">
        <w:rPr>
          <w:lang w:eastAsia="en-US" w:bidi="fa-IR"/>
        </w:rPr>
        <w:t>s</w:t>
      </w:r>
      <w:r>
        <w:rPr>
          <w:lang w:eastAsia="en-US" w:bidi="fa-IR"/>
        </w:rPr>
        <w:t xml:space="preserve"> or self</w:t>
      </w:r>
      <w:r>
        <w:rPr>
          <w:lang w:eastAsia="en-US" w:bidi="fa-IR"/>
        </w:rPr>
        <w:noBreakHyphen/>
        <w:t>care limitation would necessarily benefit from accessible design features.</w:t>
      </w:r>
    </w:p>
    <w:p w14:paraId="7B8B0D60" w14:textId="25E758ED" w:rsidR="005B0289" w:rsidRDefault="00076C9B" w:rsidP="005B0289">
      <w:pPr>
        <w:pStyle w:val="Caption"/>
      </w:pPr>
      <w:bookmarkStart w:id="113" w:name="_Toc57643588"/>
      <w:bookmarkStart w:id="114" w:name="_Toc70505504"/>
      <w:r>
        <w:t>3.5</w:t>
      </w:r>
      <w:r w:rsidR="005B0289" w:rsidRPr="00695C93">
        <w:tab/>
      </w:r>
      <w:r w:rsidR="00D2034E">
        <w:t>Number of people with mobility limitation and/or self</w:t>
      </w:r>
      <w:r w:rsidR="00D2034E">
        <w:noBreakHyphen/>
        <w:t>care limitation</w:t>
      </w:r>
      <w:bookmarkEnd w:id="113"/>
      <w:bookmarkEnd w:id="114"/>
    </w:p>
    <w:tbl>
      <w:tblPr>
        <w:tblW w:w="7935" w:type="dxa"/>
        <w:tblLayout w:type="fixed"/>
        <w:tblLook w:val="0000" w:firstRow="0" w:lastRow="0" w:firstColumn="0" w:lastColumn="0" w:noHBand="0" w:noVBand="0"/>
        <w:tblCaption w:val="Table 3.5: Number of people with mobility limitations and/or self-care limitations"/>
        <w:tblDescription w:val="This table lists the degree of mobility limitation down the left side (from profound to no limitation) and the degree of self-care limitation across the top (from profound to no limitation) with totals for each column and row. The total number of people with mobility and/or self-care limitations is about 3.06 million, of which 336 600 have both profound mobility and profound self-care limitations."/>
      </w:tblPr>
      <w:tblGrid>
        <w:gridCol w:w="1974"/>
        <w:gridCol w:w="852"/>
        <w:gridCol w:w="851"/>
        <w:gridCol w:w="852"/>
        <w:gridCol w:w="852"/>
        <w:gridCol w:w="851"/>
        <w:gridCol w:w="852"/>
        <w:gridCol w:w="851"/>
      </w:tblGrid>
      <w:tr w:rsidR="005B0289" w14:paraId="3730A6C4" w14:textId="77777777" w:rsidTr="00D2034E">
        <w:trPr>
          <w:trHeight w:val="490"/>
          <w:tblHeader/>
        </w:trPr>
        <w:tc>
          <w:tcPr>
            <w:tcW w:w="1974" w:type="dxa"/>
            <w:shd w:val="clear" w:color="auto" w:fill="6F6652"/>
            <w:tcMar>
              <w:left w:w="57" w:type="dxa"/>
              <w:right w:w="57" w:type="dxa"/>
            </w:tcMar>
          </w:tcPr>
          <w:p w14:paraId="208D0CF2" w14:textId="77777777" w:rsidR="005B0289" w:rsidRDefault="00252984" w:rsidP="005B0289">
            <w:pPr>
              <w:pStyle w:val="TableDataColumnHeading"/>
              <w:jc w:val="left"/>
            </w:pPr>
            <w:r>
              <w:t>Mobility limitation</w:t>
            </w:r>
          </w:p>
        </w:tc>
        <w:tc>
          <w:tcPr>
            <w:tcW w:w="852" w:type="dxa"/>
            <w:shd w:val="clear" w:color="auto" w:fill="6F6652"/>
            <w:tcMar>
              <w:left w:w="57" w:type="dxa"/>
              <w:right w:w="57" w:type="dxa"/>
            </w:tcMar>
          </w:tcPr>
          <w:p w14:paraId="5E365722" w14:textId="77777777" w:rsidR="005B0289" w:rsidRDefault="005B0289" w:rsidP="005B0289">
            <w:pPr>
              <w:pStyle w:val="TableDataColumnHeading"/>
            </w:pPr>
            <w:r>
              <w:t>Profound self-care limitation</w:t>
            </w:r>
          </w:p>
        </w:tc>
        <w:tc>
          <w:tcPr>
            <w:tcW w:w="851" w:type="dxa"/>
            <w:shd w:val="clear" w:color="auto" w:fill="6F6652"/>
            <w:tcMar>
              <w:left w:w="57" w:type="dxa"/>
              <w:right w:w="57" w:type="dxa"/>
            </w:tcMar>
          </w:tcPr>
          <w:p w14:paraId="65B9AE88" w14:textId="77777777" w:rsidR="005B0289" w:rsidRDefault="005B0289" w:rsidP="005B0289">
            <w:pPr>
              <w:pStyle w:val="TableDataColumnHeading"/>
            </w:pPr>
            <w:r>
              <w:t>Severe self-care limitation</w:t>
            </w:r>
          </w:p>
        </w:tc>
        <w:tc>
          <w:tcPr>
            <w:tcW w:w="852" w:type="dxa"/>
            <w:shd w:val="clear" w:color="auto" w:fill="6F6652"/>
            <w:tcMar>
              <w:left w:w="57" w:type="dxa"/>
              <w:right w:w="57" w:type="dxa"/>
            </w:tcMar>
          </w:tcPr>
          <w:p w14:paraId="1F6988ED" w14:textId="77777777" w:rsidR="005B0289" w:rsidRDefault="005B0289" w:rsidP="005B0289">
            <w:pPr>
              <w:pStyle w:val="TableDataColumnHeading"/>
            </w:pPr>
            <w:r>
              <w:t>Moderate self-care limitation</w:t>
            </w:r>
          </w:p>
        </w:tc>
        <w:tc>
          <w:tcPr>
            <w:tcW w:w="852" w:type="dxa"/>
            <w:shd w:val="clear" w:color="auto" w:fill="6F6652"/>
            <w:tcMar>
              <w:left w:w="57" w:type="dxa"/>
              <w:right w:w="57" w:type="dxa"/>
            </w:tcMar>
          </w:tcPr>
          <w:p w14:paraId="2EB6A6B1" w14:textId="77777777" w:rsidR="005B0289" w:rsidRDefault="005B0289" w:rsidP="005B0289">
            <w:pPr>
              <w:pStyle w:val="TableDataColumnHeading"/>
            </w:pPr>
            <w:r>
              <w:t>Mild self-care limitation</w:t>
            </w:r>
          </w:p>
        </w:tc>
        <w:tc>
          <w:tcPr>
            <w:tcW w:w="851" w:type="dxa"/>
            <w:shd w:val="clear" w:color="auto" w:fill="6F6652"/>
            <w:tcMar>
              <w:left w:w="57" w:type="dxa"/>
              <w:right w:w="57" w:type="dxa"/>
            </w:tcMar>
          </w:tcPr>
          <w:p w14:paraId="3025AFCA" w14:textId="77777777" w:rsidR="005B0289" w:rsidRDefault="005B0289" w:rsidP="005B0289">
            <w:pPr>
              <w:pStyle w:val="TableDataColumnHeading"/>
            </w:pPr>
            <w:r>
              <w:t>Total with self-care limitation</w:t>
            </w:r>
          </w:p>
        </w:tc>
        <w:tc>
          <w:tcPr>
            <w:tcW w:w="852" w:type="dxa"/>
            <w:shd w:val="clear" w:color="auto" w:fill="6F6652"/>
            <w:tcMar>
              <w:left w:w="57" w:type="dxa"/>
              <w:right w:w="57" w:type="dxa"/>
            </w:tcMar>
          </w:tcPr>
          <w:p w14:paraId="30D5A9E8" w14:textId="77777777" w:rsidR="005B0289" w:rsidRDefault="005B0289" w:rsidP="005B0289">
            <w:pPr>
              <w:pStyle w:val="TableDataColumnHeading"/>
            </w:pPr>
            <w:r>
              <w:t>No self-care limitation</w:t>
            </w:r>
          </w:p>
        </w:tc>
        <w:tc>
          <w:tcPr>
            <w:tcW w:w="851" w:type="dxa"/>
            <w:shd w:val="clear" w:color="auto" w:fill="6F6652"/>
            <w:tcMar>
              <w:left w:w="57" w:type="dxa"/>
              <w:right w:w="57" w:type="dxa"/>
            </w:tcMar>
          </w:tcPr>
          <w:p w14:paraId="0FE3F4BD" w14:textId="77777777" w:rsidR="005B0289" w:rsidRDefault="005B0289" w:rsidP="005B0289">
            <w:pPr>
              <w:pStyle w:val="TableDataColumnHeading"/>
            </w:pPr>
            <w:r>
              <w:t>Total</w:t>
            </w:r>
          </w:p>
        </w:tc>
      </w:tr>
      <w:tr w:rsidR="005B0289" w14:paraId="6D043E5F" w14:textId="77777777" w:rsidTr="00D2034E">
        <w:trPr>
          <w:trHeight w:val="245"/>
          <w:tblHeader/>
        </w:trPr>
        <w:tc>
          <w:tcPr>
            <w:tcW w:w="1974" w:type="dxa"/>
            <w:tcBorders>
              <w:bottom w:val="single" w:sz="8" w:space="0" w:color="FFFFFF" w:themeColor="background1"/>
            </w:tcBorders>
            <w:shd w:val="clear" w:color="auto" w:fill="auto"/>
            <w:tcMar>
              <w:left w:w="57" w:type="dxa"/>
              <w:right w:w="57" w:type="dxa"/>
            </w:tcMar>
          </w:tcPr>
          <w:p w14:paraId="607A7834" w14:textId="77777777" w:rsidR="005B0289" w:rsidRDefault="005B0289" w:rsidP="005B0289">
            <w:pPr>
              <w:pStyle w:val="TableUnit"/>
              <w:jc w:val="left"/>
            </w:pPr>
          </w:p>
        </w:tc>
        <w:tc>
          <w:tcPr>
            <w:tcW w:w="852" w:type="dxa"/>
            <w:tcBorders>
              <w:bottom w:val="single" w:sz="8" w:space="0" w:color="FFFFFF" w:themeColor="background1"/>
            </w:tcBorders>
            <w:shd w:val="clear" w:color="auto" w:fill="auto"/>
            <w:tcMar>
              <w:left w:w="57" w:type="dxa"/>
              <w:right w:w="57" w:type="dxa"/>
            </w:tcMar>
          </w:tcPr>
          <w:p w14:paraId="55625C46" w14:textId="77777777" w:rsidR="005B0289" w:rsidRDefault="005B0289" w:rsidP="005B0289">
            <w:pPr>
              <w:pStyle w:val="TableUnit"/>
            </w:pPr>
            <w:r>
              <w:t>'000</w:t>
            </w:r>
          </w:p>
        </w:tc>
        <w:tc>
          <w:tcPr>
            <w:tcW w:w="851" w:type="dxa"/>
            <w:tcBorders>
              <w:bottom w:val="single" w:sz="8" w:space="0" w:color="FFFFFF" w:themeColor="background1"/>
            </w:tcBorders>
            <w:shd w:val="clear" w:color="auto" w:fill="auto"/>
            <w:tcMar>
              <w:left w:w="57" w:type="dxa"/>
              <w:right w:w="57" w:type="dxa"/>
            </w:tcMar>
          </w:tcPr>
          <w:p w14:paraId="397ACD29" w14:textId="77777777" w:rsidR="005B0289" w:rsidRDefault="005B0289" w:rsidP="005B0289">
            <w:pPr>
              <w:pStyle w:val="TableUnit"/>
            </w:pPr>
            <w:r>
              <w:t>'000</w:t>
            </w:r>
          </w:p>
        </w:tc>
        <w:tc>
          <w:tcPr>
            <w:tcW w:w="852" w:type="dxa"/>
            <w:tcBorders>
              <w:bottom w:val="single" w:sz="8" w:space="0" w:color="FFFFFF" w:themeColor="background1"/>
            </w:tcBorders>
            <w:shd w:val="clear" w:color="auto" w:fill="auto"/>
            <w:tcMar>
              <w:left w:w="57" w:type="dxa"/>
              <w:right w:w="57" w:type="dxa"/>
            </w:tcMar>
          </w:tcPr>
          <w:p w14:paraId="371D6EAB" w14:textId="77777777" w:rsidR="005B0289" w:rsidRDefault="005B0289" w:rsidP="005B0289">
            <w:pPr>
              <w:pStyle w:val="TableUnit"/>
            </w:pPr>
            <w:r>
              <w:t>'000</w:t>
            </w:r>
          </w:p>
        </w:tc>
        <w:tc>
          <w:tcPr>
            <w:tcW w:w="852" w:type="dxa"/>
            <w:tcBorders>
              <w:bottom w:val="single" w:sz="8" w:space="0" w:color="FFFFFF" w:themeColor="background1"/>
            </w:tcBorders>
            <w:shd w:val="clear" w:color="auto" w:fill="auto"/>
            <w:tcMar>
              <w:left w:w="57" w:type="dxa"/>
              <w:right w:w="57" w:type="dxa"/>
            </w:tcMar>
          </w:tcPr>
          <w:p w14:paraId="7F2B689D" w14:textId="77777777" w:rsidR="005B0289" w:rsidRDefault="005B0289" w:rsidP="005B0289">
            <w:pPr>
              <w:pStyle w:val="TableUnit"/>
            </w:pPr>
            <w:r>
              <w:t>'000</w:t>
            </w:r>
          </w:p>
        </w:tc>
        <w:tc>
          <w:tcPr>
            <w:tcW w:w="851" w:type="dxa"/>
            <w:tcBorders>
              <w:bottom w:val="single" w:sz="8" w:space="0" w:color="FFFFFF" w:themeColor="background1"/>
            </w:tcBorders>
            <w:shd w:val="clear" w:color="auto" w:fill="auto"/>
            <w:tcMar>
              <w:left w:w="57" w:type="dxa"/>
              <w:right w:w="57" w:type="dxa"/>
            </w:tcMar>
          </w:tcPr>
          <w:p w14:paraId="3F594EB7" w14:textId="77777777" w:rsidR="005B0289" w:rsidRDefault="005B0289" w:rsidP="005B0289">
            <w:pPr>
              <w:pStyle w:val="TableUnit"/>
            </w:pPr>
            <w:r>
              <w:t>'000</w:t>
            </w:r>
          </w:p>
        </w:tc>
        <w:tc>
          <w:tcPr>
            <w:tcW w:w="852" w:type="dxa"/>
            <w:tcBorders>
              <w:bottom w:val="single" w:sz="8" w:space="0" w:color="FFFFFF" w:themeColor="background1"/>
            </w:tcBorders>
            <w:shd w:val="clear" w:color="auto" w:fill="auto"/>
            <w:tcMar>
              <w:left w:w="57" w:type="dxa"/>
              <w:right w:w="57" w:type="dxa"/>
            </w:tcMar>
          </w:tcPr>
          <w:p w14:paraId="602D89BC" w14:textId="77777777" w:rsidR="005B0289" w:rsidRDefault="005B0289" w:rsidP="005B0289">
            <w:pPr>
              <w:pStyle w:val="TableUnit"/>
            </w:pPr>
            <w:r>
              <w:t>'000</w:t>
            </w:r>
          </w:p>
        </w:tc>
        <w:tc>
          <w:tcPr>
            <w:tcW w:w="851" w:type="dxa"/>
            <w:tcBorders>
              <w:bottom w:val="single" w:sz="8" w:space="0" w:color="FFFFFF" w:themeColor="background1"/>
            </w:tcBorders>
            <w:shd w:val="clear" w:color="auto" w:fill="auto"/>
            <w:tcMar>
              <w:left w:w="57" w:type="dxa"/>
              <w:right w:w="57" w:type="dxa"/>
            </w:tcMar>
          </w:tcPr>
          <w:p w14:paraId="4E09E788" w14:textId="77777777" w:rsidR="005B0289" w:rsidRDefault="005B0289" w:rsidP="005B0289">
            <w:pPr>
              <w:pStyle w:val="TableUnit"/>
            </w:pPr>
            <w:r>
              <w:t>'000</w:t>
            </w:r>
          </w:p>
        </w:tc>
      </w:tr>
      <w:tr w:rsidR="005B0289" w14:paraId="6CB1807A"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D9A6EA" w14:textId="77777777" w:rsidR="005B0289" w:rsidRDefault="005B0289" w:rsidP="005B0289">
            <w:pPr>
              <w:pStyle w:val="TableDataEntries"/>
              <w:jc w:val="left"/>
            </w:pPr>
            <w:r>
              <w:t>Profound mobility limitation</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E54821" w14:textId="77777777" w:rsidR="005B0289" w:rsidRDefault="005B0289" w:rsidP="005B0289">
            <w:pPr>
              <w:pStyle w:val="TableDataEntries"/>
            </w:pPr>
            <w:r>
              <w:t xml:space="preserve"> 336.6</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0D141F" w14:textId="77777777" w:rsidR="005B0289" w:rsidRDefault="005B0289" w:rsidP="005B0289">
            <w:pPr>
              <w:pStyle w:val="TableDataEntries"/>
            </w:pPr>
            <w:r>
              <w:t xml:space="preserve"> 108.5</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C9C618" w14:textId="77777777" w:rsidR="005B0289" w:rsidRDefault="005B0289" w:rsidP="005B0289">
            <w:pPr>
              <w:pStyle w:val="TableDataEntries"/>
            </w:pPr>
            <w:r>
              <w:t xml:space="preserve"> 52.1</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C188F1" w14:textId="77777777" w:rsidR="005B0289" w:rsidRDefault="005B0289" w:rsidP="005B0289">
            <w:pPr>
              <w:pStyle w:val="TableDataEntries"/>
            </w:pPr>
            <w:r>
              <w:t xml:space="preserve"> 17.5</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FAF7A10" w14:textId="77777777" w:rsidR="005B0289" w:rsidRDefault="005B0289" w:rsidP="005B0289">
            <w:pPr>
              <w:pStyle w:val="TableDataEntries"/>
            </w:pPr>
            <w:r>
              <w:t xml:space="preserve"> 514.7</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EAA2F6" w14:textId="77777777" w:rsidR="005B0289" w:rsidRDefault="005B0289" w:rsidP="005B0289">
            <w:pPr>
              <w:pStyle w:val="TableDataEntries"/>
            </w:pPr>
            <w:r>
              <w:t xml:space="preserve"> 116.7</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797A879D"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631.4</w:t>
            </w:r>
          </w:p>
        </w:tc>
      </w:tr>
      <w:tr w:rsidR="005B0289" w14:paraId="47CE235E"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9ABEA1" w14:textId="77777777" w:rsidR="005B0289" w:rsidRDefault="005B0289" w:rsidP="005B0289">
            <w:pPr>
              <w:pStyle w:val="TableDataEntries"/>
              <w:jc w:val="left"/>
            </w:pPr>
            <w:r>
              <w:t>Severe mobility limitation</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01F7F" w14:textId="77777777" w:rsidR="005B0289" w:rsidRDefault="005B0289" w:rsidP="005B0289">
            <w:pPr>
              <w:pStyle w:val="TableDataEntries"/>
            </w:pPr>
            <w:r>
              <w:t xml:space="preserve"> 70.8</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53276" w14:textId="77777777" w:rsidR="005B0289" w:rsidRDefault="005B0289" w:rsidP="005B0289">
            <w:pPr>
              <w:pStyle w:val="TableDataEntries"/>
            </w:pPr>
            <w:r>
              <w:t xml:space="preserve"> 141.7</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3DC54A" w14:textId="77777777" w:rsidR="005B0289" w:rsidRDefault="005B0289" w:rsidP="005B0289">
            <w:pPr>
              <w:pStyle w:val="TableDataEntries"/>
            </w:pPr>
            <w:r>
              <w:t xml:space="preserve"> 86.8</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C67B5A" w14:textId="77777777" w:rsidR="005B0289" w:rsidRDefault="005B0289" w:rsidP="005B0289">
            <w:pPr>
              <w:pStyle w:val="TableDataEntries"/>
            </w:pPr>
            <w:r>
              <w:t xml:space="preserve"> 22.4</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C7712DF" w14:textId="77777777" w:rsidR="005B0289" w:rsidRDefault="005B0289" w:rsidP="005B0289">
            <w:pPr>
              <w:pStyle w:val="TableDataEntries"/>
            </w:pPr>
            <w:r>
              <w:t xml:space="preserve"> 321.7</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1BD36C" w14:textId="77777777" w:rsidR="005B0289" w:rsidRDefault="005B0289" w:rsidP="005B0289">
            <w:pPr>
              <w:pStyle w:val="TableDataEntries"/>
            </w:pPr>
            <w:r>
              <w:t xml:space="preserve"> 196.8</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98AAAFB"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518.5</w:t>
            </w:r>
          </w:p>
        </w:tc>
      </w:tr>
      <w:tr w:rsidR="005B0289" w14:paraId="4598376A"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2FB23A" w14:textId="77777777" w:rsidR="005B0289" w:rsidRDefault="005B0289" w:rsidP="005B0289">
            <w:pPr>
              <w:pStyle w:val="TableDataEntries"/>
              <w:jc w:val="left"/>
            </w:pPr>
            <w:r>
              <w:t>Moderate mobility limitation</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5362F" w14:textId="77777777" w:rsidR="005B0289" w:rsidRDefault="005B0289" w:rsidP="005B0289">
            <w:pPr>
              <w:pStyle w:val="TableDataEntries"/>
            </w:pPr>
            <w:r>
              <w:t xml:space="preserve"> 17.1</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8C7E1E" w14:textId="77777777" w:rsidR="005B0289" w:rsidRDefault="005B0289" w:rsidP="005B0289">
            <w:pPr>
              <w:pStyle w:val="TableDataEntries"/>
            </w:pPr>
            <w:r>
              <w:t xml:space="preserve"> 40.1</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CF24F4" w14:textId="77777777" w:rsidR="005B0289" w:rsidRDefault="005B0289" w:rsidP="005B0289">
            <w:pPr>
              <w:pStyle w:val="TableDataEntries"/>
            </w:pPr>
            <w:r>
              <w:t xml:space="preserve"> 144.2</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C99F99" w14:textId="77777777" w:rsidR="005B0289" w:rsidRDefault="005B0289" w:rsidP="005B0289">
            <w:pPr>
              <w:pStyle w:val="TableDataEntries"/>
            </w:pPr>
            <w:r>
              <w:t xml:space="preserve"> 31.2</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2FC8D45" w14:textId="77777777" w:rsidR="005B0289" w:rsidRDefault="005B0289" w:rsidP="005B0289">
            <w:pPr>
              <w:pStyle w:val="TableDataEntries"/>
            </w:pPr>
            <w:r>
              <w:t xml:space="preserve"> 232.6</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45DFF" w14:textId="77777777" w:rsidR="005B0289" w:rsidRDefault="005B0289" w:rsidP="005B0289">
            <w:pPr>
              <w:pStyle w:val="TableDataEntries"/>
            </w:pPr>
            <w:r>
              <w:t xml:space="preserve"> 204.8</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156AF85"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437.4</w:t>
            </w:r>
          </w:p>
        </w:tc>
      </w:tr>
      <w:tr w:rsidR="005B0289" w14:paraId="7FCE986F"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2BCE3" w14:textId="77777777" w:rsidR="005B0289" w:rsidRDefault="005B0289" w:rsidP="005B0289">
            <w:pPr>
              <w:pStyle w:val="TableDataEntries"/>
              <w:jc w:val="left"/>
            </w:pPr>
            <w:r>
              <w:t>Mild mobility limitation</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65596F" w14:textId="77777777" w:rsidR="005B0289" w:rsidRDefault="005B0289" w:rsidP="005B0289">
            <w:pPr>
              <w:pStyle w:val="TableDataEntries"/>
            </w:pPr>
            <w:r>
              <w:t xml:space="preserve"> 18.4</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24D2AA" w14:textId="77777777" w:rsidR="005B0289" w:rsidRDefault="005B0289" w:rsidP="005B0289">
            <w:pPr>
              <w:pStyle w:val="TableDataEntries"/>
            </w:pPr>
            <w:r>
              <w:t xml:space="preserve"> 54.8</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B28758" w14:textId="77777777" w:rsidR="005B0289" w:rsidRDefault="005B0289" w:rsidP="005B0289">
            <w:pPr>
              <w:pStyle w:val="TableDataEntries"/>
            </w:pPr>
            <w:r>
              <w:t xml:space="preserve"> 153.2</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FF0EA9" w14:textId="77777777" w:rsidR="005B0289" w:rsidRDefault="005B0289" w:rsidP="005B0289">
            <w:pPr>
              <w:pStyle w:val="TableDataEntries"/>
            </w:pPr>
            <w:r>
              <w:t xml:space="preserve"> 59.2</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7E2657A" w14:textId="77777777" w:rsidR="005B0289" w:rsidRDefault="005B0289" w:rsidP="005B0289">
            <w:pPr>
              <w:pStyle w:val="TableDataEntries"/>
            </w:pPr>
            <w:r>
              <w:t xml:space="preserve"> 285.6</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5BCB5E" w14:textId="77777777" w:rsidR="005B0289" w:rsidRDefault="005B0289" w:rsidP="005B0289">
            <w:pPr>
              <w:pStyle w:val="TableDataEntries"/>
            </w:pPr>
            <w:r>
              <w:t>1 109.7</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395AB04"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1 395.3</w:t>
            </w:r>
          </w:p>
        </w:tc>
      </w:tr>
      <w:tr w:rsidR="005B0289" w14:paraId="6DB8CA47"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3BACE50" w14:textId="77777777" w:rsidR="005B0289" w:rsidRDefault="005B0289" w:rsidP="005B0289">
            <w:pPr>
              <w:pStyle w:val="TableDataEntries"/>
              <w:jc w:val="left"/>
            </w:pPr>
            <w:r>
              <w:lastRenderedPageBreak/>
              <w:t>Total with mobility limitation</w:t>
            </w:r>
          </w:p>
        </w:tc>
        <w:tc>
          <w:tcPr>
            <w:tcW w:w="8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089B3CC" w14:textId="77777777" w:rsidR="005B0289" w:rsidRDefault="005B0289" w:rsidP="005B0289">
            <w:pPr>
              <w:pStyle w:val="TableDataEntries"/>
            </w:pPr>
            <w:r>
              <w:t xml:space="preserve"> 442.9</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DC35FB1" w14:textId="77777777" w:rsidR="005B0289" w:rsidRDefault="005B0289" w:rsidP="005B0289">
            <w:pPr>
              <w:pStyle w:val="TableDataEntries"/>
            </w:pPr>
            <w:r>
              <w:t xml:space="preserve"> 345.1</w:t>
            </w:r>
          </w:p>
        </w:tc>
        <w:tc>
          <w:tcPr>
            <w:tcW w:w="8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B3AE730" w14:textId="77777777" w:rsidR="005B0289" w:rsidRDefault="005B0289" w:rsidP="005B0289">
            <w:pPr>
              <w:pStyle w:val="TableDataEntries"/>
            </w:pPr>
            <w:r>
              <w:t xml:space="preserve"> 436.3</w:t>
            </w:r>
          </w:p>
        </w:tc>
        <w:tc>
          <w:tcPr>
            <w:tcW w:w="8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DC3E6C5" w14:textId="77777777" w:rsidR="005B0289" w:rsidRDefault="005B0289" w:rsidP="005B0289">
            <w:pPr>
              <w:pStyle w:val="TableDataEntries"/>
            </w:pPr>
            <w:r>
              <w:t xml:space="preserve"> 130.3</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F78CE3D" w14:textId="77777777" w:rsidR="005B0289" w:rsidRDefault="005B0289" w:rsidP="005B0289">
            <w:pPr>
              <w:pStyle w:val="TableDataEntries"/>
            </w:pPr>
            <w:r>
              <w:t>1 354.6</w:t>
            </w:r>
          </w:p>
        </w:tc>
        <w:tc>
          <w:tcPr>
            <w:tcW w:w="8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488CB641" w14:textId="77777777" w:rsidR="005B0289" w:rsidRDefault="005B0289" w:rsidP="005B0289">
            <w:pPr>
              <w:pStyle w:val="TableDataEntries"/>
            </w:pPr>
            <w:r>
              <w:t>1 628.0</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938A903"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2 982.6</w:t>
            </w:r>
          </w:p>
        </w:tc>
      </w:tr>
      <w:tr w:rsidR="005B0289" w14:paraId="51C6C952" w14:textId="77777777" w:rsidTr="005B0289">
        <w:trPr>
          <w:trHeight w:val="245"/>
        </w:trPr>
        <w:tc>
          <w:tcPr>
            <w:tcW w:w="19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34FF1A" w14:textId="77777777" w:rsidR="005B0289" w:rsidRDefault="005B0289" w:rsidP="005B0289">
            <w:pPr>
              <w:pStyle w:val="TableDataEntries"/>
              <w:jc w:val="left"/>
            </w:pPr>
            <w:r>
              <w:t>No mobility limitation</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2B6548" w14:textId="77777777" w:rsidR="005B0289" w:rsidRDefault="005B0289" w:rsidP="005B0289">
            <w:pPr>
              <w:pStyle w:val="TableDataEntries"/>
            </w:pPr>
            <w:r>
              <w:t xml:space="preserve"> 10.4</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95705" w14:textId="77777777" w:rsidR="005B0289" w:rsidRDefault="005B0289" w:rsidP="005B0289">
            <w:pPr>
              <w:pStyle w:val="TableDataEntries"/>
            </w:pPr>
            <w:r>
              <w:t xml:space="preserve"> 15.3</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EC28D1" w14:textId="77777777" w:rsidR="005B0289" w:rsidRDefault="005B0289" w:rsidP="005B0289">
            <w:pPr>
              <w:pStyle w:val="TableDataEntries"/>
            </w:pPr>
            <w:r>
              <w:t xml:space="preserve"> 43.4</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E6B723" w14:textId="77777777" w:rsidR="005B0289" w:rsidRDefault="005B0289" w:rsidP="005B0289">
            <w:pPr>
              <w:pStyle w:val="TableDataEntries"/>
            </w:pPr>
            <w:r>
              <w:t xml:space="preserve"> 7.5</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40C920E" w14:textId="77777777" w:rsidR="005B0289" w:rsidRDefault="005B0289" w:rsidP="005B0289">
            <w:pPr>
              <w:pStyle w:val="TableDataEntries"/>
            </w:pPr>
            <w:r>
              <w:t xml:space="preserve"> 76.6</w:t>
            </w:r>
          </w:p>
        </w:tc>
        <w:tc>
          <w:tcPr>
            <w:tcW w:w="8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4C02D9" w14:textId="77777777" w:rsidR="005B0289" w:rsidRDefault="005B0289" w:rsidP="005B0289">
            <w:pPr>
              <w:pStyle w:val="TableDataEntries"/>
            </w:pPr>
            <w:r>
              <w:t xml:space="preserve"> 0.0</w:t>
            </w:r>
          </w:p>
        </w:tc>
        <w:tc>
          <w:tcPr>
            <w:tcW w:w="85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C15F78D"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76.6</w:t>
            </w:r>
          </w:p>
        </w:tc>
      </w:tr>
      <w:tr w:rsidR="005B0289" w:rsidRPr="005B0289" w14:paraId="0462C1A2" w14:textId="77777777" w:rsidTr="005B0289">
        <w:trPr>
          <w:trHeight w:val="245"/>
        </w:trPr>
        <w:tc>
          <w:tcPr>
            <w:tcW w:w="197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2261FB6" w14:textId="77777777" w:rsidR="005B0289" w:rsidRPr="005B0289" w:rsidRDefault="005B0289" w:rsidP="005B0289">
            <w:pPr>
              <w:pStyle w:val="TableDataEntries"/>
              <w:jc w:val="left"/>
              <w:rPr>
                <w:rFonts w:ascii="Franklin Gothic Demi" w:hAnsi="Franklin Gothic Demi"/>
              </w:rPr>
            </w:pPr>
            <w:r w:rsidRPr="005B0289">
              <w:rPr>
                <w:rFonts w:ascii="Franklin Gothic Demi" w:hAnsi="Franklin Gothic Demi"/>
              </w:rPr>
              <w:t xml:space="preserve">Total </w:t>
            </w:r>
          </w:p>
        </w:tc>
        <w:tc>
          <w:tcPr>
            <w:tcW w:w="8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B9B698D"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453.3</w:t>
            </w:r>
          </w:p>
        </w:tc>
        <w:tc>
          <w:tcPr>
            <w:tcW w:w="85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42D174C"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360.4</w:t>
            </w:r>
          </w:p>
        </w:tc>
        <w:tc>
          <w:tcPr>
            <w:tcW w:w="8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0E3869E"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479.7</w:t>
            </w:r>
          </w:p>
        </w:tc>
        <w:tc>
          <w:tcPr>
            <w:tcW w:w="8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3B0243A"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 xml:space="preserve"> 137.8</w:t>
            </w:r>
          </w:p>
        </w:tc>
        <w:tc>
          <w:tcPr>
            <w:tcW w:w="85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76AB430"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1 431.2</w:t>
            </w:r>
          </w:p>
        </w:tc>
        <w:tc>
          <w:tcPr>
            <w:tcW w:w="8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38F7DA9"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1 628.0</w:t>
            </w:r>
          </w:p>
        </w:tc>
        <w:tc>
          <w:tcPr>
            <w:tcW w:w="85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2D4AFA3" w14:textId="77777777" w:rsidR="005B0289" w:rsidRPr="005B0289" w:rsidRDefault="005B0289" w:rsidP="005B0289">
            <w:pPr>
              <w:pStyle w:val="TableDataEntries"/>
              <w:rPr>
                <w:rFonts w:ascii="Franklin Gothic Demi" w:hAnsi="Franklin Gothic Demi"/>
              </w:rPr>
            </w:pPr>
            <w:r w:rsidRPr="005B0289">
              <w:rPr>
                <w:rFonts w:ascii="Franklin Gothic Demi" w:hAnsi="Franklin Gothic Demi"/>
              </w:rPr>
              <w:t>3 059.2</w:t>
            </w:r>
          </w:p>
        </w:tc>
      </w:tr>
    </w:tbl>
    <w:p w14:paraId="5BAB06EB" w14:textId="77777777" w:rsidR="00E4023A" w:rsidRDefault="005B0289" w:rsidP="005B0289">
      <w:pPr>
        <w:pStyle w:val="Note"/>
        <w:rPr>
          <w:lang w:bidi="fa-IR"/>
        </w:rPr>
      </w:pPr>
      <w:r w:rsidRPr="0010789E">
        <w:rPr>
          <w:lang w:bidi="fa-IR"/>
        </w:rPr>
        <w:t>Note:</w:t>
      </w:r>
      <w:r w:rsidRPr="00E879B8">
        <w:rPr>
          <w:lang w:bidi="fa-IR"/>
        </w:rPr>
        <w:t xml:space="preserve"> </w:t>
      </w:r>
      <w:r w:rsidR="00D2034E">
        <w:rPr>
          <w:lang w:bidi="fa-IR"/>
        </w:rPr>
        <w:t>TableBuilder randomly adjusts cells to minimise the risk of identifying individuals in aggregate statistics. This means that table totals do not always add exactly and the totals are not exactly consistent across tables.</w:t>
      </w:r>
    </w:p>
    <w:p w14:paraId="4B353F82" w14:textId="77777777" w:rsidR="005B0289" w:rsidRDefault="005B0289" w:rsidP="0010789E">
      <w:pPr>
        <w:pStyle w:val="Note"/>
        <w:rPr>
          <w:lang w:bidi="fa-IR"/>
        </w:rPr>
      </w:pPr>
      <w:r w:rsidRPr="0010789E">
        <w:rPr>
          <w:lang w:bidi="fa-IR"/>
        </w:rPr>
        <w:t>Source:</w:t>
      </w:r>
      <w:r>
        <w:rPr>
          <w:lang w:bidi="fa-IR"/>
        </w:rPr>
        <w:t xml:space="preserve"> </w:t>
      </w:r>
      <w:r w:rsidR="00D2034E">
        <w:rPr>
          <w:lang w:bidi="fa-IR"/>
        </w:rPr>
        <w:t>ABS. 2018 Survey of Disabilities, Ageing and Carers, TableBuilder.</w:t>
      </w:r>
    </w:p>
    <w:p w14:paraId="54D24BC5" w14:textId="77777777" w:rsidR="00E4023A" w:rsidRDefault="00E4023A" w:rsidP="00400E5F">
      <w:pPr>
        <w:pStyle w:val="Heading4"/>
        <w:rPr>
          <w:lang w:eastAsia="en-US" w:bidi="fa-IR"/>
        </w:rPr>
      </w:pPr>
      <w:r>
        <w:rPr>
          <w:lang w:eastAsia="en-US" w:bidi="fa-IR"/>
        </w:rPr>
        <w:t>Users of mobility aids</w:t>
      </w:r>
    </w:p>
    <w:p w14:paraId="22B1B3D6" w14:textId="77777777" w:rsidR="00E4023A" w:rsidRDefault="00E4023A" w:rsidP="00E4023A">
      <w:pPr>
        <w:pStyle w:val="BodyText"/>
        <w:rPr>
          <w:lang w:bidi="fa-IR"/>
        </w:rPr>
      </w:pPr>
      <w:r>
        <w:rPr>
          <w:lang w:eastAsia="en-US" w:bidi="fa-IR"/>
        </w:rPr>
        <w:t xml:space="preserve">Although the needs of every individual will vary, the types of mobility aids used may be an indicator of the need for specific accessibility features in the home. In particular, wheelchair users (and to some extent users of other mobility aids with wheels, such as scooters/gophers or walking frames) have specific </w:t>
      </w:r>
      <w:r>
        <w:rPr>
          <w:lang w:bidi="fa-IR"/>
        </w:rPr>
        <w:t>accessibility requirements in relation to:</w:t>
      </w:r>
    </w:p>
    <w:p w14:paraId="164CE878" w14:textId="77777777" w:rsidR="00E4023A" w:rsidRDefault="00E4023A" w:rsidP="00E4023A">
      <w:pPr>
        <w:pStyle w:val="ListBullet"/>
        <w:numPr>
          <w:ilvl w:val="0"/>
          <w:numId w:val="16"/>
        </w:numPr>
        <w:rPr>
          <w:lang w:bidi="fa-IR"/>
        </w:rPr>
      </w:pPr>
      <w:r>
        <w:rPr>
          <w:lang w:bidi="fa-IR"/>
        </w:rPr>
        <w:t>level access</w:t>
      </w:r>
    </w:p>
    <w:p w14:paraId="1F7F0143" w14:textId="77777777" w:rsidR="00E4023A" w:rsidRDefault="00E4023A" w:rsidP="00E4023A">
      <w:pPr>
        <w:pStyle w:val="ListBullet"/>
        <w:numPr>
          <w:ilvl w:val="0"/>
          <w:numId w:val="16"/>
        </w:numPr>
        <w:rPr>
          <w:lang w:bidi="fa-IR"/>
        </w:rPr>
      </w:pPr>
      <w:r>
        <w:rPr>
          <w:lang w:bidi="fa-IR"/>
        </w:rPr>
        <w:t>the need for bedroom and bathrooms on the ground floor</w:t>
      </w:r>
    </w:p>
    <w:p w14:paraId="66602D9F" w14:textId="77777777" w:rsidR="00E4023A" w:rsidRDefault="00E4023A" w:rsidP="00E4023A">
      <w:pPr>
        <w:pStyle w:val="ListBullet"/>
        <w:numPr>
          <w:ilvl w:val="0"/>
          <w:numId w:val="16"/>
        </w:numPr>
        <w:rPr>
          <w:lang w:bidi="fa-IR"/>
        </w:rPr>
      </w:pPr>
      <w:r>
        <w:rPr>
          <w:lang w:bidi="fa-IR"/>
        </w:rPr>
        <w:t>wider doorways and hallways, and</w:t>
      </w:r>
    </w:p>
    <w:p w14:paraId="12C31524" w14:textId="77777777" w:rsidR="00E4023A" w:rsidRDefault="00E4023A" w:rsidP="00E4023A">
      <w:pPr>
        <w:pStyle w:val="ListBullet"/>
        <w:numPr>
          <w:ilvl w:val="0"/>
          <w:numId w:val="16"/>
        </w:numPr>
        <w:rPr>
          <w:lang w:bidi="fa-IR"/>
        </w:rPr>
      </w:pPr>
      <w:r>
        <w:rPr>
          <w:lang w:bidi="fa-IR"/>
        </w:rPr>
        <w:t>space requirements in bathrooms, bedrooms etc.</w:t>
      </w:r>
    </w:p>
    <w:p w14:paraId="610EBA87" w14:textId="77777777" w:rsidR="00E4023A" w:rsidRDefault="00E4023A" w:rsidP="00E4023A">
      <w:pPr>
        <w:pStyle w:val="BodyText"/>
        <w:rPr>
          <w:lang w:bidi="fa-IR"/>
        </w:rPr>
      </w:pPr>
      <w:r>
        <w:rPr>
          <w:lang w:bidi="fa-IR"/>
        </w:rPr>
        <w:t>Dwellings that do not meet these accessibility requirements are unlikely to be suitable for a wheelchair user (i.e. a wheelchair user could not practically live in a dwelling that does not meet these requirements).</w:t>
      </w:r>
    </w:p>
    <w:p w14:paraId="0D16AC94" w14:textId="184FE07A" w:rsidR="00E4023A" w:rsidRDefault="00E4023A" w:rsidP="00E4023A">
      <w:pPr>
        <w:pStyle w:val="BodyText"/>
        <w:rPr>
          <w:lang w:eastAsia="en-US" w:bidi="fa-IR"/>
        </w:rPr>
      </w:pPr>
      <w:r>
        <w:rPr>
          <w:lang w:eastAsia="en-US" w:bidi="fa-IR"/>
        </w:rPr>
        <w:t>According to SDAC data there were around 185 300 wheelchair users in 2018 and around 570 100 users of mobility aids with wheels including wheelchairs (table </w:t>
      </w:r>
      <w:r w:rsidR="00587754">
        <w:rPr>
          <w:lang w:eastAsia="en-US" w:bidi="fa-IR"/>
        </w:rPr>
        <w:t>3.6</w:t>
      </w:r>
      <w:r>
        <w:rPr>
          <w:lang w:eastAsia="en-US" w:bidi="fa-IR"/>
        </w:rPr>
        <w:t>).</w:t>
      </w:r>
    </w:p>
    <w:p w14:paraId="39E773F2" w14:textId="5AEFDA9D" w:rsidR="00E4023A" w:rsidRDefault="00076C9B" w:rsidP="00E4023A">
      <w:pPr>
        <w:pStyle w:val="Caption"/>
      </w:pPr>
      <w:bookmarkStart w:id="115" w:name="_Toc32321794"/>
      <w:bookmarkStart w:id="116" w:name="_Toc44598487"/>
      <w:bookmarkStart w:id="117" w:name="_Toc44695859"/>
      <w:bookmarkStart w:id="118" w:name="_Toc57643589"/>
      <w:bookmarkStart w:id="119" w:name="_Toc70505505"/>
      <w:r>
        <w:t>3.6</w:t>
      </w:r>
      <w:r w:rsidR="00E4023A" w:rsidRPr="00695C93">
        <w:tab/>
      </w:r>
      <w:r w:rsidR="00E4023A">
        <w:t>Types of mobility aids</w:t>
      </w:r>
      <w:bookmarkEnd w:id="115"/>
      <w:bookmarkEnd w:id="116"/>
      <w:bookmarkEnd w:id="117"/>
      <w:bookmarkEnd w:id="118"/>
      <w:bookmarkEnd w:id="119"/>
    </w:p>
    <w:tbl>
      <w:tblPr>
        <w:tblW w:w="7936" w:type="dxa"/>
        <w:tblLayout w:type="fixed"/>
        <w:tblLook w:val="0000" w:firstRow="0" w:lastRow="0" w:firstColumn="0" w:lastColumn="0" w:noHBand="0" w:noVBand="0"/>
        <w:tblCaption w:val="Table 3.6: Types of mobility aids"/>
        <w:tblDescription w:val="This table lists types of mobility aids, including wheelchair, scooter, walking frame and aids without wheels, with the number of users in each age category (0-14 years, 15-64 years, 65+ years). In this 2018 study, there were about 570 100 users of mobility aids with wheels, with the overwhelming majority of these being aged 65+ years."/>
      </w:tblPr>
      <w:tblGrid>
        <w:gridCol w:w="1843"/>
        <w:gridCol w:w="1375"/>
        <w:gridCol w:w="1602"/>
        <w:gridCol w:w="1544"/>
        <w:gridCol w:w="1572"/>
      </w:tblGrid>
      <w:tr w:rsidR="00E4023A" w14:paraId="55F2F22D" w14:textId="77777777" w:rsidTr="00CC5C24">
        <w:trPr>
          <w:trHeight w:val="230"/>
          <w:tblHeader/>
        </w:trPr>
        <w:tc>
          <w:tcPr>
            <w:tcW w:w="1843" w:type="dxa"/>
            <w:shd w:val="clear" w:color="auto" w:fill="6F6652"/>
            <w:tcMar>
              <w:left w:w="57" w:type="dxa"/>
              <w:right w:w="57" w:type="dxa"/>
            </w:tcMar>
          </w:tcPr>
          <w:p w14:paraId="7F57DE02" w14:textId="77777777" w:rsidR="00E4023A" w:rsidRDefault="004462C4" w:rsidP="005B0289">
            <w:pPr>
              <w:pStyle w:val="TableDataColumnHeading"/>
              <w:jc w:val="left"/>
              <w:rPr>
                <w:lang w:val="en-GB"/>
              </w:rPr>
            </w:pPr>
            <w:r>
              <w:rPr>
                <w:lang w:val="en-GB"/>
              </w:rPr>
              <w:t>Type of mobility aid</w:t>
            </w:r>
          </w:p>
        </w:tc>
        <w:tc>
          <w:tcPr>
            <w:tcW w:w="1375" w:type="dxa"/>
            <w:shd w:val="clear" w:color="auto" w:fill="6F6652"/>
            <w:tcMar>
              <w:left w:w="57" w:type="dxa"/>
              <w:right w:w="57" w:type="dxa"/>
            </w:tcMar>
          </w:tcPr>
          <w:p w14:paraId="68ECDD6C" w14:textId="77777777" w:rsidR="00E4023A" w:rsidRDefault="00E4023A" w:rsidP="005B0289">
            <w:pPr>
              <w:pStyle w:val="TableDataColumnHeading"/>
              <w:rPr>
                <w:lang w:val="en-GB"/>
              </w:rPr>
            </w:pPr>
            <w:r>
              <w:rPr>
                <w:lang w:val="en-GB"/>
              </w:rPr>
              <w:t>0 to 14 years</w:t>
            </w:r>
          </w:p>
        </w:tc>
        <w:tc>
          <w:tcPr>
            <w:tcW w:w="1602" w:type="dxa"/>
            <w:shd w:val="clear" w:color="auto" w:fill="6F6652"/>
            <w:tcMar>
              <w:left w:w="57" w:type="dxa"/>
              <w:right w:w="57" w:type="dxa"/>
            </w:tcMar>
          </w:tcPr>
          <w:p w14:paraId="61F76B3F" w14:textId="77777777" w:rsidR="00E4023A" w:rsidRDefault="00E4023A" w:rsidP="005B0289">
            <w:pPr>
              <w:pStyle w:val="TableDataColumnHeading"/>
              <w:rPr>
                <w:lang w:val="en-GB"/>
              </w:rPr>
            </w:pPr>
            <w:r>
              <w:rPr>
                <w:lang w:val="en-GB"/>
              </w:rPr>
              <w:t>15 - 64 years</w:t>
            </w:r>
          </w:p>
        </w:tc>
        <w:tc>
          <w:tcPr>
            <w:tcW w:w="1544" w:type="dxa"/>
            <w:shd w:val="clear" w:color="auto" w:fill="6F6652"/>
            <w:tcMar>
              <w:left w:w="57" w:type="dxa"/>
              <w:right w:w="57" w:type="dxa"/>
            </w:tcMar>
          </w:tcPr>
          <w:p w14:paraId="6BDA491E" w14:textId="77777777" w:rsidR="00E4023A" w:rsidRDefault="00E4023A" w:rsidP="005B0289">
            <w:pPr>
              <w:pStyle w:val="TableDataColumnHeading"/>
              <w:rPr>
                <w:lang w:val="en-GB"/>
              </w:rPr>
            </w:pPr>
            <w:r>
              <w:rPr>
                <w:lang w:val="en-GB"/>
              </w:rPr>
              <w:t>65+ years</w:t>
            </w:r>
          </w:p>
        </w:tc>
        <w:tc>
          <w:tcPr>
            <w:tcW w:w="1572" w:type="dxa"/>
            <w:shd w:val="clear" w:color="auto" w:fill="6F6652"/>
            <w:tcMar>
              <w:left w:w="57" w:type="dxa"/>
              <w:right w:w="57" w:type="dxa"/>
            </w:tcMar>
          </w:tcPr>
          <w:p w14:paraId="3034000E" w14:textId="77777777" w:rsidR="00E4023A" w:rsidRDefault="00E4023A" w:rsidP="005B0289">
            <w:pPr>
              <w:pStyle w:val="TableDataColumnHeading"/>
              <w:rPr>
                <w:lang w:val="en-GB"/>
              </w:rPr>
            </w:pPr>
            <w:r>
              <w:rPr>
                <w:lang w:val="en-GB"/>
              </w:rPr>
              <w:t>Total</w:t>
            </w:r>
          </w:p>
        </w:tc>
      </w:tr>
      <w:tr w:rsidR="00E4023A" w14:paraId="383ECFD9" w14:textId="77777777" w:rsidTr="00CC5C24">
        <w:trPr>
          <w:trHeight w:val="230"/>
          <w:tblHeader/>
        </w:trPr>
        <w:tc>
          <w:tcPr>
            <w:tcW w:w="1843" w:type="dxa"/>
            <w:tcBorders>
              <w:bottom w:val="single" w:sz="8" w:space="0" w:color="FFFFFF" w:themeColor="background1"/>
            </w:tcBorders>
            <w:shd w:val="clear" w:color="auto" w:fill="auto"/>
            <w:tcMar>
              <w:left w:w="57" w:type="dxa"/>
              <w:right w:w="57" w:type="dxa"/>
            </w:tcMar>
          </w:tcPr>
          <w:p w14:paraId="64418110" w14:textId="77777777" w:rsidR="00E4023A" w:rsidRDefault="00E4023A" w:rsidP="005B0289">
            <w:pPr>
              <w:pStyle w:val="TableUnit"/>
              <w:jc w:val="left"/>
              <w:rPr>
                <w:lang w:val="en-GB"/>
              </w:rPr>
            </w:pPr>
          </w:p>
        </w:tc>
        <w:tc>
          <w:tcPr>
            <w:tcW w:w="1375" w:type="dxa"/>
            <w:tcBorders>
              <w:bottom w:val="single" w:sz="8" w:space="0" w:color="FFFFFF" w:themeColor="background1"/>
            </w:tcBorders>
            <w:shd w:val="clear" w:color="auto" w:fill="auto"/>
            <w:tcMar>
              <w:left w:w="57" w:type="dxa"/>
              <w:right w:w="57" w:type="dxa"/>
            </w:tcMar>
          </w:tcPr>
          <w:p w14:paraId="40011F0D" w14:textId="77777777" w:rsidR="00E4023A" w:rsidRDefault="00E4023A" w:rsidP="005B0289">
            <w:pPr>
              <w:pStyle w:val="TableUnit"/>
              <w:rPr>
                <w:lang w:val="en-GB"/>
              </w:rPr>
            </w:pPr>
            <w:r>
              <w:rPr>
                <w:lang w:val="en-GB"/>
              </w:rPr>
              <w:t>'000</w:t>
            </w:r>
          </w:p>
        </w:tc>
        <w:tc>
          <w:tcPr>
            <w:tcW w:w="1602" w:type="dxa"/>
            <w:tcBorders>
              <w:bottom w:val="single" w:sz="8" w:space="0" w:color="FFFFFF" w:themeColor="background1"/>
            </w:tcBorders>
            <w:shd w:val="clear" w:color="auto" w:fill="auto"/>
            <w:tcMar>
              <w:left w:w="57" w:type="dxa"/>
              <w:right w:w="57" w:type="dxa"/>
            </w:tcMar>
          </w:tcPr>
          <w:p w14:paraId="06110035" w14:textId="77777777" w:rsidR="00E4023A" w:rsidRDefault="00E4023A" w:rsidP="005B0289">
            <w:pPr>
              <w:pStyle w:val="TableUnit"/>
              <w:rPr>
                <w:lang w:val="en-GB"/>
              </w:rPr>
            </w:pPr>
            <w:r>
              <w:rPr>
                <w:lang w:val="en-GB"/>
              </w:rPr>
              <w:t>'000</w:t>
            </w:r>
          </w:p>
        </w:tc>
        <w:tc>
          <w:tcPr>
            <w:tcW w:w="1544" w:type="dxa"/>
            <w:tcBorders>
              <w:bottom w:val="single" w:sz="8" w:space="0" w:color="FFFFFF" w:themeColor="background1"/>
            </w:tcBorders>
            <w:shd w:val="clear" w:color="auto" w:fill="auto"/>
            <w:tcMar>
              <w:left w:w="57" w:type="dxa"/>
              <w:right w:w="57" w:type="dxa"/>
            </w:tcMar>
          </w:tcPr>
          <w:p w14:paraId="5541937F" w14:textId="77777777" w:rsidR="00E4023A" w:rsidRDefault="00E4023A" w:rsidP="005B0289">
            <w:pPr>
              <w:pStyle w:val="TableUnit"/>
              <w:rPr>
                <w:lang w:val="en-GB"/>
              </w:rPr>
            </w:pPr>
            <w:r>
              <w:rPr>
                <w:lang w:val="en-GB"/>
              </w:rPr>
              <w:t>'000</w:t>
            </w:r>
          </w:p>
        </w:tc>
        <w:tc>
          <w:tcPr>
            <w:tcW w:w="1572" w:type="dxa"/>
            <w:tcBorders>
              <w:bottom w:val="single" w:sz="8" w:space="0" w:color="FFFFFF" w:themeColor="background1"/>
            </w:tcBorders>
            <w:shd w:val="clear" w:color="auto" w:fill="auto"/>
            <w:tcMar>
              <w:left w:w="57" w:type="dxa"/>
              <w:right w:w="57" w:type="dxa"/>
            </w:tcMar>
          </w:tcPr>
          <w:p w14:paraId="4FC4495A" w14:textId="77777777" w:rsidR="00E4023A" w:rsidRDefault="00E4023A" w:rsidP="005B0289">
            <w:pPr>
              <w:pStyle w:val="TableUnit"/>
              <w:rPr>
                <w:lang w:val="en-GB"/>
              </w:rPr>
            </w:pPr>
            <w:r>
              <w:rPr>
                <w:lang w:val="en-GB"/>
              </w:rPr>
              <w:t>'000</w:t>
            </w:r>
          </w:p>
        </w:tc>
      </w:tr>
      <w:tr w:rsidR="00E4023A" w14:paraId="75DDB087"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B87C9D" w14:textId="77777777" w:rsidR="00E4023A" w:rsidRDefault="00E4023A" w:rsidP="005B0289">
            <w:pPr>
              <w:pStyle w:val="TableDataEntries"/>
              <w:jc w:val="left"/>
              <w:rPr>
                <w:lang w:val="en-GB"/>
              </w:rPr>
            </w:pPr>
            <w:r>
              <w:rPr>
                <w:lang w:val="en-GB"/>
              </w:rPr>
              <w:t>Wheelchairs</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918980" w14:textId="77777777" w:rsidR="00E4023A" w:rsidRDefault="00E4023A" w:rsidP="005B0289">
            <w:pPr>
              <w:pStyle w:val="TableDataEntries"/>
              <w:rPr>
                <w:lang w:val="en-GB"/>
              </w:rPr>
            </w:pPr>
            <w:r>
              <w:rPr>
                <w:lang w:val="en-GB"/>
              </w:rPr>
              <w:t xml:space="preserve"> 4.20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54ADA4" w14:textId="77777777" w:rsidR="00E4023A" w:rsidRDefault="00E4023A" w:rsidP="005B0289">
            <w:pPr>
              <w:pStyle w:val="TableDataEntries"/>
              <w:rPr>
                <w:lang w:val="en-GB"/>
              </w:rPr>
            </w:pPr>
            <w:r>
              <w:rPr>
                <w:lang w:val="en-GB"/>
              </w:rPr>
              <w:t xml:space="preserve"> 50.40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966AFB" w14:textId="77777777" w:rsidR="00E4023A" w:rsidRDefault="00E4023A" w:rsidP="005B0289">
            <w:pPr>
              <w:pStyle w:val="TableDataEntries"/>
              <w:rPr>
                <w:lang w:val="en-GB"/>
              </w:rPr>
            </w:pPr>
            <w:r>
              <w:rPr>
                <w:lang w:val="en-GB"/>
              </w:rPr>
              <w:t xml:space="preserve"> 130.70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93096E" w14:textId="77777777" w:rsidR="00E4023A" w:rsidRDefault="00E4023A" w:rsidP="005B0289">
            <w:pPr>
              <w:pStyle w:val="TableDataEntries"/>
              <w:rPr>
                <w:lang w:val="en-GB"/>
              </w:rPr>
            </w:pPr>
            <w:r>
              <w:rPr>
                <w:lang w:val="en-GB"/>
              </w:rPr>
              <w:t xml:space="preserve"> 185.30</w:t>
            </w:r>
          </w:p>
        </w:tc>
      </w:tr>
      <w:tr w:rsidR="00E4023A" w14:paraId="41477D7C"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CA16B7" w14:textId="77777777" w:rsidR="00E4023A" w:rsidRDefault="00E4023A" w:rsidP="005B0289">
            <w:pPr>
              <w:pStyle w:val="TableDataEntries"/>
              <w:jc w:val="left"/>
              <w:rPr>
                <w:lang w:val="en-GB"/>
              </w:rPr>
            </w:pPr>
            <w:r>
              <w:rPr>
                <w:lang w:val="en-GB"/>
              </w:rPr>
              <w:t>Scooter/gopher</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D64511" w14:textId="77777777" w:rsidR="00E4023A" w:rsidRDefault="00E4023A" w:rsidP="005B0289">
            <w:pPr>
              <w:pStyle w:val="TableDataEntries"/>
              <w:rPr>
                <w:lang w:val="en-GB"/>
              </w:rPr>
            </w:pPr>
            <w:r>
              <w:rPr>
                <w:lang w:val="en-GB"/>
              </w:rPr>
              <w:t xml:space="preserve"> 0.00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48E2B" w14:textId="77777777" w:rsidR="00E4023A" w:rsidRDefault="00E4023A" w:rsidP="005B0289">
            <w:pPr>
              <w:pStyle w:val="TableDataEntries"/>
              <w:rPr>
                <w:lang w:val="en-GB"/>
              </w:rPr>
            </w:pPr>
            <w:r>
              <w:rPr>
                <w:lang w:val="en-GB"/>
              </w:rPr>
              <w:t xml:space="preserve"> 13.50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6EDE29" w14:textId="77777777" w:rsidR="00E4023A" w:rsidRDefault="00E4023A" w:rsidP="005B0289">
            <w:pPr>
              <w:pStyle w:val="TableDataEntries"/>
              <w:rPr>
                <w:lang w:val="en-GB"/>
              </w:rPr>
            </w:pPr>
            <w:r>
              <w:rPr>
                <w:lang w:val="en-GB"/>
              </w:rPr>
              <w:t xml:space="preserve"> 40.20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4DC33C" w14:textId="77777777" w:rsidR="00E4023A" w:rsidRDefault="00E4023A" w:rsidP="005B0289">
            <w:pPr>
              <w:pStyle w:val="TableDataEntries"/>
              <w:rPr>
                <w:lang w:val="en-GB"/>
              </w:rPr>
            </w:pPr>
            <w:r>
              <w:rPr>
                <w:lang w:val="en-GB"/>
              </w:rPr>
              <w:t xml:space="preserve"> 54.00</w:t>
            </w:r>
          </w:p>
        </w:tc>
      </w:tr>
      <w:tr w:rsidR="00E4023A" w14:paraId="0686710C"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A5C9B9" w14:textId="77777777" w:rsidR="00E4023A" w:rsidRDefault="00E4023A" w:rsidP="005B0289">
            <w:pPr>
              <w:pStyle w:val="TableDataEntries"/>
              <w:jc w:val="left"/>
              <w:rPr>
                <w:lang w:val="en-GB"/>
              </w:rPr>
            </w:pPr>
            <w:r>
              <w:rPr>
                <w:lang w:val="en-GB"/>
              </w:rPr>
              <w:t>Walking frame</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8A994" w14:textId="77777777" w:rsidR="00E4023A" w:rsidRDefault="00E4023A" w:rsidP="005B0289">
            <w:pPr>
              <w:pStyle w:val="TableDataEntries"/>
              <w:rPr>
                <w:lang w:val="en-GB"/>
              </w:rPr>
            </w:pPr>
            <w:r>
              <w:rPr>
                <w:lang w:val="en-GB"/>
              </w:rPr>
              <w:t xml:space="preserve"> 0.00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CE77D8" w14:textId="77777777" w:rsidR="00E4023A" w:rsidRDefault="00E4023A" w:rsidP="005B0289">
            <w:pPr>
              <w:pStyle w:val="TableDataEntries"/>
              <w:rPr>
                <w:lang w:val="en-GB"/>
              </w:rPr>
            </w:pPr>
            <w:r>
              <w:rPr>
                <w:lang w:val="en-GB"/>
              </w:rPr>
              <w:t xml:space="preserve"> 46.30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D87495" w14:textId="77777777" w:rsidR="00E4023A" w:rsidRDefault="00E4023A" w:rsidP="005B0289">
            <w:pPr>
              <w:pStyle w:val="TableDataEntries"/>
              <w:rPr>
                <w:lang w:val="en-GB"/>
              </w:rPr>
            </w:pPr>
            <w:r>
              <w:rPr>
                <w:lang w:val="en-GB"/>
              </w:rPr>
              <w:t xml:space="preserve"> 284.00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FD4D2C" w14:textId="77777777" w:rsidR="00E4023A" w:rsidRDefault="00E4023A" w:rsidP="005B0289">
            <w:pPr>
              <w:pStyle w:val="TableDataEntries"/>
              <w:rPr>
                <w:lang w:val="en-GB"/>
              </w:rPr>
            </w:pPr>
            <w:r>
              <w:rPr>
                <w:lang w:val="en-GB"/>
              </w:rPr>
              <w:t xml:space="preserve"> 330.80</w:t>
            </w:r>
          </w:p>
        </w:tc>
      </w:tr>
      <w:tr w:rsidR="00E4023A" w:rsidRPr="008054BC" w14:paraId="287D59E4"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AB87BD" w14:textId="77777777" w:rsidR="00E4023A" w:rsidRPr="008054BC" w:rsidRDefault="00E4023A" w:rsidP="005B0289">
            <w:pPr>
              <w:pStyle w:val="TableDataEntries"/>
              <w:jc w:val="left"/>
              <w:rPr>
                <w:rFonts w:ascii="Franklin Gothic Demi" w:hAnsi="Franklin Gothic Demi"/>
                <w:lang w:val="en-GB"/>
              </w:rPr>
            </w:pPr>
            <w:r w:rsidRPr="008054BC">
              <w:rPr>
                <w:rFonts w:ascii="Franklin Gothic Demi" w:hAnsi="Franklin Gothic Demi"/>
                <w:lang w:val="en-GB"/>
              </w:rPr>
              <w:t>Total aids with wheels</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834835" w14:textId="77777777" w:rsidR="00E4023A" w:rsidRPr="008054BC" w:rsidRDefault="00E4023A" w:rsidP="005B0289">
            <w:pPr>
              <w:pStyle w:val="TableDataEntries"/>
              <w:rPr>
                <w:rFonts w:ascii="Franklin Gothic Demi" w:hAnsi="Franklin Gothic Demi"/>
                <w:lang w:val="en-GB"/>
              </w:rPr>
            </w:pPr>
            <w:r w:rsidRPr="008054BC">
              <w:rPr>
                <w:rFonts w:ascii="Franklin Gothic Demi" w:hAnsi="Franklin Gothic Demi"/>
                <w:lang w:val="en-GB"/>
              </w:rPr>
              <w:t xml:space="preserve"> 4.20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75FE7B" w14:textId="77777777" w:rsidR="00E4023A" w:rsidRPr="008054BC" w:rsidRDefault="00E4023A" w:rsidP="005B0289">
            <w:pPr>
              <w:pStyle w:val="TableDataEntries"/>
              <w:rPr>
                <w:rFonts w:ascii="Franklin Gothic Demi" w:hAnsi="Franklin Gothic Demi"/>
                <w:lang w:val="en-GB"/>
              </w:rPr>
            </w:pPr>
            <w:r w:rsidRPr="008054BC">
              <w:rPr>
                <w:rFonts w:ascii="Franklin Gothic Demi" w:hAnsi="Franklin Gothic Demi"/>
                <w:lang w:val="en-GB"/>
              </w:rPr>
              <w:t xml:space="preserve"> 110.20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B09DBC" w14:textId="77777777" w:rsidR="00E4023A" w:rsidRPr="008054BC" w:rsidRDefault="00E4023A" w:rsidP="005B0289">
            <w:pPr>
              <w:pStyle w:val="TableDataEntries"/>
              <w:rPr>
                <w:rFonts w:ascii="Franklin Gothic Demi" w:hAnsi="Franklin Gothic Demi"/>
                <w:lang w:val="en-GB"/>
              </w:rPr>
            </w:pPr>
            <w:r w:rsidRPr="008054BC">
              <w:rPr>
                <w:rFonts w:ascii="Franklin Gothic Demi" w:hAnsi="Franklin Gothic Demi"/>
                <w:lang w:val="en-GB"/>
              </w:rPr>
              <w:t xml:space="preserve"> 454.90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A0021A" w14:textId="77777777" w:rsidR="00E4023A" w:rsidRPr="008054BC" w:rsidRDefault="00E4023A" w:rsidP="005B0289">
            <w:pPr>
              <w:pStyle w:val="TableDataEntries"/>
              <w:rPr>
                <w:rFonts w:ascii="Franklin Gothic Demi" w:hAnsi="Franklin Gothic Demi"/>
                <w:lang w:val="en-GB"/>
              </w:rPr>
            </w:pPr>
            <w:r w:rsidRPr="008054BC">
              <w:rPr>
                <w:rFonts w:ascii="Franklin Gothic Demi" w:hAnsi="Franklin Gothic Demi"/>
                <w:lang w:val="en-GB"/>
              </w:rPr>
              <w:t xml:space="preserve"> 570.10</w:t>
            </w:r>
          </w:p>
        </w:tc>
      </w:tr>
      <w:tr w:rsidR="00E4023A" w14:paraId="552E5023"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EE4D60" w14:textId="77777777" w:rsidR="00E4023A" w:rsidRDefault="00E4023A" w:rsidP="005B0289">
            <w:pPr>
              <w:pStyle w:val="TableDataEntries"/>
              <w:jc w:val="left"/>
              <w:rPr>
                <w:lang w:val="en-GB"/>
              </w:rPr>
            </w:pPr>
            <w:r>
              <w:rPr>
                <w:lang w:val="en-GB"/>
              </w:rPr>
              <w:t>Other aids</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1B5C01" w14:textId="77777777" w:rsidR="00E4023A" w:rsidRDefault="00E4023A" w:rsidP="005B0289">
            <w:pPr>
              <w:pStyle w:val="TableDataEntries"/>
              <w:rPr>
                <w:lang w:val="en-GB"/>
              </w:rPr>
            </w:pPr>
            <w:r>
              <w:rPr>
                <w:lang w:val="en-GB"/>
              </w:rPr>
              <w:t xml:space="preserve"> 3.00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A55D38" w14:textId="77777777" w:rsidR="00E4023A" w:rsidRDefault="00E4023A" w:rsidP="005B0289">
            <w:pPr>
              <w:pStyle w:val="TableDataEntries"/>
              <w:rPr>
                <w:lang w:val="en-GB"/>
              </w:rPr>
            </w:pPr>
            <w:r>
              <w:rPr>
                <w:lang w:val="en-GB"/>
              </w:rPr>
              <w:t xml:space="preserve"> 69.60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F5F26D" w14:textId="77777777" w:rsidR="00E4023A" w:rsidRDefault="00E4023A" w:rsidP="005B0289">
            <w:pPr>
              <w:pStyle w:val="TableDataEntries"/>
              <w:rPr>
                <w:lang w:val="en-GB"/>
              </w:rPr>
            </w:pPr>
            <w:r>
              <w:rPr>
                <w:lang w:val="en-GB"/>
              </w:rPr>
              <w:t xml:space="preserve"> 36.70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622B92" w14:textId="77777777" w:rsidR="00E4023A" w:rsidRDefault="00E4023A" w:rsidP="005B0289">
            <w:pPr>
              <w:pStyle w:val="TableDataEntries"/>
              <w:rPr>
                <w:lang w:val="en-GB"/>
              </w:rPr>
            </w:pPr>
            <w:r>
              <w:rPr>
                <w:lang w:val="en-GB"/>
              </w:rPr>
              <w:t xml:space="preserve"> 107.60</w:t>
            </w:r>
          </w:p>
        </w:tc>
      </w:tr>
      <w:tr w:rsidR="00E4023A" w14:paraId="27085B58" w14:textId="77777777" w:rsidTr="00CC5C24">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C52F38" w14:textId="77777777" w:rsidR="00E4023A" w:rsidRDefault="00E4023A" w:rsidP="005B0289">
            <w:pPr>
              <w:pStyle w:val="TableDataEntries"/>
              <w:jc w:val="left"/>
              <w:rPr>
                <w:lang w:val="en-GB"/>
              </w:rPr>
            </w:pPr>
            <w:r>
              <w:rPr>
                <w:lang w:val="en-GB"/>
              </w:rPr>
              <w:t>Do not use aids</w:t>
            </w:r>
          </w:p>
        </w:tc>
        <w:tc>
          <w:tcPr>
            <w:tcW w:w="13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B175BF" w14:textId="77777777" w:rsidR="00E4023A" w:rsidRDefault="00E4023A" w:rsidP="005B0289">
            <w:pPr>
              <w:pStyle w:val="TableDataEntries"/>
              <w:rPr>
                <w:lang w:val="en-GB"/>
              </w:rPr>
            </w:pPr>
            <w:r>
              <w:rPr>
                <w:lang w:val="en-GB"/>
              </w:rPr>
              <w:t xml:space="preserve"> 222.20</w:t>
            </w:r>
          </w:p>
        </w:tc>
        <w:tc>
          <w:tcPr>
            <w:tcW w:w="16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FF0AB6" w14:textId="77777777" w:rsidR="00E4023A" w:rsidRDefault="00E4023A" w:rsidP="005B0289">
            <w:pPr>
              <w:pStyle w:val="TableDataEntries"/>
              <w:rPr>
                <w:lang w:val="en-GB"/>
              </w:rPr>
            </w:pPr>
            <w:r>
              <w:rPr>
                <w:lang w:val="en-GB"/>
              </w:rPr>
              <w:t>1 162.30</w:t>
            </w:r>
          </w:p>
        </w:tc>
        <w:tc>
          <w:tcPr>
            <w:tcW w:w="1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AB84B" w14:textId="77777777" w:rsidR="00E4023A" w:rsidRDefault="00E4023A" w:rsidP="005B0289">
            <w:pPr>
              <w:pStyle w:val="TableDataEntries"/>
              <w:rPr>
                <w:lang w:val="en-GB"/>
              </w:rPr>
            </w:pPr>
            <w:r>
              <w:rPr>
                <w:lang w:val="en-GB"/>
              </w:rPr>
              <w:t xml:space="preserve"> 919.50</w:t>
            </w:r>
          </w:p>
        </w:tc>
        <w:tc>
          <w:tcPr>
            <w:tcW w:w="15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8CD65C" w14:textId="77777777" w:rsidR="00E4023A" w:rsidRDefault="00E4023A" w:rsidP="005B0289">
            <w:pPr>
              <w:pStyle w:val="TableDataEntries"/>
              <w:rPr>
                <w:lang w:val="en-GB"/>
              </w:rPr>
            </w:pPr>
            <w:r>
              <w:rPr>
                <w:lang w:val="en-GB"/>
              </w:rPr>
              <w:t>2 304.60</w:t>
            </w:r>
          </w:p>
        </w:tc>
      </w:tr>
      <w:tr w:rsidR="00E4023A" w:rsidRPr="006A6631" w14:paraId="3B12AB96" w14:textId="77777777" w:rsidTr="00CC5C24">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6A5033B" w14:textId="77777777" w:rsidR="00E4023A" w:rsidRPr="006A6631" w:rsidRDefault="00E4023A" w:rsidP="005B0289">
            <w:pPr>
              <w:pStyle w:val="TableDataEntries"/>
              <w:jc w:val="left"/>
              <w:rPr>
                <w:rFonts w:ascii="Franklin Gothic Demi" w:hAnsi="Franklin Gothic Demi"/>
                <w:lang w:val="en-GB"/>
              </w:rPr>
            </w:pPr>
            <w:r w:rsidRPr="006A6631">
              <w:rPr>
                <w:rFonts w:ascii="Franklin Gothic Demi" w:hAnsi="Franklin Gothic Demi"/>
                <w:lang w:val="en-GB"/>
              </w:rPr>
              <w:t>Total</w:t>
            </w:r>
          </w:p>
        </w:tc>
        <w:tc>
          <w:tcPr>
            <w:tcW w:w="13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379B41F" w14:textId="77777777" w:rsidR="00E4023A" w:rsidRPr="006A6631" w:rsidRDefault="00E4023A" w:rsidP="005B0289">
            <w:pPr>
              <w:pStyle w:val="TableDataEntries"/>
              <w:rPr>
                <w:rFonts w:ascii="Franklin Gothic Demi" w:hAnsi="Franklin Gothic Demi"/>
                <w:lang w:val="en-GB"/>
              </w:rPr>
            </w:pPr>
            <w:r w:rsidRPr="006A6631">
              <w:rPr>
                <w:rFonts w:ascii="Franklin Gothic Demi" w:hAnsi="Franklin Gothic Demi"/>
                <w:lang w:val="en-GB"/>
              </w:rPr>
              <w:t xml:space="preserve"> 229.40</w:t>
            </w:r>
          </w:p>
        </w:tc>
        <w:tc>
          <w:tcPr>
            <w:tcW w:w="160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FFB9E3" w14:textId="77777777" w:rsidR="00E4023A" w:rsidRPr="006A6631" w:rsidRDefault="00E4023A" w:rsidP="005B0289">
            <w:pPr>
              <w:pStyle w:val="TableDataEntries"/>
              <w:rPr>
                <w:rFonts w:ascii="Franklin Gothic Demi" w:hAnsi="Franklin Gothic Demi"/>
                <w:lang w:val="en-GB"/>
              </w:rPr>
            </w:pPr>
            <w:r w:rsidRPr="006A6631">
              <w:rPr>
                <w:rFonts w:ascii="Franklin Gothic Demi" w:hAnsi="Franklin Gothic Demi"/>
                <w:lang w:val="en-GB"/>
              </w:rPr>
              <w:t>1 342.10</w:t>
            </w:r>
          </w:p>
        </w:tc>
        <w:tc>
          <w:tcPr>
            <w:tcW w:w="154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38B353F" w14:textId="77777777" w:rsidR="00E4023A" w:rsidRPr="006A6631" w:rsidRDefault="00E4023A" w:rsidP="005B0289">
            <w:pPr>
              <w:pStyle w:val="TableDataEntries"/>
              <w:rPr>
                <w:rFonts w:ascii="Franklin Gothic Demi" w:hAnsi="Franklin Gothic Demi"/>
                <w:lang w:val="en-GB"/>
              </w:rPr>
            </w:pPr>
            <w:r w:rsidRPr="006A6631">
              <w:rPr>
                <w:rFonts w:ascii="Franklin Gothic Demi" w:hAnsi="Franklin Gothic Demi"/>
                <w:lang w:val="en-GB"/>
              </w:rPr>
              <w:t>1 411.10</w:t>
            </w:r>
          </w:p>
        </w:tc>
        <w:tc>
          <w:tcPr>
            <w:tcW w:w="157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868E6C" w14:textId="77777777" w:rsidR="00E4023A" w:rsidRPr="006A6631" w:rsidRDefault="00E4023A" w:rsidP="005B0289">
            <w:pPr>
              <w:pStyle w:val="TableDataEntries"/>
              <w:rPr>
                <w:rFonts w:ascii="Franklin Gothic Demi" w:hAnsi="Franklin Gothic Demi"/>
                <w:lang w:val="en-GB"/>
              </w:rPr>
            </w:pPr>
            <w:r w:rsidRPr="006A6631">
              <w:rPr>
                <w:rFonts w:ascii="Franklin Gothic Demi" w:hAnsi="Franklin Gothic Demi"/>
                <w:lang w:val="en-GB"/>
              </w:rPr>
              <w:t>2 982.30</w:t>
            </w:r>
          </w:p>
        </w:tc>
      </w:tr>
    </w:tbl>
    <w:p w14:paraId="564D7820" w14:textId="77777777" w:rsidR="00E4023A" w:rsidDel="00430366" w:rsidRDefault="00E4023A" w:rsidP="00E4023A">
      <w:pPr>
        <w:pStyle w:val="Note"/>
        <w:rPr>
          <w:lang w:bidi="fa-IR"/>
        </w:rPr>
      </w:pPr>
      <w:r w:rsidRPr="0010789E" w:rsidDel="00430366">
        <w:rPr>
          <w:lang w:bidi="fa-IR"/>
        </w:rPr>
        <w:t>Note:</w:t>
      </w:r>
      <w:r w:rsidRPr="00E879B8" w:rsidDel="00430366">
        <w:rPr>
          <w:lang w:bidi="fa-IR"/>
        </w:rPr>
        <w:t xml:space="preserve"> </w:t>
      </w:r>
      <w:r>
        <w:rPr>
          <w:lang w:bidi="fa-IR"/>
        </w:rPr>
        <w:t>TableBuilder randomly adjusts cells to minimise the risk of identifying individuals in aggregate statistics. This means that table totals do not always add exactly and the totals are not exactly consistent across tables.</w:t>
      </w:r>
    </w:p>
    <w:p w14:paraId="75064D45" w14:textId="77777777" w:rsidR="00E4023A" w:rsidRDefault="00E4023A" w:rsidP="0010789E">
      <w:pPr>
        <w:pStyle w:val="Note"/>
        <w:rPr>
          <w:lang w:bidi="fa-IR"/>
        </w:rPr>
      </w:pPr>
      <w:r w:rsidRPr="0010789E">
        <w:rPr>
          <w:lang w:bidi="fa-IR"/>
        </w:rPr>
        <w:t>Source:</w:t>
      </w:r>
      <w:r>
        <w:rPr>
          <w:lang w:bidi="fa-IR"/>
        </w:rPr>
        <w:t xml:space="preserve"> ABS, Survey of Disabilities, Ageing and Carers, 2018, TableBuilder.</w:t>
      </w:r>
    </w:p>
    <w:p w14:paraId="0DCF549E" w14:textId="77777777" w:rsidR="00E4023A" w:rsidRDefault="00E4023A" w:rsidP="00E4023A">
      <w:pPr>
        <w:pStyle w:val="Heading3"/>
        <w:numPr>
          <w:ilvl w:val="2"/>
          <w:numId w:val="5"/>
        </w:numPr>
        <w:rPr>
          <w:lang w:eastAsia="en-US" w:bidi="fa-IR"/>
        </w:rPr>
      </w:pPr>
      <w:r>
        <w:rPr>
          <w:lang w:eastAsia="en-US" w:bidi="fa-IR"/>
        </w:rPr>
        <w:lastRenderedPageBreak/>
        <w:t>Projections of future needs</w:t>
      </w:r>
    </w:p>
    <w:p w14:paraId="65EDF14F" w14:textId="77777777" w:rsidR="00E4023A" w:rsidRDefault="00E4023A" w:rsidP="00E4023A">
      <w:pPr>
        <w:pStyle w:val="BodyText"/>
        <w:rPr>
          <w:lang w:eastAsia="en-US" w:bidi="fa-IR"/>
        </w:rPr>
      </w:pPr>
      <w:r>
        <w:rPr>
          <w:lang w:eastAsia="en-US" w:bidi="fa-IR"/>
        </w:rPr>
        <w:t>The number of people with mobility limitation is expected to increase over time. This will be driven by both population growth as well as an ageing population.</w:t>
      </w:r>
    </w:p>
    <w:p w14:paraId="744F6193" w14:textId="2A7A4638" w:rsidR="00E4023A" w:rsidRDefault="00E4023A" w:rsidP="00E4023A">
      <w:pPr>
        <w:pStyle w:val="BodyText"/>
        <w:rPr>
          <w:lang w:eastAsia="en-US" w:bidi="fa-IR"/>
        </w:rPr>
      </w:pPr>
      <w:r>
        <w:rPr>
          <w:lang w:eastAsia="en-US" w:bidi="fa-IR"/>
        </w:rPr>
        <w:t>The old</w:t>
      </w:r>
      <w:r>
        <w:rPr>
          <w:lang w:eastAsia="en-US" w:bidi="fa-IR"/>
        </w:rPr>
        <w:noBreakHyphen/>
        <w:t>age dependency ratio is one indicator of population ageing. The old</w:t>
      </w:r>
      <w:r>
        <w:rPr>
          <w:lang w:eastAsia="en-US" w:bidi="fa-IR"/>
        </w:rPr>
        <w:noBreakHyphen/>
        <w:t>age dependency ratio is currently increasing rapidly as the ‘baby boomer’ generation (those who were born in the years following the end of World War II through to the early to mid</w:t>
      </w:r>
      <w:r>
        <w:rPr>
          <w:lang w:eastAsia="en-US" w:bidi="fa-IR"/>
        </w:rPr>
        <w:noBreakHyphen/>
        <w:t>1960s) reach retirement age. Based on ABS Projections (chart </w:t>
      </w:r>
      <w:r w:rsidR="00587754">
        <w:rPr>
          <w:lang w:eastAsia="en-US" w:bidi="fa-IR"/>
        </w:rPr>
        <w:t>3.7</w:t>
      </w:r>
      <w:r>
        <w:rPr>
          <w:lang w:eastAsia="en-US" w:bidi="fa-IR"/>
        </w:rPr>
        <w:t>), the old</w:t>
      </w:r>
      <w:r>
        <w:rPr>
          <w:lang w:eastAsia="en-US" w:bidi="fa-IR"/>
        </w:rPr>
        <w:noBreakHyphen/>
        <w:t>age dependency ratio is expected to increase from the current level of around 24</w:t>
      </w:r>
      <w:r>
        <w:rPr>
          <w:lang w:eastAsia="en-US" w:bidi="fa-IR"/>
        </w:rPr>
        <w:noBreakHyphen/>
        <w:t>25 per cent to around 30 per cent over the next 15 years.</w:t>
      </w:r>
    </w:p>
    <w:p w14:paraId="245F4A9A" w14:textId="46E13401" w:rsidR="00E4023A" w:rsidRDefault="00076C9B" w:rsidP="00E4023A">
      <w:pPr>
        <w:pStyle w:val="Caption"/>
      </w:pPr>
      <w:bookmarkStart w:id="120" w:name="_Toc32321795"/>
      <w:bookmarkStart w:id="121" w:name="_Toc44598488"/>
      <w:bookmarkStart w:id="122" w:name="_Toc44695860"/>
      <w:bookmarkStart w:id="123" w:name="_Toc57643590"/>
      <w:bookmarkStart w:id="124" w:name="_Toc70505506"/>
      <w:r>
        <w:t>3.7</w:t>
      </w:r>
      <w:r w:rsidR="00E4023A" w:rsidRPr="00C46A78">
        <w:tab/>
        <w:t>Population projections</w:t>
      </w:r>
      <w:bookmarkEnd w:id="120"/>
      <w:bookmarkEnd w:id="121"/>
      <w:bookmarkEnd w:id="122"/>
      <w:bookmarkEnd w:id="123"/>
      <w:bookmarkEnd w:id="124"/>
    </w:p>
    <w:p w14:paraId="76BDB5B5" w14:textId="77777777" w:rsidR="00E4023A" w:rsidRDefault="00E4023A" w:rsidP="00E4023A">
      <w:pPr>
        <w:pStyle w:val="Subtitlebox"/>
      </w:pPr>
      <w:r w:rsidRPr="00C46A78">
        <w:rPr>
          <w:noProof/>
        </w:rPr>
        <w:drawing>
          <wp:inline distT="0" distB="0" distL="0" distR="0" wp14:anchorId="2E0CC729" wp14:editId="3B41350E">
            <wp:extent cx="5040000" cy="2463650"/>
            <wp:effectExtent l="57150" t="57150" r="65405" b="51435"/>
            <wp:docPr id="42" name="Picture 42" descr="This graph shows the growth of age categories of the Australian population from 2018 to 2066. The age categories are 1-14 years, 15-64 years and 65+ years. " title="Chart 3.7: Population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001"/>
                    <a:stretch/>
                  </pic:blipFill>
                  <pic:spPr bwMode="auto">
                    <a:xfrm>
                      <a:off x="0" y="0"/>
                      <a:ext cx="5040000" cy="24636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66F0D0B2" w14:textId="77777777" w:rsidR="00E4023A" w:rsidRDefault="00E4023A" w:rsidP="0010789E">
      <w:pPr>
        <w:pStyle w:val="Note"/>
        <w:rPr>
          <w:lang w:bidi="fa-IR"/>
        </w:rPr>
      </w:pPr>
      <w:r w:rsidRPr="0010789E">
        <w:rPr>
          <w:lang w:bidi="fa-IR"/>
        </w:rPr>
        <w:t>Data source:</w:t>
      </w:r>
      <w:r>
        <w:rPr>
          <w:lang w:bidi="fa-IR"/>
        </w:rPr>
        <w:t xml:space="preserve"> ABS, Population Projections, Australia, 2017</w:t>
      </w:r>
      <w:r>
        <w:rPr>
          <w:lang w:bidi="fa-IR"/>
        </w:rPr>
        <w:noBreakHyphen/>
        <w:t>2066, Catalogue No. 3222.0, Series B.</w:t>
      </w:r>
    </w:p>
    <w:p w14:paraId="3F8324E4" w14:textId="01F80939" w:rsidR="00E4023A" w:rsidRDefault="00E4023A" w:rsidP="00E4023A">
      <w:pPr>
        <w:pStyle w:val="BodyText"/>
        <w:rPr>
          <w:lang w:eastAsia="en-US" w:bidi="fa-IR"/>
        </w:rPr>
      </w:pPr>
      <w:r>
        <w:rPr>
          <w:lang w:eastAsia="en-US" w:bidi="fa-IR"/>
        </w:rPr>
        <w:t xml:space="preserve">As the proportion of the population with accessibility needs tends to increase with age </w:t>
      </w:r>
      <w:r w:rsidRPr="00C46A78">
        <w:rPr>
          <w:lang w:eastAsia="en-US" w:bidi="fa-IR"/>
        </w:rPr>
        <w:t>(chart </w:t>
      </w:r>
      <w:r w:rsidR="00587754">
        <w:rPr>
          <w:lang w:eastAsia="en-US" w:bidi="fa-IR"/>
        </w:rPr>
        <w:t>3.8</w:t>
      </w:r>
      <w:r w:rsidRPr="00C46A78">
        <w:rPr>
          <w:lang w:eastAsia="en-US" w:bidi="fa-IR"/>
        </w:rPr>
        <w:t>), the ageing population will mean that the proportion of people with</w:t>
      </w:r>
      <w:r>
        <w:rPr>
          <w:lang w:eastAsia="en-US" w:bidi="fa-IR"/>
        </w:rPr>
        <w:t xml:space="preserve"> accessibility needs (including those with a mobility limitation and those using wheelchairs) will increase at a rate that exceeds population growth.</w:t>
      </w:r>
    </w:p>
    <w:p w14:paraId="252B0BB5" w14:textId="0710A750" w:rsidR="00E4023A" w:rsidRDefault="00076C9B" w:rsidP="00E4023A">
      <w:pPr>
        <w:pStyle w:val="Caption"/>
      </w:pPr>
      <w:bookmarkStart w:id="125" w:name="_Toc45654120"/>
      <w:bookmarkStart w:id="126" w:name="_Toc32321796"/>
      <w:bookmarkStart w:id="127" w:name="_Toc44598489"/>
      <w:bookmarkStart w:id="128" w:name="_Toc44695861"/>
      <w:bookmarkStart w:id="129" w:name="_Toc57643591"/>
      <w:bookmarkStart w:id="130" w:name="_Toc70505507"/>
      <w:r>
        <w:lastRenderedPageBreak/>
        <w:t>3.8</w:t>
      </w:r>
      <w:r w:rsidR="00E4023A" w:rsidRPr="00C46A78">
        <w:tab/>
        <w:t>Mobility limitations and wheelchair users by age — share of population</w:t>
      </w:r>
      <w:bookmarkEnd w:id="125"/>
      <w:bookmarkEnd w:id="126"/>
      <w:bookmarkEnd w:id="127"/>
      <w:bookmarkEnd w:id="128"/>
      <w:bookmarkEnd w:id="129"/>
      <w:bookmarkEnd w:id="130"/>
    </w:p>
    <w:p w14:paraId="7F6CE02A" w14:textId="77777777" w:rsidR="00E4023A" w:rsidRDefault="00E4023A" w:rsidP="00E4023A">
      <w:pPr>
        <w:pStyle w:val="Subtitlebox"/>
      </w:pPr>
      <w:r w:rsidRPr="00C46A78">
        <w:rPr>
          <w:noProof/>
        </w:rPr>
        <w:drawing>
          <wp:inline distT="0" distB="0" distL="0" distR="0" wp14:anchorId="4F9D26A9" wp14:editId="5AE113A9">
            <wp:extent cx="5040000" cy="2370652"/>
            <wp:effectExtent l="57150" t="57150" r="65405" b="48895"/>
            <wp:docPr id="44" name="Picture 44" descr="This graph shows people with mobility limitation (upper line) and wheelchair users (lower line), by age as a percentage of the population. The mobility limitation line has a gneral upward trend, becoming steeper over the age of 75 years. The wheelchair user line stays very low, close to 0% until about 70 years of age, when it rises steeply to over 25% by about age 95. After this the line declines." title="Chart 3.8: Mobility limitations and wheelchair users by age — share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314" r="5971"/>
                    <a:stretch/>
                  </pic:blipFill>
                  <pic:spPr bwMode="auto">
                    <a:xfrm>
                      <a:off x="0" y="0"/>
                      <a:ext cx="5040000" cy="2370652"/>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0EE09B0E" w14:textId="77777777" w:rsidR="00E4023A" w:rsidRDefault="00E4023A" w:rsidP="0010789E">
      <w:pPr>
        <w:pStyle w:val="Note"/>
        <w:rPr>
          <w:lang w:bidi="fa-IR"/>
        </w:rPr>
      </w:pPr>
      <w:r w:rsidRPr="0010789E">
        <w:rPr>
          <w:lang w:bidi="fa-IR"/>
        </w:rPr>
        <w:t>Data source:</w:t>
      </w:r>
      <w:r>
        <w:rPr>
          <w:lang w:bidi="fa-IR"/>
        </w:rPr>
        <w:t xml:space="preserve"> ABS, Survey of Disabilities, </w:t>
      </w:r>
      <w:r w:rsidRPr="009B72BA">
        <w:rPr>
          <w:i/>
        </w:rPr>
        <w:t>Ageing</w:t>
      </w:r>
      <w:r>
        <w:rPr>
          <w:lang w:bidi="fa-IR"/>
        </w:rPr>
        <w:t xml:space="preserve"> and Carers, 2018, TableBuilder; CIE.</w:t>
      </w:r>
    </w:p>
    <w:p w14:paraId="59A91BDC" w14:textId="4BDA5912" w:rsidR="00E4023A" w:rsidRDefault="00A35B39" w:rsidP="00E4023A">
      <w:pPr>
        <w:pStyle w:val="BodyText"/>
        <w:rPr>
          <w:lang w:eastAsia="en-US" w:bidi="fa-IR"/>
        </w:rPr>
      </w:pPr>
      <w:r>
        <w:rPr>
          <w:lang w:eastAsia="en-US" w:bidi="fa-IR"/>
        </w:rPr>
        <w:t xml:space="preserve">It is </w:t>
      </w:r>
      <w:r w:rsidR="00E4023A">
        <w:rPr>
          <w:lang w:eastAsia="en-US" w:bidi="fa-IR"/>
        </w:rPr>
        <w:t>project</w:t>
      </w:r>
      <w:r>
        <w:rPr>
          <w:lang w:eastAsia="en-US" w:bidi="fa-IR"/>
        </w:rPr>
        <w:t>ed</w:t>
      </w:r>
      <w:r w:rsidR="00E4023A">
        <w:rPr>
          <w:lang w:eastAsia="en-US" w:bidi="fa-IR"/>
        </w:rPr>
        <w:t xml:space="preserve"> that the number of people with mobility limitation will increase from around </w:t>
      </w:r>
      <w:r w:rsidR="00E4023A" w:rsidRPr="00D8047B">
        <w:rPr>
          <w:sz w:val="22"/>
          <w:szCs w:val="22"/>
          <w:lang w:eastAsia="en-US" w:bidi="fa-IR"/>
        </w:rPr>
        <w:t>3</w:t>
      </w:r>
      <w:r w:rsidR="00E4023A">
        <w:rPr>
          <w:sz w:val="22"/>
          <w:szCs w:val="22"/>
          <w:lang w:eastAsia="en-US" w:bidi="fa-IR"/>
        </w:rPr>
        <w:t> million to around 5.75 million over the next 40 years (chart </w:t>
      </w:r>
      <w:r w:rsidR="00587754">
        <w:rPr>
          <w:sz w:val="22"/>
          <w:szCs w:val="22"/>
          <w:lang w:eastAsia="en-US" w:bidi="fa-IR"/>
        </w:rPr>
        <w:t>3.9</w:t>
      </w:r>
      <w:r w:rsidR="00E4023A">
        <w:rPr>
          <w:sz w:val="22"/>
          <w:szCs w:val="22"/>
          <w:lang w:eastAsia="en-US" w:bidi="fa-IR"/>
        </w:rPr>
        <w:t xml:space="preserve">). This assumes that </w:t>
      </w:r>
      <w:r w:rsidR="00E4023A">
        <w:rPr>
          <w:lang w:eastAsia="en-US" w:bidi="fa-IR"/>
        </w:rPr>
        <w:t>the proportion of the population with mobility limitation</w:t>
      </w:r>
      <w:r w:rsidR="00E422D6">
        <w:rPr>
          <w:lang w:eastAsia="en-US" w:bidi="fa-IR"/>
        </w:rPr>
        <w:t>s</w:t>
      </w:r>
      <w:r w:rsidR="00E4023A">
        <w:rPr>
          <w:lang w:eastAsia="en-US" w:bidi="fa-IR"/>
        </w:rPr>
        <w:t xml:space="preserve"> within each age bracket remains constant over time. </w:t>
      </w:r>
      <w:r>
        <w:rPr>
          <w:lang w:eastAsia="en-US" w:bidi="fa-IR"/>
        </w:rPr>
        <w:t>T</w:t>
      </w:r>
      <w:r w:rsidR="00E4023A">
        <w:rPr>
          <w:lang w:eastAsia="en-US" w:bidi="fa-IR"/>
        </w:rPr>
        <w:t xml:space="preserve">hese proportions </w:t>
      </w:r>
      <w:r>
        <w:rPr>
          <w:lang w:eastAsia="en-US" w:bidi="fa-IR"/>
        </w:rPr>
        <w:t>are then applied</w:t>
      </w:r>
      <w:r w:rsidR="00E4023A">
        <w:rPr>
          <w:lang w:eastAsia="en-US" w:bidi="fa-IR"/>
        </w:rPr>
        <w:t xml:space="preserve"> to the population projections.</w:t>
      </w:r>
    </w:p>
    <w:p w14:paraId="479EB478" w14:textId="5B983C22" w:rsidR="00E4023A" w:rsidRDefault="00076C9B" w:rsidP="00E4023A">
      <w:pPr>
        <w:pStyle w:val="Caption"/>
      </w:pPr>
      <w:bookmarkStart w:id="131" w:name="_Toc45654121"/>
      <w:bookmarkStart w:id="132" w:name="_Toc32321797"/>
      <w:bookmarkStart w:id="133" w:name="_Toc44598490"/>
      <w:bookmarkStart w:id="134" w:name="_Toc44695862"/>
      <w:bookmarkStart w:id="135" w:name="_Toc57643592"/>
      <w:bookmarkStart w:id="136" w:name="_Toc70505508"/>
      <w:r>
        <w:t>3.9</w:t>
      </w:r>
      <w:r w:rsidR="00E4023A" w:rsidRPr="00C46A78">
        <w:tab/>
        <w:t>Number of people with mobility limitation</w:t>
      </w:r>
      <w:r w:rsidR="00E422D6">
        <w:t>s</w:t>
      </w:r>
      <w:r w:rsidR="00E4023A" w:rsidRPr="00C46A78">
        <w:t xml:space="preserve"> — projection</w:t>
      </w:r>
      <w:bookmarkEnd w:id="131"/>
      <w:bookmarkEnd w:id="132"/>
      <w:bookmarkEnd w:id="133"/>
      <w:bookmarkEnd w:id="134"/>
      <w:bookmarkEnd w:id="135"/>
      <w:bookmarkEnd w:id="136"/>
    </w:p>
    <w:p w14:paraId="2E7E2880" w14:textId="77777777" w:rsidR="00E4023A" w:rsidRDefault="00E4023A" w:rsidP="00E4023A">
      <w:pPr>
        <w:pStyle w:val="Source"/>
        <w:rPr>
          <w:i/>
        </w:rPr>
      </w:pPr>
      <w:r w:rsidRPr="00C46A78">
        <w:rPr>
          <w:noProof/>
          <w:lang w:eastAsia="en-AU"/>
        </w:rPr>
        <w:drawing>
          <wp:inline distT="0" distB="0" distL="0" distR="0" wp14:anchorId="07BC1450" wp14:editId="5563F357">
            <wp:extent cx="5040000" cy="2544396"/>
            <wp:effectExtent l="57150" t="57150" r="65405" b="66040"/>
            <wp:docPr id="45" name="Picture 45" descr="This graph shows the increase in the number of people with mobility limitations according to age groups (1-14 years, 15-64 years, 65+ years), from 2018 to 2066. The biggest increase is the category 65+ years." title="Chart 3.9: Number of people with mobility limitations —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704"/>
                    <a:stretch/>
                  </pic:blipFill>
                  <pic:spPr bwMode="auto">
                    <a:xfrm>
                      <a:off x="0" y="0"/>
                      <a:ext cx="5040000" cy="2544396"/>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38E48639" w14:textId="77777777" w:rsidR="00E4023A" w:rsidRDefault="00E4023A" w:rsidP="009B72BA">
      <w:pPr>
        <w:pStyle w:val="Note"/>
        <w:rPr>
          <w:lang w:bidi="fa-IR"/>
        </w:rPr>
      </w:pPr>
      <w:r w:rsidRPr="009B72BA">
        <w:rPr>
          <w:lang w:bidi="fa-IR"/>
        </w:rPr>
        <w:t>Data source:</w:t>
      </w:r>
      <w:r>
        <w:rPr>
          <w:lang w:bidi="fa-IR"/>
        </w:rPr>
        <w:t xml:space="preserve"> ABS, Population Projections, Australia, 2017</w:t>
      </w:r>
      <w:r>
        <w:rPr>
          <w:lang w:bidi="fa-IR"/>
        </w:rPr>
        <w:noBreakHyphen/>
        <w:t>2066, Catalogue No. 3222.0, Series B; ABS, Survey of Disabilities, Ageing and Carers, 2018, TableBuilder, CIE.</w:t>
      </w:r>
    </w:p>
    <w:p w14:paraId="31FE1CBD" w14:textId="2288F82B" w:rsidR="00E4023A" w:rsidRDefault="00E4023A" w:rsidP="00E4023A">
      <w:pPr>
        <w:pStyle w:val="BodyText"/>
        <w:rPr>
          <w:lang w:eastAsia="en-US" w:bidi="fa-IR"/>
        </w:rPr>
      </w:pPr>
      <w:r>
        <w:rPr>
          <w:lang w:eastAsia="en-US" w:bidi="fa-IR"/>
        </w:rPr>
        <w:t xml:space="preserve">Using the same approach, </w:t>
      </w:r>
      <w:r w:rsidR="008008BE">
        <w:rPr>
          <w:lang w:eastAsia="en-US" w:bidi="fa-IR"/>
        </w:rPr>
        <w:t xml:space="preserve">it is </w:t>
      </w:r>
      <w:r>
        <w:rPr>
          <w:lang w:eastAsia="en-US" w:bidi="fa-IR"/>
        </w:rPr>
        <w:t>estimate</w:t>
      </w:r>
      <w:r w:rsidR="008008BE">
        <w:rPr>
          <w:lang w:eastAsia="en-US" w:bidi="fa-IR"/>
        </w:rPr>
        <w:t>d</w:t>
      </w:r>
      <w:r>
        <w:rPr>
          <w:lang w:eastAsia="en-US" w:bidi="fa-IR"/>
        </w:rPr>
        <w:t xml:space="preserve"> that the number of wheelchair users will increase from around 185 000 to around 370 000 by 2060 (chart </w:t>
      </w:r>
      <w:r w:rsidR="00587754">
        <w:rPr>
          <w:lang w:eastAsia="en-US" w:bidi="fa-IR"/>
        </w:rPr>
        <w:t>3.10</w:t>
      </w:r>
      <w:r>
        <w:rPr>
          <w:lang w:eastAsia="en-US" w:bidi="fa-IR"/>
        </w:rPr>
        <w:t>).</w:t>
      </w:r>
    </w:p>
    <w:p w14:paraId="7CA144F1" w14:textId="4365F725" w:rsidR="00E4023A" w:rsidRDefault="00076C9B" w:rsidP="00E4023A">
      <w:pPr>
        <w:pStyle w:val="Caption"/>
      </w:pPr>
      <w:bookmarkStart w:id="137" w:name="_Toc32321798"/>
      <w:bookmarkStart w:id="138" w:name="_Toc44598491"/>
      <w:bookmarkStart w:id="139" w:name="_Toc44695863"/>
      <w:bookmarkStart w:id="140" w:name="_Toc57643593"/>
      <w:bookmarkStart w:id="141" w:name="_Toc70505509"/>
      <w:r>
        <w:lastRenderedPageBreak/>
        <w:t>3.10</w:t>
      </w:r>
      <w:r w:rsidR="00E4023A" w:rsidRPr="00C46A78">
        <w:tab/>
        <w:t>Number of wheelchair users — projections</w:t>
      </w:r>
      <w:bookmarkEnd w:id="137"/>
      <w:bookmarkEnd w:id="138"/>
      <w:bookmarkEnd w:id="139"/>
      <w:bookmarkEnd w:id="140"/>
      <w:bookmarkEnd w:id="141"/>
    </w:p>
    <w:p w14:paraId="51DEB9ED" w14:textId="77777777" w:rsidR="00E4023A" w:rsidRDefault="00E4023A" w:rsidP="00E4023A">
      <w:pPr>
        <w:pStyle w:val="Subtitlebox"/>
      </w:pPr>
      <w:r w:rsidRPr="00C46A78">
        <w:rPr>
          <w:noProof/>
        </w:rPr>
        <w:drawing>
          <wp:inline distT="0" distB="0" distL="0" distR="0" wp14:anchorId="767B25DF" wp14:editId="6D68D0F9">
            <wp:extent cx="5040000" cy="2540408"/>
            <wp:effectExtent l="57150" t="57150" r="65405" b="50800"/>
            <wp:docPr id="46" name="Picture 46" descr="This chart shows the number of wheelchair users according to age group, from 2018 to 2066. The 0-14 years group is very low across the graph. The 15-64 years group increases slowly over the timeframe. The 65+ years group increases steadily and rapidly over the whole timeframe." title="Chart 3.10: Number of wheelchair users —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53"/>
                    <a:stretch/>
                  </pic:blipFill>
                  <pic:spPr bwMode="auto">
                    <a:xfrm>
                      <a:off x="0" y="0"/>
                      <a:ext cx="5040000" cy="2540408"/>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688F93FC" w14:textId="77777777" w:rsidR="00E4023A" w:rsidRDefault="00E4023A" w:rsidP="009B72BA">
      <w:pPr>
        <w:pStyle w:val="Note"/>
        <w:rPr>
          <w:lang w:bidi="fa-IR"/>
        </w:rPr>
      </w:pPr>
      <w:r w:rsidRPr="009B72BA">
        <w:rPr>
          <w:lang w:bidi="fa-IR"/>
        </w:rPr>
        <w:t>Data source:</w:t>
      </w:r>
      <w:r>
        <w:rPr>
          <w:lang w:bidi="fa-IR"/>
        </w:rPr>
        <w:t xml:space="preserve"> ABS, Population Projections, Australia, 2017</w:t>
      </w:r>
      <w:r>
        <w:rPr>
          <w:lang w:bidi="fa-IR"/>
        </w:rPr>
        <w:noBreakHyphen/>
        <w:t>2066, Catalogue No. 3222.0, Series B; ABS, Survey of Disabilities, Ageing and Carers, 2018, TableBuilder, CIE.</w:t>
      </w:r>
    </w:p>
    <w:p w14:paraId="672D110C" w14:textId="77777777" w:rsidR="00E4023A" w:rsidRDefault="00E4023A" w:rsidP="00E4023A">
      <w:pPr>
        <w:pStyle w:val="Heading2"/>
        <w:numPr>
          <w:ilvl w:val="1"/>
          <w:numId w:val="5"/>
        </w:numPr>
        <w:rPr>
          <w:lang w:bidi="fa-IR"/>
        </w:rPr>
      </w:pPr>
      <w:bookmarkStart w:id="142" w:name="_Toc32321747"/>
      <w:bookmarkStart w:id="143" w:name="_Toc44598435"/>
      <w:bookmarkStart w:id="144" w:name="_Toc44696042"/>
      <w:bookmarkStart w:id="145" w:name="_Toc45654066"/>
      <w:bookmarkStart w:id="146" w:name="_Toc70505097"/>
      <w:r>
        <w:rPr>
          <w:lang w:bidi="fa-IR"/>
        </w:rPr>
        <w:t>Policy context</w:t>
      </w:r>
      <w:bookmarkEnd w:id="142"/>
      <w:bookmarkEnd w:id="143"/>
      <w:bookmarkEnd w:id="144"/>
      <w:bookmarkEnd w:id="145"/>
      <w:bookmarkEnd w:id="146"/>
    </w:p>
    <w:p w14:paraId="46F3E5C8" w14:textId="77777777" w:rsidR="003E0775" w:rsidRDefault="003E0775" w:rsidP="00E4023A">
      <w:pPr>
        <w:pStyle w:val="BodyText"/>
        <w:rPr>
          <w:lang w:bidi="fa-IR"/>
        </w:rPr>
      </w:pPr>
      <w:r w:rsidRPr="00C928C5">
        <w:rPr>
          <w:lang w:bidi="fa-IR"/>
        </w:rPr>
        <w:t>Under</w:t>
      </w:r>
      <w:r w:rsidR="00E4023A" w:rsidRPr="00C928C5">
        <w:rPr>
          <w:lang w:bidi="fa-IR"/>
        </w:rPr>
        <w:t xml:space="preserve"> COAG Best Practice Regulation Guidelines, it is important to take account of evidence of </w:t>
      </w:r>
      <w:r w:rsidR="00107095">
        <w:rPr>
          <w:lang w:bidi="fa-IR"/>
        </w:rPr>
        <w:t xml:space="preserve">the </w:t>
      </w:r>
      <w:r w:rsidR="00E4023A" w:rsidRPr="00C928C5">
        <w:rPr>
          <w:lang w:bidi="fa-IR"/>
        </w:rPr>
        <w:t xml:space="preserve">impact of </w:t>
      </w:r>
      <w:r w:rsidRPr="00C928C5">
        <w:rPr>
          <w:lang w:bidi="fa-IR"/>
        </w:rPr>
        <w:t>existing policies and</w:t>
      </w:r>
      <w:r w:rsidR="00E4023A" w:rsidRPr="00C928C5">
        <w:rPr>
          <w:lang w:bidi="fa-IR"/>
        </w:rPr>
        <w:t xml:space="preserve"> services </w:t>
      </w:r>
      <w:r w:rsidR="00E422D6">
        <w:rPr>
          <w:lang w:bidi="fa-IR"/>
        </w:rPr>
        <w:t xml:space="preserve">when considering the impacts of </w:t>
      </w:r>
      <w:r w:rsidR="00E4023A" w:rsidRPr="00C928C5">
        <w:rPr>
          <w:lang w:bidi="fa-IR"/>
        </w:rPr>
        <w:t xml:space="preserve">including </w:t>
      </w:r>
      <w:r w:rsidR="00107095">
        <w:rPr>
          <w:lang w:bidi="fa-IR"/>
        </w:rPr>
        <w:t xml:space="preserve">minimum </w:t>
      </w:r>
      <w:r w:rsidR="00E4023A" w:rsidRPr="00C928C5">
        <w:rPr>
          <w:lang w:bidi="fa-IR"/>
        </w:rPr>
        <w:t>accessible housing standards in the NCC.</w:t>
      </w:r>
    </w:p>
    <w:p w14:paraId="15C2FD21" w14:textId="77777777" w:rsidR="00141251" w:rsidRDefault="003E0775" w:rsidP="00E4023A">
      <w:pPr>
        <w:pStyle w:val="BodyText"/>
        <w:rPr>
          <w:lang w:bidi="fa-IR"/>
        </w:rPr>
      </w:pPr>
      <w:r>
        <w:rPr>
          <w:lang w:bidi="fa-IR"/>
        </w:rPr>
        <w:t xml:space="preserve">There are a range of services </w:t>
      </w:r>
      <w:r w:rsidR="00613CFC">
        <w:rPr>
          <w:lang w:bidi="fa-IR"/>
        </w:rPr>
        <w:t>(both</w:t>
      </w:r>
      <w:r>
        <w:rPr>
          <w:lang w:bidi="fa-IR"/>
        </w:rPr>
        <w:t xml:space="preserve"> government</w:t>
      </w:r>
      <w:r w:rsidR="00613CFC">
        <w:rPr>
          <w:lang w:bidi="fa-IR"/>
        </w:rPr>
        <w:t xml:space="preserve"> and non-government) </w:t>
      </w:r>
      <w:r>
        <w:rPr>
          <w:lang w:bidi="fa-IR"/>
        </w:rPr>
        <w:t>aimed at meeting the housing (and other) needs of those with disabilit</w:t>
      </w:r>
      <w:r w:rsidR="00540432">
        <w:rPr>
          <w:lang w:bidi="fa-IR"/>
        </w:rPr>
        <w:t>y</w:t>
      </w:r>
      <w:r>
        <w:rPr>
          <w:lang w:bidi="fa-IR"/>
        </w:rPr>
        <w:t xml:space="preserve"> and older people. Some submissions argued that the Consultation RIS should have provided more analysis of the impact of the various policies and services already available.</w:t>
      </w:r>
    </w:p>
    <w:p w14:paraId="74759BCC" w14:textId="77777777" w:rsidR="003E0775" w:rsidRDefault="00141251" w:rsidP="00E4023A">
      <w:pPr>
        <w:pStyle w:val="BodyText"/>
        <w:rPr>
          <w:lang w:bidi="fa-IR"/>
        </w:rPr>
      </w:pPr>
      <w:r>
        <w:rPr>
          <w:lang w:bidi="fa-IR"/>
        </w:rPr>
        <w:t>P</w:t>
      </w:r>
      <w:r w:rsidR="003E0775">
        <w:rPr>
          <w:lang w:bidi="fa-IR"/>
        </w:rPr>
        <w:t xml:space="preserve">roviding a detailed analysis of the impacts of these policies is a complex exercise and beyond the scope of the RIS. </w:t>
      </w:r>
      <w:r w:rsidR="00F8587B">
        <w:rPr>
          <w:lang w:bidi="fa-IR"/>
        </w:rPr>
        <w:t>As</w:t>
      </w:r>
      <w:r w:rsidR="003E0775">
        <w:rPr>
          <w:lang w:bidi="fa-IR"/>
        </w:rPr>
        <w:t xml:space="preserve"> estimates of the ‘size of the problem’ </w:t>
      </w:r>
      <w:r w:rsidR="00F8587B">
        <w:rPr>
          <w:lang w:bidi="fa-IR"/>
        </w:rPr>
        <w:t xml:space="preserve">in the RIS </w:t>
      </w:r>
      <w:r>
        <w:rPr>
          <w:lang w:bidi="fa-IR"/>
        </w:rPr>
        <w:t>are</w:t>
      </w:r>
      <w:r w:rsidR="003E0775">
        <w:rPr>
          <w:lang w:bidi="fa-IR"/>
        </w:rPr>
        <w:t xml:space="preserve"> based on data </w:t>
      </w:r>
      <w:r>
        <w:rPr>
          <w:lang w:bidi="fa-IR"/>
        </w:rPr>
        <w:t xml:space="preserve">reflecting the outcomes for people with </w:t>
      </w:r>
      <w:r w:rsidR="00D870C0">
        <w:rPr>
          <w:lang w:bidi="fa-IR"/>
        </w:rPr>
        <w:t xml:space="preserve">disability </w:t>
      </w:r>
      <w:r>
        <w:rPr>
          <w:lang w:bidi="fa-IR"/>
        </w:rPr>
        <w:t>and older people with existing policies and services in place</w:t>
      </w:r>
      <w:r w:rsidR="00F8587B">
        <w:rPr>
          <w:lang w:bidi="fa-IR"/>
        </w:rPr>
        <w:t>,</w:t>
      </w:r>
      <w:r>
        <w:rPr>
          <w:lang w:bidi="fa-IR"/>
        </w:rPr>
        <w:t xml:space="preserve"> </w:t>
      </w:r>
      <w:r w:rsidR="00F8587B">
        <w:rPr>
          <w:lang w:bidi="fa-IR"/>
        </w:rPr>
        <w:t>t</w:t>
      </w:r>
      <w:r>
        <w:rPr>
          <w:lang w:bidi="fa-IR"/>
        </w:rPr>
        <w:t>he</w:t>
      </w:r>
      <w:r w:rsidR="00F8587B">
        <w:rPr>
          <w:lang w:bidi="fa-IR"/>
        </w:rPr>
        <w:t>y</w:t>
      </w:r>
      <w:r>
        <w:rPr>
          <w:lang w:bidi="fa-IR"/>
        </w:rPr>
        <w:t xml:space="preserve"> implicitly take into account the impact of </w:t>
      </w:r>
      <w:r w:rsidR="00F8587B">
        <w:rPr>
          <w:lang w:bidi="fa-IR"/>
        </w:rPr>
        <w:t>existing</w:t>
      </w:r>
      <w:r>
        <w:rPr>
          <w:lang w:bidi="fa-IR"/>
        </w:rPr>
        <w:t xml:space="preserve"> policies and services. </w:t>
      </w:r>
      <w:r w:rsidR="00F8587B">
        <w:rPr>
          <w:lang w:bidi="fa-IR"/>
        </w:rPr>
        <w:t>Where</w:t>
      </w:r>
      <w:r>
        <w:rPr>
          <w:lang w:bidi="fa-IR"/>
        </w:rPr>
        <w:t xml:space="preserve"> policies (for example, the NDIS) ha</w:t>
      </w:r>
      <w:r w:rsidR="00F8587B">
        <w:rPr>
          <w:lang w:bidi="fa-IR"/>
        </w:rPr>
        <w:t>ve</w:t>
      </w:r>
      <w:r>
        <w:rPr>
          <w:lang w:bidi="fa-IR"/>
        </w:rPr>
        <w:t xml:space="preserve"> not yet been fully implemented</w:t>
      </w:r>
      <w:r w:rsidR="00540432">
        <w:rPr>
          <w:lang w:bidi="fa-IR"/>
        </w:rPr>
        <w:t>,</w:t>
      </w:r>
      <w:r w:rsidR="00F8587B">
        <w:rPr>
          <w:lang w:bidi="fa-IR"/>
        </w:rPr>
        <w:t xml:space="preserve"> </w:t>
      </w:r>
      <w:r>
        <w:rPr>
          <w:lang w:bidi="fa-IR"/>
        </w:rPr>
        <w:t xml:space="preserve">it is </w:t>
      </w:r>
      <w:r w:rsidR="00F8587B">
        <w:rPr>
          <w:lang w:bidi="fa-IR"/>
        </w:rPr>
        <w:t>noted that these may</w:t>
      </w:r>
      <w:r>
        <w:rPr>
          <w:lang w:bidi="fa-IR"/>
        </w:rPr>
        <w:t xml:space="preserve"> become more effective over time.</w:t>
      </w:r>
    </w:p>
    <w:p w14:paraId="5EE6E5E1" w14:textId="77777777" w:rsidR="00141251" w:rsidRPr="00FB10D9" w:rsidRDefault="00141251" w:rsidP="00E4023A">
      <w:pPr>
        <w:pStyle w:val="BodyText"/>
        <w:rPr>
          <w:lang w:bidi="fa-IR"/>
        </w:rPr>
      </w:pPr>
      <w:r>
        <w:rPr>
          <w:lang w:bidi="fa-IR"/>
        </w:rPr>
        <w:t>A basic description of the policies already in place is provided below. Where relevant, basic information on the number of recipients of various services is also provided.</w:t>
      </w:r>
    </w:p>
    <w:p w14:paraId="5B0DE3D8" w14:textId="77777777" w:rsidR="00E4023A" w:rsidRDefault="00E4023A" w:rsidP="00E4023A">
      <w:pPr>
        <w:pStyle w:val="Heading3"/>
        <w:numPr>
          <w:ilvl w:val="2"/>
          <w:numId w:val="5"/>
        </w:numPr>
        <w:rPr>
          <w:lang w:bidi="fa-IR"/>
        </w:rPr>
      </w:pPr>
      <w:r>
        <w:rPr>
          <w:lang w:bidi="fa-IR"/>
        </w:rPr>
        <w:t>Increasing the private supply of accessible housing</w:t>
      </w:r>
    </w:p>
    <w:p w14:paraId="3EEAC004" w14:textId="3B0A48F8" w:rsidR="00E4023A" w:rsidRDefault="00E4023A" w:rsidP="00E4023A">
      <w:pPr>
        <w:pStyle w:val="BodyText"/>
        <w:rPr>
          <w:lang w:bidi="fa-IR"/>
        </w:rPr>
      </w:pPr>
      <w:r>
        <w:rPr>
          <w:lang w:bidi="fa-IR"/>
        </w:rPr>
        <w:t>Various (mostly state) governments have policies in place to increase the supply of private accessible dwellings, either through planning regulation or through state</w:t>
      </w:r>
      <w:r>
        <w:rPr>
          <w:lang w:bidi="fa-IR"/>
        </w:rPr>
        <w:noBreakHyphen/>
        <w:t>based variations to the NCC. Table </w:t>
      </w:r>
      <w:r w:rsidR="00587754">
        <w:rPr>
          <w:lang w:bidi="fa-IR"/>
        </w:rPr>
        <w:t>3.11</w:t>
      </w:r>
      <w:r>
        <w:rPr>
          <w:lang w:bidi="fa-IR"/>
        </w:rPr>
        <w:t xml:space="preserve"> summarises existing state planning policies and variations to the NCC that aim to increase the supply of accessible dwellings.</w:t>
      </w:r>
    </w:p>
    <w:p w14:paraId="4ED53E88" w14:textId="319E64BB" w:rsidR="00E4023A" w:rsidRDefault="00076C9B" w:rsidP="00E4023A">
      <w:pPr>
        <w:pStyle w:val="Caption"/>
        <w:ind w:left="568" w:hanging="568"/>
      </w:pPr>
      <w:bookmarkStart w:id="147" w:name="_Toc45654123"/>
      <w:bookmarkStart w:id="148" w:name="_Toc24977943"/>
      <w:bookmarkStart w:id="149" w:name="_Toc32321799"/>
      <w:bookmarkStart w:id="150" w:name="_Toc44598492"/>
      <w:bookmarkStart w:id="151" w:name="_Toc44695864"/>
      <w:bookmarkStart w:id="152" w:name="_Toc57643594"/>
      <w:bookmarkStart w:id="153" w:name="_Toc70505510"/>
      <w:r>
        <w:lastRenderedPageBreak/>
        <w:t>3.11</w:t>
      </w:r>
      <w:r w:rsidR="00E4023A" w:rsidRPr="00695C93">
        <w:tab/>
      </w:r>
      <w:r w:rsidR="00E4023A">
        <w:t xml:space="preserve">Summary of state and territory government policies that </w:t>
      </w:r>
      <w:r w:rsidR="00F8587B">
        <w:t xml:space="preserve">aim </w:t>
      </w:r>
      <w:r w:rsidR="00E4023A">
        <w:t>to increase the supply of accessible housing</w:t>
      </w:r>
      <w:bookmarkEnd w:id="147"/>
      <w:bookmarkEnd w:id="148"/>
      <w:bookmarkEnd w:id="149"/>
      <w:bookmarkEnd w:id="150"/>
      <w:bookmarkEnd w:id="151"/>
      <w:bookmarkEnd w:id="152"/>
      <w:bookmarkEnd w:id="153"/>
    </w:p>
    <w:tbl>
      <w:tblPr>
        <w:tblW w:w="0" w:type="auto"/>
        <w:tblLayout w:type="fixed"/>
        <w:tblLook w:val="0000" w:firstRow="0" w:lastRow="0" w:firstColumn="0" w:lastColumn="0" w:noHBand="0" w:noVBand="0"/>
        <w:tblCaption w:val="Table 3.11: Summary of state and territory government policies that aim to increase the supply of accessible housing"/>
        <w:tblDescription w:val="This table lists the planning policies aimed at increasing the supply of accessible housing. The following states and territories are listed - NSW, Victoria, Queensland, Western Australia, South Australia, ACT. The Northern Territory and Tasmania are not on the list."/>
      </w:tblPr>
      <w:tblGrid>
        <w:gridCol w:w="1276"/>
        <w:gridCol w:w="6661"/>
      </w:tblGrid>
      <w:tr w:rsidR="00E4023A" w14:paraId="29F1D27B" w14:textId="77777777" w:rsidTr="00561612">
        <w:trPr>
          <w:tblHeader/>
        </w:trPr>
        <w:tc>
          <w:tcPr>
            <w:tcW w:w="1276" w:type="dxa"/>
            <w:tcBorders>
              <w:bottom w:val="single" w:sz="8" w:space="0" w:color="FFFFFF" w:themeColor="background1"/>
            </w:tcBorders>
            <w:shd w:val="clear" w:color="auto" w:fill="6F6652" w:themeFill="accent5"/>
            <w:tcMar>
              <w:left w:w="57" w:type="dxa"/>
              <w:right w:w="57" w:type="dxa"/>
            </w:tcMar>
          </w:tcPr>
          <w:p w14:paraId="65CCC284" w14:textId="77777777" w:rsidR="00E4023A" w:rsidRDefault="00E4023A" w:rsidP="005B0289">
            <w:pPr>
              <w:pStyle w:val="TableTextColumnHeading"/>
              <w:rPr>
                <w:lang w:bidi="fa-IR"/>
              </w:rPr>
            </w:pPr>
            <w:r>
              <w:rPr>
                <w:lang w:bidi="fa-IR"/>
              </w:rPr>
              <w:t>State</w:t>
            </w:r>
          </w:p>
        </w:tc>
        <w:tc>
          <w:tcPr>
            <w:tcW w:w="6661" w:type="dxa"/>
            <w:tcBorders>
              <w:bottom w:val="single" w:sz="8" w:space="0" w:color="FFFFFF" w:themeColor="background1"/>
            </w:tcBorders>
            <w:shd w:val="clear" w:color="auto" w:fill="6F6652" w:themeFill="accent5"/>
            <w:tcMar>
              <w:left w:w="57" w:type="dxa"/>
              <w:right w:w="57" w:type="dxa"/>
            </w:tcMar>
          </w:tcPr>
          <w:p w14:paraId="7B4F3D5B" w14:textId="77777777" w:rsidR="00E4023A" w:rsidRDefault="00E4023A" w:rsidP="005B0289">
            <w:pPr>
              <w:pStyle w:val="TableTextColumnHeading"/>
              <w:rPr>
                <w:lang w:bidi="fa-IR"/>
              </w:rPr>
            </w:pPr>
            <w:r>
              <w:rPr>
                <w:lang w:bidi="fa-IR"/>
              </w:rPr>
              <w:t>Planning policies aimed at increasing the supply of accessible housing</w:t>
            </w:r>
          </w:p>
        </w:tc>
      </w:tr>
      <w:tr w:rsidR="00E4023A" w14:paraId="232AA302"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248D6E" w14:textId="77777777" w:rsidR="00E4023A" w:rsidRDefault="00E4023A" w:rsidP="005B0289">
            <w:pPr>
              <w:pStyle w:val="TableTextEntries"/>
              <w:rPr>
                <w:lang w:bidi="fa-IR"/>
              </w:rPr>
            </w:pPr>
            <w:r>
              <w:rPr>
                <w:lang w:bidi="fa-IR"/>
              </w:rPr>
              <w:t>NSW</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527925" w14:textId="77777777" w:rsidR="00E4023A" w:rsidRDefault="00E4023A" w:rsidP="005B0289">
            <w:pPr>
              <w:pStyle w:val="TableTextEntries"/>
              <w:rPr>
                <w:lang w:bidi="fa-IR"/>
              </w:rPr>
            </w:pPr>
            <w:r>
              <w:rPr>
                <w:lang w:bidi="fa-IR"/>
              </w:rPr>
              <w:t>In NSW, there are 2 State Environment Planning Policies (SEPPs) relevant to the supply of accessible housing.</w:t>
            </w:r>
          </w:p>
          <w:p w14:paraId="7CFE6584" w14:textId="77777777" w:rsidR="00E4023A" w:rsidRDefault="00E4023A" w:rsidP="005B0289">
            <w:pPr>
              <w:pStyle w:val="TableListBullet"/>
              <w:rPr>
                <w:lang w:bidi="fa-IR"/>
              </w:rPr>
            </w:pPr>
            <w:r w:rsidRPr="00F610EA">
              <w:rPr>
                <w:i/>
                <w:iCs/>
                <w:lang w:bidi="fa-IR"/>
              </w:rPr>
              <w:t>SEPP No. 65 — Design Quality of Residential Apartment Development</w:t>
            </w:r>
            <w:r>
              <w:rPr>
                <w:lang w:bidi="fa-IR"/>
              </w:rPr>
              <w:t xml:space="preserve"> has an objective (4Q</w:t>
            </w:r>
            <w:r>
              <w:rPr>
                <w:lang w:bidi="fa-IR"/>
              </w:rPr>
              <w:noBreakHyphen/>
              <w:t xml:space="preserve">1) that universal design features are included in apartment design to promote flexible housing for all community members. The design guidance under this objective is that: developments achieve a benchmark of 20% of the total apartments incorporating LHDG’s silver level universal design features. </w:t>
            </w:r>
          </w:p>
          <w:p w14:paraId="46897A6E" w14:textId="77777777" w:rsidR="00E4023A" w:rsidRDefault="00E4023A" w:rsidP="005B0289">
            <w:pPr>
              <w:pStyle w:val="TableListBullet"/>
              <w:rPr>
                <w:lang w:bidi="fa-IR"/>
              </w:rPr>
            </w:pPr>
            <w:r>
              <w:rPr>
                <w:lang w:bidi="fa-IR"/>
              </w:rPr>
              <w:t xml:space="preserve">The </w:t>
            </w:r>
            <w:r w:rsidRPr="00F610EA">
              <w:rPr>
                <w:i/>
                <w:iCs/>
                <w:lang w:bidi="fa-IR"/>
              </w:rPr>
              <w:t>Housing for Seniors or People with a Disability SEPP</w:t>
            </w:r>
            <w:r>
              <w:rPr>
                <w:lang w:bidi="fa-IR"/>
              </w:rPr>
              <w:t xml:space="preserve"> aims to increase the supply and diversity of residences that meet the needs of seniors or people with a disability by relaxing some local planning controls for developments that meet relevant design principles. </w:t>
            </w:r>
          </w:p>
        </w:tc>
      </w:tr>
      <w:tr w:rsidR="00E4023A" w14:paraId="6FFD9DA0"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BC3D6C" w14:textId="77777777" w:rsidR="00E4023A" w:rsidRDefault="00E4023A" w:rsidP="005B0289">
            <w:pPr>
              <w:pStyle w:val="TableTextEntries"/>
              <w:rPr>
                <w:lang w:bidi="fa-IR"/>
              </w:rPr>
            </w:pPr>
            <w:r>
              <w:rPr>
                <w:lang w:bidi="fa-IR"/>
              </w:rPr>
              <w:t>Victoria</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8D2CD5" w14:textId="77777777" w:rsidR="00E4023A" w:rsidRDefault="00E4023A" w:rsidP="005B0289">
            <w:pPr>
              <w:pStyle w:val="TableTextEntries"/>
              <w:rPr>
                <w:lang w:bidi="fa-IR"/>
              </w:rPr>
            </w:pPr>
            <w:r>
              <w:rPr>
                <w:lang w:bidi="fa-IR"/>
              </w:rPr>
              <w:t xml:space="preserve">Planning Scheme Clause 58 (Better Apartment Design Standards) requires that 50 per cent of apartments in a building of more than 5 storeys are designed and built with LHDG Platinum for path of entry, LHDG gold for main bedroom entry and toilet, and LHGD silver for shower. </w:t>
            </w:r>
          </w:p>
        </w:tc>
      </w:tr>
      <w:tr w:rsidR="00E4023A" w14:paraId="751D04EB"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94F071" w14:textId="77777777" w:rsidR="00E4023A" w:rsidRDefault="00E4023A" w:rsidP="005B0289">
            <w:pPr>
              <w:pStyle w:val="TableTextEntries"/>
              <w:rPr>
                <w:lang w:bidi="fa-IR"/>
              </w:rPr>
            </w:pPr>
            <w:r>
              <w:rPr>
                <w:lang w:bidi="fa-IR"/>
              </w:rPr>
              <w:t>Queensland</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D91FDA" w14:textId="77777777" w:rsidR="00E4023A" w:rsidRDefault="00E4023A" w:rsidP="005B0289">
            <w:pPr>
              <w:pStyle w:val="TableListBullet"/>
              <w:rPr>
                <w:lang w:bidi="fa-IR"/>
              </w:rPr>
            </w:pPr>
            <w:r>
              <w:rPr>
                <w:lang w:bidi="fa-IR"/>
              </w:rPr>
              <w:t>Accessible housing requirements will apply</w:t>
            </w:r>
            <w:r w:rsidR="00F8587B">
              <w:rPr>
                <w:lang w:bidi="fa-IR"/>
              </w:rPr>
              <w:t xml:space="preserve"> in</w:t>
            </w:r>
            <w:r>
              <w:rPr>
                <w:lang w:bidi="fa-IR"/>
              </w:rPr>
              <w:t xml:space="preserve"> </w:t>
            </w:r>
            <w:r w:rsidR="00F7211C">
              <w:rPr>
                <w:lang w:bidi="fa-IR"/>
              </w:rPr>
              <w:t xml:space="preserve">locations </w:t>
            </w:r>
            <w:r w:rsidR="000D293A">
              <w:rPr>
                <w:lang w:bidi="fa-IR"/>
              </w:rPr>
              <w:t>designated as</w:t>
            </w:r>
            <w:r>
              <w:rPr>
                <w:lang w:bidi="fa-IR"/>
              </w:rPr>
              <w:t xml:space="preserve"> Priority Development Areas (PDAs) (but will vary across PDAs)</w:t>
            </w:r>
          </w:p>
          <w:p w14:paraId="07A7D154" w14:textId="77777777" w:rsidR="00E4023A" w:rsidRDefault="00E4023A" w:rsidP="005B0289">
            <w:pPr>
              <w:pStyle w:val="TableListBullet2"/>
              <w:rPr>
                <w:lang w:bidi="fa-IR"/>
              </w:rPr>
            </w:pPr>
            <w:r>
              <w:rPr>
                <w:lang w:bidi="fa-IR"/>
              </w:rPr>
              <w:t>It will be mandatory for 10 per cent of all multiple residential dwellings to be accessible</w:t>
            </w:r>
          </w:p>
          <w:p w14:paraId="4C1642E8" w14:textId="77777777" w:rsidR="00E4023A" w:rsidRDefault="00E4023A" w:rsidP="005B0289">
            <w:pPr>
              <w:pStyle w:val="TableListBullet2"/>
              <w:rPr>
                <w:lang w:bidi="fa-IR"/>
              </w:rPr>
            </w:pPr>
            <w:r>
              <w:rPr>
                <w:lang w:bidi="fa-IR"/>
              </w:rPr>
              <w:t>In some PDAs 20 per cent of accessible dwellings should be provided.</w:t>
            </w:r>
          </w:p>
          <w:p w14:paraId="0D118B63" w14:textId="77777777" w:rsidR="00E4023A" w:rsidRDefault="00E4023A" w:rsidP="005B0289">
            <w:pPr>
              <w:pStyle w:val="TableListBullet"/>
              <w:rPr>
                <w:lang w:bidi="fa-IR"/>
              </w:rPr>
            </w:pPr>
            <w:r>
              <w:rPr>
                <w:lang w:bidi="fa-IR"/>
              </w:rPr>
              <w:t>Preference for accessible dwellings to be spread across different house types.</w:t>
            </w:r>
          </w:p>
        </w:tc>
      </w:tr>
      <w:tr w:rsidR="00E4023A" w14:paraId="00A0D55C"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528ECC" w14:textId="77777777" w:rsidR="00E4023A" w:rsidRDefault="00E4023A" w:rsidP="005B0289">
            <w:pPr>
              <w:pStyle w:val="TableTextEntries"/>
              <w:rPr>
                <w:lang w:bidi="fa-IR"/>
              </w:rPr>
            </w:pPr>
            <w:r>
              <w:rPr>
                <w:lang w:bidi="fa-IR"/>
              </w:rPr>
              <w:t>Western Australia</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3D29CF" w14:textId="77777777" w:rsidR="00E4023A" w:rsidRDefault="00E4023A" w:rsidP="005B0289">
            <w:pPr>
              <w:pStyle w:val="TableListBullet"/>
              <w:rPr>
                <w:lang w:bidi="fa-IR"/>
              </w:rPr>
            </w:pPr>
            <w:r>
              <w:rPr>
                <w:lang w:bidi="fa-IR"/>
              </w:rPr>
              <w:t>Residential Design Codes for Apartments (under State Planning Policy 7.3) require that:</w:t>
            </w:r>
          </w:p>
          <w:p w14:paraId="7479D438" w14:textId="77777777" w:rsidR="00E4023A" w:rsidRDefault="00E4023A" w:rsidP="005B0289">
            <w:pPr>
              <w:pStyle w:val="TableListBullet2"/>
              <w:rPr>
                <w:lang w:bidi="fa-IR"/>
              </w:rPr>
            </w:pPr>
            <w:r>
              <w:rPr>
                <w:lang w:bidi="fa-IR"/>
              </w:rPr>
              <w:t>20 per cent of all dwellings across a range of dwelling sizes, meet Silver Level requirements as defined in the LHDG; or</w:t>
            </w:r>
          </w:p>
          <w:p w14:paraId="00CF6973" w14:textId="77777777" w:rsidR="00E4023A" w:rsidRDefault="00E4023A" w:rsidP="005B0289">
            <w:pPr>
              <w:pStyle w:val="TableListBullet2"/>
              <w:rPr>
                <w:lang w:bidi="fa-IR"/>
              </w:rPr>
            </w:pPr>
            <w:r>
              <w:rPr>
                <w:lang w:bidi="fa-IR"/>
              </w:rPr>
              <w:t>5 per cent of dwellings are designed to Platinum Level as defined in the LHDG.</w:t>
            </w:r>
          </w:p>
          <w:p w14:paraId="300D130E" w14:textId="77777777" w:rsidR="00E4023A" w:rsidRDefault="00E4023A" w:rsidP="005B0289">
            <w:pPr>
              <w:pStyle w:val="TableListBullet"/>
              <w:rPr>
                <w:lang w:bidi="fa-IR"/>
              </w:rPr>
            </w:pPr>
            <w:r>
              <w:rPr>
                <w:lang w:bidi="fa-IR"/>
              </w:rPr>
              <w:t>Compliance with AS4299 is required for aged and dependent persons’ dwellings. The relevant decision maker has discretion over where AS4299 applies for other types of housing. All single houses, grouped dwellings and multiple dwellings in areas within activity centres must provide wheelchair accessible connections between buildings and public footpaths and carparking areas.</w:t>
            </w:r>
          </w:p>
        </w:tc>
      </w:tr>
      <w:tr w:rsidR="00E4023A" w14:paraId="13F31295" w14:textId="77777777" w:rsidTr="00010135">
        <w:tc>
          <w:tcPr>
            <w:tcW w:w="1276" w:type="dxa"/>
            <w:tcBorders>
              <w:top w:val="single" w:sz="8" w:space="0" w:color="FFFFFF" w:themeColor="background1"/>
              <w:bottom w:val="single" w:sz="6" w:space="0" w:color="6F6652" w:themeColor="accent5"/>
            </w:tcBorders>
            <w:shd w:val="clear" w:color="auto" w:fill="E9E8E5" w:themeFill="background2"/>
            <w:tcMar>
              <w:left w:w="57" w:type="dxa"/>
              <w:right w:w="57" w:type="dxa"/>
            </w:tcMar>
          </w:tcPr>
          <w:p w14:paraId="3525DE29" w14:textId="77777777" w:rsidR="00E4023A" w:rsidRDefault="00E4023A" w:rsidP="005B0289">
            <w:pPr>
              <w:pStyle w:val="TableTextEntries"/>
              <w:rPr>
                <w:lang w:bidi="fa-IR"/>
              </w:rPr>
            </w:pPr>
            <w:r>
              <w:rPr>
                <w:lang w:bidi="fa-IR"/>
              </w:rPr>
              <w:t>South Australia</w:t>
            </w:r>
          </w:p>
        </w:tc>
        <w:tc>
          <w:tcPr>
            <w:tcW w:w="6661" w:type="dxa"/>
            <w:tcBorders>
              <w:top w:val="single" w:sz="8" w:space="0" w:color="FFFFFF" w:themeColor="background1"/>
              <w:bottom w:val="single" w:sz="6" w:space="0" w:color="6F6652" w:themeColor="accent5"/>
            </w:tcBorders>
            <w:shd w:val="clear" w:color="auto" w:fill="E9E8E5" w:themeFill="background2"/>
            <w:tcMar>
              <w:left w:w="57" w:type="dxa"/>
              <w:right w:w="57" w:type="dxa"/>
            </w:tcMar>
          </w:tcPr>
          <w:p w14:paraId="08C8A1C7" w14:textId="77777777" w:rsidR="00E4023A" w:rsidRDefault="00E4023A" w:rsidP="005B0289">
            <w:pPr>
              <w:pStyle w:val="TableTextEntries"/>
              <w:rPr>
                <w:lang w:bidi="fa-IR"/>
              </w:rPr>
            </w:pPr>
            <w:r>
              <w:rPr>
                <w:lang w:bidi="fa-IR"/>
              </w:rPr>
              <w:t>In developments consisting of 20 or more residential sole</w:t>
            </w:r>
            <w:r>
              <w:rPr>
                <w:lang w:bidi="fa-IR"/>
              </w:rPr>
              <w:noBreakHyphen/>
              <w:t>occupancy units or dwellings, 5 per cent of the total number of sole</w:t>
            </w:r>
            <w:r>
              <w:rPr>
                <w:lang w:bidi="fa-IR"/>
              </w:rPr>
              <w:noBreakHyphen/>
              <w:t>occupancy units or dwellings must meet additional accessibility requirements</w:t>
            </w:r>
          </w:p>
        </w:tc>
      </w:tr>
      <w:tr w:rsidR="00E4023A" w14:paraId="6F41BE12" w14:textId="77777777" w:rsidTr="00010135">
        <w:trPr>
          <w:cantSplit/>
        </w:trPr>
        <w:tc>
          <w:tcPr>
            <w:tcW w:w="1276" w:type="dxa"/>
            <w:tcBorders>
              <w:top w:val="single" w:sz="8" w:space="0" w:color="FFFFFF" w:themeColor="background1"/>
              <w:bottom w:val="single" w:sz="6" w:space="0" w:color="6F6652" w:themeColor="accent5"/>
            </w:tcBorders>
            <w:shd w:val="clear" w:color="auto" w:fill="E9E8E5" w:themeFill="background2"/>
            <w:tcMar>
              <w:left w:w="57" w:type="dxa"/>
              <w:right w:w="57" w:type="dxa"/>
            </w:tcMar>
          </w:tcPr>
          <w:p w14:paraId="6F1C95F3" w14:textId="77777777" w:rsidR="00E4023A" w:rsidRDefault="00E4023A" w:rsidP="005B0289">
            <w:pPr>
              <w:pStyle w:val="TableTextEntries"/>
              <w:rPr>
                <w:lang w:bidi="fa-IR"/>
              </w:rPr>
            </w:pPr>
            <w:r>
              <w:rPr>
                <w:lang w:bidi="fa-IR"/>
              </w:rPr>
              <w:t>ACT</w:t>
            </w:r>
          </w:p>
        </w:tc>
        <w:tc>
          <w:tcPr>
            <w:tcW w:w="6661" w:type="dxa"/>
            <w:tcBorders>
              <w:top w:val="single" w:sz="8" w:space="0" w:color="FFFFFF" w:themeColor="background1"/>
              <w:bottom w:val="single" w:sz="6" w:space="0" w:color="6F6652" w:themeColor="accent5"/>
            </w:tcBorders>
            <w:shd w:val="clear" w:color="auto" w:fill="E9E8E5" w:themeFill="background2"/>
            <w:tcMar>
              <w:left w:w="57" w:type="dxa"/>
              <w:right w:w="57" w:type="dxa"/>
            </w:tcMar>
          </w:tcPr>
          <w:p w14:paraId="36B1717B" w14:textId="77777777" w:rsidR="00E4023A" w:rsidRDefault="00E4023A" w:rsidP="005B0289">
            <w:pPr>
              <w:pStyle w:val="TableListBullet"/>
              <w:rPr>
                <w:rStyle w:val="TableTextEntriesChar"/>
              </w:rPr>
            </w:pPr>
            <w:r>
              <w:rPr>
                <w:lang w:bidi="fa-IR"/>
              </w:rPr>
              <w:t xml:space="preserve">Under the </w:t>
            </w:r>
            <w:r w:rsidRPr="00F610EA">
              <w:rPr>
                <w:rStyle w:val="TableTextEntriesChar"/>
              </w:rPr>
              <w:t>ACT Territory Plan</w:t>
            </w:r>
            <w:r>
              <w:rPr>
                <w:rStyle w:val="TableTextEntriesChar"/>
              </w:rPr>
              <w:t>:</w:t>
            </w:r>
          </w:p>
          <w:p w14:paraId="505B4C3B" w14:textId="77777777" w:rsidR="00E4023A" w:rsidRPr="005D7C54" w:rsidRDefault="00E4023A" w:rsidP="005B0289">
            <w:pPr>
              <w:pStyle w:val="TableListBullet2"/>
              <w:rPr>
                <w:rStyle w:val="TableTextEntriesChar"/>
                <w:szCs w:val="19"/>
              </w:rPr>
            </w:pPr>
            <w:r>
              <w:rPr>
                <w:rStyle w:val="TableTextEntriesChar"/>
              </w:rPr>
              <w:t xml:space="preserve">Multi-unit developments of 10 or more dwellings in RZ2 zone are permitted to increase density where </w:t>
            </w:r>
            <w:r w:rsidRPr="00990E06">
              <w:rPr>
                <w:rStyle w:val="TableTextEntriesChar"/>
                <w:szCs w:val="19"/>
              </w:rPr>
              <w:t>dwellings ha</w:t>
            </w:r>
            <w:r w:rsidRPr="00AF7600">
              <w:rPr>
                <w:rStyle w:val="TableTextEntriesChar"/>
                <w:szCs w:val="19"/>
              </w:rPr>
              <w:t>ve accessibility feat</w:t>
            </w:r>
            <w:r w:rsidRPr="0061791D">
              <w:rPr>
                <w:rStyle w:val="TableTextEntriesChar"/>
                <w:szCs w:val="19"/>
              </w:rPr>
              <w:t>u</w:t>
            </w:r>
            <w:r w:rsidRPr="00BD6E9B">
              <w:rPr>
                <w:rStyle w:val="TableTextEntriesChar"/>
                <w:szCs w:val="19"/>
              </w:rPr>
              <w:t>r</w:t>
            </w:r>
            <w:r w:rsidRPr="00086A9D">
              <w:rPr>
                <w:rStyle w:val="TableTextEntriesChar"/>
                <w:szCs w:val="19"/>
              </w:rPr>
              <w:t>es (</w:t>
            </w:r>
            <w:r w:rsidRPr="000F3EA0">
              <w:rPr>
                <w:rStyle w:val="TableTextEntriesChar"/>
                <w:szCs w:val="19"/>
              </w:rPr>
              <w:t>s</w:t>
            </w:r>
            <w:r w:rsidRPr="00575319">
              <w:rPr>
                <w:rStyle w:val="TableTextEntriesChar"/>
                <w:szCs w:val="19"/>
              </w:rPr>
              <w:t>uch as door handles and hardware to AS1428.1) and meets AS4299</w:t>
            </w:r>
          </w:p>
          <w:p w14:paraId="59885763" w14:textId="77777777" w:rsidR="00E4023A" w:rsidRPr="009F2D2F" w:rsidRDefault="00E4023A" w:rsidP="005B0289">
            <w:pPr>
              <w:pStyle w:val="TableListBullet2"/>
              <w:rPr>
                <w:rStyle w:val="TableTextEntriesChar"/>
                <w:szCs w:val="19"/>
              </w:rPr>
            </w:pPr>
            <w:r w:rsidRPr="009F2D2F">
              <w:rPr>
                <w:rStyle w:val="TableTextEntriesChar"/>
                <w:szCs w:val="19"/>
              </w:rPr>
              <w:t xml:space="preserve">In </w:t>
            </w:r>
            <w:r w:rsidR="00B42FD3">
              <w:rPr>
                <w:rStyle w:val="TableTextEntriesChar"/>
                <w:szCs w:val="19"/>
              </w:rPr>
              <w:t>m</w:t>
            </w:r>
            <w:r w:rsidRPr="009F2D2F">
              <w:rPr>
                <w:rStyle w:val="TableTextEntriesChar"/>
                <w:szCs w:val="19"/>
              </w:rPr>
              <w:t>ulti-unit developments of 10 or more dwellings, 10 per cent comply with AS4299 housing class C</w:t>
            </w:r>
          </w:p>
          <w:p w14:paraId="5E8D56A4" w14:textId="77777777" w:rsidR="00E4023A" w:rsidRDefault="00E4023A" w:rsidP="005B0289">
            <w:pPr>
              <w:pStyle w:val="TableListBullet2"/>
              <w:rPr>
                <w:lang w:bidi="fa-IR"/>
              </w:rPr>
            </w:pPr>
            <w:r w:rsidRPr="009F2D2F">
              <w:rPr>
                <w:rStyle w:val="TableTextEntriesChar"/>
                <w:szCs w:val="19"/>
              </w:rPr>
              <w:t xml:space="preserve"> Granny flats are required to meet</w:t>
            </w:r>
            <w:r w:rsidRPr="00F610EA">
              <w:rPr>
                <w:rStyle w:val="TableTextEntriesChar"/>
              </w:rPr>
              <w:t xml:space="preserve"> AS4299</w:t>
            </w:r>
            <w:r>
              <w:rPr>
                <w:lang w:bidi="fa-IR"/>
              </w:rPr>
              <w:t xml:space="preserve"> Class C (on land &gt;500 m</w:t>
            </w:r>
            <w:r w:rsidRPr="005471DB">
              <w:rPr>
                <w:vertAlign w:val="superscript"/>
                <w:lang w:bidi="fa-IR"/>
              </w:rPr>
              <w:t>2</w:t>
            </w:r>
            <w:r>
              <w:rPr>
                <w:lang w:bidi="fa-IR"/>
              </w:rPr>
              <w:t xml:space="preserve">). </w:t>
            </w:r>
          </w:p>
        </w:tc>
      </w:tr>
    </w:tbl>
    <w:p w14:paraId="4825B957" w14:textId="77777777" w:rsidR="00E4023A" w:rsidRPr="005938DF" w:rsidRDefault="00E4023A" w:rsidP="009B72BA">
      <w:pPr>
        <w:pStyle w:val="Note"/>
        <w:rPr>
          <w:lang w:bidi="fa-IR"/>
        </w:rPr>
      </w:pPr>
      <w:r w:rsidRPr="009B72BA">
        <w:rPr>
          <w:lang w:bidi="fa-IR"/>
        </w:rPr>
        <w:t>Source:</w:t>
      </w:r>
      <w:r>
        <w:rPr>
          <w:lang w:bidi="fa-IR"/>
        </w:rPr>
        <w:t xml:space="preserve"> SGS 2019 </w:t>
      </w:r>
      <w:r w:rsidRPr="009B72BA">
        <w:rPr>
          <w:lang w:bidi="fa-IR"/>
        </w:rPr>
        <w:t xml:space="preserve">Planning Schemes Research </w:t>
      </w:r>
      <w:r>
        <w:rPr>
          <w:lang w:bidi="fa-IR"/>
        </w:rPr>
        <w:t>July; Western Australian Planning Commission, Residential Design Codes: Volume 2 — Apartments, State Planning Policy 7.3.</w:t>
      </w:r>
    </w:p>
    <w:p w14:paraId="6A4421BC" w14:textId="77777777" w:rsidR="00E4023A" w:rsidRDefault="00E4023A" w:rsidP="00E4023A">
      <w:pPr>
        <w:pStyle w:val="BodyText"/>
        <w:rPr>
          <w:lang w:bidi="fa-IR"/>
        </w:rPr>
      </w:pPr>
      <w:r>
        <w:rPr>
          <w:lang w:bidi="fa-IR"/>
        </w:rPr>
        <w:t>In addition, some local governments in NSW</w:t>
      </w:r>
      <w:r w:rsidR="00B42FD3">
        <w:rPr>
          <w:lang w:bidi="fa-IR"/>
        </w:rPr>
        <w:t>,</w:t>
      </w:r>
      <w:r>
        <w:rPr>
          <w:lang w:bidi="fa-IR"/>
        </w:rPr>
        <w:t xml:space="preserve"> Victoria and Queensland have also introduced policies that aim to boost the supply of accessible housing. </w:t>
      </w:r>
    </w:p>
    <w:p w14:paraId="52CF0F0C" w14:textId="77777777" w:rsidR="00E4023A" w:rsidRDefault="00B42FD3" w:rsidP="00E4023A">
      <w:pPr>
        <w:pStyle w:val="BodyText"/>
        <w:rPr>
          <w:lang w:bidi="fa-IR"/>
        </w:rPr>
      </w:pPr>
      <w:r>
        <w:rPr>
          <w:lang w:bidi="fa-IR"/>
        </w:rPr>
        <w:t>T</w:t>
      </w:r>
      <w:r w:rsidR="000B3706">
        <w:rPr>
          <w:lang w:bidi="fa-IR"/>
        </w:rPr>
        <w:t xml:space="preserve">here is not enough publicly available data to judge the effectiveness of these policies, and the extent to which they solve the problem of inaccessible housing. </w:t>
      </w:r>
      <w:r>
        <w:rPr>
          <w:lang w:bidi="fa-IR"/>
        </w:rPr>
        <w:t xml:space="preserve">It was the view of </w:t>
      </w:r>
      <w:r>
        <w:rPr>
          <w:lang w:bidi="fa-IR"/>
        </w:rPr>
        <w:lastRenderedPageBreak/>
        <w:t xml:space="preserve">many stakeholders during consultation that </w:t>
      </w:r>
      <w:r w:rsidR="000B3706">
        <w:rPr>
          <w:lang w:bidi="fa-IR"/>
        </w:rPr>
        <w:t>these state</w:t>
      </w:r>
      <w:r w:rsidR="00BE133F">
        <w:rPr>
          <w:lang w:bidi="fa-IR"/>
        </w:rPr>
        <w:noBreakHyphen/>
      </w:r>
      <w:r w:rsidR="000B3706">
        <w:rPr>
          <w:lang w:bidi="fa-IR"/>
        </w:rPr>
        <w:t>based planning policies have been ‘tardy’ in addressing the lack of accessible housing.</w:t>
      </w:r>
      <w:r w:rsidR="000B3706">
        <w:rPr>
          <w:rStyle w:val="FootnoteReference"/>
          <w:lang w:bidi="fa-IR"/>
        </w:rPr>
        <w:footnoteReference w:id="88"/>
      </w:r>
      <w:r w:rsidR="00E4023A">
        <w:rPr>
          <w:lang w:bidi="fa-IR"/>
        </w:rPr>
        <w:t xml:space="preserve"> </w:t>
      </w:r>
    </w:p>
    <w:p w14:paraId="6C8132D2" w14:textId="77777777" w:rsidR="00E4023A" w:rsidRDefault="00E74687" w:rsidP="00E4023A">
      <w:pPr>
        <w:pStyle w:val="BodyText"/>
        <w:rPr>
          <w:lang w:bidi="fa-IR"/>
        </w:rPr>
      </w:pPr>
      <w:r>
        <w:rPr>
          <w:lang w:bidi="fa-IR"/>
        </w:rPr>
        <w:t>CIE</w:t>
      </w:r>
      <w:r w:rsidRPr="00687613">
        <w:rPr>
          <w:lang w:bidi="fa-IR"/>
        </w:rPr>
        <w:t xml:space="preserve"> </w:t>
      </w:r>
      <w:r w:rsidRPr="00F36A14">
        <w:rPr>
          <w:lang w:bidi="fa-IR"/>
        </w:rPr>
        <w:t>ha</w:t>
      </w:r>
      <w:r>
        <w:rPr>
          <w:lang w:bidi="fa-IR"/>
        </w:rPr>
        <w:t>s</w:t>
      </w:r>
      <w:r w:rsidR="00E4023A" w:rsidRPr="00F36A14">
        <w:rPr>
          <w:lang w:bidi="fa-IR"/>
        </w:rPr>
        <w:t xml:space="preserve"> </w:t>
      </w:r>
      <w:r w:rsidR="00B42FD3">
        <w:rPr>
          <w:lang w:bidi="fa-IR"/>
        </w:rPr>
        <w:t xml:space="preserve">adopted an approach that </w:t>
      </w:r>
      <w:r w:rsidR="00E4023A" w:rsidRPr="00F36A14">
        <w:rPr>
          <w:lang w:bidi="fa-IR"/>
        </w:rPr>
        <w:t xml:space="preserve">indirectly </w:t>
      </w:r>
      <w:r w:rsidR="00B42FD3">
        <w:rPr>
          <w:lang w:bidi="fa-IR"/>
        </w:rPr>
        <w:t>considers these local government policies through</w:t>
      </w:r>
      <w:r w:rsidR="00E4023A" w:rsidRPr="00F0430C">
        <w:rPr>
          <w:lang w:bidi="fa-IR"/>
        </w:rPr>
        <w:t xml:space="preserve"> nation-</w:t>
      </w:r>
      <w:r w:rsidR="00E4023A" w:rsidRPr="00F36A14">
        <w:rPr>
          <w:lang w:bidi="fa-IR"/>
        </w:rPr>
        <w:t>level</w:t>
      </w:r>
      <w:r w:rsidR="00E4023A" w:rsidRPr="00F0430C">
        <w:rPr>
          <w:lang w:bidi="fa-IR"/>
        </w:rPr>
        <w:t xml:space="preserve"> </w:t>
      </w:r>
      <w:r w:rsidR="00E4023A" w:rsidRPr="00687613">
        <w:rPr>
          <w:lang w:bidi="fa-IR"/>
        </w:rPr>
        <w:t>assumptions on the extent to which each element of LHDG standards is already being incorporated in</w:t>
      </w:r>
      <w:r w:rsidR="00E4023A" w:rsidRPr="00F36A14">
        <w:rPr>
          <w:lang w:bidi="fa-IR"/>
        </w:rPr>
        <w:t>to the design of</w:t>
      </w:r>
      <w:r w:rsidR="00E4023A" w:rsidRPr="00F0430C">
        <w:rPr>
          <w:lang w:bidi="fa-IR"/>
        </w:rPr>
        <w:t xml:space="preserve"> new </w:t>
      </w:r>
      <w:r w:rsidR="00E4023A" w:rsidRPr="00687613">
        <w:rPr>
          <w:lang w:bidi="fa-IR"/>
        </w:rPr>
        <w:t xml:space="preserve">homes. These assumptions are </w:t>
      </w:r>
      <w:r w:rsidR="00E4023A" w:rsidRPr="00F36A14">
        <w:rPr>
          <w:lang w:bidi="fa-IR"/>
        </w:rPr>
        <w:t>based on the</w:t>
      </w:r>
      <w:r w:rsidR="00E4023A" w:rsidRPr="00F0430C">
        <w:rPr>
          <w:lang w:bidi="fa-IR"/>
        </w:rPr>
        <w:t xml:space="preserve"> </w:t>
      </w:r>
      <w:r w:rsidR="00E4023A" w:rsidRPr="00F36A14">
        <w:rPr>
          <w:lang w:bidi="fa-IR"/>
        </w:rPr>
        <w:t xml:space="preserve">professional </w:t>
      </w:r>
      <w:r w:rsidR="00E4023A">
        <w:rPr>
          <w:lang w:bidi="fa-IR"/>
        </w:rPr>
        <w:t>advice</w:t>
      </w:r>
      <w:r w:rsidR="00E4023A" w:rsidRPr="00F36A14">
        <w:rPr>
          <w:lang w:bidi="fa-IR"/>
        </w:rPr>
        <w:t xml:space="preserve"> of </w:t>
      </w:r>
      <w:r w:rsidR="00E4023A" w:rsidRPr="00F0430C">
        <w:rPr>
          <w:lang w:bidi="fa-IR"/>
        </w:rPr>
        <w:t>quantity surveyors</w:t>
      </w:r>
      <w:r w:rsidR="00E4023A" w:rsidRPr="00F36A14">
        <w:rPr>
          <w:lang w:bidi="fa-IR"/>
        </w:rPr>
        <w:t xml:space="preserve"> (see </w:t>
      </w:r>
      <w:r>
        <w:rPr>
          <w:lang w:bidi="fa-IR"/>
        </w:rPr>
        <w:t>report by DCWC</w:t>
      </w:r>
      <w:r>
        <w:rPr>
          <w:rStyle w:val="FootnoteReference"/>
          <w:lang w:bidi="fa-IR"/>
        </w:rPr>
        <w:footnoteReference w:id="89"/>
      </w:r>
      <w:r w:rsidR="00E4023A" w:rsidRPr="00F36A14">
        <w:rPr>
          <w:lang w:bidi="fa-IR"/>
        </w:rPr>
        <w:t>)</w:t>
      </w:r>
      <w:r w:rsidR="00E4023A" w:rsidRPr="00F0430C">
        <w:rPr>
          <w:lang w:bidi="fa-IR"/>
        </w:rPr>
        <w:t xml:space="preserve">. </w:t>
      </w:r>
    </w:p>
    <w:p w14:paraId="33879EF9" w14:textId="77777777" w:rsidR="00E4023A" w:rsidRDefault="00E4023A" w:rsidP="00E4023A">
      <w:pPr>
        <w:pStyle w:val="Heading3"/>
        <w:numPr>
          <w:ilvl w:val="2"/>
          <w:numId w:val="5"/>
        </w:numPr>
        <w:rPr>
          <w:lang w:bidi="fa-IR"/>
        </w:rPr>
      </w:pPr>
      <w:r>
        <w:rPr>
          <w:lang w:bidi="fa-IR"/>
        </w:rPr>
        <w:t>Social housing</w:t>
      </w:r>
    </w:p>
    <w:p w14:paraId="74EA7385" w14:textId="1D66CB3B" w:rsidR="00E4023A" w:rsidRDefault="00E4023A" w:rsidP="00E4023A">
      <w:pPr>
        <w:pStyle w:val="BodyText"/>
        <w:rPr>
          <w:lang w:bidi="fa-IR"/>
        </w:rPr>
      </w:pPr>
      <w:r>
        <w:rPr>
          <w:lang w:bidi="fa-IR"/>
        </w:rPr>
        <w:t xml:space="preserve">State and </w:t>
      </w:r>
      <w:r w:rsidR="00B42FD3">
        <w:rPr>
          <w:lang w:bidi="fa-IR"/>
        </w:rPr>
        <w:t>t</w:t>
      </w:r>
      <w:r>
        <w:rPr>
          <w:lang w:bidi="fa-IR"/>
        </w:rPr>
        <w:t>erritory governments are also direct provider</w:t>
      </w:r>
      <w:r w:rsidR="00B42FD3">
        <w:rPr>
          <w:lang w:bidi="fa-IR"/>
        </w:rPr>
        <w:t>s</w:t>
      </w:r>
      <w:r>
        <w:rPr>
          <w:lang w:bidi="fa-IR"/>
        </w:rPr>
        <w:t xml:space="preserve"> of housing to people in need, including some with mobility</w:t>
      </w:r>
      <w:r w:rsidR="00015F08">
        <w:rPr>
          <w:lang w:bidi="fa-IR"/>
        </w:rPr>
        <w:t>-</w:t>
      </w:r>
      <w:r>
        <w:rPr>
          <w:lang w:bidi="fa-IR"/>
        </w:rPr>
        <w:t>related disabilit</w:t>
      </w:r>
      <w:r w:rsidR="00015F08">
        <w:rPr>
          <w:lang w:bidi="fa-IR"/>
        </w:rPr>
        <w:t>y</w:t>
      </w:r>
      <w:r>
        <w:rPr>
          <w:lang w:bidi="fa-IR"/>
        </w:rPr>
        <w:t>. Some governments also have accessibility requirements/targets for social housing. These accessibility requirements for social housing are summarised in table </w:t>
      </w:r>
      <w:r w:rsidR="00587754">
        <w:rPr>
          <w:lang w:bidi="fa-IR"/>
        </w:rPr>
        <w:t>3.12</w:t>
      </w:r>
      <w:r>
        <w:rPr>
          <w:lang w:bidi="fa-IR"/>
        </w:rPr>
        <w:t>.</w:t>
      </w:r>
    </w:p>
    <w:p w14:paraId="615EB6F1" w14:textId="6B77DB5A" w:rsidR="00E4023A" w:rsidRDefault="00076C9B" w:rsidP="00E4023A">
      <w:pPr>
        <w:pStyle w:val="Caption"/>
        <w:ind w:left="568" w:hanging="568"/>
      </w:pPr>
      <w:bookmarkStart w:id="154" w:name="_Toc45654124"/>
      <w:bookmarkStart w:id="155" w:name="_Toc24977944"/>
      <w:bookmarkStart w:id="156" w:name="_Toc32321800"/>
      <w:bookmarkStart w:id="157" w:name="_Toc44598493"/>
      <w:bookmarkStart w:id="158" w:name="_Toc44695865"/>
      <w:bookmarkStart w:id="159" w:name="_Toc57643595"/>
      <w:bookmarkStart w:id="160" w:name="_Toc70505511"/>
      <w:r>
        <w:t>3.12</w:t>
      </w:r>
      <w:r w:rsidR="00E4023A" w:rsidRPr="00695C93">
        <w:tab/>
      </w:r>
      <w:r w:rsidR="00E4023A">
        <w:t>Summary of state and territory government social housing accessibility requirements</w:t>
      </w:r>
      <w:bookmarkEnd w:id="154"/>
      <w:bookmarkEnd w:id="155"/>
      <w:bookmarkEnd w:id="156"/>
      <w:bookmarkEnd w:id="157"/>
      <w:bookmarkEnd w:id="158"/>
      <w:bookmarkEnd w:id="159"/>
      <w:bookmarkEnd w:id="160"/>
    </w:p>
    <w:tbl>
      <w:tblPr>
        <w:tblW w:w="0" w:type="auto"/>
        <w:tblLayout w:type="fixed"/>
        <w:tblLook w:val="0000" w:firstRow="0" w:lastRow="0" w:firstColumn="0" w:lastColumn="0" w:noHBand="0" w:noVBand="0"/>
        <w:tblCaption w:val="Table 3.12: Summary of state and territory government social housing accessibility requirements"/>
        <w:tblDescription w:val="This table lists the policies aimed at increasing the supply of accessible housing by state and territory - NSW, Victoria, Queensland, South Australia, Tasmania, ACT, Northern Territory. Western Australia is not listed."/>
      </w:tblPr>
      <w:tblGrid>
        <w:gridCol w:w="1276"/>
        <w:gridCol w:w="6661"/>
      </w:tblGrid>
      <w:tr w:rsidR="00E4023A" w14:paraId="2EAC76D5" w14:textId="77777777" w:rsidTr="005B0289">
        <w:trPr>
          <w:tblHeader/>
        </w:trPr>
        <w:tc>
          <w:tcPr>
            <w:tcW w:w="1276" w:type="dxa"/>
            <w:tcBorders>
              <w:bottom w:val="single" w:sz="8" w:space="0" w:color="FFFFFF" w:themeColor="background1"/>
            </w:tcBorders>
            <w:shd w:val="clear" w:color="auto" w:fill="6F6652"/>
            <w:tcMar>
              <w:left w:w="57" w:type="dxa"/>
              <w:right w:w="57" w:type="dxa"/>
            </w:tcMar>
          </w:tcPr>
          <w:p w14:paraId="099D1EAF" w14:textId="77777777" w:rsidR="00E4023A" w:rsidRDefault="00E4023A" w:rsidP="005B0289">
            <w:pPr>
              <w:pStyle w:val="TableTextColumnHeading"/>
              <w:rPr>
                <w:lang w:bidi="fa-IR"/>
              </w:rPr>
            </w:pPr>
            <w:r>
              <w:rPr>
                <w:lang w:bidi="fa-IR"/>
              </w:rPr>
              <w:t>State</w:t>
            </w:r>
          </w:p>
        </w:tc>
        <w:tc>
          <w:tcPr>
            <w:tcW w:w="6661" w:type="dxa"/>
            <w:tcBorders>
              <w:bottom w:val="single" w:sz="8" w:space="0" w:color="FFFFFF" w:themeColor="background1"/>
            </w:tcBorders>
            <w:shd w:val="clear" w:color="auto" w:fill="6F6652"/>
            <w:tcMar>
              <w:left w:w="57" w:type="dxa"/>
              <w:right w:w="57" w:type="dxa"/>
            </w:tcMar>
          </w:tcPr>
          <w:p w14:paraId="6BAEDEF6" w14:textId="77777777" w:rsidR="00E4023A" w:rsidRDefault="00E4023A" w:rsidP="005B0289">
            <w:pPr>
              <w:pStyle w:val="TableTextColumnHeading"/>
              <w:rPr>
                <w:lang w:bidi="fa-IR"/>
              </w:rPr>
            </w:pPr>
            <w:r>
              <w:rPr>
                <w:lang w:bidi="fa-IR"/>
              </w:rPr>
              <w:t>Policies aimed at increasing the supply of accessible housing</w:t>
            </w:r>
          </w:p>
        </w:tc>
      </w:tr>
      <w:tr w:rsidR="00E4023A" w14:paraId="0D4504E0"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579FC6" w14:textId="77777777" w:rsidR="00E4023A" w:rsidRDefault="00E4023A" w:rsidP="005B0289">
            <w:pPr>
              <w:pStyle w:val="TableTextEntries"/>
              <w:rPr>
                <w:lang w:bidi="fa-IR"/>
              </w:rPr>
            </w:pPr>
            <w:r>
              <w:rPr>
                <w:lang w:bidi="fa-IR"/>
              </w:rPr>
              <w:t>NSW</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9932F7" w14:textId="77777777" w:rsidR="00E4023A" w:rsidRDefault="00E4023A" w:rsidP="005B0289">
            <w:pPr>
              <w:pStyle w:val="TableTextEntries"/>
              <w:rPr>
                <w:lang w:bidi="fa-IR"/>
              </w:rPr>
            </w:pPr>
            <w:r>
              <w:rPr>
                <w:lang w:bidi="fa-IR"/>
              </w:rPr>
              <w:t>NSW Government has a policy that 10 per cent of all new public housing must be ‘adaptable’. That is the dwelling must be easily converted at minimal cost to be suitable for people who use wheelchairs.</w:t>
            </w:r>
          </w:p>
        </w:tc>
      </w:tr>
      <w:tr w:rsidR="00E4023A" w14:paraId="250B2A27"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D8C25E" w14:textId="77777777" w:rsidR="00E4023A" w:rsidRDefault="00E4023A" w:rsidP="005B0289">
            <w:pPr>
              <w:pStyle w:val="TableTextEntries"/>
              <w:rPr>
                <w:lang w:bidi="fa-IR"/>
              </w:rPr>
            </w:pPr>
            <w:r>
              <w:rPr>
                <w:lang w:bidi="fa-IR"/>
              </w:rPr>
              <w:t>Victoria</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A56472" w14:textId="77777777" w:rsidR="00E4023A" w:rsidRPr="00B34888" w:rsidRDefault="00E4023A" w:rsidP="005B0289">
            <w:pPr>
              <w:pStyle w:val="TableTextEntries"/>
              <w:rPr>
                <w:lang w:bidi="fa-IR"/>
              </w:rPr>
            </w:pPr>
            <w:r w:rsidRPr="004A5B77">
              <w:t>The design of new dwellings must</w:t>
            </w:r>
            <w:r>
              <w:t>, where practical,</w:t>
            </w:r>
            <w:r w:rsidRPr="004A5B77">
              <w:t xml:space="preserve"> achieve the standard of Gold level of the </w:t>
            </w:r>
            <w:r w:rsidRPr="00E60255">
              <w:rPr>
                <w:rStyle w:val="Emphasis"/>
              </w:rPr>
              <w:t>Liveable Housing Design Guidelines or AS4299 Adaptable Housing</w:t>
            </w:r>
            <w:r>
              <w:rPr>
                <w:rStyle w:val="Emphasis"/>
              </w:rPr>
              <w:t xml:space="preserve"> </w:t>
            </w:r>
            <w:r>
              <w:rPr>
                <w:rStyle w:val="Emphasis"/>
                <w:i w:val="0"/>
                <w:iCs w:val="0"/>
              </w:rPr>
              <w:t>(except for car spaces)</w:t>
            </w:r>
          </w:p>
        </w:tc>
      </w:tr>
      <w:tr w:rsidR="00E4023A" w14:paraId="1D2EF5DA"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5CF19C" w14:textId="77777777" w:rsidR="00E4023A" w:rsidRDefault="00E4023A" w:rsidP="005B0289">
            <w:pPr>
              <w:pStyle w:val="TableTextEntries"/>
              <w:rPr>
                <w:lang w:bidi="fa-IR"/>
              </w:rPr>
            </w:pPr>
            <w:r>
              <w:rPr>
                <w:lang w:bidi="fa-IR"/>
              </w:rPr>
              <w:t>Queensland</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ADC689" w14:textId="77777777" w:rsidR="00E4023A" w:rsidRDefault="00E4023A" w:rsidP="005B0289">
            <w:pPr>
              <w:pStyle w:val="TableListBullet"/>
              <w:rPr>
                <w:lang w:bidi="fa-IR"/>
              </w:rPr>
            </w:pPr>
            <w:r>
              <w:rPr>
                <w:lang w:bidi="fa-IR"/>
              </w:rPr>
              <w:t>50 per cent of all new Class 1 social housing will be built to LHDG Gold standard</w:t>
            </w:r>
          </w:p>
          <w:p w14:paraId="05A65FF2" w14:textId="77777777" w:rsidR="00E4023A" w:rsidRDefault="00E4023A" w:rsidP="005B0289">
            <w:pPr>
              <w:pStyle w:val="TableListBullet"/>
              <w:rPr>
                <w:lang w:bidi="fa-IR"/>
              </w:rPr>
            </w:pPr>
            <w:r>
              <w:rPr>
                <w:lang w:bidi="fa-IR"/>
              </w:rPr>
              <w:t>For Class 2 dwellings:</w:t>
            </w:r>
          </w:p>
          <w:p w14:paraId="5ABB8926" w14:textId="77777777" w:rsidR="00E4023A" w:rsidRDefault="00E4023A" w:rsidP="005B0289">
            <w:pPr>
              <w:pStyle w:val="TableListBullet2"/>
              <w:rPr>
                <w:lang w:bidi="fa-IR"/>
              </w:rPr>
            </w:pPr>
            <w:r>
              <w:rPr>
                <w:lang w:bidi="fa-IR"/>
              </w:rPr>
              <w:t>Ground floor apartments will be built to LHDG Platinum standard</w:t>
            </w:r>
          </w:p>
          <w:p w14:paraId="67896685" w14:textId="77777777" w:rsidR="00E4023A" w:rsidRDefault="00E4023A" w:rsidP="005B0289">
            <w:pPr>
              <w:pStyle w:val="TableListBullet2"/>
              <w:rPr>
                <w:lang w:bidi="fa-IR"/>
              </w:rPr>
            </w:pPr>
            <w:r>
              <w:rPr>
                <w:lang w:bidi="fa-IR"/>
              </w:rPr>
              <w:t>All lift serviced apartments will be built to LHDG Gold standard</w:t>
            </w:r>
          </w:p>
        </w:tc>
      </w:tr>
      <w:tr w:rsidR="00E4023A" w14:paraId="55773027" w14:textId="77777777" w:rsidTr="005B0289">
        <w:tc>
          <w:tcPr>
            <w:tcW w:w="1276" w:type="dxa"/>
            <w:tcBorders>
              <w:top w:val="single" w:sz="8" w:space="0" w:color="FFFFFF" w:themeColor="background1"/>
              <w:bottom w:val="single" w:sz="6" w:space="0" w:color="6F6652"/>
            </w:tcBorders>
            <w:shd w:val="clear" w:color="auto" w:fill="E9E8E5" w:themeFill="background2"/>
            <w:tcMar>
              <w:left w:w="57" w:type="dxa"/>
              <w:right w:w="57" w:type="dxa"/>
            </w:tcMar>
          </w:tcPr>
          <w:p w14:paraId="2D9A7780" w14:textId="77777777" w:rsidR="00E4023A" w:rsidRDefault="00E4023A" w:rsidP="005B0289">
            <w:pPr>
              <w:pStyle w:val="TableTextEntries"/>
              <w:rPr>
                <w:lang w:bidi="fa-IR"/>
              </w:rPr>
            </w:pPr>
            <w:r>
              <w:rPr>
                <w:lang w:bidi="fa-IR"/>
              </w:rPr>
              <w:t>South Australia</w:t>
            </w:r>
          </w:p>
        </w:tc>
        <w:tc>
          <w:tcPr>
            <w:tcW w:w="6661" w:type="dxa"/>
            <w:tcBorders>
              <w:top w:val="single" w:sz="8" w:space="0" w:color="FFFFFF" w:themeColor="background1"/>
              <w:bottom w:val="single" w:sz="6" w:space="0" w:color="6F6652"/>
            </w:tcBorders>
            <w:shd w:val="clear" w:color="auto" w:fill="E9E8E5" w:themeFill="background2"/>
            <w:tcMar>
              <w:left w:w="57" w:type="dxa"/>
              <w:right w:w="57" w:type="dxa"/>
            </w:tcMar>
          </w:tcPr>
          <w:p w14:paraId="19E73209" w14:textId="77777777" w:rsidR="00E4023A" w:rsidRDefault="00E4023A" w:rsidP="005B0289">
            <w:pPr>
              <w:pStyle w:val="TableTextEntries"/>
              <w:rPr>
                <w:lang w:bidi="fa-IR"/>
              </w:rPr>
            </w:pPr>
            <w:r>
              <w:rPr>
                <w:lang w:bidi="fa-IR"/>
              </w:rPr>
              <w:t>The South Australian Housing Trust is committed to providing a minimum of 75 per cent of all new houses to meet Universal Design Criteria.</w:t>
            </w:r>
          </w:p>
        </w:tc>
      </w:tr>
      <w:tr w:rsidR="00E4023A" w14:paraId="1577F37D" w14:textId="77777777" w:rsidTr="005B0289">
        <w:tc>
          <w:tcPr>
            <w:tcW w:w="1276" w:type="dxa"/>
            <w:tcBorders>
              <w:top w:val="single" w:sz="8" w:space="0" w:color="FFFFFF" w:themeColor="background1"/>
              <w:bottom w:val="single" w:sz="6" w:space="0" w:color="6F6652"/>
            </w:tcBorders>
            <w:shd w:val="clear" w:color="auto" w:fill="E9E8E5" w:themeFill="background2"/>
            <w:tcMar>
              <w:left w:w="57" w:type="dxa"/>
              <w:right w:w="57" w:type="dxa"/>
            </w:tcMar>
          </w:tcPr>
          <w:p w14:paraId="587F1A70" w14:textId="77777777" w:rsidR="00E4023A" w:rsidRDefault="00E4023A" w:rsidP="005B0289">
            <w:pPr>
              <w:pStyle w:val="TableTextEntries"/>
              <w:rPr>
                <w:lang w:bidi="fa-IR"/>
              </w:rPr>
            </w:pPr>
            <w:r>
              <w:rPr>
                <w:lang w:bidi="fa-IR"/>
              </w:rPr>
              <w:t>Tasmania</w:t>
            </w:r>
          </w:p>
        </w:tc>
        <w:tc>
          <w:tcPr>
            <w:tcW w:w="6661" w:type="dxa"/>
            <w:tcBorders>
              <w:top w:val="single" w:sz="8" w:space="0" w:color="FFFFFF" w:themeColor="background1"/>
              <w:bottom w:val="single" w:sz="6" w:space="0" w:color="6F6652"/>
            </w:tcBorders>
            <w:shd w:val="clear" w:color="auto" w:fill="E9E8E5" w:themeFill="background2"/>
            <w:tcMar>
              <w:left w:w="57" w:type="dxa"/>
              <w:right w:w="57" w:type="dxa"/>
            </w:tcMar>
          </w:tcPr>
          <w:p w14:paraId="1F262576" w14:textId="77777777" w:rsidR="00E4023A" w:rsidRDefault="00E4023A" w:rsidP="005B0289">
            <w:pPr>
              <w:pStyle w:val="TableTextEntries"/>
              <w:rPr>
                <w:lang w:bidi="fa-IR"/>
              </w:rPr>
            </w:pPr>
            <w:r>
              <w:t>All new social housing properties will be universally designed and suitably diverse for a range of tenants including the elderly, those living with disability, families or singles (a total of 1155 new home by June 2023).</w:t>
            </w:r>
          </w:p>
        </w:tc>
      </w:tr>
      <w:tr w:rsidR="00E4023A" w14:paraId="370B834E" w14:textId="77777777" w:rsidTr="005B0289">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4D129" w14:textId="77777777" w:rsidR="00E4023A" w:rsidRDefault="00E4023A" w:rsidP="005B0289">
            <w:pPr>
              <w:pStyle w:val="TableTextEntries"/>
              <w:rPr>
                <w:lang w:bidi="fa-IR"/>
              </w:rPr>
            </w:pPr>
            <w:r>
              <w:rPr>
                <w:lang w:bidi="fa-IR"/>
              </w:rPr>
              <w:t>ACT</w:t>
            </w:r>
          </w:p>
        </w:tc>
        <w:tc>
          <w:tcPr>
            <w:tcW w:w="6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98E810" w14:textId="77777777" w:rsidR="00E4023A" w:rsidRDefault="00E4023A" w:rsidP="005B0289">
            <w:pPr>
              <w:pStyle w:val="TableTextEntries"/>
              <w:rPr>
                <w:lang w:bidi="fa-IR"/>
              </w:rPr>
            </w:pPr>
            <w:r>
              <w:rPr>
                <w:lang w:bidi="fa-IR"/>
              </w:rPr>
              <w:t xml:space="preserve">10 per cent of new social housing meets AS4299 (124 over 2 years) </w:t>
            </w:r>
          </w:p>
        </w:tc>
      </w:tr>
      <w:tr w:rsidR="00E4023A" w14:paraId="4EBC2E1A" w14:textId="77777777" w:rsidTr="005B0289">
        <w:tc>
          <w:tcPr>
            <w:tcW w:w="1276" w:type="dxa"/>
            <w:tcBorders>
              <w:top w:val="single" w:sz="8" w:space="0" w:color="FFFFFF" w:themeColor="background1"/>
              <w:bottom w:val="single" w:sz="6" w:space="0" w:color="6F6652"/>
            </w:tcBorders>
            <w:shd w:val="clear" w:color="auto" w:fill="E9E8E5" w:themeFill="background2"/>
            <w:tcMar>
              <w:left w:w="57" w:type="dxa"/>
              <w:right w:w="57" w:type="dxa"/>
            </w:tcMar>
          </w:tcPr>
          <w:p w14:paraId="4FB92AD7" w14:textId="77777777" w:rsidR="00E4023A" w:rsidRDefault="00E4023A" w:rsidP="005B0289">
            <w:pPr>
              <w:pStyle w:val="TableTextEntries"/>
              <w:rPr>
                <w:lang w:bidi="fa-IR"/>
              </w:rPr>
            </w:pPr>
            <w:r>
              <w:rPr>
                <w:lang w:bidi="fa-IR"/>
              </w:rPr>
              <w:t>Northern Territory</w:t>
            </w:r>
          </w:p>
        </w:tc>
        <w:tc>
          <w:tcPr>
            <w:tcW w:w="6661" w:type="dxa"/>
            <w:tcBorders>
              <w:top w:val="single" w:sz="8" w:space="0" w:color="FFFFFF" w:themeColor="background1"/>
              <w:bottom w:val="single" w:sz="6" w:space="0" w:color="6F6652"/>
            </w:tcBorders>
            <w:shd w:val="clear" w:color="auto" w:fill="E9E8E5" w:themeFill="background2"/>
            <w:tcMar>
              <w:left w:w="57" w:type="dxa"/>
              <w:right w:w="57" w:type="dxa"/>
            </w:tcMar>
          </w:tcPr>
          <w:p w14:paraId="0DAD5C57" w14:textId="77777777" w:rsidR="00E4023A" w:rsidDel="00990E06" w:rsidRDefault="00E4023A" w:rsidP="005B0289">
            <w:pPr>
              <w:pStyle w:val="TableTextEntries"/>
              <w:rPr>
                <w:lang w:bidi="fa-IR"/>
              </w:rPr>
            </w:pPr>
            <w:r>
              <w:rPr>
                <w:lang w:bidi="fa-IR"/>
              </w:rPr>
              <w:t>Urban Public Housing Design Guidelines require all new urban public housing meets silver level (128 units in 2016)</w:t>
            </w:r>
          </w:p>
        </w:tc>
      </w:tr>
    </w:tbl>
    <w:p w14:paraId="244173A3" w14:textId="77777777" w:rsidR="00E4023A" w:rsidRPr="00494B27" w:rsidRDefault="00E4023A" w:rsidP="009B72BA">
      <w:pPr>
        <w:pStyle w:val="Note"/>
        <w:rPr>
          <w:lang w:bidi="fa-IR"/>
        </w:rPr>
      </w:pPr>
      <w:r w:rsidRPr="009B72BA">
        <w:rPr>
          <w:lang w:bidi="fa-IR"/>
        </w:rPr>
        <w:t>Source:</w:t>
      </w:r>
      <w:r>
        <w:rPr>
          <w:lang w:bidi="fa-IR"/>
        </w:rPr>
        <w:t xml:space="preserve"> Information provided by ABCB; NSW FACS website,</w:t>
      </w:r>
      <w:r w:rsidRPr="00494B27">
        <w:rPr>
          <w:lang w:bidi="fa-IR"/>
        </w:rPr>
        <w:t xml:space="preserve"> </w:t>
      </w:r>
      <w:hyperlink r:id="rId33" w:tooltip="More information can be found at the website via this link" w:history="1">
        <w:r w:rsidRPr="009B72BA">
          <w:rPr>
            <w:rFonts w:eastAsiaTheme="minorEastAsia"/>
            <w:lang w:bidi="fa-IR"/>
          </w:rPr>
          <w:t>https://www.facs.nsw.gov.au/housing/policies/acquiring-new-public-housing-policy</w:t>
        </w:r>
      </w:hyperlink>
      <w:r w:rsidRPr="009B72BA">
        <w:rPr>
          <w:rFonts w:eastAsiaTheme="minorEastAsia"/>
          <w:lang w:bidi="fa-IR"/>
        </w:rPr>
        <w:t>, accessed October 2019.</w:t>
      </w:r>
    </w:p>
    <w:p w14:paraId="7DFE0608" w14:textId="77777777" w:rsidR="00E4023A" w:rsidRDefault="00E4023A" w:rsidP="00E4023A">
      <w:pPr>
        <w:pStyle w:val="Heading3"/>
        <w:numPr>
          <w:ilvl w:val="2"/>
          <w:numId w:val="5"/>
        </w:numPr>
        <w:rPr>
          <w:lang w:bidi="fa-IR"/>
        </w:rPr>
      </w:pPr>
      <w:r>
        <w:rPr>
          <w:lang w:bidi="fa-IR"/>
        </w:rPr>
        <w:lastRenderedPageBreak/>
        <w:t>Government assistance for under 65s</w:t>
      </w:r>
    </w:p>
    <w:p w14:paraId="153A6E99" w14:textId="77777777" w:rsidR="00E4023A" w:rsidRDefault="00E4023A" w:rsidP="00E4023A">
      <w:pPr>
        <w:pStyle w:val="BodyText"/>
        <w:rPr>
          <w:lang w:bidi="fa-IR"/>
        </w:rPr>
      </w:pPr>
      <w:r>
        <w:rPr>
          <w:lang w:bidi="fa-IR"/>
        </w:rPr>
        <w:t>The NDIS provides funding to assist eligible people under the age of 65 to meet their housing needs</w:t>
      </w:r>
      <w:r w:rsidR="00B42FD3">
        <w:rPr>
          <w:lang w:bidi="fa-IR"/>
        </w:rPr>
        <w:t xml:space="preserve">. The program </w:t>
      </w:r>
      <w:r w:rsidR="004B5AE8">
        <w:rPr>
          <w:lang w:bidi="fa-IR"/>
        </w:rPr>
        <w:t xml:space="preserve">currently </w:t>
      </w:r>
      <w:r w:rsidR="00B42FD3">
        <w:rPr>
          <w:lang w:bidi="fa-IR"/>
        </w:rPr>
        <w:t xml:space="preserve">has </w:t>
      </w:r>
      <w:r w:rsidR="004B5AE8">
        <w:rPr>
          <w:lang w:bidi="fa-IR"/>
        </w:rPr>
        <w:t>around 400</w:t>
      </w:r>
      <w:r w:rsidR="00B42FD3">
        <w:rPr>
          <w:lang w:bidi="fa-IR"/>
        </w:rPr>
        <w:t> </w:t>
      </w:r>
      <w:r w:rsidR="004B5AE8">
        <w:rPr>
          <w:lang w:bidi="fa-IR"/>
        </w:rPr>
        <w:t>000 participants</w:t>
      </w:r>
      <w:r>
        <w:rPr>
          <w:lang w:bidi="fa-IR"/>
        </w:rPr>
        <w:t>.</w:t>
      </w:r>
    </w:p>
    <w:p w14:paraId="7DB1A9A3" w14:textId="77777777" w:rsidR="00E4023A" w:rsidRDefault="00E4023A" w:rsidP="00E4023A">
      <w:pPr>
        <w:pStyle w:val="Heading4"/>
        <w:rPr>
          <w:lang w:bidi="fa-IR"/>
        </w:rPr>
      </w:pPr>
      <w:r>
        <w:rPr>
          <w:lang w:bidi="fa-IR"/>
        </w:rPr>
        <w:t>Specialist Disability Accommodation</w:t>
      </w:r>
    </w:p>
    <w:p w14:paraId="23C5CC0D" w14:textId="77777777" w:rsidR="008849D5" w:rsidRDefault="00E4023A" w:rsidP="00E4023A">
      <w:pPr>
        <w:pStyle w:val="BodyText"/>
        <w:rPr>
          <w:shd w:val="clear" w:color="auto" w:fill="FFFFFF"/>
        </w:rPr>
      </w:pPr>
      <w:r>
        <w:rPr>
          <w:lang w:bidi="fa-IR"/>
        </w:rPr>
        <w:t xml:space="preserve">Some NDIS participants receive Specialist Disability Accommodation (SDA) as part of their NDIS package. </w:t>
      </w:r>
      <w:r>
        <w:rPr>
          <w:shd w:val="clear" w:color="auto" w:fill="FFFFFF"/>
        </w:rPr>
        <w:t xml:space="preserve">SDA refers to accommodation for people who require specialist housing solutions, including to assist with the delivery of support that caters for their extreme functional impairment or very high support needs. </w:t>
      </w:r>
      <w:r w:rsidR="008849D5">
        <w:rPr>
          <w:shd w:val="clear" w:color="auto" w:fill="FFFFFF"/>
        </w:rPr>
        <w:t>Under SDA, the National Disability Insurance Agency</w:t>
      </w:r>
      <w:r w:rsidR="0068760C">
        <w:rPr>
          <w:shd w:val="clear" w:color="auto" w:fill="FFFFFF"/>
        </w:rPr>
        <w:t xml:space="preserve"> (NDIA)</w:t>
      </w:r>
      <w:r w:rsidR="008849D5">
        <w:rPr>
          <w:shd w:val="clear" w:color="auto" w:fill="FFFFFF"/>
        </w:rPr>
        <w:t xml:space="preserve"> funds private organisations that provide accommodation that meets specified design standards to an eligible participant.</w:t>
      </w:r>
    </w:p>
    <w:p w14:paraId="7631CFAF" w14:textId="77777777" w:rsidR="00E4023A" w:rsidRDefault="00E4023A" w:rsidP="00E4023A">
      <w:pPr>
        <w:pStyle w:val="BodyText"/>
        <w:rPr>
          <w:shd w:val="clear" w:color="auto" w:fill="FFFFFF"/>
        </w:rPr>
      </w:pPr>
      <w:r>
        <w:rPr>
          <w:shd w:val="clear" w:color="auto" w:fill="FFFFFF"/>
        </w:rPr>
        <w:t>Funding is provided only to a small proportion of NDIS participants with extreme functional impairment or very high support needs who meet specific eligibility criteria.</w:t>
      </w:r>
      <w:r>
        <w:rPr>
          <w:rStyle w:val="FootnoteReference"/>
          <w:shd w:val="clear" w:color="auto" w:fill="FFFFFF"/>
        </w:rPr>
        <w:footnoteReference w:id="90"/>
      </w:r>
      <w:r>
        <w:rPr>
          <w:shd w:val="clear" w:color="auto" w:fill="FFFFFF"/>
        </w:rPr>
        <w:t xml:space="preserve"> SDA funding will not be available to many people with mobility limitation.</w:t>
      </w:r>
    </w:p>
    <w:p w14:paraId="6FF958EB" w14:textId="77777777" w:rsidR="00E4023A" w:rsidRDefault="008849D5" w:rsidP="00E4023A">
      <w:pPr>
        <w:pStyle w:val="BodyText"/>
        <w:rPr>
          <w:shd w:val="clear" w:color="auto" w:fill="FFFFFF"/>
        </w:rPr>
      </w:pPr>
      <w:r>
        <w:rPr>
          <w:shd w:val="clear" w:color="auto" w:fill="FFFFFF"/>
        </w:rPr>
        <w:t>In 2018, NDIA estimated that only 6 per cent of NDIS recipients would qualify for SDA funding.</w:t>
      </w:r>
      <w:r>
        <w:rPr>
          <w:rStyle w:val="FootnoteReference"/>
          <w:shd w:val="clear" w:color="auto" w:fill="FFFFFF"/>
        </w:rPr>
        <w:footnoteReference w:id="91"/>
      </w:r>
      <w:r w:rsidR="00DA16AE">
        <w:rPr>
          <w:shd w:val="clear" w:color="auto" w:fill="FFFFFF"/>
        </w:rPr>
        <w:t xml:space="preserve"> This suggests that only around 24 000 people could be funded through SDA, accounting for less than 1 per cent of the 2.8 million people who live in a household and have mobility limitation.</w:t>
      </w:r>
    </w:p>
    <w:p w14:paraId="4BD52263" w14:textId="77777777" w:rsidR="00E4023A" w:rsidRDefault="00E4023A" w:rsidP="00E4023A">
      <w:pPr>
        <w:pStyle w:val="Heading4"/>
        <w:rPr>
          <w:lang w:bidi="fa-IR"/>
        </w:rPr>
      </w:pPr>
      <w:r>
        <w:rPr>
          <w:lang w:bidi="fa-IR"/>
        </w:rPr>
        <w:t>Home modifications</w:t>
      </w:r>
    </w:p>
    <w:p w14:paraId="4A9502E9" w14:textId="77777777" w:rsidR="00E4023A" w:rsidRDefault="00E4023A" w:rsidP="00E4023A">
      <w:pPr>
        <w:pStyle w:val="BodyText"/>
        <w:rPr>
          <w:lang w:bidi="fa-IR"/>
        </w:rPr>
      </w:pPr>
      <w:r>
        <w:rPr>
          <w:lang w:bidi="fa-IR"/>
        </w:rPr>
        <w:t xml:space="preserve">Home modifications are also funded through the NDIS in </w:t>
      </w:r>
      <w:r w:rsidR="00B42FD3">
        <w:rPr>
          <w:lang w:bidi="fa-IR"/>
        </w:rPr>
        <w:t>two</w:t>
      </w:r>
      <w:r>
        <w:rPr>
          <w:lang w:bidi="fa-IR"/>
        </w:rPr>
        <w:t xml:space="preserve"> main ways:</w:t>
      </w:r>
    </w:p>
    <w:p w14:paraId="519D8168" w14:textId="77777777" w:rsidR="00E4023A" w:rsidRDefault="00E4023A" w:rsidP="00E4023A">
      <w:pPr>
        <w:pStyle w:val="ListBullet"/>
        <w:numPr>
          <w:ilvl w:val="0"/>
          <w:numId w:val="16"/>
        </w:numPr>
        <w:rPr>
          <w:lang w:bidi="fa-IR"/>
        </w:rPr>
      </w:pPr>
      <w:r>
        <w:rPr>
          <w:lang w:bidi="fa-IR"/>
        </w:rPr>
        <w:t>Participants can choose to fund minor home modifications (up to $1</w:t>
      </w:r>
      <w:r w:rsidR="0070466B">
        <w:rPr>
          <w:lang w:bidi="fa-IR"/>
        </w:rPr>
        <w:t xml:space="preserve"> </w:t>
      </w:r>
      <w:r>
        <w:rPr>
          <w:lang w:bidi="fa-IR"/>
        </w:rPr>
        <w:t>500) from their core support budget.</w:t>
      </w:r>
    </w:p>
    <w:p w14:paraId="227A47AD" w14:textId="77777777" w:rsidR="00E4023A" w:rsidRDefault="00E4023A" w:rsidP="00E4023A">
      <w:pPr>
        <w:pStyle w:val="ListBullet"/>
        <w:numPr>
          <w:ilvl w:val="0"/>
          <w:numId w:val="16"/>
        </w:numPr>
        <w:rPr>
          <w:lang w:bidi="fa-IR"/>
        </w:rPr>
      </w:pPr>
      <w:r>
        <w:rPr>
          <w:lang w:bidi="fa-IR"/>
        </w:rPr>
        <w:t>Higher cost home modifications can be funded through the capital support budget.</w:t>
      </w:r>
    </w:p>
    <w:p w14:paraId="481C89F8" w14:textId="77777777" w:rsidR="00E4023A" w:rsidRDefault="00E4023A" w:rsidP="00E4023A">
      <w:pPr>
        <w:pStyle w:val="Heading3"/>
        <w:numPr>
          <w:ilvl w:val="2"/>
          <w:numId w:val="5"/>
        </w:numPr>
        <w:rPr>
          <w:lang w:bidi="fa-IR"/>
        </w:rPr>
      </w:pPr>
      <w:r>
        <w:rPr>
          <w:lang w:bidi="fa-IR"/>
        </w:rPr>
        <w:t>Government assistance for over 65s</w:t>
      </w:r>
    </w:p>
    <w:p w14:paraId="09E5CBEF" w14:textId="77777777" w:rsidR="00E4023A" w:rsidRDefault="00E4023A" w:rsidP="00E4023A">
      <w:pPr>
        <w:pStyle w:val="BodyText"/>
        <w:rPr>
          <w:lang w:bidi="fa-IR"/>
        </w:rPr>
      </w:pPr>
      <w:r>
        <w:rPr>
          <w:lang w:bidi="fa-IR"/>
        </w:rPr>
        <w:t>People over the age of 65 are generally not eligible for NDIS funding. However, they are eligible for government funding through various aged care programs.</w:t>
      </w:r>
    </w:p>
    <w:p w14:paraId="4FCD4553" w14:textId="77777777" w:rsidR="00E4023A" w:rsidRDefault="00E4023A" w:rsidP="00E4023A">
      <w:pPr>
        <w:pStyle w:val="Heading4"/>
        <w:rPr>
          <w:lang w:bidi="fa-IR"/>
        </w:rPr>
      </w:pPr>
      <w:r>
        <w:rPr>
          <w:lang w:bidi="fa-IR"/>
        </w:rPr>
        <w:t>Funding for aged care places</w:t>
      </w:r>
    </w:p>
    <w:p w14:paraId="10E94F28" w14:textId="77777777" w:rsidR="00E4023A" w:rsidRDefault="00E4023A" w:rsidP="00E4023A">
      <w:pPr>
        <w:pStyle w:val="BodyText"/>
        <w:rPr>
          <w:lang w:bidi="fa-IR"/>
        </w:rPr>
      </w:pPr>
      <w:r>
        <w:rPr>
          <w:lang w:bidi="fa-IR"/>
        </w:rPr>
        <w:t>Residential aged care, which is partly funded by the Australian Government, is one mechanism through which some older Australians (and some younger Australians) receive accommodation suitable for people with mobility (and other) impairments</w:t>
      </w:r>
      <w:r w:rsidR="00B42FD3">
        <w:rPr>
          <w:lang w:bidi="fa-IR"/>
        </w:rPr>
        <w:t>.</w:t>
      </w:r>
      <w:r>
        <w:rPr>
          <w:lang w:bidi="fa-IR"/>
        </w:rPr>
        <w:t xml:space="preserve"> </w:t>
      </w:r>
      <w:r w:rsidRPr="007461B7">
        <w:rPr>
          <w:lang w:bidi="fa-IR"/>
        </w:rPr>
        <w:t>This type of accommodation is generally only suitable for those who need care as well as accessible accommodation.</w:t>
      </w:r>
    </w:p>
    <w:p w14:paraId="618E6861" w14:textId="77777777" w:rsidR="00E4023A" w:rsidRDefault="00E4023A" w:rsidP="00E4023A">
      <w:pPr>
        <w:pStyle w:val="BodyText"/>
        <w:rPr>
          <w:lang w:bidi="fa-IR"/>
        </w:rPr>
      </w:pPr>
      <w:r>
        <w:rPr>
          <w:lang w:bidi="fa-IR"/>
        </w:rPr>
        <w:lastRenderedPageBreak/>
        <w:t xml:space="preserve">Given that residential aged care typically goes beyond the provision of suitable accommodation, designing more houses consistent with universal design principles will not replace the need for aged care. </w:t>
      </w:r>
      <w:r w:rsidR="00B52931">
        <w:rPr>
          <w:lang w:bidi="fa-IR"/>
        </w:rPr>
        <w:t>However, m</w:t>
      </w:r>
      <w:r>
        <w:rPr>
          <w:lang w:bidi="fa-IR"/>
        </w:rPr>
        <w:t>ore accessible housing may reduce or delay the need for residential aged care to serve the needs of older Australians who may otherwise be able to stay in their own homes for longer (i.e. ageing in place)</w:t>
      </w:r>
      <w:r w:rsidR="00B52931">
        <w:rPr>
          <w:lang w:bidi="fa-IR"/>
        </w:rPr>
        <w:t xml:space="preserve"> – about 95 per cent of older people currently live in residential housing.</w:t>
      </w:r>
      <w:r>
        <w:rPr>
          <w:lang w:bidi="fa-IR"/>
        </w:rPr>
        <w:t xml:space="preserve"> </w:t>
      </w:r>
    </w:p>
    <w:p w14:paraId="2F472995" w14:textId="77777777" w:rsidR="00E4023A" w:rsidRDefault="00E4023A" w:rsidP="00E4023A">
      <w:pPr>
        <w:pStyle w:val="Heading4"/>
        <w:rPr>
          <w:lang w:bidi="fa-IR"/>
        </w:rPr>
      </w:pPr>
      <w:r>
        <w:rPr>
          <w:lang w:bidi="fa-IR"/>
        </w:rPr>
        <w:t>Funding for home modifications</w:t>
      </w:r>
    </w:p>
    <w:p w14:paraId="5812F286" w14:textId="77777777" w:rsidR="00E4023A" w:rsidRDefault="00E4023A" w:rsidP="00E4023A">
      <w:pPr>
        <w:pStyle w:val="BodyText"/>
        <w:rPr>
          <w:lang w:bidi="fa-IR"/>
        </w:rPr>
      </w:pPr>
      <w:r>
        <w:rPr>
          <w:lang w:bidi="fa-IR"/>
        </w:rPr>
        <w:t>For older Australians, government funding is provided for home modifications through the following programs:</w:t>
      </w:r>
      <w:r>
        <w:rPr>
          <w:rStyle w:val="FootnoteReference"/>
          <w:lang w:bidi="fa-IR"/>
        </w:rPr>
        <w:footnoteReference w:id="92"/>
      </w:r>
    </w:p>
    <w:p w14:paraId="69EEDDC3" w14:textId="77777777" w:rsidR="00E4023A" w:rsidRDefault="00E4023A" w:rsidP="00E4023A">
      <w:pPr>
        <w:pStyle w:val="ListBullet"/>
        <w:numPr>
          <w:ilvl w:val="0"/>
          <w:numId w:val="16"/>
        </w:numPr>
        <w:rPr>
          <w:lang w:bidi="fa-IR"/>
        </w:rPr>
      </w:pPr>
      <w:r>
        <w:rPr>
          <w:lang w:bidi="fa-IR"/>
        </w:rPr>
        <w:t>The Commonwealth Home Support Program — this program helps senior Australians access entry</w:t>
      </w:r>
      <w:r>
        <w:rPr>
          <w:lang w:bidi="fa-IR"/>
        </w:rPr>
        <w:noBreakHyphen/>
        <w:t>level support to live independently and safely at home. Home modifications to improve safety and access (such as ramps and rails) are among the services offered.</w:t>
      </w:r>
    </w:p>
    <w:p w14:paraId="0BBE6EF0" w14:textId="77777777" w:rsidR="00E4023A" w:rsidRDefault="00E4023A" w:rsidP="00E4023A">
      <w:pPr>
        <w:pStyle w:val="ListBullet"/>
        <w:numPr>
          <w:ilvl w:val="0"/>
          <w:numId w:val="16"/>
        </w:numPr>
        <w:rPr>
          <w:lang w:bidi="fa-IR"/>
        </w:rPr>
      </w:pPr>
      <w:r>
        <w:rPr>
          <w:lang w:bidi="fa-IR"/>
        </w:rPr>
        <w:t>Home Care Packages — are designed for those with more complex care needs. These packages can include home modifications.</w:t>
      </w:r>
    </w:p>
    <w:p w14:paraId="23B2B2A6" w14:textId="77777777" w:rsidR="005A0B2B" w:rsidRDefault="005A0B2B" w:rsidP="005A0B2B">
      <w:pPr>
        <w:pStyle w:val="BodyText"/>
        <w:rPr>
          <w:lang w:bidi="fa-IR"/>
        </w:rPr>
      </w:pPr>
      <w:r>
        <w:rPr>
          <w:lang w:bidi="fa-IR"/>
        </w:rPr>
        <w:t xml:space="preserve">There is increasing demand for these services. </w:t>
      </w:r>
      <w:r w:rsidR="00AF2698">
        <w:rPr>
          <w:lang w:bidi="fa-IR"/>
        </w:rPr>
        <w:t xml:space="preserve">The </w:t>
      </w:r>
      <w:r>
        <w:rPr>
          <w:lang w:bidi="fa-IR"/>
        </w:rPr>
        <w:t xml:space="preserve">Grattan Institute estimates that the Federal Government </w:t>
      </w:r>
      <w:r w:rsidR="00B42FD3">
        <w:rPr>
          <w:lang w:bidi="fa-IR"/>
        </w:rPr>
        <w:t xml:space="preserve">needs </w:t>
      </w:r>
      <w:r>
        <w:rPr>
          <w:lang w:bidi="fa-IR"/>
        </w:rPr>
        <w:t>to spend 35 per cent more than the current level – an extra $7 billion a year – and even more in coming decades as Australian’s population continues to age.</w:t>
      </w:r>
      <w:r>
        <w:rPr>
          <w:rStyle w:val="FootnoteReference"/>
          <w:lang w:bidi="fa-IR"/>
        </w:rPr>
        <w:footnoteReference w:id="93"/>
      </w:r>
    </w:p>
    <w:p w14:paraId="197C4C65" w14:textId="77777777" w:rsidR="00E4023A" w:rsidRDefault="00E4023A" w:rsidP="00E4023A">
      <w:pPr>
        <w:pStyle w:val="Heading3"/>
        <w:numPr>
          <w:ilvl w:val="2"/>
          <w:numId w:val="5"/>
        </w:numPr>
        <w:rPr>
          <w:lang w:bidi="fa-IR"/>
        </w:rPr>
      </w:pPr>
      <w:r>
        <w:rPr>
          <w:lang w:bidi="fa-IR"/>
        </w:rPr>
        <w:t>No fault motor accident insurance</w:t>
      </w:r>
    </w:p>
    <w:p w14:paraId="508B7A1C" w14:textId="77777777" w:rsidR="00E4023A" w:rsidRPr="00621B32" w:rsidRDefault="00E4023A" w:rsidP="00E4023A">
      <w:pPr>
        <w:pStyle w:val="BodyText"/>
        <w:rPr>
          <w:lang w:bidi="fa-IR"/>
        </w:rPr>
      </w:pPr>
      <w:r>
        <w:rPr>
          <w:lang w:bidi="fa-IR"/>
        </w:rPr>
        <w:t>Most states have compulsory no</w:t>
      </w:r>
      <w:r>
        <w:rPr>
          <w:lang w:bidi="fa-IR"/>
        </w:rPr>
        <w:noBreakHyphen/>
        <w:t>fault accident insurance. This is a funding mechanism to ensure that the needs of people who acquire disability through a motor accident are met. In many cases, these insurance schemes will fund home modifications, or find suitable alternative accommodation for people who have acquired disability through a motor accident.</w:t>
      </w:r>
    </w:p>
    <w:p w14:paraId="11D85F96" w14:textId="77777777" w:rsidR="00E4023A" w:rsidRDefault="00E4023A" w:rsidP="00E4023A">
      <w:pPr>
        <w:pStyle w:val="Heading3"/>
        <w:numPr>
          <w:ilvl w:val="2"/>
          <w:numId w:val="5"/>
        </w:numPr>
        <w:rPr>
          <w:lang w:bidi="fa-IR"/>
        </w:rPr>
      </w:pPr>
      <w:r>
        <w:rPr>
          <w:lang w:bidi="fa-IR"/>
        </w:rPr>
        <w:t>Other government assistance with accommodation</w:t>
      </w:r>
      <w:r w:rsidR="14EEAB5F" w:rsidRPr="7E24893C">
        <w:rPr>
          <w:lang w:bidi="fa-IR"/>
        </w:rPr>
        <w:t xml:space="preserve"> </w:t>
      </w:r>
      <w:r>
        <w:rPr>
          <w:lang w:bidi="fa-IR"/>
        </w:rPr>
        <w:t>related expenses</w:t>
      </w:r>
    </w:p>
    <w:p w14:paraId="34D7C80C" w14:textId="77777777" w:rsidR="00E4023A" w:rsidRDefault="00E4023A" w:rsidP="00E4023A">
      <w:pPr>
        <w:pStyle w:val="BodyText"/>
        <w:rPr>
          <w:lang w:bidi="fa-IR"/>
        </w:rPr>
      </w:pPr>
      <w:r>
        <w:rPr>
          <w:lang w:bidi="fa-IR"/>
        </w:rPr>
        <w:t>Another way that governments assist people with mobility</w:t>
      </w:r>
      <w:r>
        <w:rPr>
          <w:lang w:bidi="fa-IR"/>
        </w:rPr>
        <w:noBreakHyphen/>
        <w:t>related disabilit</w:t>
      </w:r>
      <w:r w:rsidR="00187011">
        <w:rPr>
          <w:lang w:bidi="fa-IR"/>
        </w:rPr>
        <w:t>y</w:t>
      </w:r>
      <w:r>
        <w:rPr>
          <w:lang w:bidi="fa-IR"/>
        </w:rPr>
        <w:t xml:space="preserve"> to access housing (including accessible housing) is through direct financial assistance. </w:t>
      </w:r>
      <w:r w:rsidR="00203EA4">
        <w:rPr>
          <w:lang w:bidi="fa-IR"/>
        </w:rPr>
        <w:t>For example,</w:t>
      </w:r>
      <w:r>
        <w:rPr>
          <w:lang w:bidi="fa-IR"/>
        </w:rPr>
        <w:t xml:space="preserve"> people with mobility</w:t>
      </w:r>
      <w:r>
        <w:rPr>
          <w:lang w:bidi="fa-IR"/>
        </w:rPr>
        <w:noBreakHyphen/>
        <w:t>related disabilit</w:t>
      </w:r>
      <w:r w:rsidR="008F5B2D">
        <w:rPr>
          <w:lang w:bidi="fa-IR"/>
        </w:rPr>
        <w:t>y</w:t>
      </w:r>
      <w:r>
        <w:rPr>
          <w:lang w:bidi="fa-IR"/>
        </w:rPr>
        <w:t xml:space="preserve"> may be eligible for Commonwealth Rent Assistance, which is an income supplement payable to eligible people who rent in the private rental market or community housing.</w:t>
      </w:r>
      <w:r>
        <w:rPr>
          <w:rStyle w:val="FootnoteReference"/>
          <w:lang w:bidi="fa-IR"/>
        </w:rPr>
        <w:footnoteReference w:id="94"/>
      </w:r>
    </w:p>
    <w:p w14:paraId="552243EF" w14:textId="77777777" w:rsidR="00E4023A" w:rsidRDefault="00E4023A" w:rsidP="00E4023A">
      <w:pPr>
        <w:pStyle w:val="Heading3"/>
        <w:numPr>
          <w:ilvl w:val="2"/>
          <w:numId w:val="5"/>
        </w:numPr>
        <w:rPr>
          <w:lang w:bidi="fa-IR"/>
        </w:rPr>
      </w:pPr>
      <w:r>
        <w:rPr>
          <w:lang w:bidi="fa-IR"/>
        </w:rPr>
        <w:lastRenderedPageBreak/>
        <w:t>Voluntary certification scheme</w:t>
      </w:r>
    </w:p>
    <w:p w14:paraId="1E94FDEB" w14:textId="77777777" w:rsidR="00E4023A" w:rsidRDefault="00E4023A" w:rsidP="00E4023A">
      <w:pPr>
        <w:pStyle w:val="BodyText"/>
        <w:rPr>
          <w:lang w:bidi="fa-IR"/>
        </w:rPr>
      </w:pPr>
      <w:r>
        <w:rPr>
          <w:lang w:bidi="fa-IR"/>
        </w:rPr>
        <w:t>Livable Housing Australia</w:t>
      </w:r>
      <w:r w:rsidR="00F04174">
        <w:rPr>
          <w:lang w:bidi="fa-IR"/>
        </w:rPr>
        <w:t xml:space="preserve"> (LHA)</w:t>
      </w:r>
      <w:r>
        <w:rPr>
          <w:lang w:bidi="fa-IR"/>
        </w:rPr>
        <w:t xml:space="preserve"> administers a voluntary certification scheme whereby homes can be certified as being compliant with LHDG silver, gold or platinum standard.</w:t>
      </w:r>
    </w:p>
    <w:p w14:paraId="54DDEEE5" w14:textId="77777777" w:rsidR="00E4023A" w:rsidRDefault="00E4023A" w:rsidP="00E4023A">
      <w:pPr>
        <w:pStyle w:val="Heading3"/>
        <w:numPr>
          <w:ilvl w:val="2"/>
          <w:numId w:val="5"/>
        </w:numPr>
        <w:rPr>
          <w:lang w:bidi="fa-IR"/>
        </w:rPr>
      </w:pPr>
      <w:r>
        <w:rPr>
          <w:lang w:bidi="fa-IR"/>
        </w:rPr>
        <w:t>Other services</w:t>
      </w:r>
    </w:p>
    <w:p w14:paraId="6122AED1" w14:textId="4E82D414" w:rsidR="00E4023A" w:rsidRDefault="00E4023A" w:rsidP="00E4023A">
      <w:pPr>
        <w:pStyle w:val="BodyText"/>
        <w:rPr>
          <w:lang w:bidi="fa-IR"/>
        </w:rPr>
      </w:pPr>
      <w:r>
        <w:rPr>
          <w:lang w:bidi="fa-IR"/>
        </w:rPr>
        <w:t>There are a range of other services available to people seeking accessible housing provided by private organisations, including community groups, some of which may receive some government funding (table </w:t>
      </w:r>
      <w:r w:rsidR="00587754">
        <w:rPr>
          <w:lang w:bidi="fa-IR"/>
        </w:rPr>
        <w:t>3.13</w:t>
      </w:r>
      <w:r>
        <w:rPr>
          <w:lang w:bidi="fa-IR"/>
        </w:rPr>
        <w:t>).</w:t>
      </w:r>
    </w:p>
    <w:p w14:paraId="0A9969C9" w14:textId="3897CE45" w:rsidR="00E4023A" w:rsidRDefault="00076C9B" w:rsidP="00E4023A">
      <w:pPr>
        <w:pStyle w:val="Caption"/>
      </w:pPr>
      <w:bookmarkStart w:id="161" w:name="_Toc24977948"/>
      <w:bookmarkStart w:id="162" w:name="_Toc32321801"/>
      <w:bookmarkStart w:id="163" w:name="_Toc44598494"/>
      <w:bookmarkStart w:id="164" w:name="_Toc44695866"/>
      <w:bookmarkStart w:id="165" w:name="_Toc57643596"/>
      <w:bookmarkStart w:id="166" w:name="_Toc70505512"/>
      <w:r>
        <w:t>3.13</w:t>
      </w:r>
      <w:r w:rsidR="00E4023A" w:rsidRPr="00695C93">
        <w:tab/>
      </w:r>
      <w:r w:rsidR="00E4023A">
        <w:t>Summary of other services</w:t>
      </w:r>
      <w:bookmarkEnd w:id="161"/>
      <w:bookmarkEnd w:id="162"/>
      <w:bookmarkEnd w:id="163"/>
      <w:bookmarkEnd w:id="164"/>
      <w:bookmarkEnd w:id="165"/>
      <w:bookmarkEnd w:id="166"/>
    </w:p>
    <w:tbl>
      <w:tblPr>
        <w:tblW w:w="0" w:type="auto"/>
        <w:tblLayout w:type="fixed"/>
        <w:tblLook w:val="0000" w:firstRow="0" w:lastRow="0" w:firstColumn="0" w:lastColumn="0" w:noHBand="0" w:noVBand="0"/>
        <w:tblCaption w:val="Table 3.13: Summary of other services"/>
        <w:tblDescription w:val="Table 3.13 table lists private organisations, which states they operate in, and the services they provide to people seeking accessible housing."/>
      </w:tblPr>
      <w:tblGrid>
        <w:gridCol w:w="2645"/>
        <w:gridCol w:w="2646"/>
        <w:gridCol w:w="2646"/>
      </w:tblGrid>
      <w:tr w:rsidR="00E4023A" w14:paraId="3D9D0032" w14:textId="77777777" w:rsidTr="005B0289">
        <w:trPr>
          <w:tblHeader/>
        </w:trPr>
        <w:tc>
          <w:tcPr>
            <w:tcW w:w="2645" w:type="dxa"/>
            <w:tcBorders>
              <w:bottom w:val="single" w:sz="8" w:space="0" w:color="FFFFFF" w:themeColor="background1"/>
            </w:tcBorders>
            <w:shd w:val="clear" w:color="auto" w:fill="6F6652"/>
            <w:tcMar>
              <w:left w:w="57" w:type="dxa"/>
              <w:right w:w="57" w:type="dxa"/>
            </w:tcMar>
          </w:tcPr>
          <w:p w14:paraId="3A7C000A" w14:textId="77777777" w:rsidR="00E4023A" w:rsidRDefault="00E4023A" w:rsidP="005B0289">
            <w:pPr>
              <w:pStyle w:val="TableTextColumnHeading"/>
              <w:rPr>
                <w:lang w:bidi="fa-IR"/>
              </w:rPr>
            </w:pPr>
            <w:r>
              <w:rPr>
                <w:lang w:bidi="fa-IR"/>
              </w:rPr>
              <w:t>Organisation</w:t>
            </w:r>
          </w:p>
        </w:tc>
        <w:tc>
          <w:tcPr>
            <w:tcW w:w="2646" w:type="dxa"/>
            <w:tcBorders>
              <w:bottom w:val="single" w:sz="8" w:space="0" w:color="FFFFFF" w:themeColor="background1"/>
            </w:tcBorders>
            <w:shd w:val="clear" w:color="auto" w:fill="6F6652"/>
            <w:tcMar>
              <w:left w:w="57" w:type="dxa"/>
              <w:right w:w="57" w:type="dxa"/>
            </w:tcMar>
          </w:tcPr>
          <w:p w14:paraId="421A4611" w14:textId="77777777" w:rsidR="00E4023A" w:rsidRDefault="00E4023A" w:rsidP="005B0289">
            <w:pPr>
              <w:pStyle w:val="TableTextColumnHeading"/>
              <w:rPr>
                <w:lang w:bidi="fa-IR"/>
              </w:rPr>
            </w:pPr>
            <w:r>
              <w:rPr>
                <w:lang w:bidi="fa-IR"/>
              </w:rPr>
              <w:t>States</w:t>
            </w:r>
          </w:p>
        </w:tc>
        <w:tc>
          <w:tcPr>
            <w:tcW w:w="2646" w:type="dxa"/>
            <w:tcBorders>
              <w:bottom w:val="single" w:sz="8" w:space="0" w:color="FFFFFF" w:themeColor="background1"/>
            </w:tcBorders>
            <w:shd w:val="clear" w:color="auto" w:fill="6F6652"/>
            <w:tcMar>
              <w:left w:w="57" w:type="dxa"/>
              <w:right w:w="57" w:type="dxa"/>
            </w:tcMar>
          </w:tcPr>
          <w:p w14:paraId="04FECA21" w14:textId="77777777" w:rsidR="00E4023A" w:rsidRDefault="00E4023A" w:rsidP="005B0289">
            <w:pPr>
              <w:pStyle w:val="TableTextColumnHeading"/>
              <w:rPr>
                <w:lang w:bidi="fa-IR"/>
              </w:rPr>
            </w:pPr>
            <w:r>
              <w:rPr>
                <w:lang w:bidi="fa-IR"/>
              </w:rPr>
              <w:t>Summary of services</w:t>
            </w:r>
          </w:p>
        </w:tc>
      </w:tr>
      <w:tr w:rsidR="00E4023A" w14:paraId="6AF6AD0E"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1D5E72" w14:textId="77777777" w:rsidR="00E4023A" w:rsidRDefault="00E4023A" w:rsidP="005B0289">
            <w:pPr>
              <w:pStyle w:val="TableTextEntries"/>
              <w:rPr>
                <w:lang w:bidi="fa-IR"/>
              </w:rPr>
            </w:pPr>
            <w:r>
              <w:rPr>
                <w:lang w:bidi="fa-IR"/>
              </w:rPr>
              <w:t>Disability Housing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BD24EA"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3DF542" w14:textId="77777777" w:rsidR="00E4023A" w:rsidRDefault="00E4023A" w:rsidP="005B0289">
            <w:pPr>
              <w:pStyle w:val="TableTextEntries"/>
              <w:rPr>
                <w:lang w:bidi="fa-IR"/>
              </w:rPr>
            </w:pPr>
            <w:r>
              <w:rPr>
                <w:lang w:bidi="fa-IR"/>
              </w:rPr>
              <w:t>Listings of rental housing, houses for sale and disability housing projects</w:t>
            </w:r>
          </w:p>
        </w:tc>
      </w:tr>
      <w:tr w:rsidR="00E4023A" w14:paraId="579A77DE"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59E840" w14:textId="77777777" w:rsidR="00E4023A" w:rsidRDefault="00E4023A" w:rsidP="005B0289">
            <w:pPr>
              <w:pStyle w:val="TableTextEntries"/>
              <w:rPr>
                <w:lang w:bidi="fa-IR"/>
              </w:rPr>
            </w:pPr>
            <w:r>
              <w:rPr>
                <w:lang w:bidi="fa-IR"/>
              </w:rPr>
              <w:t>The Housing Hub</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2FA3F5"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B1DD80" w14:textId="77777777" w:rsidR="00E4023A" w:rsidRDefault="00E4023A" w:rsidP="005B0289">
            <w:pPr>
              <w:pStyle w:val="TableTextEntries"/>
              <w:rPr>
                <w:lang w:bidi="fa-IR"/>
              </w:rPr>
            </w:pPr>
            <w:r>
              <w:rPr>
                <w:lang w:bidi="fa-IR"/>
              </w:rPr>
              <w:t>Lists SDA and supported accommodation.</w:t>
            </w:r>
          </w:p>
          <w:p w14:paraId="608B35C4" w14:textId="77777777" w:rsidR="00E4023A" w:rsidRDefault="00E4023A" w:rsidP="005B0289">
            <w:pPr>
              <w:pStyle w:val="TableTextEntries"/>
              <w:rPr>
                <w:lang w:bidi="fa-IR"/>
              </w:rPr>
            </w:pPr>
            <w:r>
              <w:rPr>
                <w:lang w:bidi="fa-IR"/>
              </w:rPr>
              <w:t>Also lists some private rentals.</w:t>
            </w:r>
          </w:p>
        </w:tc>
      </w:tr>
      <w:tr w:rsidR="00E4023A" w14:paraId="5B33F90D"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56D6B" w14:textId="77777777" w:rsidR="00E4023A" w:rsidRDefault="00E4023A" w:rsidP="005B0289">
            <w:pPr>
              <w:pStyle w:val="TableTextEntries"/>
              <w:rPr>
                <w:lang w:bidi="fa-IR"/>
              </w:rPr>
            </w:pPr>
            <w:r>
              <w:rPr>
                <w:lang w:bidi="fa-IR"/>
              </w:rPr>
              <w:t>Nest</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737FAE"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F61FEF" w14:textId="77777777" w:rsidR="00E4023A" w:rsidRDefault="00E4023A" w:rsidP="005B0289">
            <w:pPr>
              <w:pStyle w:val="TableTextEntries"/>
              <w:rPr>
                <w:lang w:bidi="fa-IR"/>
              </w:rPr>
            </w:pPr>
            <w:r>
              <w:rPr>
                <w:lang w:bidi="fa-IR"/>
              </w:rPr>
              <w:t>Matches people with disability with houses that suit their funding, support and personal needs.</w:t>
            </w:r>
          </w:p>
        </w:tc>
      </w:tr>
      <w:tr w:rsidR="00E4023A" w14:paraId="19A81861"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E650D8" w14:textId="77777777" w:rsidR="00E4023A" w:rsidRDefault="00E4023A" w:rsidP="005B0289">
            <w:pPr>
              <w:pStyle w:val="TableTextEntries"/>
              <w:rPr>
                <w:lang w:bidi="fa-IR"/>
              </w:rPr>
            </w:pPr>
            <w:r>
              <w:rPr>
                <w:lang w:bidi="fa-IR"/>
              </w:rPr>
              <w:t>Housing Choices Australia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B8689A" w14:textId="77777777" w:rsidR="00E4023A" w:rsidRDefault="00E4023A" w:rsidP="005B0289">
            <w:pPr>
              <w:pStyle w:val="TableTextEntries"/>
              <w:rPr>
                <w:lang w:bidi="fa-IR"/>
              </w:rPr>
            </w:pPr>
            <w:r>
              <w:rPr>
                <w:lang w:bidi="fa-IR"/>
              </w:rPr>
              <w:t>Victoria</w:t>
            </w:r>
          </w:p>
          <w:p w14:paraId="6E91B8C7" w14:textId="77777777" w:rsidR="00E4023A" w:rsidRDefault="00E4023A" w:rsidP="005B0289">
            <w:pPr>
              <w:pStyle w:val="TableTextEntries"/>
              <w:rPr>
                <w:lang w:bidi="fa-IR"/>
              </w:rPr>
            </w:pPr>
            <w:r>
              <w:rPr>
                <w:lang w:bidi="fa-IR"/>
              </w:rPr>
              <w:t>Tasmania</w:t>
            </w:r>
          </w:p>
          <w:p w14:paraId="676AAC84" w14:textId="77777777" w:rsidR="00E4023A" w:rsidRDefault="00E4023A" w:rsidP="005B0289">
            <w:pPr>
              <w:pStyle w:val="TableTextEntries"/>
              <w:rPr>
                <w:lang w:bidi="fa-IR"/>
              </w:rPr>
            </w:pPr>
            <w:r>
              <w:rPr>
                <w:lang w:bidi="fa-IR"/>
              </w:rPr>
              <w:t>South Australia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693878" w14:textId="77777777" w:rsidR="00E4023A" w:rsidRDefault="00E4023A" w:rsidP="005B0289">
            <w:pPr>
              <w:pStyle w:val="TableTextEntries"/>
              <w:rPr>
                <w:lang w:bidi="fa-IR"/>
              </w:rPr>
            </w:pPr>
            <w:r>
              <w:rPr>
                <w:lang w:bidi="fa-IR"/>
              </w:rPr>
              <w:t>Not for profit group that houses people with disability in city and country areas.</w:t>
            </w:r>
          </w:p>
        </w:tc>
      </w:tr>
      <w:tr w:rsidR="00E4023A" w14:paraId="39F002F8"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BC1156" w14:textId="77777777" w:rsidR="00E4023A" w:rsidRDefault="00E4023A" w:rsidP="005B0289">
            <w:pPr>
              <w:pStyle w:val="TableTextEntries"/>
              <w:rPr>
                <w:lang w:bidi="fa-IR"/>
              </w:rPr>
            </w:pPr>
            <w:r>
              <w:rPr>
                <w:lang w:bidi="fa-IR"/>
              </w:rPr>
              <w:t>The Endeavour Foundation</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F207C1" w14:textId="77777777" w:rsidR="00E4023A" w:rsidRDefault="00E4023A" w:rsidP="005B0289">
            <w:pPr>
              <w:pStyle w:val="TableTextEntries"/>
              <w:rPr>
                <w:lang w:bidi="fa-IR"/>
              </w:rPr>
            </w:pPr>
            <w:r>
              <w:rPr>
                <w:lang w:bidi="fa-IR"/>
              </w:rPr>
              <w:t>Queensland</w:t>
            </w:r>
          </w:p>
          <w:p w14:paraId="45204616" w14:textId="77777777" w:rsidR="00E4023A" w:rsidRDefault="00E4023A" w:rsidP="005B0289">
            <w:pPr>
              <w:pStyle w:val="TableTextEntries"/>
              <w:rPr>
                <w:lang w:bidi="fa-IR"/>
              </w:rPr>
            </w:pPr>
            <w:r>
              <w:rPr>
                <w:lang w:bidi="fa-IR"/>
              </w:rPr>
              <w:t>Victoria</w:t>
            </w:r>
          </w:p>
          <w:p w14:paraId="022DA512" w14:textId="77777777" w:rsidR="00E4023A" w:rsidRDefault="00E4023A" w:rsidP="005B0289">
            <w:pPr>
              <w:pStyle w:val="TableTextEntries"/>
              <w:rPr>
                <w:lang w:bidi="fa-IR"/>
              </w:rPr>
            </w:pPr>
            <w:r>
              <w:rPr>
                <w:lang w:bidi="fa-IR"/>
              </w:rPr>
              <w:t>New South Wales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22464F" w14:textId="77777777" w:rsidR="00E4023A" w:rsidRDefault="00E4023A" w:rsidP="005B0289">
            <w:pPr>
              <w:pStyle w:val="TableTextEntries"/>
              <w:rPr>
                <w:lang w:bidi="fa-IR"/>
              </w:rPr>
            </w:pPr>
            <w:r>
              <w:rPr>
                <w:lang w:bidi="fa-IR"/>
              </w:rPr>
              <w:t>A range of housing options where people get help to live on their own.</w:t>
            </w:r>
          </w:p>
        </w:tc>
      </w:tr>
      <w:tr w:rsidR="00E4023A" w14:paraId="7D3559D1"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AEAC66" w14:textId="77777777" w:rsidR="00E4023A" w:rsidRDefault="00E4023A" w:rsidP="005B0289">
            <w:pPr>
              <w:pStyle w:val="TableTextEntries"/>
              <w:rPr>
                <w:lang w:bidi="fa-IR"/>
              </w:rPr>
            </w:pPr>
            <w:r>
              <w:rPr>
                <w:lang w:bidi="fa-IR"/>
              </w:rPr>
              <w:t>Freedom Housing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18A9C3"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35561D" w14:textId="77777777" w:rsidR="00E4023A" w:rsidRDefault="00E4023A" w:rsidP="005B0289">
            <w:pPr>
              <w:pStyle w:val="TableTextEntries"/>
              <w:rPr>
                <w:lang w:bidi="fa-IR"/>
              </w:rPr>
            </w:pPr>
            <w:r>
              <w:rPr>
                <w:lang w:bidi="fa-IR"/>
              </w:rPr>
              <w:t>Makes it possible for people with disability to live in a house or apartment with their partner, children, extended family, friends, housemates, or on their own with around the clock support as required.</w:t>
            </w:r>
          </w:p>
        </w:tc>
      </w:tr>
      <w:tr w:rsidR="00E4023A" w14:paraId="3854F3E6"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C3AB7A" w14:textId="77777777" w:rsidR="00E4023A" w:rsidRDefault="00E4023A" w:rsidP="005B0289">
            <w:pPr>
              <w:pStyle w:val="TableTextEntries"/>
              <w:rPr>
                <w:lang w:bidi="fa-IR"/>
              </w:rPr>
            </w:pPr>
            <w:r>
              <w:rPr>
                <w:lang w:bidi="fa-IR"/>
              </w:rPr>
              <w:t>Accessible Housing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96273C" w14:textId="77777777" w:rsidR="00E4023A" w:rsidRDefault="00E4023A" w:rsidP="005B0289">
            <w:pPr>
              <w:pStyle w:val="TableTextEntries"/>
              <w:rPr>
                <w:lang w:bidi="fa-IR"/>
              </w:rPr>
            </w:pPr>
            <w:r>
              <w:rPr>
                <w:lang w:bidi="fa-IR"/>
              </w:rPr>
              <w:t>South Australia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6C0051" w14:textId="77777777" w:rsidR="00E4023A" w:rsidRDefault="00E4023A" w:rsidP="005B0289">
            <w:pPr>
              <w:pStyle w:val="TableTextEntries"/>
              <w:rPr>
                <w:lang w:bidi="fa-IR"/>
              </w:rPr>
            </w:pPr>
            <w:r>
              <w:rPr>
                <w:lang w:bidi="fa-IR"/>
              </w:rPr>
              <w:t>Not for profit group that helps people with disability find affordable housing.</w:t>
            </w:r>
          </w:p>
        </w:tc>
      </w:tr>
      <w:tr w:rsidR="00E4023A" w14:paraId="3D944617" w14:textId="77777777" w:rsidTr="005B0289">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1D9B8B" w14:textId="77777777" w:rsidR="00E4023A" w:rsidRDefault="00E4023A" w:rsidP="005B0289">
            <w:pPr>
              <w:pStyle w:val="TableTextEntries"/>
              <w:rPr>
                <w:lang w:bidi="fa-IR"/>
              </w:rPr>
            </w:pPr>
            <w:r>
              <w:rPr>
                <w:lang w:bidi="fa-IR"/>
              </w:rPr>
              <w:t>E-bility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E4E6EF"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7C2496" w14:textId="77777777" w:rsidR="00E4023A" w:rsidRDefault="00E4023A" w:rsidP="005B0289">
            <w:pPr>
              <w:pStyle w:val="TableTextEntries"/>
              <w:rPr>
                <w:lang w:bidi="fa-IR"/>
              </w:rPr>
            </w:pPr>
            <w:r>
              <w:rPr>
                <w:lang w:bidi="fa-IR"/>
              </w:rPr>
              <w:t>Advertises wheelchair accessible properties</w:t>
            </w:r>
          </w:p>
        </w:tc>
      </w:tr>
      <w:tr w:rsidR="00E4023A" w14:paraId="74773775" w14:textId="77777777" w:rsidTr="005B0289">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7C51B1A6" w14:textId="77777777" w:rsidR="00E4023A" w:rsidRDefault="00E4023A" w:rsidP="005B0289">
            <w:pPr>
              <w:pStyle w:val="TableTextEntries"/>
              <w:rPr>
                <w:lang w:bidi="fa-IR"/>
              </w:rPr>
            </w:pPr>
            <w:r>
              <w:rPr>
                <w:lang w:bidi="fa-IR"/>
              </w:rPr>
              <w:t>Home Hunters Relocation</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65193094" w14:textId="77777777" w:rsidR="00E4023A" w:rsidRDefault="00E4023A" w:rsidP="005B0289">
            <w:pPr>
              <w:pStyle w:val="TableTextEntries"/>
              <w:rPr>
                <w:lang w:bidi="fa-IR"/>
              </w:rPr>
            </w:pPr>
            <w:r>
              <w:rPr>
                <w:lang w:bidi="fa-IR"/>
              </w:rPr>
              <w:t>All States</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12698099" w14:textId="77777777" w:rsidR="00E4023A" w:rsidRDefault="00E4023A" w:rsidP="005B0289">
            <w:pPr>
              <w:pStyle w:val="TableTextEntries"/>
              <w:rPr>
                <w:lang w:bidi="fa-IR"/>
              </w:rPr>
            </w:pPr>
            <w:r>
              <w:rPr>
                <w:lang w:bidi="fa-IR"/>
              </w:rPr>
              <w:t>Can assist to find accessible housing</w:t>
            </w:r>
          </w:p>
        </w:tc>
      </w:tr>
    </w:tbl>
    <w:p w14:paraId="1C978775" w14:textId="77777777" w:rsidR="00E4023A" w:rsidRDefault="00E4023A" w:rsidP="009B72BA">
      <w:pPr>
        <w:pStyle w:val="Note"/>
        <w:rPr>
          <w:lang w:bidi="fa-IR"/>
        </w:rPr>
      </w:pPr>
      <w:r w:rsidRPr="009B72BA">
        <w:rPr>
          <w:lang w:bidi="fa-IR"/>
        </w:rPr>
        <w:t>Source:</w:t>
      </w:r>
      <w:r>
        <w:rPr>
          <w:lang w:bidi="fa-IR"/>
        </w:rPr>
        <w:t xml:space="preserve"> Spinal Cord Injuries Australia website</w:t>
      </w:r>
      <w:r w:rsidRPr="00851588">
        <w:rPr>
          <w:lang w:bidi="fa-IR"/>
        </w:rPr>
        <w:t xml:space="preserve">, </w:t>
      </w:r>
      <w:hyperlink r:id="rId34" w:tooltip="More information can be found at the website via this link" w:history="1">
        <w:r w:rsidRPr="00851588">
          <w:rPr>
            <w:lang w:bidi="fa-IR"/>
          </w:rPr>
          <w:t>https://scia.org.au/accessible-housing/</w:t>
        </w:r>
      </w:hyperlink>
      <w:r w:rsidRPr="009B72BA">
        <w:rPr>
          <w:rFonts w:eastAsiaTheme="minorEastAsia"/>
          <w:lang w:bidi="fa-IR"/>
        </w:rPr>
        <w:t>, accessed 14 October 2019.</w:t>
      </w:r>
    </w:p>
    <w:p w14:paraId="7C344208" w14:textId="77777777" w:rsidR="00E4023A" w:rsidRDefault="00E4023A" w:rsidP="00E4023A">
      <w:pPr>
        <w:pStyle w:val="Heading2"/>
        <w:numPr>
          <w:ilvl w:val="1"/>
          <w:numId w:val="5"/>
        </w:numPr>
        <w:rPr>
          <w:lang w:bidi="fa-IR"/>
        </w:rPr>
      </w:pPr>
      <w:bookmarkStart w:id="167" w:name="_Toc32321748"/>
      <w:bookmarkStart w:id="168" w:name="_Toc44598436"/>
      <w:bookmarkStart w:id="169" w:name="_Toc44696043"/>
      <w:bookmarkStart w:id="170" w:name="_Toc45654067"/>
      <w:bookmarkStart w:id="171" w:name="_Toc70505098"/>
      <w:bookmarkStart w:id="172" w:name="_Toc24977926"/>
      <w:r>
        <w:rPr>
          <w:lang w:bidi="fa-IR"/>
        </w:rPr>
        <w:t>Housing outcomes under current policy settings</w:t>
      </w:r>
      <w:bookmarkEnd w:id="167"/>
      <w:bookmarkEnd w:id="168"/>
      <w:bookmarkEnd w:id="169"/>
      <w:bookmarkEnd w:id="170"/>
      <w:bookmarkEnd w:id="171"/>
    </w:p>
    <w:p w14:paraId="7BD62563" w14:textId="138C7EE0" w:rsidR="00E4023A" w:rsidDel="00430366" w:rsidRDefault="00E4023A" w:rsidP="00E4023A">
      <w:pPr>
        <w:pStyle w:val="BodyText"/>
        <w:rPr>
          <w:lang w:eastAsia="en-US" w:bidi="fa-IR"/>
        </w:rPr>
      </w:pPr>
      <w:r w:rsidDel="00430366">
        <w:rPr>
          <w:lang w:eastAsia="en-US" w:bidi="fa-IR"/>
        </w:rPr>
        <w:t>The type of dwellings</w:t>
      </w:r>
      <w:r>
        <w:rPr>
          <w:lang w:eastAsia="en-US" w:bidi="fa-IR"/>
        </w:rPr>
        <w:t xml:space="preserve"> </w:t>
      </w:r>
      <w:r w:rsidDel="00430366">
        <w:rPr>
          <w:lang w:eastAsia="en-US" w:bidi="fa-IR"/>
        </w:rPr>
        <w:t>people identified as having mobility</w:t>
      </w:r>
      <w:r>
        <w:rPr>
          <w:lang w:eastAsia="en-US" w:bidi="fa-IR"/>
        </w:rPr>
        <w:noBreakHyphen/>
        <w:t>related disabilit</w:t>
      </w:r>
      <w:r w:rsidR="00F04174">
        <w:rPr>
          <w:lang w:eastAsia="en-US" w:bidi="fa-IR"/>
        </w:rPr>
        <w:t>y</w:t>
      </w:r>
      <w:r>
        <w:rPr>
          <w:lang w:eastAsia="en-US" w:bidi="fa-IR"/>
        </w:rPr>
        <w:t xml:space="preserve"> </w:t>
      </w:r>
      <w:r w:rsidDel="00430366">
        <w:rPr>
          <w:lang w:eastAsia="en-US" w:bidi="fa-IR"/>
        </w:rPr>
        <w:t>are currently residing in is shown in table </w:t>
      </w:r>
      <w:r w:rsidR="00587754">
        <w:rPr>
          <w:lang w:eastAsia="en-US" w:bidi="fa-IR"/>
        </w:rPr>
        <w:t>3.14</w:t>
      </w:r>
      <w:r w:rsidDel="00430366">
        <w:rPr>
          <w:lang w:eastAsia="en-US" w:bidi="fa-IR"/>
        </w:rPr>
        <w:t xml:space="preserve">. According to the 2018 SDAC, around </w:t>
      </w:r>
      <w:r w:rsidRPr="005C3997" w:rsidDel="00430366">
        <w:rPr>
          <w:lang w:eastAsia="en-US" w:bidi="fa-IR"/>
        </w:rPr>
        <w:t xml:space="preserve">92 per cent </w:t>
      </w:r>
      <w:r w:rsidRPr="005C3997">
        <w:rPr>
          <w:lang w:eastAsia="en-US" w:bidi="fa-IR"/>
        </w:rPr>
        <w:t xml:space="preserve">of </w:t>
      </w:r>
      <w:r w:rsidRPr="005C3997">
        <w:rPr>
          <w:lang w:eastAsia="en-US" w:bidi="fa-IR"/>
        </w:rPr>
        <w:lastRenderedPageBreak/>
        <w:t xml:space="preserve">people with mobility limitation </w:t>
      </w:r>
      <w:r w:rsidRPr="005C3997" w:rsidDel="00430366">
        <w:rPr>
          <w:lang w:eastAsia="en-US" w:bidi="fa-IR"/>
        </w:rPr>
        <w:t>are living in private dwellings, including around 75 per cent in separate houses.</w:t>
      </w:r>
    </w:p>
    <w:p w14:paraId="61654A2A" w14:textId="65F4E428" w:rsidR="00E4023A" w:rsidDel="00430366" w:rsidRDefault="00076C9B" w:rsidP="00E4023A">
      <w:pPr>
        <w:pStyle w:val="Caption"/>
      </w:pPr>
      <w:bookmarkStart w:id="173" w:name="_Toc32321802"/>
      <w:bookmarkStart w:id="174" w:name="_Toc44598495"/>
      <w:bookmarkStart w:id="175" w:name="_Toc44695867"/>
      <w:bookmarkStart w:id="176" w:name="_Toc57643597"/>
      <w:bookmarkStart w:id="177" w:name="_Toc70505513"/>
      <w:r>
        <w:t>3.14</w:t>
      </w:r>
      <w:r w:rsidR="00E4023A" w:rsidRPr="00695C93" w:rsidDel="00430366">
        <w:tab/>
      </w:r>
      <w:r w:rsidR="00E4023A" w:rsidDel="00430366">
        <w:t>Type of dwelling</w:t>
      </w:r>
      <w:bookmarkEnd w:id="173"/>
      <w:bookmarkEnd w:id="174"/>
      <w:bookmarkEnd w:id="175"/>
      <w:bookmarkEnd w:id="176"/>
      <w:bookmarkEnd w:id="177"/>
    </w:p>
    <w:tbl>
      <w:tblPr>
        <w:tblW w:w="7937" w:type="dxa"/>
        <w:tblLayout w:type="fixed"/>
        <w:tblLook w:val="0000" w:firstRow="0" w:lastRow="0" w:firstColumn="0" w:lastColumn="0" w:noHBand="0" w:noVBand="0"/>
        <w:tblCaption w:val="Table 3.14: Type of dwelling"/>
        <w:tblDescription w:val="This table lists the types of dwellings, divided into Establishments (hospitals, aged care homes and accommodation for retired/aged people) and Private dwellings (separate house, townhouse, flat/apartment and other). The numbers of people in the age groups 0-14 years, 15-64 years, and 65+ years are listed for each type of dwelling. The total number of people living in each type of dwelling is also given as a percentage of the total number of people with a mobility limitation. Over 92% of people with a mobility limitation live in private dwellings."/>
      </w:tblPr>
      <w:tblGrid>
        <w:gridCol w:w="2839"/>
        <w:gridCol w:w="1020"/>
        <w:gridCol w:w="1019"/>
        <w:gridCol w:w="1020"/>
        <w:gridCol w:w="1020"/>
        <w:gridCol w:w="1019"/>
      </w:tblGrid>
      <w:tr w:rsidR="00DB7694" w:rsidRPr="00CE3411" w:rsidDel="00430366" w14:paraId="463FEDE2" w14:textId="77777777" w:rsidTr="00D13F4A">
        <w:trPr>
          <w:trHeight w:val="230"/>
          <w:tblHeader/>
        </w:trPr>
        <w:tc>
          <w:tcPr>
            <w:tcW w:w="2839" w:type="dxa"/>
            <w:shd w:val="clear" w:color="auto" w:fill="6F6652"/>
            <w:tcMar>
              <w:left w:w="57" w:type="dxa"/>
              <w:right w:w="57" w:type="dxa"/>
            </w:tcMar>
          </w:tcPr>
          <w:p w14:paraId="05DB0933" w14:textId="77777777" w:rsidR="00DB7694" w:rsidRPr="00CE3411" w:rsidDel="00430366" w:rsidRDefault="000A0E83" w:rsidP="005B0289">
            <w:pPr>
              <w:pStyle w:val="TableDataColumnHeading"/>
              <w:jc w:val="left"/>
              <w:rPr>
                <w:lang w:val="en-GB"/>
              </w:rPr>
            </w:pPr>
            <w:r>
              <w:rPr>
                <w:lang w:val="en-GB"/>
              </w:rPr>
              <w:t>Type of dwelling</w:t>
            </w:r>
          </w:p>
        </w:tc>
        <w:tc>
          <w:tcPr>
            <w:tcW w:w="1020" w:type="dxa"/>
            <w:shd w:val="clear" w:color="auto" w:fill="6F6652"/>
            <w:tcMar>
              <w:left w:w="57" w:type="dxa"/>
              <w:right w:w="57" w:type="dxa"/>
            </w:tcMar>
          </w:tcPr>
          <w:p w14:paraId="3EFC9822" w14:textId="77777777" w:rsidR="00DB7694" w:rsidRPr="00CE3411" w:rsidDel="00430366" w:rsidRDefault="00DB7694" w:rsidP="005B0289">
            <w:pPr>
              <w:pStyle w:val="TableDataColumnHeading"/>
              <w:rPr>
                <w:lang w:val="en-GB"/>
              </w:rPr>
            </w:pPr>
            <w:r w:rsidRPr="00CE3411" w:rsidDel="00430366">
              <w:rPr>
                <w:lang w:val="en-GB"/>
              </w:rPr>
              <w:t>0</w:t>
            </w:r>
            <w:r w:rsidR="009B6423">
              <w:rPr>
                <w:lang w:val="en-GB"/>
              </w:rPr>
              <w:t xml:space="preserve"> to </w:t>
            </w:r>
            <w:r w:rsidRPr="00CE3411" w:rsidDel="00430366">
              <w:rPr>
                <w:lang w:val="en-GB"/>
              </w:rPr>
              <w:t>14 years</w:t>
            </w:r>
          </w:p>
        </w:tc>
        <w:tc>
          <w:tcPr>
            <w:tcW w:w="1019" w:type="dxa"/>
            <w:shd w:val="clear" w:color="auto" w:fill="6F6652"/>
            <w:tcMar>
              <w:left w:w="57" w:type="dxa"/>
              <w:right w:w="57" w:type="dxa"/>
            </w:tcMar>
          </w:tcPr>
          <w:p w14:paraId="7B652970" w14:textId="77777777" w:rsidR="00DB7694" w:rsidRPr="00CE3411" w:rsidDel="00430366" w:rsidRDefault="00DB7694" w:rsidP="005B0289">
            <w:pPr>
              <w:pStyle w:val="TableDataColumnHeading"/>
              <w:rPr>
                <w:lang w:val="en-GB"/>
              </w:rPr>
            </w:pPr>
            <w:r w:rsidRPr="00CE3411" w:rsidDel="00430366">
              <w:rPr>
                <w:lang w:val="en-GB"/>
              </w:rPr>
              <w:t>15</w:t>
            </w:r>
            <w:r w:rsidR="009B6423">
              <w:rPr>
                <w:lang w:val="en-GB"/>
              </w:rPr>
              <w:t xml:space="preserve"> to </w:t>
            </w:r>
            <w:r w:rsidRPr="00CE3411" w:rsidDel="00430366">
              <w:rPr>
                <w:lang w:val="en-GB"/>
              </w:rPr>
              <w:t>64 years</w:t>
            </w:r>
          </w:p>
        </w:tc>
        <w:tc>
          <w:tcPr>
            <w:tcW w:w="1020" w:type="dxa"/>
            <w:shd w:val="clear" w:color="auto" w:fill="6F6652"/>
            <w:tcMar>
              <w:left w:w="57" w:type="dxa"/>
              <w:right w:w="57" w:type="dxa"/>
            </w:tcMar>
          </w:tcPr>
          <w:p w14:paraId="72F3ACC3" w14:textId="77777777" w:rsidR="00DB7694" w:rsidRPr="00CE3411" w:rsidDel="00430366" w:rsidRDefault="00DB7694" w:rsidP="005B0289">
            <w:pPr>
              <w:pStyle w:val="TableDataColumnHeading"/>
              <w:rPr>
                <w:lang w:val="en-GB"/>
              </w:rPr>
            </w:pPr>
            <w:r w:rsidRPr="00CE3411" w:rsidDel="00430366">
              <w:rPr>
                <w:lang w:val="en-GB"/>
              </w:rPr>
              <w:t>65+ years</w:t>
            </w:r>
          </w:p>
        </w:tc>
        <w:tc>
          <w:tcPr>
            <w:tcW w:w="1020" w:type="dxa"/>
            <w:shd w:val="clear" w:color="auto" w:fill="6F6652"/>
            <w:tcMar>
              <w:left w:w="57" w:type="dxa"/>
              <w:right w:w="57" w:type="dxa"/>
            </w:tcMar>
          </w:tcPr>
          <w:p w14:paraId="0937B772" w14:textId="77777777" w:rsidR="00DB7694" w:rsidRPr="00CE3411" w:rsidDel="00430366" w:rsidRDefault="00DB7694" w:rsidP="005B0289">
            <w:pPr>
              <w:pStyle w:val="TableDataColumnHeading"/>
              <w:rPr>
                <w:lang w:val="en-GB"/>
              </w:rPr>
            </w:pPr>
            <w:r w:rsidRPr="00CE3411" w:rsidDel="00430366">
              <w:rPr>
                <w:lang w:val="en-GB"/>
              </w:rPr>
              <w:t>Total</w:t>
            </w:r>
          </w:p>
        </w:tc>
        <w:tc>
          <w:tcPr>
            <w:tcW w:w="1019" w:type="dxa"/>
            <w:shd w:val="clear" w:color="auto" w:fill="6F6652"/>
            <w:tcMar>
              <w:left w:w="57" w:type="dxa"/>
              <w:right w:w="57" w:type="dxa"/>
            </w:tcMar>
          </w:tcPr>
          <w:p w14:paraId="3985349B" w14:textId="77777777" w:rsidR="00DB7694" w:rsidRPr="00CE3411" w:rsidDel="00430366" w:rsidRDefault="00DB7694" w:rsidP="005B0289">
            <w:pPr>
              <w:pStyle w:val="TableDataColumnHeading"/>
              <w:rPr>
                <w:lang w:val="en-GB"/>
              </w:rPr>
            </w:pPr>
            <w:r w:rsidRPr="00CE3411" w:rsidDel="00430366">
              <w:rPr>
                <w:lang w:val="en-GB"/>
              </w:rPr>
              <w:t>Share of total</w:t>
            </w:r>
          </w:p>
        </w:tc>
      </w:tr>
      <w:tr w:rsidR="00E4023A" w:rsidDel="00430366" w14:paraId="585FB80F" w14:textId="77777777" w:rsidTr="005B0289">
        <w:trPr>
          <w:trHeight w:val="230"/>
          <w:tblHeader/>
        </w:trPr>
        <w:tc>
          <w:tcPr>
            <w:tcW w:w="2839" w:type="dxa"/>
            <w:tcBorders>
              <w:bottom w:val="single" w:sz="8" w:space="0" w:color="FFFFFF" w:themeColor="background1"/>
            </w:tcBorders>
            <w:shd w:val="clear" w:color="auto" w:fill="auto"/>
            <w:tcMar>
              <w:left w:w="57" w:type="dxa"/>
              <w:right w:w="57" w:type="dxa"/>
            </w:tcMar>
          </w:tcPr>
          <w:p w14:paraId="1D95CD32" w14:textId="77777777" w:rsidR="00E4023A" w:rsidDel="00430366" w:rsidRDefault="00E4023A" w:rsidP="005B0289">
            <w:pPr>
              <w:pStyle w:val="TableUnit"/>
              <w:jc w:val="left"/>
              <w:rPr>
                <w:lang w:val="en-GB"/>
              </w:rPr>
            </w:pPr>
          </w:p>
        </w:tc>
        <w:tc>
          <w:tcPr>
            <w:tcW w:w="1020" w:type="dxa"/>
            <w:tcBorders>
              <w:bottom w:val="single" w:sz="8" w:space="0" w:color="FFFFFF" w:themeColor="background1"/>
            </w:tcBorders>
            <w:shd w:val="clear" w:color="auto" w:fill="auto"/>
            <w:tcMar>
              <w:left w:w="57" w:type="dxa"/>
              <w:right w:w="57" w:type="dxa"/>
            </w:tcMar>
          </w:tcPr>
          <w:p w14:paraId="16EDC5B1" w14:textId="77777777" w:rsidR="00E4023A" w:rsidDel="00430366" w:rsidRDefault="00E4023A" w:rsidP="005B0289">
            <w:pPr>
              <w:pStyle w:val="TableUnit"/>
              <w:rPr>
                <w:lang w:val="en-GB"/>
              </w:rPr>
            </w:pPr>
            <w:r>
              <w:rPr>
                <w:lang w:val="en-GB"/>
              </w:rPr>
              <w:t>‘000</w:t>
            </w:r>
          </w:p>
        </w:tc>
        <w:tc>
          <w:tcPr>
            <w:tcW w:w="1019" w:type="dxa"/>
            <w:tcBorders>
              <w:bottom w:val="single" w:sz="8" w:space="0" w:color="FFFFFF" w:themeColor="background1"/>
            </w:tcBorders>
            <w:shd w:val="clear" w:color="auto" w:fill="auto"/>
            <w:tcMar>
              <w:left w:w="57" w:type="dxa"/>
              <w:right w:w="57" w:type="dxa"/>
            </w:tcMar>
          </w:tcPr>
          <w:p w14:paraId="3AC5D890" w14:textId="77777777" w:rsidR="00E4023A" w:rsidDel="00430366" w:rsidRDefault="00E4023A" w:rsidP="005B0289">
            <w:pPr>
              <w:pStyle w:val="TableUnit"/>
              <w:rPr>
                <w:lang w:val="en-GB"/>
              </w:rPr>
            </w:pPr>
            <w:r>
              <w:rPr>
                <w:lang w:val="en-GB"/>
              </w:rPr>
              <w:t>‘000</w:t>
            </w:r>
          </w:p>
        </w:tc>
        <w:tc>
          <w:tcPr>
            <w:tcW w:w="1020" w:type="dxa"/>
            <w:tcBorders>
              <w:bottom w:val="single" w:sz="8" w:space="0" w:color="FFFFFF" w:themeColor="background1"/>
            </w:tcBorders>
            <w:shd w:val="clear" w:color="auto" w:fill="auto"/>
            <w:tcMar>
              <w:left w:w="57" w:type="dxa"/>
              <w:right w:w="57" w:type="dxa"/>
            </w:tcMar>
          </w:tcPr>
          <w:p w14:paraId="5311EE2B" w14:textId="77777777" w:rsidR="00E4023A" w:rsidDel="00430366" w:rsidRDefault="00E4023A" w:rsidP="005B0289">
            <w:pPr>
              <w:pStyle w:val="TableUnit"/>
              <w:rPr>
                <w:lang w:val="en-GB"/>
              </w:rPr>
            </w:pPr>
            <w:r>
              <w:rPr>
                <w:lang w:val="en-GB"/>
              </w:rPr>
              <w:t>‘000</w:t>
            </w:r>
          </w:p>
        </w:tc>
        <w:tc>
          <w:tcPr>
            <w:tcW w:w="1020" w:type="dxa"/>
            <w:tcBorders>
              <w:bottom w:val="single" w:sz="8" w:space="0" w:color="FFFFFF" w:themeColor="background1"/>
            </w:tcBorders>
            <w:shd w:val="clear" w:color="auto" w:fill="auto"/>
            <w:tcMar>
              <w:left w:w="57" w:type="dxa"/>
              <w:right w:w="57" w:type="dxa"/>
            </w:tcMar>
          </w:tcPr>
          <w:p w14:paraId="71EACA00" w14:textId="77777777" w:rsidR="00E4023A" w:rsidDel="00430366" w:rsidRDefault="00E4023A" w:rsidP="005B0289">
            <w:pPr>
              <w:pStyle w:val="TableUnit"/>
              <w:rPr>
                <w:lang w:val="en-GB"/>
              </w:rPr>
            </w:pPr>
            <w:r>
              <w:rPr>
                <w:lang w:val="en-GB"/>
              </w:rPr>
              <w:t>‘000</w:t>
            </w:r>
          </w:p>
        </w:tc>
        <w:tc>
          <w:tcPr>
            <w:tcW w:w="1019" w:type="dxa"/>
            <w:tcBorders>
              <w:bottom w:val="single" w:sz="8" w:space="0" w:color="FFFFFF" w:themeColor="background1"/>
            </w:tcBorders>
            <w:shd w:val="clear" w:color="auto" w:fill="auto"/>
            <w:tcMar>
              <w:left w:w="57" w:type="dxa"/>
              <w:right w:w="57" w:type="dxa"/>
            </w:tcMar>
          </w:tcPr>
          <w:p w14:paraId="57544ECB" w14:textId="77777777" w:rsidR="00E4023A" w:rsidDel="00430366" w:rsidRDefault="00E4023A" w:rsidP="005B0289">
            <w:pPr>
              <w:pStyle w:val="TableUnit"/>
              <w:rPr>
                <w:lang w:val="en-GB"/>
              </w:rPr>
            </w:pPr>
            <w:r>
              <w:rPr>
                <w:lang w:val="en-GB"/>
              </w:rPr>
              <w:t>Per cent</w:t>
            </w:r>
          </w:p>
        </w:tc>
      </w:tr>
      <w:tr w:rsidR="00E4023A" w:rsidDel="00430366" w14:paraId="0A682730" w14:textId="77777777" w:rsidTr="005B0289">
        <w:trPr>
          <w:trHeight w:val="230"/>
        </w:trPr>
        <w:tc>
          <w:tcPr>
            <w:tcW w:w="283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24EA05" w14:textId="77777777" w:rsidR="00E4023A" w:rsidDel="00430366" w:rsidRDefault="00E4023A" w:rsidP="005B0289">
            <w:pPr>
              <w:pStyle w:val="TableHeading1"/>
              <w:rPr>
                <w:lang w:val="en-GB"/>
              </w:rPr>
            </w:pPr>
            <w:r w:rsidDel="00430366">
              <w:rPr>
                <w:lang w:val="en-GB"/>
              </w:rPr>
              <w:t>Establishments</w:t>
            </w: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232A21A" w14:textId="77777777" w:rsidR="00E4023A" w:rsidDel="00430366" w:rsidRDefault="00E4023A" w:rsidP="005B0289">
            <w:pPr>
              <w:pStyle w:val="TableHeading1"/>
              <w:rPr>
                <w:lang w:val="en-GB"/>
              </w:rPr>
            </w:pPr>
          </w:p>
        </w:tc>
        <w:tc>
          <w:tcPr>
            <w:tcW w:w="10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8182A7" w14:textId="77777777" w:rsidR="00E4023A" w:rsidDel="00430366" w:rsidRDefault="00E4023A" w:rsidP="005B0289">
            <w:pPr>
              <w:pStyle w:val="TableHeading1"/>
              <w:rPr>
                <w:lang w:val="en-GB"/>
              </w:rPr>
            </w:pP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27E3E40" w14:textId="77777777" w:rsidR="00E4023A" w:rsidDel="00430366" w:rsidRDefault="00E4023A" w:rsidP="005B0289">
            <w:pPr>
              <w:pStyle w:val="TableHeading1"/>
              <w:rPr>
                <w:lang w:val="en-GB"/>
              </w:rPr>
            </w:pP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26F84A" w14:textId="77777777" w:rsidR="00E4023A" w:rsidDel="00430366" w:rsidRDefault="00E4023A" w:rsidP="005B0289">
            <w:pPr>
              <w:pStyle w:val="TableHeading1"/>
              <w:rPr>
                <w:lang w:val="en-GB"/>
              </w:rPr>
            </w:pPr>
          </w:p>
        </w:tc>
        <w:tc>
          <w:tcPr>
            <w:tcW w:w="10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20FFCF6" w14:textId="77777777" w:rsidR="00E4023A" w:rsidDel="00430366" w:rsidRDefault="00E4023A" w:rsidP="005B0289">
            <w:pPr>
              <w:pStyle w:val="TableHeading1"/>
              <w:rPr>
                <w:lang w:val="en-GB"/>
              </w:rPr>
            </w:pPr>
          </w:p>
        </w:tc>
      </w:tr>
      <w:tr w:rsidR="00DB7694" w:rsidDel="00430366" w14:paraId="4FD46A96"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B40A4B" w14:textId="77777777" w:rsidR="00DB7694" w:rsidDel="00430366" w:rsidRDefault="00DB7694" w:rsidP="005B0289">
            <w:pPr>
              <w:pStyle w:val="TableDataEntries"/>
              <w:jc w:val="left"/>
              <w:rPr>
                <w:lang w:val="en-GB"/>
              </w:rPr>
            </w:pPr>
            <w:r w:rsidDel="00430366">
              <w:rPr>
                <w:lang w:val="en-GB"/>
              </w:rPr>
              <w:t>Hospital (general)</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BBF62"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E9C7CE" w14:textId="77777777" w:rsidR="00DB7694" w:rsidDel="00430366" w:rsidRDefault="00DB7694" w:rsidP="005B0289">
            <w:pPr>
              <w:pStyle w:val="TableDataEntries"/>
              <w:rPr>
                <w:lang w:val="en-GB"/>
              </w:rPr>
            </w:pPr>
            <w:r w:rsidDel="00430366">
              <w:rPr>
                <w:lang w:val="en-GB"/>
              </w:rPr>
              <w:t xml:space="preserve"> 0.5</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A2DBF6" w14:textId="77777777" w:rsidR="00DB7694" w:rsidDel="00430366" w:rsidRDefault="00DB7694" w:rsidP="005B0289">
            <w:pPr>
              <w:pStyle w:val="TableDataEntries"/>
              <w:rPr>
                <w:lang w:val="en-GB"/>
              </w:rPr>
            </w:pPr>
            <w:r w:rsidDel="00430366">
              <w:rPr>
                <w:lang w:val="en-GB"/>
              </w:rPr>
              <w:t xml:space="preserve"> 2.6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DD5A0F" w14:textId="77777777" w:rsidR="00DB7694" w:rsidDel="00430366" w:rsidRDefault="00DB7694" w:rsidP="005B0289">
            <w:pPr>
              <w:pStyle w:val="TableDataEntries"/>
              <w:rPr>
                <w:lang w:val="en-GB"/>
              </w:rPr>
            </w:pPr>
            <w:r w:rsidDel="00430366">
              <w:rPr>
                <w:lang w:val="en-GB"/>
              </w:rPr>
              <w:t xml:space="preserve"> 3.2</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D4EEA8" w14:textId="77777777" w:rsidR="00DB7694" w:rsidDel="00430366" w:rsidRDefault="00DB7694" w:rsidP="005B0289">
            <w:pPr>
              <w:pStyle w:val="TableDataEntries"/>
              <w:rPr>
                <w:lang w:val="en-GB"/>
              </w:rPr>
            </w:pPr>
            <w:r w:rsidDel="00430366">
              <w:rPr>
                <w:lang w:val="en-GB"/>
              </w:rPr>
              <w:t xml:space="preserve"> 0.1</w:t>
            </w:r>
          </w:p>
        </w:tc>
      </w:tr>
      <w:tr w:rsidR="00DB7694" w:rsidDel="00430366" w14:paraId="147C2B35"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9E83E" w14:textId="77777777" w:rsidR="00DB7694" w:rsidDel="00430366" w:rsidRDefault="00DB7694" w:rsidP="005B0289">
            <w:pPr>
              <w:pStyle w:val="TableDataEntries"/>
              <w:jc w:val="left"/>
              <w:rPr>
                <w:lang w:val="en-GB"/>
              </w:rPr>
            </w:pPr>
            <w:r w:rsidDel="00430366">
              <w:rPr>
                <w:lang w:val="en-GB"/>
              </w:rPr>
              <w:t>Hospital (other)</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F4DA4"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F2727C" w14:textId="77777777" w:rsidR="00DB7694" w:rsidDel="00430366" w:rsidRDefault="00DB7694" w:rsidP="005B0289">
            <w:pPr>
              <w:pStyle w:val="TableDataEntries"/>
              <w:rPr>
                <w:lang w:val="en-GB"/>
              </w:rPr>
            </w:pPr>
            <w:r w:rsidDel="00430366">
              <w:rPr>
                <w:lang w:val="en-GB"/>
              </w:rPr>
              <w:t xml:space="preserve"> 0.6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EB3B8" w14:textId="77777777" w:rsidR="00DB7694" w:rsidDel="00430366" w:rsidRDefault="00DB7694" w:rsidP="005B0289">
            <w:pPr>
              <w:pStyle w:val="TableDataEntries"/>
              <w:rPr>
                <w:lang w:val="en-GB"/>
              </w:rPr>
            </w:pPr>
            <w:r w:rsidDel="00430366">
              <w:rPr>
                <w:lang w:val="en-GB"/>
              </w:rPr>
              <w:t xml:space="preserve"> 0.1</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E18E48" w14:textId="77777777" w:rsidR="00DB7694" w:rsidDel="00430366" w:rsidRDefault="00DB7694" w:rsidP="005B0289">
            <w:pPr>
              <w:pStyle w:val="TableDataEntries"/>
              <w:rPr>
                <w:lang w:val="en-GB"/>
              </w:rPr>
            </w:pPr>
            <w:r w:rsidDel="00430366">
              <w:rPr>
                <w:lang w:val="en-GB"/>
              </w:rPr>
              <w:t xml:space="preserve"> 0.7</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1C447C" w14:textId="77777777" w:rsidR="00DB7694" w:rsidDel="00430366" w:rsidRDefault="00DB7694" w:rsidP="005B0289">
            <w:pPr>
              <w:pStyle w:val="TableDataEntries"/>
              <w:rPr>
                <w:lang w:val="en-GB"/>
              </w:rPr>
            </w:pPr>
            <w:r w:rsidDel="00430366">
              <w:rPr>
                <w:lang w:val="en-GB"/>
              </w:rPr>
              <w:t xml:space="preserve"> 0.0</w:t>
            </w:r>
          </w:p>
        </w:tc>
      </w:tr>
      <w:tr w:rsidR="00DB7694" w:rsidDel="00430366" w14:paraId="2F2F117E"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9241C7" w14:textId="77777777" w:rsidR="00DB7694" w:rsidDel="00430366" w:rsidRDefault="00DB7694" w:rsidP="005B0289">
            <w:pPr>
              <w:pStyle w:val="TableDataEntries"/>
              <w:jc w:val="left"/>
              <w:rPr>
                <w:lang w:val="en-GB"/>
              </w:rPr>
            </w:pPr>
            <w:r w:rsidDel="00430366">
              <w:rPr>
                <w:lang w:val="en-GB"/>
              </w:rPr>
              <w:t>Home for the aged</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F271F7"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0B088B" w14:textId="77777777" w:rsidR="00DB7694" w:rsidDel="00430366" w:rsidRDefault="00DB7694" w:rsidP="005B0289">
            <w:pPr>
              <w:pStyle w:val="TableDataEntries"/>
              <w:rPr>
                <w:lang w:val="en-GB"/>
              </w:rPr>
            </w:pPr>
            <w:r w:rsidDel="00430366">
              <w:rPr>
                <w:lang w:val="en-GB"/>
              </w:rPr>
              <w:t xml:space="preserve"> 3.0</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5380FB" w14:textId="77777777" w:rsidR="00DB7694" w:rsidDel="00430366" w:rsidRDefault="00DB7694" w:rsidP="005B0289">
            <w:pPr>
              <w:pStyle w:val="TableDataEntries"/>
              <w:rPr>
                <w:lang w:val="en-GB"/>
              </w:rPr>
            </w:pPr>
            <w:r w:rsidDel="00430366">
              <w:rPr>
                <w:lang w:val="en-GB"/>
              </w:rPr>
              <w:t xml:space="preserve"> 75.2</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87F7C6" w14:textId="77777777" w:rsidR="00DB7694" w:rsidDel="00430366" w:rsidRDefault="00DB7694" w:rsidP="005B0289">
            <w:pPr>
              <w:pStyle w:val="TableDataEntries"/>
              <w:rPr>
                <w:lang w:val="en-GB"/>
              </w:rPr>
            </w:pPr>
            <w:r w:rsidDel="00430366">
              <w:rPr>
                <w:lang w:val="en-GB"/>
              </w:rPr>
              <w:t xml:space="preserve"> 78.2</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39318E" w14:textId="77777777" w:rsidR="00DB7694" w:rsidDel="00430366" w:rsidRDefault="00DB7694" w:rsidP="005B0289">
            <w:pPr>
              <w:pStyle w:val="TableDataEntries"/>
              <w:rPr>
                <w:lang w:val="en-GB"/>
              </w:rPr>
            </w:pPr>
            <w:r w:rsidDel="00430366">
              <w:rPr>
                <w:lang w:val="en-GB"/>
              </w:rPr>
              <w:t xml:space="preserve"> 2.6</w:t>
            </w:r>
          </w:p>
        </w:tc>
      </w:tr>
      <w:tr w:rsidR="00DB7694" w:rsidDel="00430366" w14:paraId="18857F5D"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BEE0BF" w14:textId="77777777" w:rsidR="00DB7694" w:rsidDel="00430366" w:rsidRDefault="00DB7694" w:rsidP="005B0289">
            <w:pPr>
              <w:pStyle w:val="TableDataEntries"/>
              <w:jc w:val="left"/>
              <w:rPr>
                <w:lang w:val="en-GB"/>
              </w:rPr>
            </w:pPr>
            <w:r w:rsidDel="00430366">
              <w:rPr>
                <w:lang w:val="en-GB"/>
              </w:rPr>
              <w:t>Home (other)</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C0CE4A"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B6AAA0" w14:textId="77777777" w:rsidR="00DB7694" w:rsidDel="00430366" w:rsidRDefault="00DB7694" w:rsidP="005B0289">
            <w:pPr>
              <w:pStyle w:val="TableDataEntries"/>
              <w:rPr>
                <w:lang w:val="en-GB"/>
              </w:rPr>
            </w:pPr>
            <w:r w:rsidDel="00430366">
              <w:rPr>
                <w:lang w:val="en-GB"/>
              </w:rPr>
              <w:t xml:space="preserve"> 3.0</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BC8960" w14:textId="77777777" w:rsidR="00DB7694" w:rsidDel="00430366" w:rsidRDefault="00DB7694" w:rsidP="005B0289">
            <w:pPr>
              <w:pStyle w:val="TableDataEntries"/>
              <w:rPr>
                <w:lang w:val="en-GB"/>
              </w:rPr>
            </w:pPr>
            <w:r w:rsidDel="00430366">
              <w:rPr>
                <w:lang w:val="en-GB"/>
              </w:rPr>
              <w:t xml:space="preserve"> 1.2</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EF0C22" w14:textId="77777777" w:rsidR="00DB7694" w:rsidDel="00430366" w:rsidRDefault="00DB7694" w:rsidP="005B0289">
            <w:pPr>
              <w:pStyle w:val="TableDataEntries"/>
              <w:rPr>
                <w:lang w:val="en-GB"/>
              </w:rPr>
            </w:pPr>
            <w:r w:rsidDel="00430366">
              <w:rPr>
                <w:lang w:val="en-GB"/>
              </w:rPr>
              <w:t xml:space="preserve"> 4.0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B1292E" w14:textId="77777777" w:rsidR="00DB7694" w:rsidDel="00430366" w:rsidRDefault="00DB7694" w:rsidP="005B0289">
            <w:pPr>
              <w:pStyle w:val="TableDataEntries"/>
              <w:rPr>
                <w:lang w:val="en-GB"/>
              </w:rPr>
            </w:pPr>
            <w:r w:rsidDel="00430366">
              <w:rPr>
                <w:lang w:val="en-GB"/>
              </w:rPr>
              <w:t xml:space="preserve"> 0.1</w:t>
            </w:r>
          </w:p>
        </w:tc>
      </w:tr>
      <w:tr w:rsidR="00DB7694" w:rsidDel="00430366" w14:paraId="5A982951"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73C85C" w14:textId="77777777" w:rsidR="00DB7694" w:rsidDel="00430366" w:rsidRDefault="00DB7694" w:rsidP="005B0289">
            <w:pPr>
              <w:pStyle w:val="TableDataEntries"/>
              <w:jc w:val="left"/>
              <w:rPr>
                <w:lang w:val="en-GB"/>
              </w:rPr>
            </w:pPr>
            <w:r w:rsidDel="00430366">
              <w:rPr>
                <w:lang w:val="en-GB"/>
              </w:rPr>
              <w:t>Retired/aged accommodation (cared)</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DA4663"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CB436A" w14:textId="77777777" w:rsidR="00DB7694" w:rsidDel="00430366" w:rsidRDefault="00DB7694" w:rsidP="005B0289">
            <w:pPr>
              <w:pStyle w:val="TableDataEntries"/>
              <w:rPr>
                <w:lang w:val="en-GB"/>
              </w:rPr>
            </w:pPr>
            <w:r w:rsidDel="00430366">
              <w:rPr>
                <w:lang w:val="en-GB"/>
              </w:rPr>
              <w:t xml:space="preserve"> 4.6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638A9" w14:textId="77777777" w:rsidR="00DB7694" w:rsidDel="00430366" w:rsidRDefault="00DB7694" w:rsidP="005B0289">
            <w:pPr>
              <w:pStyle w:val="TableDataEntries"/>
              <w:rPr>
                <w:lang w:val="en-GB"/>
              </w:rPr>
            </w:pPr>
            <w:r w:rsidDel="00430366">
              <w:rPr>
                <w:lang w:val="en-GB"/>
              </w:rPr>
              <w:t xml:space="preserve"> 93.5</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188E9A" w14:textId="77777777" w:rsidR="00DB7694" w:rsidDel="00430366" w:rsidRDefault="00DB7694" w:rsidP="005B0289">
            <w:pPr>
              <w:pStyle w:val="TableDataEntries"/>
              <w:rPr>
                <w:lang w:val="en-GB"/>
              </w:rPr>
            </w:pPr>
            <w:r w:rsidDel="00430366">
              <w:rPr>
                <w:lang w:val="en-GB"/>
              </w:rPr>
              <w:t xml:space="preserve"> 98.1</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3704E" w14:textId="77777777" w:rsidR="00DB7694" w:rsidDel="00430366" w:rsidRDefault="00DB7694" w:rsidP="005B0289">
            <w:pPr>
              <w:pStyle w:val="TableDataEntries"/>
              <w:rPr>
                <w:lang w:val="en-GB"/>
              </w:rPr>
            </w:pPr>
            <w:r w:rsidDel="00430366">
              <w:rPr>
                <w:lang w:val="en-GB"/>
              </w:rPr>
              <w:t xml:space="preserve"> 3.2</w:t>
            </w:r>
          </w:p>
        </w:tc>
      </w:tr>
      <w:tr w:rsidR="00DB7694" w:rsidDel="00430366" w14:paraId="1519DA67"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5DF1F" w14:textId="77777777" w:rsidR="00DB7694" w:rsidDel="00430366" w:rsidRDefault="00DB7694" w:rsidP="005B0289">
            <w:pPr>
              <w:pStyle w:val="TableDataEntries"/>
              <w:jc w:val="left"/>
              <w:rPr>
                <w:lang w:val="en-GB"/>
              </w:rPr>
            </w:pPr>
            <w:r w:rsidDel="00430366">
              <w:rPr>
                <w:lang w:val="en-GB"/>
              </w:rPr>
              <w:t>Retired/aged accommodation (self-care)</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FD61CF"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9E08DC" w14:textId="77777777" w:rsidR="00DB7694" w:rsidDel="00430366" w:rsidRDefault="00DB7694" w:rsidP="005B0289">
            <w:pPr>
              <w:pStyle w:val="TableDataEntries"/>
              <w:rPr>
                <w:lang w:val="en-GB"/>
              </w:rPr>
            </w:pPr>
            <w:r w:rsidDel="00430366">
              <w:rPr>
                <w:lang w:val="en-GB"/>
              </w:rPr>
              <w:t xml:space="preserve"> 4.7</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C69E6A" w14:textId="77777777" w:rsidR="00DB7694" w:rsidDel="00430366" w:rsidRDefault="00DB7694" w:rsidP="005B0289">
            <w:pPr>
              <w:pStyle w:val="TableDataEntries"/>
              <w:rPr>
                <w:lang w:val="en-GB"/>
              </w:rPr>
            </w:pPr>
            <w:r w:rsidDel="00430366">
              <w:rPr>
                <w:lang w:val="en-GB"/>
              </w:rPr>
              <w:t xml:space="preserve"> 43.9</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B80EB7" w14:textId="77777777" w:rsidR="00DB7694" w:rsidDel="00430366" w:rsidRDefault="00DB7694" w:rsidP="005B0289">
            <w:pPr>
              <w:pStyle w:val="TableDataEntries"/>
              <w:rPr>
                <w:lang w:val="en-GB"/>
              </w:rPr>
            </w:pPr>
            <w:r w:rsidDel="00430366">
              <w:rPr>
                <w:lang w:val="en-GB"/>
              </w:rPr>
              <w:t xml:space="preserve"> 49.0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1963E4" w14:textId="77777777" w:rsidR="00DB7694" w:rsidDel="00430366" w:rsidRDefault="00DB7694" w:rsidP="005B0289">
            <w:pPr>
              <w:pStyle w:val="TableDataEntries"/>
              <w:rPr>
                <w:lang w:val="en-GB"/>
              </w:rPr>
            </w:pPr>
            <w:r w:rsidDel="00430366">
              <w:rPr>
                <w:lang w:val="en-GB"/>
              </w:rPr>
              <w:t xml:space="preserve"> 1.6</w:t>
            </w:r>
          </w:p>
        </w:tc>
      </w:tr>
      <w:tr w:rsidR="00DB7694" w:rsidRPr="008054BC" w:rsidDel="00430366" w14:paraId="230BAD94"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DC5A37" w14:textId="77777777" w:rsidR="00DB7694" w:rsidRPr="008054BC" w:rsidDel="00430366" w:rsidRDefault="00DB7694" w:rsidP="005B0289">
            <w:pPr>
              <w:pStyle w:val="TableDataEntries"/>
              <w:jc w:val="left"/>
              <w:rPr>
                <w:rFonts w:ascii="Franklin Gothic Demi" w:hAnsi="Franklin Gothic Demi"/>
                <w:lang w:val="en-GB"/>
              </w:rPr>
            </w:pPr>
            <w:r w:rsidRPr="008054BC" w:rsidDel="00430366">
              <w:rPr>
                <w:rFonts w:ascii="Franklin Gothic Demi" w:hAnsi="Franklin Gothic Demi"/>
                <w:lang w:val="en-GB"/>
              </w:rPr>
              <w:t>Total establishment</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7DBDAE"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2A3E9"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16.4</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B70A79"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216.5</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97BDA"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233.2</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B1475D"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7.7</w:t>
            </w:r>
          </w:p>
        </w:tc>
      </w:tr>
      <w:tr w:rsidR="00E4023A" w:rsidDel="00430366" w14:paraId="6024ADEC" w14:textId="77777777" w:rsidTr="005B0289">
        <w:trPr>
          <w:trHeight w:val="230"/>
        </w:trPr>
        <w:tc>
          <w:tcPr>
            <w:tcW w:w="283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20EC4BC" w14:textId="77777777" w:rsidR="00E4023A" w:rsidDel="00430366" w:rsidRDefault="00E4023A" w:rsidP="005B0289">
            <w:pPr>
              <w:pStyle w:val="TableHeading1"/>
              <w:rPr>
                <w:lang w:val="en-GB"/>
              </w:rPr>
            </w:pPr>
            <w:r w:rsidDel="00430366">
              <w:rPr>
                <w:lang w:val="en-GB"/>
              </w:rPr>
              <w:t>Private dwelling</w:t>
            </w: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B9E1C17" w14:textId="77777777" w:rsidR="00E4023A" w:rsidDel="00430366" w:rsidRDefault="00E4023A" w:rsidP="005B0289">
            <w:pPr>
              <w:pStyle w:val="TableHeading1"/>
              <w:rPr>
                <w:lang w:val="en-GB"/>
              </w:rPr>
            </w:pPr>
          </w:p>
        </w:tc>
        <w:tc>
          <w:tcPr>
            <w:tcW w:w="10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BA8763F" w14:textId="77777777" w:rsidR="00E4023A" w:rsidDel="00430366" w:rsidRDefault="00E4023A" w:rsidP="005B0289">
            <w:pPr>
              <w:pStyle w:val="TableHeading1"/>
              <w:rPr>
                <w:lang w:val="en-GB"/>
              </w:rPr>
            </w:pP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8CD2B32" w14:textId="77777777" w:rsidR="00E4023A" w:rsidDel="00430366" w:rsidRDefault="00E4023A" w:rsidP="005B0289">
            <w:pPr>
              <w:pStyle w:val="TableHeading1"/>
              <w:rPr>
                <w:lang w:val="en-GB"/>
              </w:rPr>
            </w:pPr>
          </w:p>
        </w:tc>
        <w:tc>
          <w:tcPr>
            <w:tcW w:w="10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1FF14FA" w14:textId="77777777" w:rsidR="00E4023A" w:rsidDel="00430366" w:rsidRDefault="00E4023A" w:rsidP="005B0289">
            <w:pPr>
              <w:pStyle w:val="TableHeading1"/>
              <w:rPr>
                <w:lang w:val="en-GB"/>
              </w:rPr>
            </w:pPr>
          </w:p>
        </w:tc>
        <w:tc>
          <w:tcPr>
            <w:tcW w:w="10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1D47F4E" w14:textId="77777777" w:rsidR="00E4023A" w:rsidDel="00430366" w:rsidRDefault="00E4023A" w:rsidP="005B0289">
            <w:pPr>
              <w:pStyle w:val="TableHeading1"/>
              <w:rPr>
                <w:lang w:val="en-GB"/>
              </w:rPr>
            </w:pPr>
          </w:p>
        </w:tc>
      </w:tr>
      <w:tr w:rsidR="00DB7694" w:rsidDel="00430366" w14:paraId="4F20DDB2"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3127B9" w14:textId="77777777" w:rsidR="00DB7694" w:rsidDel="00430366" w:rsidRDefault="00DB7694" w:rsidP="005B0289">
            <w:pPr>
              <w:pStyle w:val="TableDataEntries"/>
              <w:jc w:val="left"/>
              <w:rPr>
                <w:lang w:val="en-GB"/>
              </w:rPr>
            </w:pPr>
            <w:r w:rsidDel="00430366">
              <w:rPr>
                <w:lang w:val="en-GB"/>
              </w:rPr>
              <w:t>Separate house</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CDE11D" w14:textId="77777777" w:rsidR="00DB7694" w:rsidDel="00430366" w:rsidRDefault="00DB7694" w:rsidP="005B0289">
            <w:pPr>
              <w:pStyle w:val="TableDataEntries"/>
              <w:rPr>
                <w:lang w:val="en-GB"/>
              </w:rPr>
            </w:pPr>
            <w:r w:rsidDel="00430366">
              <w:rPr>
                <w:lang w:val="en-GB"/>
              </w:rPr>
              <w:t xml:space="preserve"> 205.6</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41E795" w14:textId="77777777" w:rsidR="00DB7694" w:rsidDel="00430366" w:rsidRDefault="00DB7694" w:rsidP="005B0289">
            <w:pPr>
              <w:pStyle w:val="TableDataEntries"/>
              <w:rPr>
                <w:lang w:val="en-GB"/>
              </w:rPr>
            </w:pPr>
            <w:r w:rsidDel="00430366">
              <w:rPr>
                <w:lang w:val="en-GB"/>
              </w:rPr>
              <w:t>1 087.5</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5E1500" w14:textId="77777777" w:rsidR="00DB7694" w:rsidDel="00430366" w:rsidRDefault="00DB7694" w:rsidP="005B0289">
            <w:pPr>
              <w:pStyle w:val="TableDataEntries"/>
              <w:rPr>
                <w:lang w:val="en-GB"/>
              </w:rPr>
            </w:pPr>
            <w:r w:rsidDel="00430366">
              <w:rPr>
                <w:lang w:val="en-GB"/>
              </w:rPr>
              <w:t xml:space="preserve"> 984.3</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85A9F" w14:textId="77777777" w:rsidR="00DB7694" w:rsidDel="00430366" w:rsidRDefault="00DB7694" w:rsidP="005B0289">
            <w:pPr>
              <w:pStyle w:val="TableDataEntries"/>
              <w:rPr>
                <w:lang w:val="en-GB"/>
              </w:rPr>
            </w:pPr>
            <w:r w:rsidDel="00430366">
              <w:rPr>
                <w:lang w:val="en-GB"/>
              </w:rPr>
              <w:t>2 278.8</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995364" w14:textId="77777777" w:rsidR="00DB7694" w:rsidDel="00430366" w:rsidRDefault="00DB7694" w:rsidP="005B0289">
            <w:pPr>
              <w:pStyle w:val="TableDataEntries"/>
              <w:rPr>
                <w:lang w:val="en-GB"/>
              </w:rPr>
            </w:pPr>
            <w:r w:rsidDel="00430366">
              <w:rPr>
                <w:lang w:val="en-GB"/>
              </w:rPr>
              <w:t xml:space="preserve"> 75.1</w:t>
            </w:r>
          </w:p>
        </w:tc>
      </w:tr>
      <w:tr w:rsidR="00DB7694" w:rsidDel="00430366" w14:paraId="07BC934B"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5E29D" w14:textId="77777777" w:rsidR="00DB7694" w:rsidDel="00430366" w:rsidRDefault="00DB7694" w:rsidP="005B0289">
            <w:pPr>
              <w:pStyle w:val="TableDataEntries"/>
              <w:jc w:val="left"/>
              <w:rPr>
                <w:lang w:val="en-GB"/>
              </w:rPr>
            </w:pPr>
            <w:r w:rsidDel="00430366">
              <w:rPr>
                <w:lang w:val="en-GB"/>
              </w:rPr>
              <w:t>Townhouse</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336F90" w14:textId="77777777" w:rsidR="00DB7694" w:rsidDel="00430366" w:rsidRDefault="00DB7694" w:rsidP="005B0289">
            <w:pPr>
              <w:pStyle w:val="TableDataEntries"/>
              <w:rPr>
                <w:lang w:val="en-GB"/>
              </w:rPr>
            </w:pPr>
            <w:r w:rsidDel="00430366">
              <w:rPr>
                <w:lang w:val="en-GB"/>
              </w:rPr>
              <w:t xml:space="preserve"> 16.0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4BA893" w14:textId="77777777" w:rsidR="00DB7694" w:rsidDel="00430366" w:rsidRDefault="00DB7694" w:rsidP="005B0289">
            <w:pPr>
              <w:pStyle w:val="TableDataEntries"/>
              <w:rPr>
                <w:lang w:val="en-GB"/>
              </w:rPr>
            </w:pPr>
            <w:r w:rsidDel="00430366">
              <w:rPr>
                <w:lang w:val="en-GB"/>
              </w:rPr>
              <w:t xml:space="preserve"> 149.6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8EF143" w14:textId="77777777" w:rsidR="00DB7694" w:rsidDel="00430366" w:rsidRDefault="00DB7694" w:rsidP="005B0289">
            <w:pPr>
              <w:pStyle w:val="TableDataEntries"/>
              <w:rPr>
                <w:lang w:val="en-GB"/>
              </w:rPr>
            </w:pPr>
            <w:r w:rsidDel="00430366">
              <w:rPr>
                <w:lang w:val="en-GB"/>
              </w:rPr>
              <w:t xml:space="preserve"> 170.6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CA5383" w14:textId="77777777" w:rsidR="00DB7694" w:rsidDel="00430366" w:rsidRDefault="00DB7694" w:rsidP="005B0289">
            <w:pPr>
              <w:pStyle w:val="TableDataEntries"/>
              <w:rPr>
                <w:lang w:val="en-GB"/>
              </w:rPr>
            </w:pPr>
            <w:r w:rsidDel="00430366">
              <w:rPr>
                <w:lang w:val="en-GB"/>
              </w:rPr>
              <w:t xml:space="preserve"> 336.4</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2769A" w14:textId="77777777" w:rsidR="00DB7694" w:rsidDel="00430366" w:rsidRDefault="00DB7694" w:rsidP="005B0289">
            <w:pPr>
              <w:pStyle w:val="TableDataEntries"/>
              <w:rPr>
                <w:lang w:val="en-GB"/>
              </w:rPr>
            </w:pPr>
            <w:r w:rsidDel="00430366">
              <w:rPr>
                <w:lang w:val="en-GB"/>
              </w:rPr>
              <w:t xml:space="preserve"> 11.1</w:t>
            </w:r>
          </w:p>
        </w:tc>
      </w:tr>
      <w:tr w:rsidR="00DB7694" w:rsidDel="00430366" w14:paraId="473D3C5B"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6B5133" w14:textId="77777777" w:rsidR="00DB7694" w:rsidDel="00430366" w:rsidRDefault="00DB7694" w:rsidP="005B0289">
            <w:pPr>
              <w:pStyle w:val="TableDataEntries"/>
              <w:jc w:val="left"/>
              <w:rPr>
                <w:lang w:val="en-GB"/>
              </w:rPr>
            </w:pPr>
            <w:r w:rsidDel="00430366">
              <w:rPr>
                <w:lang w:val="en-GB"/>
              </w:rPr>
              <w:t>Flat/apartment</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71121" w14:textId="77777777" w:rsidR="00DB7694" w:rsidDel="00430366" w:rsidRDefault="00DB7694" w:rsidP="005B0289">
            <w:pPr>
              <w:pStyle w:val="TableDataEntries"/>
              <w:rPr>
                <w:lang w:val="en-GB"/>
              </w:rPr>
            </w:pPr>
            <w:r w:rsidDel="00430366">
              <w:rPr>
                <w:lang w:val="en-GB"/>
              </w:rPr>
              <w:t xml:space="preserve"> 8.3</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F905A4" w14:textId="77777777" w:rsidR="00DB7694" w:rsidDel="00430366" w:rsidRDefault="00DB7694" w:rsidP="005B0289">
            <w:pPr>
              <w:pStyle w:val="TableDataEntries"/>
              <w:rPr>
                <w:lang w:val="en-GB"/>
              </w:rPr>
            </w:pPr>
            <w:r w:rsidDel="00430366">
              <w:rPr>
                <w:lang w:val="en-GB"/>
              </w:rPr>
              <w:t xml:space="preserve"> 87.6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5A38BA" w14:textId="77777777" w:rsidR="00DB7694" w:rsidDel="00430366" w:rsidRDefault="00DB7694" w:rsidP="005B0289">
            <w:pPr>
              <w:pStyle w:val="TableDataEntries"/>
              <w:rPr>
                <w:lang w:val="en-GB"/>
              </w:rPr>
            </w:pPr>
            <w:r w:rsidDel="00430366">
              <w:rPr>
                <w:lang w:val="en-GB"/>
              </w:rPr>
              <w:t xml:space="preserve"> 78.0</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3EEA5E" w14:textId="77777777" w:rsidR="00DB7694" w:rsidDel="00430366" w:rsidRDefault="00DB7694" w:rsidP="005B0289">
            <w:pPr>
              <w:pStyle w:val="TableDataEntries"/>
              <w:rPr>
                <w:lang w:val="en-GB"/>
              </w:rPr>
            </w:pPr>
            <w:r w:rsidDel="00430366">
              <w:rPr>
                <w:lang w:val="en-GB"/>
              </w:rPr>
              <w:t xml:space="preserve"> 178.7</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B21E32" w14:textId="77777777" w:rsidR="00DB7694" w:rsidDel="00430366" w:rsidRDefault="00DB7694" w:rsidP="005B0289">
            <w:pPr>
              <w:pStyle w:val="TableDataEntries"/>
              <w:rPr>
                <w:lang w:val="en-GB"/>
              </w:rPr>
            </w:pPr>
            <w:r w:rsidDel="00430366">
              <w:rPr>
                <w:lang w:val="en-GB"/>
              </w:rPr>
              <w:t xml:space="preserve"> 5.9</w:t>
            </w:r>
          </w:p>
        </w:tc>
      </w:tr>
      <w:tr w:rsidR="00DB7694" w:rsidDel="00430366" w14:paraId="3C862012"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140E2" w14:textId="77777777" w:rsidR="00DB7694" w:rsidDel="00430366" w:rsidRDefault="00DB7694" w:rsidP="005B0289">
            <w:pPr>
              <w:pStyle w:val="TableDataEntries"/>
              <w:jc w:val="left"/>
              <w:rPr>
                <w:lang w:val="en-GB"/>
              </w:rPr>
            </w:pPr>
            <w:r w:rsidDel="00430366">
              <w:rPr>
                <w:lang w:val="en-GB"/>
              </w:rPr>
              <w:t>Other</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62DF10" w14:textId="77777777" w:rsidR="00DB7694" w:rsidDel="00430366" w:rsidRDefault="00DB7694" w:rsidP="005B0289">
            <w:pPr>
              <w:pStyle w:val="TableDataEntries"/>
              <w:rPr>
                <w:lang w:val="en-GB"/>
              </w:rPr>
            </w:pPr>
            <w:r w:rsidDel="00430366">
              <w:rPr>
                <w:lang w:val="en-GB"/>
              </w:rPr>
              <w:t xml:space="preserve"> 0.0</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145528" w14:textId="77777777" w:rsidR="00DB7694" w:rsidDel="00430366" w:rsidRDefault="00DB7694" w:rsidP="005B0289">
            <w:pPr>
              <w:pStyle w:val="TableDataEntries"/>
              <w:rPr>
                <w:lang w:val="en-GB"/>
              </w:rPr>
            </w:pPr>
            <w:r w:rsidDel="00430366">
              <w:rPr>
                <w:lang w:val="en-GB"/>
              </w:rPr>
              <w:t xml:space="preserve"> 5.6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13D266" w14:textId="77777777" w:rsidR="00DB7694" w:rsidDel="00430366" w:rsidRDefault="00DB7694" w:rsidP="005B0289">
            <w:pPr>
              <w:pStyle w:val="TableDataEntries"/>
              <w:rPr>
                <w:lang w:val="en-GB"/>
              </w:rPr>
            </w:pPr>
            <w:r w:rsidDel="00430366">
              <w:rPr>
                <w:lang w:val="en-GB"/>
              </w:rPr>
              <w:t xml:space="preserve"> 2.7</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7B5810" w14:textId="77777777" w:rsidR="00DB7694" w:rsidDel="00430366" w:rsidRDefault="00DB7694" w:rsidP="005B0289">
            <w:pPr>
              <w:pStyle w:val="TableDataEntries"/>
              <w:rPr>
                <w:lang w:val="en-GB"/>
              </w:rPr>
            </w:pPr>
            <w:r w:rsidDel="00430366">
              <w:rPr>
                <w:lang w:val="en-GB"/>
              </w:rPr>
              <w:t xml:space="preserve"> 6.3</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EE42D1" w14:textId="77777777" w:rsidR="00DB7694" w:rsidDel="00430366" w:rsidRDefault="00DB7694" w:rsidP="005B0289">
            <w:pPr>
              <w:pStyle w:val="TableDataEntries"/>
              <w:rPr>
                <w:lang w:val="en-GB"/>
              </w:rPr>
            </w:pPr>
            <w:r w:rsidDel="00430366">
              <w:rPr>
                <w:lang w:val="en-GB"/>
              </w:rPr>
              <w:t xml:space="preserve"> 0.2</w:t>
            </w:r>
          </w:p>
        </w:tc>
      </w:tr>
      <w:tr w:rsidR="00DB7694" w:rsidRPr="008054BC" w:rsidDel="00430366" w14:paraId="6E33837D" w14:textId="77777777" w:rsidTr="00D13F4A">
        <w:trPr>
          <w:trHeight w:val="230"/>
        </w:trPr>
        <w:tc>
          <w:tcPr>
            <w:tcW w:w="28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892BB5" w14:textId="77777777" w:rsidR="00DB7694" w:rsidRPr="008054BC" w:rsidDel="00430366" w:rsidRDefault="00DB7694" w:rsidP="005B0289">
            <w:pPr>
              <w:pStyle w:val="TableDataEntries"/>
              <w:jc w:val="left"/>
              <w:rPr>
                <w:rFonts w:ascii="Franklin Gothic Demi" w:hAnsi="Franklin Gothic Demi"/>
                <w:lang w:val="en-GB"/>
              </w:rPr>
            </w:pPr>
            <w:r w:rsidRPr="008054BC" w:rsidDel="00430366">
              <w:rPr>
                <w:rFonts w:ascii="Franklin Gothic Demi" w:hAnsi="Franklin Gothic Demi"/>
                <w:lang w:val="en-GB"/>
              </w:rPr>
              <w:t>Total private dwelling</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5E7813"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229.9</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314905"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1 330.3</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CB1B2D"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1 235.6</w:t>
            </w:r>
          </w:p>
        </w:tc>
        <w:tc>
          <w:tcPr>
            <w:tcW w:w="1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DE3AB7"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2 800.2</w:t>
            </w:r>
          </w:p>
        </w:tc>
        <w:tc>
          <w:tcPr>
            <w:tcW w:w="10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7F6ADC" w14:textId="77777777" w:rsidR="00DB7694" w:rsidRPr="008054BC" w:rsidDel="00430366" w:rsidRDefault="00DB7694" w:rsidP="005B0289">
            <w:pPr>
              <w:pStyle w:val="TableDataEntries"/>
              <w:rPr>
                <w:rFonts w:ascii="Franklin Gothic Demi" w:hAnsi="Franklin Gothic Demi"/>
                <w:lang w:val="en-GB"/>
              </w:rPr>
            </w:pPr>
            <w:r w:rsidRPr="008054BC" w:rsidDel="00430366">
              <w:rPr>
                <w:rFonts w:ascii="Franklin Gothic Demi" w:hAnsi="Franklin Gothic Demi"/>
                <w:lang w:val="en-GB"/>
              </w:rPr>
              <w:t xml:space="preserve"> 92.3</w:t>
            </w:r>
          </w:p>
        </w:tc>
      </w:tr>
      <w:tr w:rsidR="00DB7694" w:rsidRPr="00F355CB" w:rsidDel="00430366" w14:paraId="5AC5CE9F" w14:textId="77777777" w:rsidTr="00D13F4A">
        <w:trPr>
          <w:trHeight w:val="230"/>
        </w:trPr>
        <w:tc>
          <w:tcPr>
            <w:tcW w:w="283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9483F22" w14:textId="77777777" w:rsidR="00DB7694" w:rsidRPr="00F355CB" w:rsidDel="00430366" w:rsidRDefault="00DB7694" w:rsidP="005B0289">
            <w:pPr>
              <w:pStyle w:val="TableDataEntries"/>
              <w:jc w:val="left"/>
              <w:rPr>
                <w:rFonts w:ascii="Franklin Gothic Demi" w:hAnsi="Franklin Gothic Demi"/>
                <w:lang w:val="en-GB"/>
              </w:rPr>
            </w:pPr>
            <w:r w:rsidRPr="00F355CB" w:rsidDel="00430366">
              <w:rPr>
                <w:rFonts w:ascii="Franklin Gothic Demi" w:hAnsi="Franklin Gothic Demi"/>
                <w:lang w:val="en-GB"/>
              </w:rPr>
              <w:t>Total</w:t>
            </w:r>
          </w:p>
        </w:tc>
        <w:tc>
          <w:tcPr>
            <w:tcW w:w="1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3AAC467" w14:textId="77777777" w:rsidR="00DB7694" w:rsidRPr="00F355CB" w:rsidDel="00430366" w:rsidRDefault="00DB7694" w:rsidP="005B0289">
            <w:pPr>
              <w:pStyle w:val="TableDataEntries"/>
              <w:rPr>
                <w:rFonts w:ascii="Franklin Gothic Demi" w:hAnsi="Franklin Gothic Demi"/>
                <w:lang w:val="en-GB"/>
              </w:rPr>
            </w:pPr>
            <w:r w:rsidRPr="00F355CB" w:rsidDel="00430366">
              <w:rPr>
                <w:rFonts w:ascii="Franklin Gothic Demi" w:hAnsi="Franklin Gothic Demi"/>
                <w:lang w:val="en-GB"/>
              </w:rPr>
              <w:t xml:space="preserve"> 229.9</w:t>
            </w:r>
          </w:p>
        </w:tc>
        <w:tc>
          <w:tcPr>
            <w:tcW w:w="10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93DA770" w14:textId="77777777" w:rsidR="00DB7694" w:rsidRPr="00F355CB" w:rsidDel="00430366" w:rsidRDefault="00DB7694" w:rsidP="005B0289">
            <w:pPr>
              <w:pStyle w:val="TableDataEntries"/>
              <w:rPr>
                <w:rFonts w:ascii="Franklin Gothic Demi" w:hAnsi="Franklin Gothic Demi"/>
                <w:lang w:val="en-GB"/>
              </w:rPr>
            </w:pPr>
            <w:r w:rsidRPr="00F355CB" w:rsidDel="00430366">
              <w:rPr>
                <w:rFonts w:ascii="Franklin Gothic Demi" w:hAnsi="Franklin Gothic Demi"/>
                <w:lang w:val="en-GB"/>
              </w:rPr>
              <w:t>1 346.7</w:t>
            </w:r>
          </w:p>
        </w:tc>
        <w:tc>
          <w:tcPr>
            <w:tcW w:w="1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D4D75FD" w14:textId="77777777" w:rsidR="00DB7694" w:rsidRPr="00F355CB" w:rsidDel="00430366" w:rsidRDefault="00DB7694" w:rsidP="005B0289">
            <w:pPr>
              <w:pStyle w:val="TableDataEntries"/>
              <w:rPr>
                <w:rFonts w:ascii="Franklin Gothic Demi" w:hAnsi="Franklin Gothic Demi"/>
                <w:lang w:val="en-GB"/>
              </w:rPr>
            </w:pPr>
            <w:r w:rsidRPr="00F355CB" w:rsidDel="00430366">
              <w:rPr>
                <w:rFonts w:ascii="Franklin Gothic Demi" w:hAnsi="Franklin Gothic Demi"/>
                <w:lang w:val="en-GB"/>
              </w:rPr>
              <w:t>1 452.1</w:t>
            </w:r>
          </w:p>
        </w:tc>
        <w:tc>
          <w:tcPr>
            <w:tcW w:w="1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FB43FF5" w14:textId="77777777" w:rsidR="00DB7694" w:rsidRPr="00F355CB" w:rsidDel="00430366" w:rsidRDefault="00DB7694" w:rsidP="005B0289">
            <w:pPr>
              <w:pStyle w:val="TableDataEntries"/>
              <w:rPr>
                <w:rFonts w:ascii="Franklin Gothic Demi" w:hAnsi="Franklin Gothic Demi"/>
                <w:lang w:val="en-GB"/>
              </w:rPr>
            </w:pPr>
            <w:r w:rsidRPr="00F355CB" w:rsidDel="00430366">
              <w:rPr>
                <w:rFonts w:ascii="Franklin Gothic Demi" w:hAnsi="Franklin Gothic Demi"/>
                <w:lang w:val="en-GB"/>
              </w:rPr>
              <w:t>3 033.4</w:t>
            </w:r>
          </w:p>
        </w:tc>
        <w:tc>
          <w:tcPr>
            <w:tcW w:w="10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10653B3" w14:textId="77777777" w:rsidR="00DB7694" w:rsidRPr="00F355CB" w:rsidDel="00430366" w:rsidRDefault="00DB7694" w:rsidP="005B0289">
            <w:pPr>
              <w:pStyle w:val="TableDataEntries"/>
              <w:rPr>
                <w:rFonts w:ascii="Franklin Gothic Demi" w:hAnsi="Franklin Gothic Demi"/>
                <w:lang w:val="en-GB"/>
              </w:rPr>
            </w:pPr>
            <w:r w:rsidRPr="00F355CB" w:rsidDel="00430366">
              <w:rPr>
                <w:rFonts w:ascii="Franklin Gothic Demi" w:hAnsi="Franklin Gothic Demi"/>
                <w:lang w:val="en-GB"/>
              </w:rPr>
              <w:t xml:space="preserve"> 100.0</w:t>
            </w:r>
          </w:p>
        </w:tc>
      </w:tr>
    </w:tbl>
    <w:p w14:paraId="7194865F" w14:textId="77777777" w:rsidR="00E4023A" w:rsidDel="00430366" w:rsidRDefault="00E4023A" w:rsidP="00E4023A">
      <w:pPr>
        <w:pStyle w:val="Note"/>
        <w:rPr>
          <w:lang w:bidi="fa-IR"/>
        </w:rPr>
      </w:pPr>
      <w:r w:rsidRPr="009B72BA" w:rsidDel="00430366">
        <w:rPr>
          <w:lang w:bidi="fa-IR"/>
        </w:rPr>
        <w:t>Note:</w:t>
      </w:r>
      <w:r w:rsidRPr="00E879B8" w:rsidDel="00430366">
        <w:rPr>
          <w:lang w:bidi="fa-IR"/>
        </w:rPr>
        <w:t xml:space="preserve"> </w:t>
      </w:r>
      <w:r>
        <w:rPr>
          <w:lang w:bidi="fa-IR"/>
        </w:rPr>
        <w:t>TableBuilder randomly adjusts cells to minimise the risk of identifying individuals in aggregate statistics. This means that table totals do not always add exactly.</w:t>
      </w:r>
    </w:p>
    <w:p w14:paraId="69F3D7D4" w14:textId="77777777" w:rsidR="00E4023A" w:rsidDel="00430366" w:rsidRDefault="00E4023A" w:rsidP="009B72BA">
      <w:pPr>
        <w:pStyle w:val="Note"/>
        <w:rPr>
          <w:lang w:bidi="fa-IR"/>
        </w:rPr>
      </w:pPr>
      <w:r w:rsidRPr="009B72BA" w:rsidDel="00430366">
        <w:rPr>
          <w:lang w:bidi="fa-IR"/>
        </w:rPr>
        <w:t>Source:</w:t>
      </w:r>
      <w:r w:rsidDel="00430366">
        <w:rPr>
          <w:lang w:bidi="fa-IR"/>
        </w:rPr>
        <w:t xml:space="preserve"> </w:t>
      </w:r>
      <w:r>
        <w:rPr>
          <w:lang w:bidi="fa-IR"/>
        </w:rPr>
        <w:t>ABS, Survey of Disabilities, Ageing and Carers, 2018, TableBuilder.</w:t>
      </w:r>
    </w:p>
    <w:p w14:paraId="4AABE0D1" w14:textId="77777777" w:rsidR="00E4023A" w:rsidRDefault="00E4023A" w:rsidP="00E4023A">
      <w:pPr>
        <w:pStyle w:val="Heading3"/>
        <w:numPr>
          <w:ilvl w:val="2"/>
          <w:numId w:val="5"/>
        </w:numPr>
        <w:rPr>
          <w:lang w:bidi="fa-IR"/>
        </w:rPr>
      </w:pPr>
      <w:r>
        <w:rPr>
          <w:lang w:bidi="fa-IR"/>
        </w:rPr>
        <w:t>Private market</w:t>
      </w:r>
    </w:p>
    <w:p w14:paraId="3EDC94FB" w14:textId="77777777" w:rsidR="00E4023A" w:rsidRPr="00666584" w:rsidRDefault="0068760C" w:rsidP="00E4023A">
      <w:pPr>
        <w:pStyle w:val="BodyText"/>
        <w:rPr>
          <w:lang w:bidi="fa-IR"/>
        </w:rPr>
      </w:pPr>
      <w:r>
        <w:rPr>
          <w:lang w:bidi="fa-IR"/>
        </w:rPr>
        <w:t>While t</w:t>
      </w:r>
      <w:r w:rsidR="00E4023A">
        <w:rPr>
          <w:lang w:bidi="fa-IR"/>
        </w:rPr>
        <w:t xml:space="preserve">here is some evidence that the market is </w:t>
      </w:r>
      <w:r w:rsidR="00BF5152">
        <w:rPr>
          <w:lang w:bidi="fa-IR"/>
        </w:rPr>
        <w:t xml:space="preserve">partly </w:t>
      </w:r>
      <w:r w:rsidR="00E4023A">
        <w:rPr>
          <w:lang w:bidi="fa-IR"/>
        </w:rPr>
        <w:t xml:space="preserve">responding to the need for accessible housing, </w:t>
      </w:r>
      <w:r>
        <w:rPr>
          <w:lang w:bidi="fa-IR"/>
        </w:rPr>
        <w:t xml:space="preserve">it does not meet the </w:t>
      </w:r>
      <w:r w:rsidR="00E4023A">
        <w:rPr>
          <w:lang w:bidi="fa-IR"/>
        </w:rPr>
        <w:t>needs of many members of the community</w:t>
      </w:r>
      <w:r>
        <w:rPr>
          <w:lang w:bidi="fa-IR"/>
        </w:rPr>
        <w:t>.</w:t>
      </w:r>
    </w:p>
    <w:p w14:paraId="2F4C3FF8" w14:textId="77777777" w:rsidR="00E4023A" w:rsidRDefault="00E4023A" w:rsidP="00E4023A">
      <w:pPr>
        <w:pStyle w:val="BodyText"/>
      </w:pPr>
      <w:r>
        <w:rPr>
          <w:lang w:bidi="fa-IR"/>
        </w:rPr>
        <w:t>As shown above, most Australians with mobility</w:t>
      </w:r>
      <w:r>
        <w:rPr>
          <w:lang w:bidi="fa-IR"/>
        </w:rPr>
        <w:noBreakHyphen/>
        <w:t xml:space="preserve">related disability live in private residences. </w:t>
      </w:r>
      <w:r w:rsidRPr="007461B7">
        <w:rPr>
          <w:lang w:bidi="fa-IR"/>
        </w:rPr>
        <w:t>The proportion of new private dwellings that are accessible is not known.</w:t>
      </w:r>
      <w:r>
        <w:rPr>
          <w:lang w:bidi="fa-IR"/>
        </w:rPr>
        <w:t xml:space="preserve"> The ABCB Options Paper reported one estimate from 2014 that only around 5 per cent of newly constructed homes met </w:t>
      </w:r>
      <w:r w:rsidRPr="00C80508">
        <w:t>LHDG</w:t>
      </w:r>
      <w:r>
        <w:t xml:space="preserve"> silver standard.</w:t>
      </w:r>
      <w:r>
        <w:rPr>
          <w:rStyle w:val="FootnoteReference"/>
        </w:rPr>
        <w:footnoteReference w:id="95"/>
      </w:r>
      <w:r>
        <w:t xml:space="preserve"> This estimate appears to have been based on the number of dwellings certified under the LHA certification scheme.</w:t>
      </w:r>
    </w:p>
    <w:p w14:paraId="1B3EDE52" w14:textId="77777777" w:rsidR="00E4023A" w:rsidRDefault="00E4023A" w:rsidP="00E4023A">
      <w:pPr>
        <w:pStyle w:val="BodyText"/>
      </w:pPr>
      <w:r w:rsidRPr="007461B7">
        <w:t>Industry stakeholders reported that many more homes are built to LHDG standards that are not certified;</w:t>
      </w:r>
      <w:r>
        <w:t xml:space="preserve"> this is therefore likely to be an underestimate. Other stakeholders noted that although relatively few new dwellings include all of the accessibility </w:t>
      </w:r>
      <w:r w:rsidR="00880CA0">
        <w:t xml:space="preserve">features </w:t>
      </w:r>
      <w:r>
        <w:t>set out in the LHDG standards</w:t>
      </w:r>
      <w:r w:rsidRPr="007461B7">
        <w:t>, most new dwellings incorporate at least some of these features.</w:t>
      </w:r>
    </w:p>
    <w:p w14:paraId="55E39F5E" w14:textId="77777777" w:rsidR="00E4023A" w:rsidRDefault="00E4023A" w:rsidP="00E4023A">
      <w:pPr>
        <w:pStyle w:val="Heading3"/>
        <w:numPr>
          <w:ilvl w:val="2"/>
          <w:numId w:val="5"/>
        </w:numPr>
      </w:pPr>
      <w:r>
        <w:lastRenderedPageBreak/>
        <w:t>Retirement villages</w:t>
      </w:r>
    </w:p>
    <w:p w14:paraId="1865C01A" w14:textId="2BD36F41" w:rsidR="00E4023A" w:rsidRDefault="00E4023A" w:rsidP="00E4023A">
      <w:pPr>
        <w:pStyle w:val="BodyText"/>
      </w:pPr>
      <w:r>
        <w:t>A subset of the private market response to the growing need for accessible housing for older Australians is through retirement villages. The number of dwellings and residents in retirement villages (in 2014) is shown in table </w:t>
      </w:r>
      <w:r w:rsidR="00587754">
        <w:rPr>
          <w:noProof/>
        </w:rPr>
        <w:t>3.15</w:t>
      </w:r>
      <w:r>
        <w:t xml:space="preserve">. Recent data also suggests a strong supply pipeline over </w:t>
      </w:r>
      <w:r w:rsidR="0068760C">
        <w:t>coming</w:t>
      </w:r>
      <w:r>
        <w:t xml:space="preserve"> years.</w:t>
      </w:r>
      <w:r>
        <w:rPr>
          <w:rStyle w:val="FootnoteReference"/>
        </w:rPr>
        <w:footnoteReference w:id="96"/>
      </w:r>
    </w:p>
    <w:p w14:paraId="12876EF4" w14:textId="4789621C" w:rsidR="00E4023A" w:rsidRDefault="00076C9B" w:rsidP="00E4023A">
      <w:pPr>
        <w:pStyle w:val="Caption"/>
      </w:pPr>
      <w:bookmarkStart w:id="178" w:name="_Toc45654127"/>
      <w:bookmarkStart w:id="179" w:name="_Toc24977941"/>
      <w:bookmarkStart w:id="180" w:name="_Toc32321803"/>
      <w:bookmarkStart w:id="181" w:name="_Toc44598496"/>
      <w:bookmarkStart w:id="182" w:name="_Toc44695868"/>
      <w:bookmarkStart w:id="183" w:name="_Toc57643598"/>
      <w:bookmarkStart w:id="184" w:name="_Toc70505514"/>
      <w:r>
        <w:t>3.15</w:t>
      </w:r>
      <w:r w:rsidR="00E4023A" w:rsidRPr="00695C93">
        <w:tab/>
      </w:r>
      <w:r w:rsidR="00E4023A">
        <w:t>Retirement village dwelling and resident numbers — 2014</w:t>
      </w:r>
      <w:bookmarkEnd w:id="178"/>
      <w:bookmarkEnd w:id="179"/>
      <w:bookmarkEnd w:id="180"/>
      <w:bookmarkEnd w:id="181"/>
      <w:bookmarkEnd w:id="182"/>
      <w:bookmarkEnd w:id="183"/>
      <w:bookmarkEnd w:id="184"/>
    </w:p>
    <w:tbl>
      <w:tblPr>
        <w:tblW w:w="7938" w:type="dxa"/>
        <w:tblLayout w:type="fixed"/>
        <w:tblLook w:val="0000" w:firstRow="0" w:lastRow="0" w:firstColumn="0" w:lastColumn="0" w:noHBand="0" w:noVBand="0"/>
        <w:tblCaption w:val="Table 3.15: Retirement village dwelling and resident numbers — 2014"/>
        <w:tblDescription w:val="This table lists, by state, the number of residents and dwellings in retirement villages in 2014. The percentage of people aged over 65 in retirement villages is also shown. In total in Australia, 5.7% of people aged over 65 live in retirement villages. In 2014, there were 184,080 people living in retirement villages in total, in 141,600 dwellings."/>
      </w:tblPr>
      <w:tblGrid>
        <w:gridCol w:w="1985"/>
        <w:gridCol w:w="1984"/>
        <w:gridCol w:w="1984"/>
        <w:gridCol w:w="1985"/>
      </w:tblGrid>
      <w:tr w:rsidR="00E4023A" w14:paraId="5A15D7DF" w14:textId="77777777" w:rsidTr="005B0289">
        <w:trPr>
          <w:tblHeader/>
        </w:trPr>
        <w:tc>
          <w:tcPr>
            <w:tcW w:w="1587" w:type="dxa"/>
            <w:shd w:val="clear" w:color="auto" w:fill="6F6652"/>
            <w:tcMar>
              <w:left w:w="57" w:type="dxa"/>
              <w:right w:w="57" w:type="dxa"/>
            </w:tcMar>
          </w:tcPr>
          <w:p w14:paraId="70B84162" w14:textId="77777777" w:rsidR="00E4023A" w:rsidRDefault="000A0E83" w:rsidP="005B0289">
            <w:pPr>
              <w:pStyle w:val="TableDataColumnHeading"/>
              <w:jc w:val="left"/>
            </w:pPr>
            <w:r>
              <w:t>State or territory</w:t>
            </w:r>
          </w:p>
        </w:tc>
        <w:tc>
          <w:tcPr>
            <w:tcW w:w="1587" w:type="dxa"/>
            <w:shd w:val="clear" w:color="auto" w:fill="6F6652"/>
            <w:tcMar>
              <w:left w:w="57" w:type="dxa"/>
              <w:right w:w="57" w:type="dxa"/>
            </w:tcMar>
          </w:tcPr>
          <w:p w14:paraId="67B13606" w14:textId="77777777" w:rsidR="00E4023A" w:rsidRDefault="00E4023A" w:rsidP="005B0289">
            <w:pPr>
              <w:pStyle w:val="TableDataColumnHeading"/>
            </w:pPr>
            <w:r>
              <w:t>Penetration rate of over 65s in retirement villages</w:t>
            </w:r>
          </w:p>
        </w:tc>
        <w:tc>
          <w:tcPr>
            <w:tcW w:w="1587" w:type="dxa"/>
            <w:shd w:val="clear" w:color="auto" w:fill="6F6652"/>
            <w:tcMar>
              <w:left w:w="57" w:type="dxa"/>
              <w:right w:w="57" w:type="dxa"/>
            </w:tcMar>
          </w:tcPr>
          <w:p w14:paraId="147273E7" w14:textId="77777777" w:rsidR="00E4023A" w:rsidRDefault="00E4023A" w:rsidP="005B0289">
            <w:pPr>
              <w:pStyle w:val="TableDataColumnHeading"/>
            </w:pPr>
            <w:r>
              <w:t>Number of residents in retirement villages</w:t>
            </w:r>
          </w:p>
        </w:tc>
        <w:tc>
          <w:tcPr>
            <w:tcW w:w="1588" w:type="dxa"/>
            <w:shd w:val="clear" w:color="auto" w:fill="6F6652"/>
            <w:tcMar>
              <w:left w:w="57" w:type="dxa"/>
              <w:right w:w="57" w:type="dxa"/>
            </w:tcMar>
          </w:tcPr>
          <w:p w14:paraId="05D511BB" w14:textId="77777777" w:rsidR="00E4023A" w:rsidRDefault="00E4023A" w:rsidP="005B0289">
            <w:pPr>
              <w:pStyle w:val="TableDataColumnHeading"/>
            </w:pPr>
            <w:r>
              <w:t>Number of dwellings</w:t>
            </w:r>
          </w:p>
        </w:tc>
      </w:tr>
      <w:tr w:rsidR="00E4023A" w14:paraId="3FB6AC5D" w14:textId="77777777" w:rsidTr="005B0289">
        <w:trPr>
          <w:tblHeader/>
        </w:trPr>
        <w:tc>
          <w:tcPr>
            <w:tcW w:w="1587" w:type="dxa"/>
            <w:tcBorders>
              <w:bottom w:val="single" w:sz="8" w:space="0" w:color="FFFFFF" w:themeColor="background1"/>
            </w:tcBorders>
            <w:shd w:val="clear" w:color="auto" w:fill="auto"/>
            <w:tcMar>
              <w:left w:w="57" w:type="dxa"/>
              <w:right w:w="57" w:type="dxa"/>
            </w:tcMar>
          </w:tcPr>
          <w:p w14:paraId="130774E9" w14:textId="77777777" w:rsidR="00E4023A" w:rsidRDefault="00E4023A" w:rsidP="005B0289">
            <w:pPr>
              <w:pStyle w:val="TableUnit"/>
              <w:jc w:val="left"/>
            </w:pPr>
          </w:p>
        </w:tc>
        <w:tc>
          <w:tcPr>
            <w:tcW w:w="1587" w:type="dxa"/>
            <w:tcBorders>
              <w:bottom w:val="single" w:sz="8" w:space="0" w:color="FFFFFF" w:themeColor="background1"/>
            </w:tcBorders>
            <w:shd w:val="clear" w:color="auto" w:fill="auto"/>
            <w:tcMar>
              <w:left w:w="57" w:type="dxa"/>
              <w:right w:w="57" w:type="dxa"/>
            </w:tcMar>
          </w:tcPr>
          <w:p w14:paraId="201CBB87" w14:textId="77777777" w:rsidR="00E4023A" w:rsidRDefault="00E4023A" w:rsidP="005B0289">
            <w:pPr>
              <w:pStyle w:val="TableUnit"/>
            </w:pPr>
            <w:r>
              <w:t>Per cent</w:t>
            </w:r>
          </w:p>
        </w:tc>
        <w:tc>
          <w:tcPr>
            <w:tcW w:w="1587" w:type="dxa"/>
            <w:tcBorders>
              <w:bottom w:val="single" w:sz="8" w:space="0" w:color="FFFFFF" w:themeColor="background1"/>
            </w:tcBorders>
            <w:shd w:val="clear" w:color="auto" w:fill="auto"/>
            <w:tcMar>
              <w:left w:w="57" w:type="dxa"/>
              <w:right w:w="57" w:type="dxa"/>
            </w:tcMar>
          </w:tcPr>
          <w:p w14:paraId="0952FC51" w14:textId="77777777" w:rsidR="00E4023A" w:rsidRDefault="00E4023A" w:rsidP="005B0289">
            <w:pPr>
              <w:pStyle w:val="TableUnit"/>
            </w:pPr>
            <w:r>
              <w:t>No.</w:t>
            </w:r>
          </w:p>
        </w:tc>
        <w:tc>
          <w:tcPr>
            <w:tcW w:w="1588" w:type="dxa"/>
            <w:tcBorders>
              <w:bottom w:val="single" w:sz="8" w:space="0" w:color="FFFFFF" w:themeColor="background1"/>
            </w:tcBorders>
            <w:shd w:val="clear" w:color="auto" w:fill="auto"/>
            <w:tcMar>
              <w:left w:w="57" w:type="dxa"/>
              <w:right w:w="57" w:type="dxa"/>
            </w:tcMar>
          </w:tcPr>
          <w:p w14:paraId="4FA673D6" w14:textId="77777777" w:rsidR="00E4023A" w:rsidRDefault="00E4023A" w:rsidP="005B0289">
            <w:pPr>
              <w:pStyle w:val="TableUnit"/>
            </w:pPr>
            <w:r>
              <w:t>No.</w:t>
            </w:r>
          </w:p>
        </w:tc>
      </w:tr>
      <w:tr w:rsidR="00E4023A" w14:paraId="41C303B6"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FF3A89" w14:textId="77777777" w:rsidR="00E4023A" w:rsidRDefault="00E4023A" w:rsidP="005B0289">
            <w:pPr>
              <w:pStyle w:val="TableDataEntries"/>
              <w:jc w:val="left"/>
            </w:pPr>
            <w:r>
              <w:t>NSW and ACT</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756FF0" w14:textId="77777777" w:rsidR="00E4023A" w:rsidRDefault="00E4023A" w:rsidP="005B0289">
            <w:pPr>
              <w:pStyle w:val="TableDataEntries"/>
            </w:pPr>
            <w:r>
              <w:t>4.9</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541FAE" w14:textId="77777777" w:rsidR="00E4023A" w:rsidRDefault="00E4023A" w:rsidP="005B0289">
            <w:pPr>
              <w:pStyle w:val="TableDataEntries"/>
            </w:pPr>
            <w:r>
              <w:t>55 413</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5039B8" w14:textId="77777777" w:rsidR="00E4023A" w:rsidRDefault="00E4023A" w:rsidP="005B0289">
            <w:pPr>
              <w:pStyle w:val="TableDataEntries"/>
            </w:pPr>
            <w:r>
              <w:t>42 625</w:t>
            </w:r>
          </w:p>
        </w:tc>
      </w:tr>
      <w:tr w:rsidR="00E4023A" w14:paraId="2E2E8755"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723BF9" w14:textId="77777777" w:rsidR="00E4023A" w:rsidRDefault="00E4023A" w:rsidP="005B0289">
            <w:pPr>
              <w:pStyle w:val="TableDataEntries"/>
              <w:jc w:val="left"/>
            </w:pPr>
            <w:r>
              <w:t>Victoria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73BE03" w14:textId="77777777" w:rsidR="00E4023A" w:rsidRDefault="00E4023A" w:rsidP="005B0289">
            <w:pPr>
              <w:pStyle w:val="TableDataEntries"/>
            </w:pPr>
            <w:r>
              <w:t>5.3</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4D4AFC" w14:textId="77777777" w:rsidR="00E4023A" w:rsidRDefault="00E4023A" w:rsidP="005B0289">
            <w:pPr>
              <w:pStyle w:val="TableDataEntries"/>
            </w:pPr>
            <w:r>
              <w:t>43 107</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4293D7" w14:textId="77777777" w:rsidR="00E4023A" w:rsidRDefault="00E4023A" w:rsidP="005B0289">
            <w:pPr>
              <w:pStyle w:val="TableDataEntries"/>
            </w:pPr>
            <w:r>
              <w:t>33 159</w:t>
            </w:r>
          </w:p>
        </w:tc>
      </w:tr>
      <w:tr w:rsidR="00E4023A" w14:paraId="3902AA73"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0A94D4" w14:textId="77777777" w:rsidR="00E4023A" w:rsidRDefault="00E4023A" w:rsidP="005B0289">
            <w:pPr>
              <w:pStyle w:val="TableDataEntries"/>
              <w:jc w:val="left"/>
            </w:pPr>
            <w:r>
              <w:t>Queensland</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C77C3" w14:textId="77777777" w:rsidR="00E4023A" w:rsidRDefault="00E4023A" w:rsidP="005B0289">
            <w:pPr>
              <w:pStyle w:val="TableDataEntries"/>
            </w:pPr>
            <w:r>
              <w:t>6.4</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8B3925" w14:textId="77777777" w:rsidR="00E4023A" w:rsidRDefault="00E4023A" w:rsidP="005B0289">
            <w:pPr>
              <w:pStyle w:val="TableDataEntries"/>
            </w:pPr>
            <w:r>
              <w:t>38 842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1C4151" w14:textId="77777777" w:rsidR="00E4023A" w:rsidRDefault="00E4023A" w:rsidP="005B0289">
            <w:pPr>
              <w:pStyle w:val="TableDataEntries"/>
            </w:pPr>
            <w:r>
              <w:t>29 878</w:t>
            </w:r>
          </w:p>
        </w:tc>
      </w:tr>
      <w:tr w:rsidR="00E4023A" w14:paraId="428F29C0"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51D871" w14:textId="77777777" w:rsidR="00E4023A" w:rsidRDefault="00E4023A" w:rsidP="005B0289">
            <w:pPr>
              <w:pStyle w:val="TableDataEntries"/>
              <w:jc w:val="left"/>
            </w:pPr>
            <w:r>
              <w:t>South Australia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E938A5" w14:textId="77777777" w:rsidR="00E4023A" w:rsidRDefault="00E4023A" w:rsidP="005B0289">
            <w:pPr>
              <w:pStyle w:val="TableDataEntries"/>
            </w:pPr>
            <w:r>
              <w:t>8.6</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2F0ABA" w14:textId="77777777" w:rsidR="00E4023A" w:rsidRDefault="00E4023A" w:rsidP="005B0289">
            <w:pPr>
              <w:pStyle w:val="TableDataEntries"/>
            </w:pPr>
            <w:r>
              <w:t>23 236</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BB53EB" w14:textId="77777777" w:rsidR="00E4023A" w:rsidRDefault="00E4023A" w:rsidP="005B0289">
            <w:pPr>
              <w:pStyle w:val="TableDataEntries"/>
            </w:pPr>
            <w:r>
              <w:t>17 874</w:t>
            </w:r>
          </w:p>
        </w:tc>
      </w:tr>
      <w:tr w:rsidR="00E4023A" w14:paraId="7ED6360D"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417A41" w14:textId="77777777" w:rsidR="00E4023A" w:rsidRDefault="00E4023A" w:rsidP="005B0289">
            <w:pPr>
              <w:pStyle w:val="TableDataEntries"/>
              <w:jc w:val="left"/>
            </w:pPr>
            <w:r>
              <w:t>Western Australia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FBB860" w14:textId="77777777" w:rsidR="00E4023A" w:rsidRDefault="00E4023A" w:rsidP="005B0289">
            <w:pPr>
              <w:pStyle w:val="TableDataEntries"/>
            </w:pPr>
            <w:r>
              <w:t>6.9</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DD0D85" w14:textId="77777777" w:rsidR="00E4023A" w:rsidRDefault="00E4023A" w:rsidP="005B0289">
            <w:pPr>
              <w:pStyle w:val="TableDataEntries"/>
            </w:pPr>
            <w:r>
              <w:t>20 599</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5C8E91" w14:textId="77777777" w:rsidR="00E4023A" w:rsidRDefault="00E4023A" w:rsidP="005B0289">
            <w:pPr>
              <w:pStyle w:val="TableDataEntries"/>
            </w:pPr>
            <w:r>
              <w:t>15 846</w:t>
            </w:r>
          </w:p>
        </w:tc>
      </w:tr>
      <w:tr w:rsidR="00E4023A" w14:paraId="765CEAB0" w14:textId="77777777" w:rsidTr="005B0289">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E487B5" w14:textId="77777777" w:rsidR="00E4023A" w:rsidRDefault="00E4023A" w:rsidP="005B0289">
            <w:pPr>
              <w:pStyle w:val="TableDataEntries"/>
              <w:jc w:val="left"/>
            </w:pPr>
            <w:r>
              <w:t>Tasmania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3715AE" w14:textId="77777777" w:rsidR="00E4023A" w:rsidRDefault="00E4023A" w:rsidP="005B0289">
            <w:pPr>
              <w:pStyle w:val="TableDataEntries"/>
            </w:pPr>
            <w:r>
              <w:t>3.4</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476F7A" w14:textId="77777777" w:rsidR="00E4023A" w:rsidRDefault="00E4023A" w:rsidP="005B0289">
            <w:pPr>
              <w:pStyle w:val="TableDataEntries"/>
            </w:pPr>
            <w:r>
              <w:t>2 883</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8C8F29" w14:textId="77777777" w:rsidR="00E4023A" w:rsidRDefault="00E4023A" w:rsidP="005B0289">
            <w:pPr>
              <w:pStyle w:val="TableDataEntries"/>
            </w:pPr>
            <w:r>
              <w:t>2 218</w:t>
            </w:r>
          </w:p>
        </w:tc>
      </w:tr>
      <w:tr w:rsidR="00E4023A" w:rsidRPr="009B0B14" w14:paraId="272EFE97" w14:textId="77777777" w:rsidTr="005B0289">
        <w:tc>
          <w:tcPr>
            <w:tcW w:w="15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5A45720" w14:textId="77777777" w:rsidR="00E4023A" w:rsidRPr="009B0B14" w:rsidRDefault="00E4023A" w:rsidP="005B0289">
            <w:pPr>
              <w:pStyle w:val="TableDataEntries"/>
              <w:jc w:val="left"/>
              <w:rPr>
                <w:rFonts w:ascii="Franklin Gothic Demi" w:hAnsi="Franklin Gothic Demi"/>
              </w:rPr>
            </w:pPr>
            <w:r w:rsidRPr="009B0B14">
              <w:rPr>
                <w:rFonts w:ascii="Franklin Gothic Demi" w:hAnsi="Franklin Gothic Demi"/>
              </w:rPr>
              <w:t>Australia</w:t>
            </w:r>
          </w:p>
        </w:tc>
        <w:tc>
          <w:tcPr>
            <w:tcW w:w="15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CAF43C2" w14:textId="77777777" w:rsidR="00E4023A" w:rsidRPr="009B0B14" w:rsidRDefault="00E4023A" w:rsidP="005B0289">
            <w:pPr>
              <w:pStyle w:val="TableDataEntries"/>
              <w:rPr>
                <w:rFonts w:ascii="Franklin Gothic Demi" w:hAnsi="Franklin Gothic Demi"/>
              </w:rPr>
            </w:pPr>
            <w:r w:rsidRPr="009B0B14">
              <w:rPr>
                <w:rFonts w:ascii="Franklin Gothic Demi" w:hAnsi="Franklin Gothic Demi"/>
              </w:rPr>
              <w:t>5.7</w:t>
            </w:r>
          </w:p>
        </w:tc>
        <w:tc>
          <w:tcPr>
            <w:tcW w:w="15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AC76137" w14:textId="77777777" w:rsidR="00E4023A" w:rsidRPr="009B0B14" w:rsidRDefault="00E4023A" w:rsidP="005B0289">
            <w:pPr>
              <w:pStyle w:val="TableDataEntries"/>
              <w:rPr>
                <w:rFonts w:ascii="Franklin Gothic Demi" w:hAnsi="Franklin Gothic Demi"/>
              </w:rPr>
            </w:pPr>
            <w:r w:rsidRPr="009B0B14">
              <w:rPr>
                <w:rFonts w:ascii="Franklin Gothic Demi" w:hAnsi="Franklin Gothic Demi"/>
              </w:rPr>
              <w:t>184 080</w:t>
            </w:r>
          </w:p>
        </w:tc>
        <w:tc>
          <w:tcPr>
            <w:tcW w:w="158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DE938A5" w14:textId="77777777" w:rsidR="00E4023A" w:rsidRPr="009B0B14" w:rsidRDefault="00E4023A" w:rsidP="005B0289">
            <w:pPr>
              <w:pStyle w:val="TableDataEntries"/>
              <w:rPr>
                <w:rFonts w:ascii="Franklin Gothic Demi" w:hAnsi="Franklin Gothic Demi"/>
              </w:rPr>
            </w:pPr>
            <w:r w:rsidRPr="009B0B14">
              <w:rPr>
                <w:rFonts w:ascii="Franklin Gothic Demi" w:hAnsi="Franklin Gothic Demi"/>
              </w:rPr>
              <w:t>141 600</w:t>
            </w:r>
          </w:p>
        </w:tc>
      </w:tr>
    </w:tbl>
    <w:p w14:paraId="50E9A904" w14:textId="77777777" w:rsidR="00E4023A" w:rsidRDefault="00E4023A" w:rsidP="009B72BA">
      <w:pPr>
        <w:pStyle w:val="Note"/>
        <w:rPr>
          <w:lang w:bidi="fa-IR"/>
        </w:rPr>
      </w:pPr>
      <w:r w:rsidRPr="009B72BA">
        <w:rPr>
          <w:lang w:bidi="fa-IR"/>
        </w:rPr>
        <w:t>Source:</w:t>
      </w:r>
      <w:r>
        <w:rPr>
          <w:lang w:bidi="fa-IR"/>
        </w:rPr>
        <w:t xml:space="preserve"> Property Council of Australia, National overview of the retirement village sector, October 2014, p.5.</w:t>
      </w:r>
    </w:p>
    <w:p w14:paraId="2F05E734" w14:textId="77777777" w:rsidR="00E4023A" w:rsidRDefault="00E4023A" w:rsidP="00E4023A">
      <w:pPr>
        <w:pStyle w:val="BodyText"/>
        <w:rPr>
          <w:lang w:eastAsia="en-US"/>
        </w:rPr>
      </w:pPr>
      <w:r>
        <w:rPr>
          <w:lang w:eastAsia="en-US"/>
        </w:rPr>
        <w:t>Some stakeholders noted that not all retirement villages meet accessibility standards, particularly older retirement villages or retirement villages that have been re</w:t>
      </w:r>
      <w:r>
        <w:rPr>
          <w:lang w:eastAsia="en-US"/>
        </w:rPr>
        <w:noBreakHyphen/>
        <w:t>purposed from other buildings.</w:t>
      </w:r>
    </w:p>
    <w:p w14:paraId="10838D2F" w14:textId="77777777" w:rsidR="00E4023A" w:rsidRDefault="00E4023A" w:rsidP="00E4023A">
      <w:pPr>
        <w:pStyle w:val="BodyText"/>
        <w:rPr>
          <w:lang w:eastAsia="en-US"/>
        </w:rPr>
      </w:pPr>
      <w:r>
        <w:rPr>
          <w:lang w:eastAsia="en-US"/>
        </w:rPr>
        <w:t xml:space="preserve">Moving into a retirement village is often considered a lifestyle choice. However, current or future accessibility needs may be an important factor for some residents. </w:t>
      </w:r>
    </w:p>
    <w:p w14:paraId="21CC0F01" w14:textId="77777777" w:rsidR="00BE133F" w:rsidRDefault="0068760C" w:rsidP="00E4023A">
      <w:pPr>
        <w:pStyle w:val="BodyText"/>
        <w:rPr>
          <w:lang w:eastAsia="en-US"/>
        </w:rPr>
      </w:pPr>
      <w:r>
        <w:rPr>
          <w:lang w:eastAsia="en-US"/>
        </w:rPr>
        <w:t xml:space="preserve">It was suggested by </w:t>
      </w:r>
      <w:r w:rsidR="00E4023A">
        <w:rPr>
          <w:lang w:eastAsia="en-US"/>
        </w:rPr>
        <w:t xml:space="preserve">stakeholders </w:t>
      </w:r>
      <w:r>
        <w:rPr>
          <w:lang w:eastAsia="en-US"/>
        </w:rPr>
        <w:t xml:space="preserve">during consultation </w:t>
      </w:r>
      <w:r w:rsidR="00E4023A">
        <w:rPr>
          <w:lang w:eastAsia="en-US"/>
        </w:rPr>
        <w:t xml:space="preserve">that some older people </w:t>
      </w:r>
      <w:r w:rsidR="00211F47">
        <w:rPr>
          <w:lang w:eastAsia="en-US"/>
        </w:rPr>
        <w:t xml:space="preserve">who </w:t>
      </w:r>
      <w:r w:rsidR="00E4023A">
        <w:rPr>
          <w:lang w:eastAsia="en-US"/>
        </w:rPr>
        <w:t xml:space="preserve">moved to a retirement village would have preferred to remain in their previous homes had </w:t>
      </w:r>
      <w:r w:rsidR="00211F47">
        <w:rPr>
          <w:lang w:eastAsia="en-US"/>
        </w:rPr>
        <w:t>those homes</w:t>
      </w:r>
      <w:r w:rsidR="00E4023A">
        <w:rPr>
          <w:lang w:eastAsia="en-US"/>
        </w:rPr>
        <w:t xml:space="preserve"> met their accessibility needs.</w:t>
      </w:r>
    </w:p>
    <w:p w14:paraId="2C68656B" w14:textId="77777777" w:rsidR="00E4023A" w:rsidRDefault="00E4023A" w:rsidP="00E4023A">
      <w:pPr>
        <w:pStyle w:val="Heading3"/>
        <w:numPr>
          <w:ilvl w:val="2"/>
          <w:numId w:val="5"/>
        </w:numPr>
        <w:rPr>
          <w:lang w:bidi="fa-IR"/>
        </w:rPr>
      </w:pPr>
      <w:r>
        <w:rPr>
          <w:lang w:bidi="fa-IR"/>
        </w:rPr>
        <w:t>Home modifications</w:t>
      </w:r>
    </w:p>
    <w:p w14:paraId="3C077B5C" w14:textId="29714FE3" w:rsidR="00E4023A" w:rsidRDefault="00E4023A" w:rsidP="00E4023A">
      <w:pPr>
        <w:pStyle w:val="BodyText"/>
        <w:rPr>
          <w:lang w:bidi="fa-IR"/>
        </w:rPr>
      </w:pPr>
      <w:r>
        <w:rPr>
          <w:lang w:bidi="fa-IR"/>
        </w:rPr>
        <w:t xml:space="preserve">Another way the market (often supported by policy assistance) responds to the need for accessible housing is through home modifications. According to SDAC data, around 477 800 Australians with mobility </w:t>
      </w:r>
      <w:r w:rsidR="00211F47">
        <w:rPr>
          <w:lang w:bidi="fa-IR"/>
        </w:rPr>
        <w:t xml:space="preserve">limitation </w:t>
      </w:r>
      <w:r>
        <w:rPr>
          <w:lang w:bidi="fa-IR"/>
        </w:rPr>
        <w:t>live in dwellings that have been modified because of their condition or age (around 16 per cent of the total) (table </w:t>
      </w:r>
      <w:r w:rsidR="00587754">
        <w:rPr>
          <w:lang w:bidi="fa-IR"/>
        </w:rPr>
        <w:t>3.16)</w:t>
      </w:r>
      <w:r>
        <w:rPr>
          <w:lang w:bidi="fa-IR"/>
        </w:rPr>
        <w:t xml:space="preserve">. This proportion was around 25 per cent for people with profound or severe mobility </w:t>
      </w:r>
      <w:r w:rsidR="00725DBC">
        <w:rPr>
          <w:lang w:bidi="fa-IR"/>
        </w:rPr>
        <w:t>limitation</w:t>
      </w:r>
      <w:r>
        <w:rPr>
          <w:lang w:bidi="fa-IR"/>
        </w:rPr>
        <w:t>.</w:t>
      </w:r>
    </w:p>
    <w:p w14:paraId="061448D3" w14:textId="6D68D01F" w:rsidR="00E4023A" w:rsidRDefault="00076C9B" w:rsidP="00E4023A">
      <w:pPr>
        <w:pStyle w:val="Caption"/>
      </w:pPr>
      <w:bookmarkStart w:id="185" w:name="_Toc45654128"/>
      <w:bookmarkStart w:id="186" w:name="_Toc32321804"/>
      <w:bookmarkStart w:id="187" w:name="_Toc44598497"/>
      <w:bookmarkStart w:id="188" w:name="_Toc44695869"/>
      <w:bookmarkStart w:id="189" w:name="_Toc57643599"/>
      <w:bookmarkStart w:id="190" w:name="_Toc70505515"/>
      <w:r>
        <w:lastRenderedPageBreak/>
        <w:t>3.16</w:t>
      </w:r>
      <w:r w:rsidR="00E4023A" w:rsidRPr="00695C93">
        <w:tab/>
      </w:r>
      <w:r w:rsidR="00E4023A">
        <w:t>Share of people with a mobility limitation living in modified dwellings</w:t>
      </w:r>
      <w:bookmarkEnd w:id="185"/>
      <w:bookmarkEnd w:id="186"/>
      <w:bookmarkEnd w:id="187"/>
      <w:bookmarkEnd w:id="188"/>
      <w:bookmarkEnd w:id="189"/>
      <w:bookmarkEnd w:id="190"/>
    </w:p>
    <w:tbl>
      <w:tblPr>
        <w:tblW w:w="7938" w:type="dxa"/>
        <w:tblLayout w:type="fixed"/>
        <w:tblLook w:val="0000" w:firstRow="0" w:lastRow="0" w:firstColumn="0" w:lastColumn="0" w:noHBand="0" w:noVBand="0"/>
        <w:tblCaption w:val="Table 3.16: Share of people with a mobility limitation living in modified dwellings"/>
        <w:tblDescription w:val="This table lists the numbers of people with profound, severe, moderate and mild mobility limitations living in modified dwellings, and as a percentage of the total number of people with that category of limitation. The percentage increases with increasing severity of mobility limitation, up to 25.6% of people with a profound mobility limitation."/>
      </w:tblPr>
      <w:tblGrid>
        <w:gridCol w:w="1878"/>
        <w:gridCol w:w="2020"/>
        <w:gridCol w:w="2020"/>
        <w:gridCol w:w="2020"/>
      </w:tblGrid>
      <w:tr w:rsidR="00E4023A" w14:paraId="34CA62D2" w14:textId="77777777" w:rsidTr="005B0289">
        <w:trPr>
          <w:trHeight w:val="461"/>
          <w:tblHeader/>
        </w:trPr>
        <w:tc>
          <w:tcPr>
            <w:tcW w:w="1878" w:type="dxa"/>
            <w:shd w:val="clear" w:color="auto" w:fill="6F6652"/>
            <w:tcMar>
              <w:left w:w="57" w:type="dxa"/>
              <w:right w:w="57" w:type="dxa"/>
            </w:tcMar>
          </w:tcPr>
          <w:p w14:paraId="533A764E" w14:textId="77777777" w:rsidR="00E4023A" w:rsidRDefault="000C385B" w:rsidP="005B0289">
            <w:pPr>
              <w:pStyle w:val="TableDataColumnHeading"/>
              <w:jc w:val="left"/>
              <w:rPr>
                <w:lang w:val="en-GB"/>
              </w:rPr>
            </w:pPr>
            <w:r>
              <w:rPr>
                <w:lang w:val="en-GB"/>
              </w:rPr>
              <w:t>Mobile limitation</w:t>
            </w:r>
          </w:p>
        </w:tc>
        <w:tc>
          <w:tcPr>
            <w:tcW w:w="2020" w:type="dxa"/>
            <w:shd w:val="clear" w:color="auto" w:fill="6F6652"/>
            <w:tcMar>
              <w:left w:w="57" w:type="dxa"/>
              <w:right w:w="57" w:type="dxa"/>
            </w:tcMar>
          </w:tcPr>
          <w:p w14:paraId="04D97C42" w14:textId="77777777" w:rsidR="00E4023A" w:rsidRDefault="00E4023A" w:rsidP="005B0289">
            <w:pPr>
              <w:pStyle w:val="TableDataColumnHeading"/>
              <w:rPr>
                <w:lang w:val="en-GB"/>
              </w:rPr>
            </w:pPr>
            <w:r>
              <w:rPr>
                <w:lang w:val="en-GB"/>
              </w:rPr>
              <w:t>Dwelling modified</w:t>
            </w:r>
          </w:p>
        </w:tc>
        <w:tc>
          <w:tcPr>
            <w:tcW w:w="2020" w:type="dxa"/>
            <w:shd w:val="clear" w:color="auto" w:fill="6F6652"/>
            <w:tcMar>
              <w:left w:w="57" w:type="dxa"/>
              <w:right w:w="57" w:type="dxa"/>
            </w:tcMar>
          </w:tcPr>
          <w:p w14:paraId="2680B55D" w14:textId="77777777" w:rsidR="00E4023A" w:rsidRDefault="00E4023A" w:rsidP="005B0289">
            <w:pPr>
              <w:pStyle w:val="TableDataColumnHeading"/>
              <w:rPr>
                <w:lang w:val="en-GB"/>
              </w:rPr>
            </w:pPr>
            <w:r>
              <w:rPr>
                <w:lang w:val="en-GB"/>
              </w:rPr>
              <w:t>Total</w:t>
            </w:r>
          </w:p>
        </w:tc>
        <w:tc>
          <w:tcPr>
            <w:tcW w:w="2020" w:type="dxa"/>
            <w:shd w:val="clear" w:color="auto" w:fill="6F6652"/>
            <w:tcMar>
              <w:left w:w="57" w:type="dxa"/>
              <w:right w:w="57" w:type="dxa"/>
            </w:tcMar>
          </w:tcPr>
          <w:p w14:paraId="32BA6BE8" w14:textId="77777777" w:rsidR="00E4023A" w:rsidRDefault="00E4023A" w:rsidP="005B0289">
            <w:pPr>
              <w:pStyle w:val="TableDataColumnHeading"/>
              <w:rPr>
                <w:lang w:val="en-GB"/>
              </w:rPr>
            </w:pPr>
            <w:r>
              <w:rPr>
                <w:lang w:val="en-GB"/>
              </w:rPr>
              <w:t>Share</w:t>
            </w:r>
          </w:p>
        </w:tc>
      </w:tr>
      <w:tr w:rsidR="00E4023A" w14:paraId="1690D28C" w14:textId="77777777" w:rsidTr="005B0289">
        <w:trPr>
          <w:trHeight w:val="230"/>
          <w:tblHeader/>
        </w:trPr>
        <w:tc>
          <w:tcPr>
            <w:tcW w:w="1878" w:type="dxa"/>
            <w:tcBorders>
              <w:bottom w:val="single" w:sz="8" w:space="0" w:color="FFFFFF" w:themeColor="background1"/>
            </w:tcBorders>
            <w:shd w:val="clear" w:color="auto" w:fill="auto"/>
            <w:tcMar>
              <w:left w:w="57" w:type="dxa"/>
              <w:right w:w="57" w:type="dxa"/>
            </w:tcMar>
          </w:tcPr>
          <w:p w14:paraId="533DED53" w14:textId="77777777" w:rsidR="00E4023A" w:rsidRDefault="00E4023A" w:rsidP="005B0289">
            <w:pPr>
              <w:pStyle w:val="TableUnit"/>
              <w:jc w:val="left"/>
              <w:rPr>
                <w:lang w:val="en-GB"/>
              </w:rPr>
            </w:pPr>
          </w:p>
        </w:tc>
        <w:tc>
          <w:tcPr>
            <w:tcW w:w="2020" w:type="dxa"/>
            <w:tcBorders>
              <w:bottom w:val="single" w:sz="8" w:space="0" w:color="FFFFFF" w:themeColor="background1"/>
            </w:tcBorders>
            <w:shd w:val="clear" w:color="auto" w:fill="auto"/>
            <w:tcMar>
              <w:left w:w="57" w:type="dxa"/>
              <w:right w:w="57" w:type="dxa"/>
            </w:tcMar>
          </w:tcPr>
          <w:p w14:paraId="09C67D98" w14:textId="77777777" w:rsidR="00E4023A" w:rsidRDefault="00E4023A" w:rsidP="005B0289">
            <w:pPr>
              <w:pStyle w:val="TableUnit"/>
              <w:rPr>
                <w:lang w:val="en-GB"/>
              </w:rPr>
            </w:pPr>
            <w:r>
              <w:rPr>
                <w:lang w:val="en-GB"/>
              </w:rPr>
              <w:t>'000</w:t>
            </w:r>
          </w:p>
        </w:tc>
        <w:tc>
          <w:tcPr>
            <w:tcW w:w="2020" w:type="dxa"/>
            <w:tcBorders>
              <w:bottom w:val="single" w:sz="8" w:space="0" w:color="FFFFFF" w:themeColor="background1"/>
            </w:tcBorders>
            <w:shd w:val="clear" w:color="auto" w:fill="auto"/>
            <w:tcMar>
              <w:left w:w="57" w:type="dxa"/>
              <w:right w:w="57" w:type="dxa"/>
            </w:tcMar>
          </w:tcPr>
          <w:p w14:paraId="1ECCEE09" w14:textId="77777777" w:rsidR="00E4023A" w:rsidRDefault="00E4023A" w:rsidP="005B0289">
            <w:pPr>
              <w:pStyle w:val="TableUnit"/>
              <w:rPr>
                <w:lang w:val="en-GB"/>
              </w:rPr>
            </w:pPr>
            <w:r>
              <w:rPr>
                <w:lang w:val="en-GB"/>
              </w:rPr>
              <w:t>'000</w:t>
            </w:r>
          </w:p>
        </w:tc>
        <w:tc>
          <w:tcPr>
            <w:tcW w:w="2020" w:type="dxa"/>
            <w:tcBorders>
              <w:bottom w:val="single" w:sz="8" w:space="0" w:color="FFFFFF" w:themeColor="background1"/>
            </w:tcBorders>
            <w:shd w:val="clear" w:color="auto" w:fill="auto"/>
            <w:tcMar>
              <w:left w:w="57" w:type="dxa"/>
              <w:right w:w="57" w:type="dxa"/>
            </w:tcMar>
          </w:tcPr>
          <w:p w14:paraId="36D4A37D" w14:textId="77777777" w:rsidR="00E4023A" w:rsidRDefault="00E4023A" w:rsidP="005B0289">
            <w:pPr>
              <w:pStyle w:val="TableUnit"/>
              <w:rPr>
                <w:lang w:val="en-GB"/>
              </w:rPr>
            </w:pPr>
            <w:r>
              <w:rPr>
                <w:lang w:val="en-GB"/>
              </w:rPr>
              <w:t>Per cent</w:t>
            </w:r>
          </w:p>
        </w:tc>
      </w:tr>
      <w:tr w:rsidR="00E4023A" w14:paraId="6C760065" w14:textId="77777777" w:rsidTr="005B0289">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E9FA0F" w14:textId="77777777" w:rsidR="00E4023A" w:rsidRDefault="00E4023A" w:rsidP="005B0289">
            <w:pPr>
              <w:pStyle w:val="TableDataEntries"/>
              <w:jc w:val="left"/>
              <w:rPr>
                <w:lang w:val="en-GB"/>
              </w:rPr>
            </w:pPr>
            <w:r>
              <w:rPr>
                <w:lang w:val="en-GB"/>
              </w:rPr>
              <w:t>Profound</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2AE9F0" w14:textId="77777777" w:rsidR="00E4023A" w:rsidRDefault="00E4023A" w:rsidP="005B0289">
            <w:pPr>
              <w:pStyle w:val="TableDataEntries"/>
              <w:rPr>
                <w:lang w:val="en-GB"/>
              </w:rPr>
            </w:pPr>
            <w:r>
              <w:rPr>
                <w:lang w:val="en-GB"/>
              </w:rPr>
              <w:t xml:space="preserve"> 161.7</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D89E2" w14:textId="77777777" w:rsidR="00E4023A" w:rsidRDefault="00E4023A" w:rsidP="005B0289">
            <w:pPr>
              <w:pStyle w:val="TableDataEntries"/>
              <w:rPr>
                <w:lang w:val="en-GB"/>
              </w:rPr>
            </w:pPr>
            <w:r>
              <w:rPr>
                <w:lang w:val="en-GB"/>
              </w:rPr>
              <w:t xml:space="preserve"> 632.2</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7F79F2" w14:textId="77777777" w:rsidR="00E4023A" w:rsidRDefault="00E4023A" w:rsidP="005B0289">
            <w:pPr>
              <w:pStyle w:val="TableDataEntries"/>
              <w:rPr>
                <w:lang w:val="en-GB"/>
              </w:rPr>
            </w:pPr>
            <w:r>
              <w:rPr>
                <w:lang w:val="en-GB"/>
              </w:rPr>
              <w:t xml:space="preserve"> 25.6</w:t>
            </w:r>
          </w:p>
        </w:tc>
      </w:tr>
      <w:tr w:rsidR="00E4023A" w14:paraId="760D55CD" w14:textId="77777777" w:rsidTr="005B0289">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FA0779" w14:textId="77777777" w:rsidR="00E4023A" w:rsidRDefault="00E4023A" w:rsidP="005B0289">
            <w:pPr>
              <w:pStyle w:val="TableDataEntries"/>
              <w:jc w:val="left"/>
              <w:rPr>
                <w:lang w:val="en-GB"/>
              </w:rPr>
            </w:pPr>
            <w:r>
              <w:rPr>
                <w:lang w:val="en-GB"/>
              </w:rPr>
              <w:t>Severe</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FD6C45" w14:textId="77777777" w:rsidR="00E4023A" w:rsidRDefault="00E4023A" w:rsidP="005B0289">
            <w:pPr>
              <w:pStyle w:val="TableDataEntries"/>
              <w:rPr>
                <w:lang w:val="en-GB"/>
              </w:rPr>
            </w:pPr>
            <w:r>
              <w:rPr>
                <w:lang w:val="en-GB"/>
              </w:rPr>
              <w:t xml:space="preserve"> 123.7</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2F7F91" w14:textId="77777777" w:rsidR="00E4023A" w:rsidRDefault="00E4023A" w:rsidP="005B0289">
            <w:pPr>
              <w:pStyle w:val="TableDataEntries"/>
              <w:rPr>
                <w:lang w:val="en-GB"/>
              </w:rPr>
            </w:pPr>
            <w:r>
              <w:rPr>
                <w:lang w:val="en-GB"/>
              </w:rPr>
              <w:t xml:space="preserve"> 518.9</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3D91C1" w14:textId="77777777" w:rsidR="00E4023A" w:rsidRDefault="00E4023A" w:rsidP="005B0289">
            <w:pPr>
              <w:pStyle w:val="TableDataEntries"/>
              <w:rPr>
                <w:lang w:val="en-GB"/>
              </w:rPr>
            </w:pPr>
            <w:r>
              <w:rPr>
                <w:lang w:val="en-GB"/>
              </w:rPr>
              <w:t xml:space="preserve"> 23.8</w:t>
            </w:r>
          </w:p>
        </w:tc>
      </w:tr>
      <w:tr w:rsidR="00E4023A" w14:paraId="0C448042" w14:textId="77777777" w:rsidTr="005B0289">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A19E9E" w14:textId="77777777" w:rsidR="00E4023A" w:rsidRDefault="00E4023A" w:rsidP="005B0289">
            <w:pPr>
              <w:pStyle w:val="TableDataEntries"/>
              <w:jc w:val="left"/>
              <w:rPr>
                <w:lang w:val="en-GB"/>
              </w:rPr>
            </w:pPr>
            <w:r>
              <w:rPr>
                <w:lang w:val="en-GB"/>
              </w:rPr>
              <w:t>Moderate</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4F0B0E" w14:textId="77777777" w:rsidR="00E4023A" w:rsidRDefault="00E4023A" w:rsidP="005B0289">
            <w:pPr>
              <w:pStyle w:val="TableDataEntries"/>
              <w:rPr>
                <w:lang w:val="en-GB"/>
              </w:rPr>
            </w:pPr>
            <w:r>
              <w:rPr>
                <w:lang w:val="en-GB"/>
              </w:rPr>
              <w:t xml:space="preserve"> 77.4</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681B6F" w14:textId="77777777" w:rsidR="00E4023A" w:rsidRDefault="00E4023A" w:rsidP="005B0289">
            <w:pPr>
              <w:pStyle w:val="TableDataEntries"/>
              <w:rPr>
                <w:lang w:val="en-GB"/>
              </w:rPr>
            </w:pPr>
            <w:r>
              <w:rPr>
                <w:lang w:val="en-GB"/>
              </w:rPr>
              <w:t xml:space="preserve"> 434.9</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F15B32" w14:textId="77777777" w:rsidR="00E4023A" w:rsidRDefault="00E4023A" w:rsidP="005B0289">
            <w:pPr>
              <w:pStyle w:val="TableDataEntries"/>
              <w:rPr>
                <w:lang w:val="en-GB"/>
              </w:rPr>
            </w:pPr>
            <w:r>
              <w:rPr>
                <w:lang w:val="en-GB"/>
              </w:rPr>
              <w:t xml:space="preserve"> 17.8</w:t>
            </w:r>
          </w:p>
        </w:tc>
      </w:tr>
      <w:tr w:rsidR="00E4023A" w14:paraId="06A02BDE" w14:textId="77777777" w:rsidTr="005B0289">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F91774" w14:textId="77777777" w:rsidR="00E4023A" w:rsidRDefault="00E4023A" w:rsidP="005B0289">
            <w:pPr>
              <w:pStyle w:val="TableDataEntries"/>
              <w:jc w:val="left"/>
              <w:rPr>
                <w:lang w:val="en-GB"/>
              </w:rPr>
            </w:pPr>
            <w:r>
              <w:rPr>
                <w:lang w:val="en-GB"/>
              </w:rPr>
              <w:t>Mild</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58ED1" w14:textId="77777777" w:rsidR="00E4023A" w:rsidRDefault="00E4023A" w:rsidP="005B0289">
            <w:pPr>
              <w:pStyle w:val="TableDataEntries"/>
              <w:rPr>
                <w:lang w:val="en-GB"/>
              </w:rPr>
            </w:pPr>
            <w:r>
              <w:rPr>
                <w:lang w:val="en-GB"/>
              </w:rPr>
              <w:t xml:space="preserve"> 117.8</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449AF4" w14:textId="77777777" w:rsidR="00E4023A" w:rsidRDefault="00E4023A" w:rsidP="005B0289">
            <w:pPr>
              <w:pStyle w:val="TableDataEntries"/>
              <w:rPr>
                <w:lang w:val="en-GB"/>
              </w:rPr>
            </w:pPr>
            <w:r>
              <w:rPr>
                <w:lang w:val="en-GB"/>
              </w:rPr>
              <w:t>1 394.8</w:t>
            </w:r>
          </w:p>
        </w:tc>
        <w:tc>
          <w:tcPr>
            <w:tcW w:w="20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950DE" w14:textId="77777777" w:rsidR="00E4023A" w:rsidRDefault="00E4023A" w:rsidP="005B0289">
            <w:pPr>
              <w:pStyle w:val="TableDataEntries"/>
              <w:rPr>
                <w:lang w:val="en-GB"/>
              </w:rPr>
            </w:pPr>
            <w:r>
              <w:rPr>
                <w:lang w:val="en-GB"/>
              </w:rPr>
              <w:t xml:space="preserve"> 8.4</w:t>
            </w:r>
          </w:p>
        </w:tc>
      </w:tr>
      <w:tr w:rsidR="00E4023A" w:rsidRPr="001030D4" w14:paraId="11C5A501" w14:textId="77777777" w:rsidTr="005B0289">
        <w:trPr>
          <w:trHeight w:val="230"/>
        </w:trPr>
        <w:tc>
          <w:tcPr>
            <w:tcW w:w="18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9BFA79C" w14:textId="77777777" w:rsidR="00E4023A" w:rsidRPr="001030D4" w:rsidRDefault="00E4023A" w:rsidP="005B0289">
            <w:pPr>
              <w:pStyle w:val="TableDataEntries"/>
              <w:jc w:val="left"/>
              <w:rPr>
                <w:rFonts w:ascii="Franklin Gothic Demi" w:hAnsi="Franklin Gothic Demi"/>
                <w:lang w:val="en-GB"/>
              </w:rPr>
            </w:pPr>
            <w:r w:rsidRPr="001030D4">
              <w:rPr>
                <w:rFonts w:ascii="Franklin Gothic Demi" w:hAnsi="Franklin Gothic Demi"/>
                <w:lang w:val="en-GB"/>
              </w:rPr>
              <w:t>Total</w:t>
            </w:r>
          </w:p>
        </w:tc>
        <w:tc>
          <w:tcPr>
            <w:tcW w:w="2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88DDBD8" w14:textId="77777777" w:rsidR="00E4023A" w:rsidRPr="001030D4" w:rsidRDefault="00E4023A" w:rsidP="005B0289">
            <w:pPr>
              <w:pStyle w:val="TableDataEntries"/>
              <w:rPr>
                <w:rFonts w:ascii="Franklin Gothic Demi" w:hAnsi="Franklin Gothic Demi"/>
                <w:lang w:val="en-GB"/>
              </w:rPr>
            </w:pPr>
            <w:r w:rsidRPr="001030D4">
              <w:rPr>
                <w:rFonts w:ascii="Franklin Gothic Demi" w:hAnsi="Franklin Gothic Demi"/>
                <w:lang w:val="en-GB"/>
              </w:rPr>
              <w:t xml:space="preserve"> 477.8</w:t>
            </w:r>
          </w:p>
        </w:tc>
        <w:tc>
          <w:tcPr>
            <w:tcW w:w="2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537D4F2" w14:textId="77777777" w:rsidR="00E4023A" w:rsidRPr="001030D4" w:rsidRDefault="00E4023A" w:rsidP="005B0289">
            <w:pPr>
              <w:pStyle w:val="TableDataEntries"/>
              <w:rPr>
                <w:rFonts w:ascii="Franklin Gothic Demi" w:hAnsi="Franklin Gothic Demi"/>
                <w:lang w:val="en-GB"/>
              </w:rPr>
            </w:pPr>
            <w:r w:rsidRPr="001030D4">
              <w:rPr>
                <w:rFonts w:ascii="Franklin Gothic Demi" w:hAnsi="Franklin Gothic Demi"/>
                <w:lang w:val="en-GB"/>
              </w:rPr>
              <w:t>2 982.3</w:t>
            </w:r>
          </w:p>
        </w:tc>
        <w:tc>
          <w:tcPr>
            <w:tcW w:w="20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9F11BD5" w14:textId="77777777" w:rsidR="00E4023A" w:rsidRPr="001030D4" w:rsidRDefault="00E4023A" w:rsidP="005B0289">
            <w:pPr>
              <w:pStyle w:val="TableDataEntries"/>
              <w:rPr>
                <w:rFonts w:ascii="Franklin Gothic Demi" w:hAnsi="Franklin Gothic Demi"/>
                <w:lang w:val="en-GB"/>
              </w:rPr>
            </w:pPr>
            <w:r w:rsidRPr="001030D4">
              <w:rPr>
                <w:rFonts w:ascii="Franklin Gothic Demi" w:hAnsi="Franklin Gothic Demi"/>
                <w:lang w:val="en-GB"/>
              </w:rPr>
              <w:t xml:space="preserve"> 16.0</w:t>
            </w:r>
          </w:p>
        </w:tc>
      </w:tr>
    </w:tbl>
    <w:p w14:paraId="6657DD0B" w14:textId="77777777" w:rsidR="00E4023A" w:rsidRDefault="00E4023A" w:rsidP="009B72BA">
      <w:pPr>
        <w:pStyle w:val="Note"/>
        <w:rPr>
          <w:lang w:bidi="fa-IR"/>
        </w:rPr>
      </w:pPr>
      <w:r w:rsidRPr="009B72BA">
        <w:rPr>
          <w:lang w:bidi="fa-IR"/>
        </w:rPr>
        <w:t>Source:</w:t>
      </w:r>
      <w:r>
        <w:rPr>
          <w:lang w:bidi="fa-IR"/>
        </w:rPr>
        <w:t xml:space="preserve"> ABS, Survey of Disabilities, Ageing and Carers, 2018, TableBuilder, CIE.</w:t>
      </w:r>
    </w:p>
    <w:p w14:paraId="53C7EC5A" w14:textId="61F53FF0" w:rsidR="00E4023A" w:rsidRDefault="00E4023A" w:rsidP="00E4023A">
      <w:pPr>
        <w:pStyle w:val="BodyText"/>
        <w:rPr>
          <w:lang w:bidi="fa-IR"/>
        </w:rPr>
      </w:pPr>
      <w:r>
        <w:rPr>
          <w:lang w:bidi="fa-IR"/>
        </w:rPr>
        <w:t>The types of home modifications that have been made (as a share of total home modifications) is shown in table </w:t>
      </w:r>
      <w:r w:rsidR="00587754">
        <w:rPr>
          <w:lang w:bidi="fa-IR"/>
        </w:rPr>
        <w:t>3.17</w:t>
      </w:r>
      <w:r>
        <w:rPr>
          <w:lang w:bidi="fa-IR"/>
        </w:rPr>
        <w:t>.</w:t>
      </w:r>
    </w:p>
    <w:p w14:paraId="37C30E1D" w14:textId="78187756" w:rsidR="00E4023A" w:rsidRDefault="00076C9B" w:rsidP="00E4023A">
      <w:pPr>
        <w:pStyle w:val="Caption"/>
      </w:pPr>
      <w:bookmarkStart w:id="191" w:name="_Toc45654129"/>
      <w:bookmarkStart w:id="192" w:name="_Toc32321805"/>
      <w:bookmarkStart w:id="193" w:name="_Toc44598498"/>
      <w:bookmarkStart w:id="194" w:name="_Toc44695870"/>
      <w:bookmarkStart w:id="195" w:name="_Toc57643600"/>
      <w:bookmarkStart w:id="196" w:name="_Toc70505516"/>
      <w:r>
        <w:t>3.17</w:t>
      </w:r>
      <w:r w:rsidR="00E4023A" w:rsidRPr="00695C93">
        <w:tab/>
      </w:r>
      <w:r w:rsidR="00E4023A">
        <w:t>Types of home modifications — share of total home modifications</w:t>
      </w:r>
      <w:bookmarkEnd w:id="191"/>
      <w:bookmarkEnd w:id="192"/>
      <w:bookmarkEnd w:id="193"/>
      <w:bookmarkEnd w:id="194"/>
      <w:bookmarkEnd w:id="195"/>
      <w:bookmarkEnd w:id="196"/>
    </w:p>
    <w:tbl>
      <w:tblPr>
        <w:tblW w:w="7937" w:type="dxa"/>
        <w:tblLayout w:type="fixed"/>
        <w:tblLook w:val="0000" w:firstRow="0" w:lastRow="0" w:firstColumn="0" w:lastColumn="0" w:noHBand="0" w:noVBand="0"/>
        <w:tblCaption w:val="Table 3.17: Types of home modifications — share of total home modifications"/>
        <w:tblDescription w:val="This table lists the different types of home modifications, such as structural changes, ramps, wet area modifications and handrails, and the percentage of modifications for people with profound, severe, moderate or mild mobility limitations. The most common home modifications are handrails or grab rails (66.5%), toilet, bath or laundry modifications (49.2%) and ramps (22.3%)."/>
      </w:tblPr>
      <w:tblGrid>
        <w:gridCol w:w="3296"/>
        <w:gridCol w:w="928"/>
        <w:gridCol w:w="928"/>
        <w:gridCol w:w="929"/>
        <w:gridCol w:w="928"/>
        <w:gridCol w:w="928"/>
      </w:tblGrid>
      <w:tr w:rsidR="00E4023A" w14:paraId="088C1F56" w14:textId="77777777" w:rsidTr="005B0289">
        <w:trPr>
          <w:trHeight w:val="230"/>
          <w:tblHeader/>
        </w:trPr>
        <w:tc>
          <w:tcPr>
            <w:tcW w:w="3296" w:type="dxa"/>
            <w:shd w:val="clear" w:color="auto" w:fill="6F6652"/>
            <w:tcMar>
              <w:left w:w="57" w:type="dxa"/>
              <w:right w:w="57" w:type="dxa"/>
            </w:tcMar>
          </w:tcPr>
          <w:p w14:paraId="51014B12" w14:textId="77777777" w:rsidR="00E4023A" w:rsidRDefault="000C385B" w:rsidP="005B0289">
            <w:pPr>
              <w:pStyle w:val="TableDataColumnHeading"/>
              <w:jc w:val="left"/>
              <w:rPr>
                <w:lang w:val="en-GB"/>
              </w:rPr>
            </w:pPr>
            <w:r>
              <w:rPr>
                <w:lang w:val="en-GB"/>
              </w:rPr>
              <w:t>Type of modification</w:t>
            </w:r>
          </w:p>
        </w:tc>
        <w:tc>
          <w:tcPr>
            <w:tcW w:w="928" w:type="dxa"/>
            <w:shd w:val="clear" w:color="auto" w:fill="6F6652"/>
            <w:tcMar>
              <w:left w:w="57" w:type="dxa"/>
              <w:right w:w="57" w:type="dxa"/>
            </w:tcMar>
          </w:tcPr>
          <w:p w14:paraId="39A9D7E4" w14:textId="77777777" w:rsidR="00E4023A" w:rsidRDefault="00E4023A" w:rsidP="005B0289">
            <w:pPr>
              <w:pStyle w:val="TableDataColumnHeading"/>
              <w:rPr>
                <w:lang w:val="en-GB"/>
              </w:rPr>
            </w:pPr>
            <w:r>
              <w:rPr>
                <w:lang w:val="en-GB"/>
              </w:rPr>
              <w:t>Profound</w:t>
            </w:r>
          </w:p>
        </w:tc>
        <w:tc>
          <w:tcPr>
            <w:tcW w:w="928" w:type="dxa"/>
            <w:shd w:val="clear" w:color="auto" w:fill="6F6652"/>
            <w:tcMar>
              <w:left w:w="57" w:type="dxa"/>
              <w:right w:w="57" w:type="dxa"/>
            </w:tcMar>
          </w:tcPr>
          <w:p w14:paraId="43CC2450" w14:textId="77777777" w:rsidR="00E4023A" w:rsidRDefault="00E4023A" w:rsidP="005B0289">
            <w:pPr>
              <w:pStyle w:val="TableDataColumnHeading"/>
              <w:rPr>
                <w:lang w:val="en-GB"/>
              </w:rPr>
            </w:pPr>
            <w:r>
              <w:rPr>
                <w:lang w:val="en-GB"/>
              </w:rPr>
              <w:t>Severe</w:t>
            </w:r>
          </w:p>
        </w:tc>
        <w:tc>
          <w:tcPr>
            <w:tcW w:w="929" w:type="dxa"/>
            <w:shd w:val="clear" w:color="auto" w:fill="6F6652"/>
            <w:tcMar>
              <w:left w:w="57" w:type="dxa"/>
              <w:right w:w="57" w:type="dxa"/>
            </w:tcMar>
          </w:tcPr>
          <w:p w14:paraId="0999ECC7" w14:textId="77777777" w:rsidR="00E4023A" w:rsidRDefault="00E4023A" w:rsidP="005B0289">
            <w:pPr>
              <w:pStyle w:val="TableDataColumnHeading"/>
              <w:rPr>
                <w:lang w:val="en-GB"/>
              </w:rPr>
            </w:pPr>
            <w:r>
              <w:rPr>
                <w:lang w:val="en-GB"/>
              </w:rPr>
              <w:t>Moderate</w:t>
            </w:r>
          </w:p>
        </w:tc>
        <w:tc>
          <w:tcPr>
            <w:tcW w:w="928" w:type="dxa"/>
            <w:shd w:val="clear" w:color="auto" w:fill="6F6652"/>
            <w:tcMar>
              <w:left w:w="57" w:type="dxa"/>
              <w:right w:w="57" w:type="dxa"/>
            </w:tcMar>
          </w:tcPr>
          <w:p w14:paraId="711D4E5B" w14:textId="77777777" w:rsidR="00E4023A" w:rsidRDefault="00E4023A" w:rsidP="005B0289">
            <w:pPr>
              <w:pStyle w:val="TableDataColumnHeading"/>
              <w:rPr>
                <w:lang w:val="en-GB"/>
              </w:rPr>
            </w:pPr>
            <w:r>
              <w:rPr>
                <w:lang w:val="en-GB"/>
              </w:rPr>
              <w:t>Mild</w:t>
            </w:r>
          </w:p>
        </w:tc>
        <w:tc>
          <w:tcPr>
            <w:tcW w:w="928" w:type="dxa"/>
            <w:shd w:val="clear" w:color="auto" w:fill="6F6652"/>
            <w:tcMar>
              <w:left w:w="57" w:type="dxa"/>
              <w:right w:w="57" w:type="dxa"/>
            </w:tcMar>
          </w:tcPr>
          <w:p w14:paraId="0C53DE84" w14:textId="77777777" w:rsidR="00E4023A" w:rsidRDefault="00E4023A" w:rsidP="005B0289">
            <w:pPr>
              <w:pStyle w:val="TableDataColumnHeading"/>
              <w:rPr>
                <w:lang w:val="en-GB"/>
              </w:rPr>
            </w:pPr>
            <w:r>
              <w:rPr>
                <w:lang w:val="en-GB"/>
              </w:rPr>
              <w:t>Total</w:t>
            </w:r>
          </w:p>
        </w:tc>
      </w:tr>
      <w:tr w:rsidR="00E4023A" w14:paraId="65CC100A" w14:textId="77777777" w:rsidTr="005B0289">
        <w:trPr>
          <w:trHeight w:val="230"/>
          <w:tblHeader/>
        </w:trPr>
        <w:tc>
          <w:tcPr>
            <w:tcW w:w="3296" w:type="dxa"/>
            <w:tcBorders>
              <w:bottom w:val="single" w:sz="8" w:space="0" w:color="FFFFFF" w:themeColor="background1"/>
            </w:tcBorders>
            <w:shd w:val="clear" w:color="auto" w:fill="auto"/>
            <w:tcMar>
              <w:left w:w="57" w:type="dxa"/>
              <w:right w:w="57" w:type="dxa"/>
            </w:tcMar>
          </w:tcPr>
          <w:p w14:paraId="029ACE42" w14:textId="77777777" w:rsidR="00E4023A" w:rsidRDefault="00E4023A" w:rsidP="005B0289">
            <w:pPr>
              <w:pStyle w:val="TableUnit"/>
              <w:jc w:val="left"/>
              <w:rPr>
                <w:lang w:val="en-GB"/>
              </w:rPr>
            </w:pPr>
          </w:p>
        </w:tc>
        <w:tc>
          <w:tcPr>
            <w:tcW w:w="928" w:type="dxa"/>
            <w:tcBorders>
              <w:bottom w:val="single" w:sz="8" w:space="0" w:color="FFFFFF" w:themeColor="background1"/>
            </w:tcBorders>
            <w:shd w:val="clear" w:color="auto" w:fill="auto"/>
            <w:tcMar>
              <w:left w:w="57" w:type="dxa"/>
              <w:right w:w="57" w:type="dxa"/>
            </w:tcMar>
          </w:tcPr>
          <w:p w14:paraId="07E76D4E" w14:textId="77777777" w:rsidR="00E4023A" w:rsidRDefault="00E4023A" w:rsidP="005B0289">
            <w:pPr>
              <w:pStyle w:val="TableUnit"/>
              <w:rPr>
                <w:lang w:val="en-GB"/>
              </w:rPr>
            </w:pPr>
            <w:r>
              <w:rPr>
                <w:lang w:val="en-GB"/>
              </w:rPr>
              <w:t>Per cent</w:t>
            </w:r>
          </w:p>
        </w:tc>
        <w:tc>
          <w:tcPr>
            <w:tcW w:w="928" w:type="dxa"/>
            <w:tcBorders>
              <w:bottom w:val="single" w:sz="8" w:space="0" w:color="FFFFFF" w:themeColor="background1"/>
            </w:tcBorders>
            <w:shd w:val="clear" w:color="auto" w:fill="auto"/>
            <w:tcMar>
              <w:left w:w="57" w:type="dxa"/>
              <w:right w:w="57" w:type="dxa"/>
            </w:tcMar>
          </w:tcPr>
          <w:p w14:paraId="54590D13" w14:textId="77777777" w:rsidR="00E4023A" w:rsidRDefault="00E4023A" w:rsidP="005B0289">
            <w:pPr>
              <w:pStyle w:val="TableUnit"/>
              <w:rPr>
                <w:lang w:val="en-GB"/>
              </w:rPr>
            </w:pPr>
            <w:r>
              <w:rPr>
                <w:lang w:val="en-GB"/>
              </w:rPr>
              <w:t>Per cent</w:t>
            </w:r>
          </w:p>
        </w:tc>
        <w:tc>
          <w:tcPr>
            <w:tcW w:w="929" w:type="dxa"/>
            <w:tcBorders>
              <w:bottom w:val="single" w:sz="8" w:space="0" w:color="FFFFFF" w:themeColor="background1"/>
            </w:tcBorders>
            <w:shd w:val="clear" w:color="auto" w:fill="auto"/>
            <w:tcMar>
              <w:left w:w="57" w:type="dxa"/>
              <w:right w:w="57" w:type="dxa"/>
            </w:tcMar>
          </w:tcPr>
          <w:p w14:paraId="77576429" w14:textId="77777777" w:rsidR="00E4023A" w:rsidRDefault="00E4023A" w:rsidP="005B0289">
            <w:pPr>
              <w:pStyle w:val="TableUnit"/>
              <w:rPr>
                <w:lang w:val="en-GB"/>
              </w:rPr>
            </w:pPr>
            <w:r>
              <w:rPr>
                <w:lang w:val="en-GB"/>
              </w:rPr>
              <w:t>Per cent</w:t>
            </w:r>
          </w:p>
        </w:tc>
        <w:tc>
          <w:tcPr>
            <w:tcW w:w="928" w:type="dxa"/>
            <w:tcBorders>
              <w:bottom w:val="single" w:sz="8" w:space="0" w:color="FFFFFF" w:themeColor="background1"/>
            </w:tcBorders>
            <w:shd w:val="clear" w:color="auto" w:fill="auto"/>
            <w:tcMar>
              <w:left w:w="57" w:type="dxa"/>
              <w:right w:w="57" w:type="dxa"/>
            </w:tcMar>
          </w:tcPr>
          <w:p w14:paraId="6EAA7ABE" w14:textId="77777777" w:rsidR="00E4023A" w:rsidRDefault="00E4023A" w:rsidP="005B0289">
            <w:pPr>
              <w:pStyle w:val="TableUnit"/>
              <w:rPr>
                <w:lang w:val="en-GB"/>
              </w:rPr>
            </w:pPr>
            <w:r>
              <w:rPr>
                <w:lang w:val="en-GB"/>
              </w:rPr>
              <w:t>Per cent</w:t>
            </w:r>
          </w:p>
        </w:tc>
        <w:tc>
          <w:tcPr>
            <w:tcW w:w="928" w:type="dxa"/>
            <w:tcBorders>
              <w:bottom w:val="single" w:sz="8" w:space="0" w:color="FFFFFF" w:themeColor="background1"/>
            </w:tcBorders>
            <w:shd w:val="clear" w:color="auto" w:fill="auto"/>
            <w:tcMar>
              <w:left w:w="57" w:type="dxa"/>
              <w:right w:w="57" w:type="dxa"/>
            </w:tcMar>
          </w:tcPr>
          <w:p w14:paraId="1D33C2FC" w14:textId="77777777" w:rsidR="00E4023A" w:rsidRDefault="00E4023A" w:rsidP="005B0289">
            <w:pPr>
              <w:pStyle w:val="TableUnit"/>
              <w:rPr>
                <w:lang w:val="en-GB"/>
              </w:rPr>
            </w:pPr>
            <w:r>
              <w:rPr>
                <w:lang w:val="en-GB"/>
              </w:rPr>
              <w:t>Per cent</w:t>
            </w:r>
          </w:p>
        </w:tc>
      </w:tr>
      <w:tr w:rsidR="00E4023A" w14:paraId="6DABDCF3"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904F4F" w14:textId="77777777" w:rsidR="00E4023A" w:rsidRDefault="00E4023A" w:rsidP="005B0289">
            <w:pPr>
              <w:pStyle w:val="TableDataEntries"/>
              <w:jc w:val="left"/>
              <w:rPr>
                <w:lang w:val="en-GB"/>
              </w:rPr>
            </w:pPr>
            <w:r>
              <w:rPr>
                <w:lang w:val="en-GB"/>
              </w:rPr>
              <w:t>Structural changes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3F7752" w14:textId="77777777" w:rsidR="00E4023A" w:rsidRDefault="00E4023A" w:rsidP="005B0289">
            <w:pPr>
              <w:pStyle w:val="TableDataEntries"/>
              <w:rPr>
                <w:lang w:val="en-GB"/>
              </w:rPr>
            </w:pPr>
            <w:r>
              <w:rPr>
                <w:lang w:val="en-GB"/>
              </w:rPr>
              <w:t xml:space="preserve"> 15.3</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D154A9" w14:textId="77777777" w:rsidR="00E4023A" w:rsidRDefault="00E4023A" w:rsidP="005B0289">
            <w:pPr>
              <w:pStyle w:val="TableDataEntries"/>
              <w:rPr>
                <w:lang w:val="en-GB"/>
              </w:rPr>
            </w:pPr>
            <w:r>
              <w:rPr>
                <w:lang w:val="en-GB"/>
              </w:rPr>
              <w:t xml:space="preserve"> 12.9</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A9C95D" w14:textId="77777777" w:rsidR="00E4023A" w:rsidRDefault="00E4023A" w:rsidP="005B0289">
            <w:pPr>
              <w:pStyle w:val="TableDataEntries"/>
              <w:rPr>
                <w:lang w:val="en-GB"/>
              </w:rPr>
            </w:pPr>
            <w:r>
              <w:rPr>
                <w:lang w:val="en-GB"/>
              </w:rPr>
              <w:t xml:space="preserve"> 11.5</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9EB2E6" w14:textId="77777777" w:rsidR="00E4023A" w:rsidRDefault="00E4023A" w:rsidP="005B0289">
            <w:pPr>
              <w:pStyle w:val="TableDataEntries"/>
              <w:rPr>
                <w:lang w:val="en-GB"/>
              </w:rPr>
            </w:pPr>
            <w:r>
              <w:rPr>
                <w:lang w:val="en-GB"/>
              </w:rPr>
              <w:t xml:space="preserve"> 5.7</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4211A5" w14:textId="77777777" w:rsidR="00E4023A" w:rsidRDefault="00E4023A" w:rsidP="005B0289">
            <w:pPr>
              <w:pStyle w:val="TableDataEntries"/>
              <w:rPr>
                <w:lang w:val="en-GB"/>
              </w:rPr>
            </w:pPr>
            <w:r>
              <w:rPr>
                <w:lang w:val="en-GB"/>
              </w:rPr>
              <w:t xml:space="preserve"> 11.5</w:t>
            </w:r>
          </w:p>
        </w:tc>
      </w:tr>
      <w:tr w:rsidR="00E4023A" w14:paraId="1F445E49"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4859B3" w14:textId="77777777" w:rsidR="00E4023A" w:rsidRDefault="00E4023A" w:rsidP="005B0289">
            <w:pPr>
              <w:pStyle w:val="TableDataEntries"/>
              <w:jc w:val="left"/>
              <w:rPr>
                <w:lang w:val="en-GB"/>
              </w:rPr>
            </w:pPr>
            <w:r>
              <w:rPr>
                <w:lang w:val="en-GB"/>
              </w:rPr>
              <w:t>Ramps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A618F1" w14:textId="77777777" w:rsidR="00E4023A" w:rsidRDefault="00E4023A" w:rsidP="005B0289">
            <w:pPr>
              <w:pStyle w:val="TableDataEntries"/>
              <w:rPr>
                <w:lang w:val="en-GB"/>
              </w:rPr>
            </w:pPr>
            <w:r>
              <w:rPr>
                <w:lang w:val="en-GB"/>
              </w:rPr>
              <w:t xml:space="preserve"> 30.7</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17CB90" w14:textId="77777777" w:rsidR="00E4023A" w:rsidRDefault="00E4023A" w:rsidP="005B0289">
            <w:pPr>
              <w:pStyle w:val="TableDataEntries"/>
              <w:rPr>
                <w:lang w:val="en-GB"/>
              </w:rPr>
            </w:pPr>
            <w:r>
              <w:rPr>
                <w:lang w:val="en-GB"/>
              </w:rPr>
              <w:t xml:space="preserve"> 20.9</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E93073" w14:textId="77777777" w:rsidR="00E4023A" w:rsidRDefault="00E4023A" w:rsidP="005B0289">
            <w:pPr>
              <w:pStyle w:val="TableDataEntries"/>
              <w:rPr>
                <w:lang w:val="en-GB"/>
              </w:rPr>
            </w:pPr>
            <w:r>
              <w:rPr>
                <w:lang w:val="en-GB"/>
              </w:rPr>
              <w:t xml:space="preserve"> 20.3</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F47D27" w14:textId="77777777" w:rsidR="00E4023A" w:rsidRDefault="00E4023A" w:rsidP="005B0289">
            <w:pPr>
              <w:pStyle w:val="TableDataEntries"/>
              <w:rPr>
                <w:lang w:val="en-GB"/>
              </w:rPr>
            </w:pPr>
            <w:r>
              <w:rPr>
                <w:lang w:val="en-GB"/>
              </w:rPr>
              <w:t xml:space="preserve"> 13.8</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71FEAF" w14:textId="77777777" w:rsidR="00E4023A" w:rsidRDefault="00E4023A" w:rsidP="005B0289">
            <w:pPr>
              <w:pStyle w:val="TableDataEntries"/>
              <w:rPr>
                <w:lang w:val="en-GB"/>
              </w:rPr>
            </w:pPr>
            <w:r>
              <w:rPr>
                <w:lang w:val="en-GB"/>
              </w:rPr>
              <w:t xml:space="preserve"> 22.3</w:t>
            </w:r>
          </w:p>
        </w:tc>
      </w:tr>
      <w:tr w:rsidR="00E4023A" w14:paraId="401E211A"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E1E0C7" w14:textId="77777777" w:rsidR="00E4023A" w:rsidRDefault="00E4023A" w:rsidP="005B0289">
            <w:pPr>
              <w:pStyle w:val="TableDataEntries"/>
              <w:jc w:val="left"/>
              <w:rPr>
                <w:lang w:val="en-GB"/>
              </w:rPr>
            </w:pPr>
            <w:r>
              <w:rPr>
                <w:lang w:val="en-GB"/>
              </w:rPr>
              <w:t>Toilet, bath or laundry modifications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78E5FF" w14:textId="77777777" w:rsidR="00E4023A" w:rsidRDefault="00E4023A" w:rsidP="005B0289">
            <w:pPr>
              <w:pStyle w:val="TableDataEntries"/>
              <w:rPr>
                <w:lang w:val="en-GB"/>
              </w:rPr>
            </w:pPr>
            <w:r>
              <w:rPr>
                <w:lang w:val="en-GB"/>
              </w:rPr>
              <w:t xml:space="preserve"> 57.1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1C27D9" w14:textId="77777777" w:rsidR="00E4023A" w:rsidRDefault="00E4023A" w:rsidP="005B0289">
            <w:pPr>
              <w:pStyle w:val="TableDataEntries"/>
              <w:rPr>
                <w:lang w:val="en-GB"/>
              </w:rPr>
            </w:pPr>
            <w:r>
              <w:rPr>
                <w:lang w:val="en-GB"/>
              </w:rPr>
              <w:t xml:space="preserve"> 50.5</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31A339" w14:textId="77777777" w:rsidR="00E4023A" w:rsidRDefault="00E4023A" w:rsidP="005B0289">
            <w:pPr>
              <w:pStyle w:val="TableDataEntries"/>
              <w:rPr>
                <w:lang w:val="en-GB"/>
              </w:rPr>
            </w:pPr>
            <w:r>
              <w:rPr>
                <w:lang w:val="en-GB"/>
              </w:rPr>
              <w:t xml:space="preserve"> 44.3</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F910F" w14:textId="77777777" w:rsidR="00E4023A" w:rsidRDefault="00E4023A" w:rsidP="005B0289">
            <w:pPr>
              <w:pStyle w:val="TableDataEntries"/>
              <w:rPr>
                <w:lang w:val="en-GB"/>
              </w:rPr>
            </w:pPr>
            <w:r>
              <w:rPr>
                <w:lang w:val="en-GB"/>
              </w:rPr>
              <w:t xml:space="preserve"> 39.0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CADA2" w14:textId="77777777" w:rsidR="00E4023A" w:rsidRDefault="00E4023A" w:rsidP="005B0289">
            <w:pPr>
              <w:pStyle w:val="TableDataEntries"/>
              <w:rPr>
                <w:lang w:val="en-GB"/>
              </w:rPr>
            </w:pPr>
            <w:r>
              <w:rPr>
                <w:lang w:val="en-GB"/>
              </w:rPr>
              <w:t xml:space="preserve"> 49.2</w:t>
            </w:r>
          </w:p>
        </w:tc>
      </w:tr>
      <w:tr w:rsidR="00E4023A" w14:paraId="433D55A2"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E8C905" w14:textId="77777777" w:rsidR="00E4023A" w:rsidRDefault="00E4023A" w:rsidP="005B0289">
            <w:pPr>
              <w:pStyle w:val="TableDataEntries"/>
              <w:jc w:val="left"/>
              <w:rPr>
                <w:lang w:val="en-GB"/>
              </w:rPr>
            </w:pPr>
            <w:r>
              <w:rPr>
                <w:lang w:val="en-GB"/>
              </w:rPr>
              <w:t>Kitchen modifications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74B835" w14:textId="77777777" w:rsidR="00E4023A" w:rsidRDefault="00E4023A" w:rsidP="005B0289">
            <w:pPr>
              <w:pStyle w:val="TableDataEntries"/>
              <w:rPr>
                <w:lang w:val="en-GB"/>
              </w:rPr>
            </w:pPr>
            <w:r>
              <w:rPr>
                <w:lang w:val="en-GB"/>
              </w:rPr>
              <w:t xml:space="preserve"> 7.4</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CB989A" w14:textId="77777777" w:rsidR="00E4023A" w:rsidRDefault="00E4023A" w:rsidP="005B0289">
            <w:pPr>
              <w:pStyle w:val="TableDataEntries"/>
              <w:rPr>
                <w:lang w:val="en-GB"/>
              </w:rPr>
            </w:pPr>
            <w:r>
              <w:rPr>
                <w:lang w:val="en-GB"/>
              </w:rPr>
              <w:t xml:space="preserve"> 4.4</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AA337F" w14:textId="77777777" w:rsidR="00E4023A" w:rsidRDefault="00E4023A" w:rsidP="005B0289">
            <w:pPr>
              <w:pStyle w:val="TableDataEntries"/>
              <w:rPr>
                <w:lang w:val="en-GB"/>
              </w:rPr>
            </w:pPr>
            <w:r>
              <w:rPr>
                <w:lang w:val="en-GB"/>
              </w:rPr>
              <w:t xml:space="preserve"> 2.6</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866A07" w14:textId="77777777" w:rsidR="00E4023A" w:rsidRDefault="00E4023A" w:rsidP="005B0289">
            <w:pPr>
              <w:pStyle w:val="TableDataEntries"/>
              <w:rPr>
                <w:lang w:val="en-GB"/>
              </w:rPr>
            </w:pPr>
            <w:r>
              <w:rPr>
                <w:lang w:val="en-GB"/>
              </w:rPr>
              <w:t xml:space="preserve"> 3.1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9E4EAF" w14:textId="77777777" w:rsidR="00E4023A" w:rsidRDefault="00E4023A" w:rsidP="005B0289">
            <w:pPr>
              <w:pStyle w:val="TableDataEntries"/>
              <w:rPr>
                <w:lang w:val="en-GB"/>
              </w:rPr>
            </w:pPr>
            <w:r>
              <w:rPr>
                <w:lang w:val="en-GB"/>
              </w:rPr>
              <w:t xml:space="preserve"> 4.6</w:t>
            </w:r>
          </w:p>
        </w:tc>
      </w:tr>
      <w:tr w:rsidR="00E4023A" w14:paraId="18573568"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AFB53" w14:textId="77777777" w:rsidR="00E4023A" w:rsidRDefault="00E4023A" w:rsidP="005B0289">
            <w:pPr>
              <w:pStyle w:val="TableDataEntries"/>
              <w:jc w:val="left"/>
              <w:rPr>
                <w:lang w:val="en-GB"/>
              </w:rPr>
            </w:pPr>
            <w:r>
              <w:rPr>
                <w:lang w:val="en-GB"/>
              </w:rPr>
              <w:t>Doors widened</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585FF6" w14:textId="77777777" w:rsidR="00E4023A" w:rsidRDefault="00E4023A" w:rsidP="005B0289">
            <w:pPr>
              <w:pStyle w:val="TableDataEntries"/>
              <w:rPr>
                <w:lang w:val="en-GB"/>
              </w:rPr>
            </w:pPr>
            <w:r>
              <w:rPr>
                <w:lang w:val="en-GB"/>
              </w:rPr>
              <w:t xml:space="preserve"> 9.1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666525" w14:textId="77777777" w:rsidR="00E4023A" w:rsidRDefault="00E4023A" w:rsidP="005B0289">
            <w:pPr>
              <w:pStyle w:val="TableDataEntries"/>
              <w:rPr>
                <w:lang w:val="en-GB"/>
              </w:rPr>
            </w:pPr>
            <w:r>
              <w:rPr>
                <w:lang w:val="en-GB"/>
              </w:rPr>
              <w:t xml:space="preserve"> 3.6</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42EAD3" w14:textId="77777777" w:rsidR="00E4023A" w:rsidRDefault="00E4023A" w:rsidP="005B0289">
            <w:pPr>
              <w:pStyle w:val="TableDataEntries"/>
              <w:rPr>
                <w:lang w:val="en-GB"/>
              </w:rPr>
            </w:pPr>
            <w:r>
              <w:rPr>
                <w:lang w:val="en-GB"/>
              </w:rPr>
              <w:t xml:space="preserve"> 3.6</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3764D7" w14:textId="77777777" w:rsidR="00E4023A" w:rsidRDefault="00E4023A" w:rsidP="005B0289">
            <w:pPr>
              <w:pStyle w:val="TableDataEntries"/>
              <w:rPr>
                <w:lang w:val="en-GB"/>
              </w:rPr>
            </w:pPr>
            <w:r>
              <w:rPr>
                <w:lang w:val="en-GB"/>
              </w:rPr>
              <w:t xml:space="preserve"> 1.1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244AD1" w14:textId="77777777" w:rsidR="00E4023A" w:rsidRDefault="00E4023A" w:rsidP="005B0289">
            <w:pPr>
              <w:pStyle w:val="TableDataEntries"/>
              <w:rPr>
                <w:lang w:val="en-GB"/>
              </w:rPr>
            </w:pPr>
            <w:r>
              <w:rPr>
                <w:lang w:val="en-GB"/>
              </w:rPr>
              <w:t xml:space="preserve"> 4.7</w:t>
            </w:r>
          </w:p>
        </w:tc>
      </w:tr>
      <w:tr w:rsidR="00E4023A" w14:paraId="17B81ECF"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A88576" w14:textId="77777777" w:rsidR="00E4023A" w:rsidRDefault="00E4023A" w:rsidP="005B0289">
            <w:pPr>
              <w:pStyle w:val="TableDataEntries"/>
              <w:jc w:val="left"/>
              <w:rPr>
                <w:lang w:val="en-GB"/>
              </w:rPr>
            </w:pPr>
            <w:r>
              <w:rPr>
                <w:lang w:val="en-GB"/>
              </w:rPr>
              <w:t>Handrails or grab rails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14DFED" w14:textId="77777777" w:rsidR="00E4023A" w:rsidRDefault="00E4023A" w:rsidP="005B0289">
            <w:pPr>
              <w:pStyle w:val="TableDataEntries"/>
              <w:rPr>
                <w:lang w:val="en-GB"/>
              </w:rPr>
            </w:pPr>
            <w:r>
              <w:rPr>
                <w:lang w:val="en-GB"/>
              </w:rPr>
              <w:t xml:space="preserve"> 66.1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DF5BB1" w14:textId="77777777" w:rsidR="00E4023A" w:rsidRDefault="00E4023A" w:rsidP="005B0289">
            <w:pPr>
              <w:pStyle w:val="TableDataEntries"/>
              <w:rPr>
                <w:lang w:val="en-GB"/>
              </w:rPr>
            </w:pPr>
            <w:r>
              <w:rPr>
                <w:lang w:val="en-GB"/>
              </w:rPr>
              <w:t xml:space="preserve"> 65.6</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CD71EA" w14:textId="77777777" w:rsidR="00E4023A" w:rsidRDefault="00E4023A" w:rsidP="005B0289">
            <w:pPr>
              <w:pStyle w:val="TableDataEntries"/>
              <w:rPr>
                <w:lang w:val="en-GB"/>
              </w:rPr>
            </w:pPr>
            <w:r>
              <w:rPr>
                <w:lang w:val="en-GB"/>
              </w:rPr>
              <w:t xml:space="preserve"> 70.9</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97E4F8" w14:textId="77777777" w:rsidR="00E4023A" w:rsidRDefault="00E4023A" w:rsidP="005B0289">
            <w:pPr>
              <w:pStyle w:val="TableDataEntries"/>
              <w:rPr>
                <w:lang w:val="en-GB"/>
              </w:rPr>
            </w:pPr>
            <w:r>
              <w:rPr>
                <w:lang w:val="en-GB"/>
              </w:rPr>
              <w:t xml:space="preserve"> 63.4</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37B217" w14:textId="77777777" w:rsidR="00E4023A" w:rsidRDefault="00E4023A" w:rsidP="005B0289">
            <w:pPr>
              <w:pStyle w:val="TableDataEntries"/>
              <w:rPr>
                <w:lang w:val="en-GB"/>
              </w:rPr>
            </w:pPr>
            <w:r>
              <w:rPr>
                <w:lang w:val="en-GB"/>
              </w:rPr>
              <w:t xml:space="preserve"> 66.5</w:t>
            </w:r>
          </w:p>
        </w:tc>
      </w:tr>
      <w:tr w:rsidR="00E4023A" w14:paraId="1245A9FD"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82A7D2" w14:textId="77777777" w:rsidR="00E4023A" w:rsidRDefault="00E4023A" w:rsidP="005B0289">
            <w:pPr>
              <w:pStyle w:val="TableDataEntries"/>
              <w:jc w:val="left"/>
              <w:rPr>
                <w:lang w:val="en-GB"/>
              </w:rPr>
            </w:pPr>
            <w:r>
              <w:rPr>
                <w:lang w:val="en-GB"/>
              </w:rPr>
              <w:t>Remote controls</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6CD4BD" w14:textId="77777777" w:rsidR="00E4023A" w:rsidRDefault="00E4023A" w:rsidP="005B0289">
            <w:pPr>
              <w:pStyle w:val="TableDataEntries"/>
              <w:rPr>
                <w:lang w:val="en-GB"/>
              </w:rPr>
            </w:pPr>
            <w:r>
              <w:rPr>
                <w:lang w:val="en-GB"/>
              </w:rPr>
              <w:t xml:space="preserve"> 1.9</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2A525E" w14:textId="77777777" w:rsidR="00E4023A" w:rsidRDefault="00E4023A" w:rsidP="005B0289">
            <w:pPr>
              <w:pStyle w:val="TableDataEntries"/>
              <w:rPr>
                <w:lang w:val="en-GB"/>
              </w:rPr>
            </w:pPr>
            <w:r>
              <w:rPr>
                <w:lang w:val="en-GB"/>
              </w:rPr>
              <w:t xml:space="preserve"> 2.3</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A6B5B8" w14:textId="77777777" w:rsidR="00E4023A" w:rsidRDefault="00E4023A" w:rsidP="005B0289">
            <w:pPr>
              <w:pStyle w:val="TableDataEntries"/>
              <w:rPr>
                <w:lang w:val="en-GB"/>
              </w:rPr>
            </w:pPr>
            <w:r>
              <w:rPr>
                <w:lang w:val="en-GB"/>
              </w:rPr>
              <w:t xml:space="preserve"> 2.3</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9617F4" w14:textId="77777777" w:rsidR="00E4023A" w:rsidRDefault="00E4023A" w:rsidP="005B0289">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21C9C1" w14:textId="77777777" w:rsidR="00E4023A" w:rsidRDefault="00E4023A" w:rsidP="005B0289">
            <w:pPr>
              <w:pStyle w:val="TableDataEntries"/>
              <w:rPr>
                <w:lang w:val="en-GB"/>
              </w:rPr>
            </w:pPr>
            <w:r>
              <w:rPr>
                <w:lang w:val="en-GB"/>
              </w:rPr>
              <w:t xml:space="preserve"> 1.5</w:t>
            </w:r>
          </w:p>
        </w:tc>
      </w:tr>
      <w:tr w:rsidR="00E4023A" w14:paraId="6E5FA912"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96FD38" w14:textId="77777777" w:rsidR="00E4023A" w:rsidRDefault="00E4023A" w:rsidP="005B0289">
            <w:pPr>
              <w:pStyle w:val="TableDataEntries"/>
              <w:jc w:val="left"/>
              <w:rPr>
                <w:lang w:val="en-GB"/>
              </w:rPr>
            </w:pPr>
            <w:r>
              <w:rPr>
                <w:lang w:val="en-GB"/>
              </w:rPr>
              <w:t>New or changed heating or air-conditioning</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7D0A8F" w14:textId="77777777" w:rsidR="00E4023A" w:rsidRDefault="00E4023A" w:rsidP="005B0289">
            <w:pPr>
              <w:pStyle w:val="TableDataEntries"/>
              <w:rPr>
                <w:lang w:val="en-GB"/>
              </w:rPr>
            </w:pPr>
            <w:r>
              <w:rPr>
                <w:lang w:val="en-GB"/>
              </w:rPr>
              <w:t xml:space="preserve"> 11.8</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0AF926" w14:textId="77777777" w:rsidR="00E4023A" w:rsidRDefault="00E4023A" w:rsidP="005B0289">
            <w:pPr>
              <w:pStyle w:val="TableDataEntries"/>
              <w:rPr>
                <w:lang w:val="en-GB"/>
              </w:rPr>
            </w:pPr>
            <w:r>
              <w:rPr>
                <w:lang w:val="en-GB"/>
              </w:rPr>
              <w:t xml:space="preserve"> 4.8</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5018A" w14:textId="77777777" w:rsidR="00E4023A" w:rsidRDefault="00E4023A" w:rsidP="005B0289">
            <w:pPr>
              <w:pStyle w:val="TableDataEntries"/>
              <w:rPr>
                <w:lang w:val="en-GB"/>
              </w:rPr>
            </w:pPr>
            <w:r>
              <w:rPr>
                <w:lang w:val="en-GB"/>
              </w:rPr>
              <w:t xml:space="preserve"> 3.4</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190A0F" w14:textId="77777777" w:rsidR="00E4023A" w:rsidRDefault="00E4023A" w:rsidP="005B0289">
            <w:pPr>
              <w:pStyle w:val="TableDataEntries"/>
              <w:rPr>
                <w:lang w:val="en-GB"/>
              </w:rPr>
            </w:pPr>
            <w:r>
              <w:rPr>
                <w:lang w:val="en-GB"/>
              </w:rPr>
              <w:t xml:space="preserve"> 3.1</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3D642" w14:textId="77777777" w:rsidR="00E4023A" w:rsidRDefault="00E4023A" w:rsidP="005B0289">
            <w:pPr>
              <w:pStyle w:val="TableDataEntries"/>
              <w:rPr>
                <w:lang w:val="en-GB"/>
              </w:rPr>
            </w:pPr>
            <w:r>
              <w:rPr>
                <w:lang w:val="en-GB"/>
              </w:rPr>
              <w:t xml:space="preserve"> 6.0</w:t>
            </w:r>
          </w:p>
        </w:tc>
      </w:tr>
      <w:tr w:rsidR="00E4023A" w14:paraId="1CF1D52B"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E6048F" w14:textId="77777777" w:rsidR="00E4023A" w:rsidRDefault="00E4023A" w:rsidP="005B0289">
            <w:pPr>
              <w:pStyle w:val="TableDataEntries"/>
              <w:jc w:val="left"/>
              <w:rPr>
                <w:lang w:val="en-GB"/>
              </w:rPr>
            </w:pPr>
            <w:r>
              <w:rPr>
                <w:lang w:val="en-GB"/>
              </w:rPr>
              <w:t>Installed home automation/smart home or environmental control system</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49C6E1" w14:textId="77777777" w:rsidR="00E4023A" w:rsidRDefault="00E4023A" w:rsidP="005B0289">
            <w:pPr>
              <w:pStyle w:val="TableDataEntries"/>
              <w:rPr>
                <w:lang w:val="en-GB"/>
              </w:rPr>
            </w:pPr>
            <w:r>
              <w:rPr>
                <w:lang w:val="en-GB"/>
              </w:rPr>
              <w:t xml:space="preserve"> 2.4</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5F72EB" w14:textId="77777777" w:rsidR="00E4023A" w:rsidRDefault="00E4023A" w:rsidP="005B0289">
            <w:pPr>
              <w:pStyle w:val="TableDataEntries"/>
              <w:rPr>
                <w:lang w:val="en-GB"/>
              </w:rPr>
            </w:pPr>
            <w:r>
              <w:rPr>
                <w:lang w:val="en-GB"/>
              </w:rPr>
              <w:t xml:space="preserve"> 0.0</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C8584B" w14:textId="77777777" w:rsidR="00E4023A" w:rsidRDefault="00E4023A" w:rsidP="005B0289">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F0148E" w14:textId="77777777" w:rsidR="00E4023A" w:rsidRDefault="00E4023A" w:rsidP="005B0289">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51673A" w14:textId="77777777" w:rsidR="00E4023A" w:rsidRDefault="00E4023A" w:rsidP="005B0289">
            <w:pPr>
              <w:pStyle w:val="TableDataEntries"/>
              <w:rPr>
                <w:lang w:val="en-GB"/>
              </w:rPr>
            </w:pPr>
            <w:r>
              <w:rPr>
                <w:lang w:val="en-GB"/>
              </w:rPr>
              <w:t xml:space="preserve"> 0.9</w:t>
            </w:r>
          </w:p>
        </w:tc>
      </w:tr>
      <w:tr w:rsidR="00E4023A" w14:paraId="0BB66154" w14:textId="77777777" w:rsidTr="005B0289">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B95D6" w14:textId="77777777" w:rsidR="00E4023A" w:rsidRDefault="00E4023A" w:rsidP="005B0289">
            <w:pPr>
              <w:pStyle w:val="TableDataEntries"/>
              <w:jc w:val="left"/>
              <w:rPr>
                <w:lang w:val="en-GB"/>
              </w:rPr>
            </w:pPr>
            <w:r>
              <w:rPr>
                <w:lang w:val="en-GB"/>
              </w:rPr>
              <w:t>Telemonitoring system</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FFE398" w14:textId="77777777" w:rsidR="00E4023A" w:rsidRDefault="00E4023A" w:rsidP="005B0289">
            <w:pPr>
              <w:pStyle w:val="TableDataEntries"/>
              <w:rPr>
                <w:lang w:val="en-GB"/>
              </w:rPr>
            </w:pPr>
            <w:r>
              <w:rPr>
                <w:lang w:val="en-GB"/>
              </w:rPr>
              <w:t xml:space="preserve"> 3.0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CB288A" w14:textId="77777777" w:rsidR="00E4023A" w:rsidRDefault="00E4023A" w:rsidP="005B0289">
            <w:pPr>
              <w:pStyle w:val="TableDataEntries"/>
              <w:rPr>
                <w:lang w:val="en-GB"/>
              </w:rPr>
            </w:pPr>
            <w:r>
              <w:rPr>
                <w:lang w:val="en-GB"/>
              </w:rPr>
              <w:t xml:space="preserve"> 2.3</w:t>
            </w:r>
          </w:p>
        </w:tc>
        <w:tc>
          <w:tcPr>
            <w:tcW w:w="9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DF2CBE" w14:textId="77777777" w:rsidR="00E4023A" w:rsidRDefault="00E4023A" w:rsidP="005B0289">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C46379" w14:textId="77777777" w:rsidR="00E4023A" w:rsidRDefault="00E4023A" w:rsidP="005B0289">
            <w:pPr>
              <w:pStyle w:val="TableDataEntries"/>
              <w:rPr>
                <w:lang w:val="en-GB"/>
              </w:rPr>
            </w:pPr>
            <w:r>
              <w:rPr>
                <w:lang w:val="en-GB"/>
              </w:rPr>
              <w:t xml:space="preserve"> 1.7</w:t>
            </w:r>
          </w:p>
        </w:tc>
        <w:tc>
          <w:tcPr>
            <w:tcW w:w="9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28C264" w14:textId="77777777" w:rsidR="00E4023A" w:rsidRDefault="00E4023A" w:rsidP="005B0289">
            <w:pPr>
              <w:pStyle w:val="TableDataEntries"/>
              <w:rPr>
                <w:lang w:val="en-GB"/>
              </w:rPr>
            </w:pPr>
            <w:r>
              <w:rPr>
                <w:lang w:val="en-GB"/>
              </w:rPr>
              <w:t xml:space="preserve"> 2.0</w:t>
            </w:r>
          </w:p>
        </w:tc>
      </w:tr>
      <w:tr w:rsidR="00E4023A" w14:paraId="40B5B444" w14:textId="77777777" w:rsidTr="005B0289">
        <w:trPr>
          <w:trHeight w:val="230"/>
        </w:trPr>
        <w:tc>
          <w:tcPr>
            <w:tcW w:w="3296" w:type="dxa"/>
            <w:tcBorders>
              <w:top w:val="single" w:sz="8" w:space="0" w:color="FFFFFF" w:themeColor="background1"/>
              <w:bottom w:val="single" w:sz="6" w:space="0" w:color="6F6652"/>
            </w:tcBorders>
            <w:shd w:val="clear" w:color="auto" w:fill="E9E8E5" w:themeFill="background2"/>
            <w:tcMar>
              <w:left w:w="57" w:type="dxa"/>
              <w:right w:w="57" w:type="dxa"/>
            </w:tcMar>
          </w:tcPr>
          <w:p w14:paraId="6EC095AD" w14:textId="77777777" w:rsidR="00E4023A" w:rsidRDefault="00E4023A" w:rsidP="005B0289">
            <w:pPr>
              <w:pStyle w:val="TableDataEntries"/>
              <w:jc w:val="left"/>
              <w:rPr>
                <w:lang w:val="en-GB"/>
              </w:rPr>
            </w:pPr>
            <w:r>
              <w:rPr>
                <w:lang w:val="en-GB"/>
              </w:rPr>
              <w:t>Other change to dwelling</w:t>
            </w:r>
          </w:p>
        </w:tc>
        <w:tc>
          <w:tcPr>
            <w:tcW w:w="928" w:type="dxa"/>
            <w:tcBorders>
              <w:top w:val="single" w:sz="8" w:space="0" w:color="FFFFFF" w:themeColor="background1"/>
              <w:bottom w:val="single" w:sz="6" w:space="0" w:color="6F6652"/>
            </w:tcBorders>
            <w:shd w:val="clear" w:color="auto" w:fill="E9E8E5" w:themeFill="background2"/>
            <w:tcMar>
              <w:left w:w="57" w:type="dxa"/>
              <w:right w:w="57" w:type="dxa"/>
            </w:tcMar>
          </w:tcPr>
          <w:p w14:paraId="6D3AF698" w14:textId="77777777" w:rsidR="00E4023A" w:rsidRDefault="00E4023A" w:rsidP="005B0289">
            <w:pPr>
              <w:pStyle w:val="TableDataEntries"/>
              <w:rPr>
                <w:lang w:val="en-GB"/>
              </w:rPr>
            </w:pPr>
            <w:r>
              <w:rPr>
                <w:lang w:val="en-GB"/>
              </w:rPr>
              <w:t xml:space="preserve"> 11.3</w:t>
            </w:r>
          </w:p>
        </w:tc>
        <w:tc>
          <w:tcPr>
            <w:tcW w:w="928" w:type="dxa"/>
            <w:tcBorders>
              <w:top w:val="single" w:sz="8" w:space="0" w:color="FFFFFF" w:themeColor="background1"/>
              <w:bottom w:val="single" w:sz="6" w:space="0" w:color="6F6652"/>
            </w:tcBorders>
            <w:shd w:val="clear" w:color="auto" w:fill="E9E8E5" w:themeFill="background2"/>
            <w:tcMar>
              <w:left w:w="57" w:type="dxa"/>
              <w:right w:w="57" w:type="dxa"/>
            </w:tcMar>
          </w:tcPr>
          <w:p w14:paraId="0A132307" w14:textId="77777777" w:rsidR="00E4023A" w:rsidRDefault="00E4023A" w:rsidP="005B0289">
            <w:pPr>
              <w:pStyle w:val="TableDataEntries"/>
              <w:rPr>
                <w:lang w:val="en-GB"/>
              </w:rPr>
            </w:pPr>
            <w:r>
              <w:rPr>
                <w:lang w:val="en-GB"/>
              </w:rPr>
              <w:t xml:space="preserve"> 14.6</w:t>
            </w:r>
          </w:p>
        </w:tc>
        <w:tc>
          <w:tcPr>
            <w:tcW w:w="929" w:type="dxa"/>
            <w:tcBorders>
              <w:top w:val="single" w:sz="8" w:space="0" w:color="FFFFFF" w:themeColor="background1"/>
              <w:bottom w:val="single" w:sz="6" w:space="0" w:color="6F6652"/>
            </w:tcBorders>
            <w:shd w:val="clear" w:color="auto" w:fill="E9E8E5" w:themeFill="background2"/>
            <w:tcMar>
              <w:left w:w="57" w:type="dxa"/>
              <w:right w:w="57" w:type="dxa"/>
            </w:tcMar>
          </w:tcPr>
          <w:p w14:paraId="1B33761F" w14:textId="77777777" w:rsidR="00E4023A" w:rsidRDefault="00E4023A" w:rsidP="005B0289">
            <w:pPr>
              <w:pStyle w:val="TableDataEntries"/>
              <w:rPr>
                <w:lang w:val="en-GB"/>
              </w:rPr>
            </w:pPr>
            <w:r>
              <w:rPr>
                <w:lang w:val="en-GB"/>
              </w:rPr>
              <w:t xml:space="preserve"> 9.4</w:t>
            </w:r>
          </w:p>
        </w:tc>
        <w:tc>
          <w:tcPr>
            <w:tcW w:w="928" w:type="dxa"/>
            <w:tcBorders>
              <w:top w:val="single" w:sz="8" w:space="0" w:color="FFFFFF" w:themeColor="background1"/>
              <w:bottom w:val="single" w:sz="6" w:space="0" w:color="6F6652"/>
            </w:tcBorders>
            <w:shd w:val="clear" w:color="auto" w:fill="E9E8E5" w:themeFill="background2"/>
            <w:tcMar>
              <w:left w:w="57" w:type="dxa"/>
              <w:right w:w="57" w:type="dxa"/>
            </w:tcMar>
          </w:tcPr>
          <w:p w14:paraId="20474E0B" w14:textId="77777777" w:rsidR="00E4023A" w:rsidRDefault="00E4023A" w:rsidP="005B0289">
            <w:pPr>
              <w:pStyle w:val="TableDataEntries"/>
              <w:rPr>
                <w:lang w:val="en-GB"/>
              </w:rPr>
            </w:pPr>
            <w:r>
              <w:rPr>
                <w:lang w:val="en-GB"/>
              </w:rPr>
              <w:t xml:space="preserve"> 13.0</w:t>
            </w:r>
          </w:p>
        </w:tc>
        <w:tc>
          <w:tcPr>
            <w:tcW w:w="928" w:type="dxa"/>
            <w:tcBorders>
              <w:top w:val="single" w:sz="8" w:space="0" w:color="FFFFFF" w:themeColor="background1"/>
              <w:bottom w:val="single" w:sz="6" w:space="0" w:color="6F6652"/>
            </w:tcBorders>
            <w:shd w:val="clear" w:color="auto" w:fill="E9E8E5" w:themeFill="background2"/>
            <w:tcMar>
              <w:left w:w="57" w:type="dxa"/>
              <w:right w:w="57" w:type="dxa"/>
            </w:tcMar>
          </w:tcPr>
          <w:p w14:paraId="6A89BA1C" w14:textId="77777777" w:rsidR="00E4023A" w:rsidRDefault="00E4023A" w:rsidP="005B0289">
            <w:pPr>
              <w:pStyle w:val="TableDataEntries"/>
              <w:rPr>
                <w:lang w:val="en-GB"/>
              </w:rPr>
            </w:pPr>
            <w:r>
              <w:rPr>
                <w:lang w:val="en-GB"/>
              </w:rPr>
              <w:t xml:space="preserve"> 12.0</w:t>
            </w:r>
          </w:p>
        </w:tc>
      </w:tr>
    </w:tbl>
    <w:p w14:paraId="15D1645B" w14:textId="77777777" w:rsidR="00E4023A" w:rsidRDefault="00E4023A" w:rsidP="00E4023A">
      <w:pPr>
        <w:pStyle w:val="Note"/>
        <w:rPr>
          <w:lang w:bidi="fa-IR"/>
        </w:rPr>
      </w:pPr>
      <w:r w:rsidRPr="002474D4">
        <w:rPr>
          <w:lang w:bidi="fa-IR"/>
        </w:rPr>
        <w:t>Note:</w:t>
      </w:r>
      <w:r w:rsidRPr="00E879B8">
        <w:rPr>
          <w:lang w:bidi="fa-IR"/>
        </w:rPr>
        <w:t xml:space="preserve"> </w:t>
      </w:r>
      <w:r>
        <w:rPr>
          <w:lang w:bidi="fa-IR"/>
        </w:rPr>
        <w:t>Refers to the percentage of total home modifications.</w:t>
      </w:r>
    </w:p>
    <w:p w14:paraId="1D03ADC2" w14:textId="77777777" w:rsidR="00E4023A" w:rsidRDefault="00E4023A" w:rsidP="002474D4">
      <w:pPr>
        <w:pStyle w:val="Note"/>
        <w:rPr>
          <w:lang w:bidi="fa-IR"/>
        </w:rPr>
      </w:pPr>
      <w:r w:rsidRPr="002474D4">
        <w:rPr>
          <w:lang w:bidi="fa-IR"/>
        </w:rPr>
        <w:t>Source:</w:t>
      </w:r>
      <w:r>
        <w:rPr>
          <w:lang w:bidi="fa-IR"/>
        </w:rPr>
        <w:t xml:space="preserve"> ABS, Survey of Disabilities, Ageing and Carers, 2018, TableBuilder.</w:t>
      </w:r>
    </w:p>
    <w:p w14:paraId="312DB5E2" w14:textId="77777777" w:rsidR="00E4023A" w:rsidRDefault="00E4023A" w:rsidP="00E4023A">
      <w:pPr>
        <w:pStyle w:val="BodyText"/>
        <w:rPr>
          <w:lang w:eastAsia="en-US" w:bidi="fa-IR"/>
        </w:rPr>
      </w:pPr>
      <w:r w:rsidRPr="00552E0B">
        <w:rPr>
          <w:lang w:eastAsia="en-US" w:bidi="fa-IR"/>
        </w:rPr>
        <w:t>In 2018</w:t>
      </w:r>
      <w:r w:rsidR="00677C5D">
        <w:rPr>
          <w:lang w:eastAsia="en-US" w:bidi="fa-IR"/>
        </w:rPr>
        <w:t>-</w:t>
      </w:r>
      <w:r w:rsidRPr="00552E0B">
        <w:rPr>
          <w:lang w:eastAsia="en-US" w:bidi="fa-IR"/>
        </w:rPr>
        <w:t xml:space="preserve">19, the Australian Government funded 48 842 home modifications for people over the age of 65 through the </w:t>
      </w:r>
      <w:r>
        <w:rPr>
          <w:lang w:eastAsia="en-US" w:bidi="fa-IR"/>
        </w:rPr>
        <w:t>Commonwealth</w:t>
      </w:r>
      <w:r w:rsidRPr="00552E0B">
        <w:rPr>
          <w:lang w:eastAsia="en-US" w:bidi="fa-IR"/>
        </w:rPr>
        <w:t xml:space="preserve"> Home Support Program at a total cost of around $35.3 million.</w:t>
      </w:r>
      <w:r w:rsidRPr="00552E0B">
        <w:rPr>
          <w:rStyle w:val="FootnoteReference"/>
          <w:lang w:eastAsia="en-US" w:bidi="fa-IR"/>
        </w:rPr>
        <w:footnoteReference w:id="97"/>
      </w:r>
      <w:r>
        <w:rPr>
          <w:lang w:eastAsia="en-US" w:bidi="fa-IR"/>
        </w:rPr>
        <w:t xml:space="preserve"> </w:t>
      </w:r>
      <w:r w:rsidRPr="00552E0B">
        <w:rPr>
          <w:lang w:eastAsia="en-US" w:bidi="fa-IR"/>
        </w:rPr>
        <w:t>This implies an average cost of around $723 per modification</w:t>
      </w:r>
      <w:r>
        <w:rPr>
          <w:lang w:eastAsia="en-US" w:bidi="fa-IR"/>
        </w:rPr>
        <w:t xml:space="preserve">, although this Program covers only relatively minor modifications. The cost of home modification that are funded privately or through other government programs </w:t>
      </w:r>
      <w:r w:rsidR="00564851">
        <w:rPr>
          <w:lang w:eastAsia="en-US" w:bidi="fa-IR"/>
        </w:rPr>
        <w:t>is</w:t>
      </w:r>
      <w:r>
        <w:rPr>
          <w:lang w:eastAsia="en-US" w:bidi="fa-IR"/>
        </w:rPr>
        <w:t xml:space="preserve"> not known.</w:t>
      </w:r>
    </w:p>
    <w:p w14:paraId="41A760BD" w14:textId="77777777" w:rsidR="00E4023A" w:rsidRDefault="00E4023A" w:rsidP="00E4023A">
      <w:pPr>
        <w:pStyle w:val="Heading3"/>
        <w:numPr>
          <w:ilvl w:val="2"/>
          <w:numId w:val="5"/>
        </w:numPr>
        <w:rPr>
          <w:lang w:bidi="fa-IR"/>
        </w:rPr>
      </w:pPr>
      <w:r>
        <w:rPr>
          <w:lang w:bidi="fa-IR"/>
        </w:rPr>
        <w:lastRenderedPageBreak/>
        <w:t>Moving to a more accessible dwelling</w:t>
      </w:r>
    </w:p>
    <w:p w14:paraId="4D3710FF" w14:textId="16046031" w:rsidR="00E4023A" w:rsidRDefault="00E4023A" w:rsidP="00E4023A">
      <w:pPr>
        <w:pStyle w:val="BodyText"/>
        <w:rPr>
          <w:lang w:bidi="fa-IR"/>
        </w:rPr>
      </w:pPr>
      <w:r>
        <w:rPr>
          <w:lang w:bidi="fa-IR"/>
        </w:rPr>
        <w:t>Where their current residence no longer meets their needs, one option that may be available to people with mobility</w:t>
      </w:r>
      <w:r>
        <w:rPr>
          <w:lang w:bidi="fa-IR"/>
        </w:rPr>
        <w:noBreakHyphen/>
        <w:t xml:space="preserve">related disability is to move to a dwelling that better meets their accessibility needs (if available). </w:t>
      </w:r>
      <w:r w:rsidRPr="00471251">
        <w:rPr>
          <w:lang w:bidi="fa-IR"/>
        </w:rPr>
        <w:t>SDAC data suggests that around 10 per cent of people with mobility</w:t>
      </w:r>
      <w:r>
        <w:rPr>
          <w:lang w:bidi="fa-IR"/>
        </w:rPr>
        <w:noBreakHyphen/>
        <w:t xml:space="preserve">related disability </w:t>
      </w:r>
      <w:r w:rsidRPr="00471251">
        <w:rPr>
          <w:lang w:bidi="fa-IR"/>
        </w:rPr>
        <w:t>have had to move house at least once as a result of their condition or age (table </w:t>
      </w:r>
      <w:r w:rsidR="00587754">
        <w:rPr>
          <w:lang w:bidi="fa-IR"/>
        </w:rPr>
        <w:t>3.18</w:t>
      </w:r>
      <w:r w:rsidRPr="00471251">
        <w:rPr>
          <w:lang w:bidi="fa-IR"/>
        </w:rPr>
        <w:t>).</w:t>
      </w:r>
      <w:r>
        <w:rPr>
          <w:lang w:bidi="fa-IR"/>
        </w:rPr>
        <w:t xml:space="preserve"> This affects all members of the household, not just the person with accessibility needs.</w:t>
      </w:r>
    </w:p>
    <w:p w14:paraId="5493D469" w14:textId="3195D15C" w:rsidR="00E4023A" w:rsidRDefault="00076C9B" w:rsidP="00E4023A">
      <w:pPr>
        <w:pStyle w:val="Caption"/>
      </w:pPr>
      <w:bookmarkStart w:id="197" w:name="_Toc32321807"/>
      <w:bookmarkStart w:id="198" w:name="_Toc44598500"/>
      <w:bookmarkStart w:id="199" w:name="_Toc44695872"/>
      <w:bookmarkStart w:id="200" w:name="_Toc57643601"/>
      <w:bookmarkStart w:id="201" w:name="_Toc70505517"/>
      <w:r>
        <w:t>3.18</w:t>
      </w:r>
      <w:r w:rsidR="00E4023A" w:rsidRPr="00695C93">
        <w:tab/>
      </w:r>
      <w:r w:rsidR="00E4023A">
        <w:t>Moved house because of condition or age</w:t>
      </w:r>
      <w:bookmarkEnd w:id="197"/>
      <w:bookmarkEnd w:id="198"/>
      <w:bookmarkEnd w:id="199"/>
      <w:bookmarkEnd w:id="200"/>
      <w:bookmarkEnd w:id="201"/>
    </w:p>
    <w:tbl>
      <w:tblPr>
        <w:tblW w:w="7938" w:type="dxa"/>
        <w:tblLayout w:type="fixed"/>
        <w:tblLook w:val="0000" w:firstRow="0" w:lastRow="0" w:firstColumn="0" w:lastColumn="0" w:noHBand="0" w:noVBand="0"/>
        <w:tblCaption w:val="Table 3.18: Moved house because of condition or age"/>
        <w:tblDescription w:val="This table lists the numbers of people with profound, severe, moderate and mild mbility limitation who have had to move house once or more than once because of their age or condition. In total, 240,000 people with a mobility limitation have had to move house once, and 67,100 people have had to move house more than once to find housing that meets their accessibility needs."/>
      </w:tblPr>
      <w:tblGrid>
        <w:gridCol w:w="1503"/>
        <w:gridCol w:w="1287"/>
        <w:gridCol w:w="1287"/>
        <w:gridCol w:w="1287"/>
        <w:gridCol w:w="1299"/>
        <w:gridCol w:w="1275"/>
      </w:tblGrid>
      <w:tr w:rsidR="00E4023A" w14:paraId="01C7CD00" w14:textId="77777777" w:rsidTr="00CC5C24">
        <w:trPr>
          <w:trHeight w:val="60"/>
          <w:tblHeader/>
        </w:trPr>
        <w:tc>
          <w:tcPr>
            <w:tcW w:w="1503" w:type="dxa"/>
            <w:shd w:val="clear" w:color="auto" w:fill="6F6652"/>
            <w:tcMar>
              <w:left w:w="57" w:type="dxa"/>
              <w:right w:w="57" w:type="dxa"/>
            </w:tcMar>
          </w:tcPr>
          <w:p w14:paraId="4648AED0" w14:textId="77777777" w:rsidR="00E4023A" w:rsidRDefault="00E4023A" w:rsidP="005B0289">
            <w:pPr>
              <w:pStyle w:val="TableDataColumnHeading"/>
              <w:jc w:val="left"/>
              <w:rPr>
                <w:lang w:val="en-GB"/>
              </w:rPr>
            </w:pPr>
          </w:p>
        </w:tc>
        <w:tc>
          <w:tcPr>
            <w:tcW w:w="1287" w:type="dxa"/>
            <w:shd w:val="clear" w:color="auto" w:fill="6F6652"/>
            <w:tcMar>
              <w:left w:w="57" w:type="dxa"/>
              <w:right w:w="57" w:type="dxa"/>
            </w:tcMar>
          </w:tcPr>
          <w:p w14:paraId="6D674644" w14:textId="77777777" w:rsidR="00E4023A" w:rsidRDefault="00E4023A" w:rsidP="005B0289">
            <w:pPr>
              <w:pStyle w:val="TableDataColumnHeading"/>
              <w:rPr>
                <w:lang w:val="en-GB"/>
              </w:rPr>
            </w:pPr>
            <w:r>
              <w:rPr>
                <w:lang w:val="en-GB"/>
              </w:rPr>
              <w:t>Has had to move house once</w:t>
            </w:r>
          </w:p>
        </w:tc>
        <w:tc>
          <w:tcPr>
            <w:tcW w:w="1287" w:type="dxa"/>
            <w:shd w:val="clear" w:color="auto" w:fill="6F6652"/>
            <w:tcMar>
              <w:left w:w="57" w:type="dxa"/>
              <w:right w:w="57" w:type="dxa"/>
            </w:tcMar>
          </w:tcPr>
          <w:p w14:paraId="2DFF7D57" w14:textId="77777777" w:rsidR="00E4023A" w:rsidRDefault="00E4023A" w:rsidP="005B0289">
            <w:pPr>
              <w:pStyle w:val="TableDataColumnHeading"/>
              <w:rPr>
                <w:lang w:val="en-GB"/>
              </w:rPr>
            </w:pPr>
            <w:r>
              <w:rPr>
                <w:lang w:val="en-GB"/>
              </w:rPr>
              <w:t>Has had to move house more than once</w:t>
            </w:r>
          </w:p>
        </w:tc>
        <w:tc>
          <w:tcPr>
            <w:tcW w:w="1287" w:type="dxa"/>
            <w:shd w:val="clear" w:color="auto" w:fill="6F6652"/>
            <w:tcMar>
              <w:left w:w="57" w:type="dxa"/>
              <w:right w:w="57" w:type="dxa"/>
            </w:tcMar>
          </w:tcPr>
          <w:p w14:paraId="3D7835F7" w14:textId="77777777" w:rsidR="00E4023A" w:rsidRDefault="00E4023A" w:rsidP="005B0289">
            <w:pPr>
              <w:pStyle w:val="TableDataColumnHeading"/>
              <w:rPr>
                <w:lang w:val="en-GB"/>
              </w:rPr>
            </w:pPr>
            <w:r>
              <w:rPr>
                <w:lang w:val="en-GB"/>
              </w:rPr>
              <w:t>Total moved house</w:t>
            </w:r>
          </w:p>
        </w:tc>
        <w:tc>
          <w:tcPr>
            <w:tcW w:w="1299" w:type="dxa"/>
            <w:shd w:val="clear" w:color="auto" w:fill="6F6652"/>
            <w:tcMar>
              <w:left w:w="57" w:type="dxa"/>
              <w:right w:w="57" w:type="dxa"/>
            </w:tcMar>
          </w:tcPr>
          <w:p w14:paraId="47BB29E2" w14:textId="77777777" w:rsidR="00E4023A" w:rsidRDefault="00E4023A" w:rsidP="005B0289">
            <w:pPr>
              <w:pStyle w:val="TableDataColumnHeading"/>
              <w:rPr>
                <w:lang w:val="en-GB"/>
              </w:rPr>
            </w:pPr>
            <w:r>
              <w:rPr>
                <w:lang w:val="en-GB"/>
              </w:rPr>
              <w:t>Total</w:t>
            </w:r>
          </w:p>
        </w:tc>
        <w:tc>
          <w:tcPr>
            <w:tcW w:w="1275" w:type="dxa"/>
            <w:shd w:val="clear" w:color="auto" w:fill="6F6652"/>
            <w:tcMar>
              <w:left w:w="57" w:type="dxa"/>
              <w:right w:w="57" w:type="dxa"/>
            </w:tcMar>
          </w:tcPr>
          <w:p w14:paraId="7242A52E" w14:textId="77777777" w:rsidR="00E4023A" w:rsidRDefault="00E4023A" w:rsidP="005B0289">
            <w:pPr>
              <w:pStyle w:val="TableDataColumnHeading"/>
              <w:rPr>
                <w:lang w:val="en-GB"/>
              </w:rPr>
            </w:pPr>
            <w:r>
              <w:rPr>
                <w:lang w:val="en-GB"/>
              </w:rPr>
              <w:t>Share moved</w:t>
            </w:r>
          </w:p>
        </w:tc>
      </w:tr>
      <w:tr w:rsidR="00E4023A" w14:paraId="27F0D409" w14:textId="77777777" w:rsidTr="00CC5C24">
        <w:trPr>
          <w:trHeight w:val="230"/>
          <w:tblHeader/>
        </w:trPr>
        <w:tc>
          <w:tcPr>
            <w:tcW w:w="1503" w:type="dxa"/>
            <w:tcBorders>
              <w:bottom w:val="single" w:sz="8" w:space="0" w:color="FFFFFF" w:themeColor="background1"/>
            </w:tcBorders>
            <w:shd w:val="clear" w:color="auto" w:fill="auto"/>
            <w:tcMar>
              <w:left w:w="57" w:type="dxa"/>
              <w:right w:w="57" w:type="dxa"/>
            </w:tcMar>
          </w:tcPr>
          <w:p w14:paraId="69103311" w14:textId="77777777" w:rsidR="00E4023A" w:rsidRDefault="00E4023A" w:rsidP="005B0289">
            <w:pPr>
              <w:pStyle w:val="TableUnit"/>
              <w:jc w:val="left"/>
              <w:rPr>
                <w:lang w:val="en-GB"/>
              </w:rPr>
            </w:pPr>
          </w:p>
        </w:tc>
        <w:tc>
          <w:tcPr>
            <w:tcW w:w="1287" w:type="dxa"/>
            <w:tcBorders>
              <w:bottom w:val="single" w:sz="8" w:space="0" w:color="FFFFFF" w:themeColor="background1"/>
            </w:tcBorders>
            <w:shd w:val="clear" w:color="auto" w:fill="auto"/>
            <w:tcMar>
              <w:left w:w="57" w:type="dxa"/>
              <w:right w:w="57" w:type="dxa"/>
            </w:tcMar>
          </w:tcPr>
          <w:p w14:paraId="2D840A9E" w14:textId="77777777" w:rsidR="00E4023A" w:rsidRDefault="00E4023A" w:rsidP="005B0289">
            <w:pPr>
              <w:pStyle w:val="TableUnit"/>
              <w:rPr>
                <w:lang w:val="en-GB"/>
              </w:rPr>
            </w:pPr>
            <w:r>
              <w:rPr>
                <w:lang w:val="en-GB"/>
              </w:rPr>
              <w:t>'000</w:t>
            </w:r>
          </w:p>
        </w:tc>
        <w:tc>
          <w:tcPr>
            <w:tcW w:w="1287" w:type="dxa"/>
            <w:tcBorders>
              <w:bottom w:val="single" w:sz="8" w:space="0" w:color="FFFFFF" w:themeColor="background1"/>
            </w:tcBorders>
            <w:shd w:val="clear" w:color="auto" w:fill="auto"/>
            <w:tcMar>
              <w:left w:w="57" w:type="dxa"/>
              <w:right w:w="57" w:type="dxa"/>
            </w:tcMar>
          </w:tcPr>
          <w:p w14:paraId="3D98080B" w14:textId="77777777" w:rsidR="00E4023A" w:rsidRDefault="00E4023A" w:rsidP="005B0289">
            <w:pPr>
              <w:pStyle w:val="TableUnit"/>
              <w:rPr>
                <w:lang w:val="en-GB"/>
              </w:rPr>
            </w:pPr>
            <w:r>
              <w:rPr>
                <w:lang w:val="en-GB"/>
              </w:rPr>
              <w:t>'000</w:t>
            </w:r>
          </w:p>
        </w:tc>
        <w:tc>
          <w:tcPr>
            <w:tcW w:w="1287" w:type="dxa"/>
            <w:tcBorders>
              <w:bottom w:val="single" w:sz="8" w:space="0" w:color="FFFFFF" w:themeColor="background1"/>
            </w:tcBorders>
            <w:shd w:val="clear" w:color="auto" w:fill="auto"/>
            <w:tcMar>
              <w:left w:w="57" w:type="dxa"/>
              <w:right w:w="57" w:type="dxa"/>
            </w:tcMar>
          </w:tcPr>
          <w:p w14:paraId="0C797420" w14:textId="77777777" w:rsidR="00E4023A" w:rsidRDefault="00E4023A" w:rsidP="005B0289">
            <w:pPr>
              <w:pStyle w:val="TableUnit"/>
              <w:rPr>
                <w:lang w:val="en-GB"/>
              </w:rPr>
            </w:pPr>
            <w:r>
              <w:rPr>
                <w:lang w:val="en-GB"/>
              </w:rPr>
              <w:t>'000</w:t>
            </w:r>
          </w:p>
        </w:tc>
        <w:tc>
          <w:tcPr>
            <w:tcW w:w="1299" w:type="dxa"/>
            <w:tcBorders>
              <w:bottom w:val="single" w:sz="8" w:space="0" w:color="FFFFFF" w:themeColor="background1"/>
            </w:tcBorders>
            <w:shd w:val="clear" w:color="auto" w:fill="auto"/>
            <w:tcMar>
              <w:left w:w="57" w:type="dxa"/>
              <w:right w:w="57" w:type="dxa"/>
            </w:tcMar>
          </w:tcPr>
          <w:p w14:paraId="2A68B935" w14:textId="77777777" w:rsidR="00E4023A" w:rsidRDefault="00E4023A" w:rsidP="005B0289">
            <w:pPr>
              <w:pStyle w:val="TableUnit"/>
              <w:rPr>
                <w:lang w:val="en-GB"/>
              </w:rPr>
            </w:pPr>
            <w:r>
              <w:rPr>
                <w:lang w:val="en-GB"/>
              </w:rPr>
              <w:t>'000</w:t>
            </w:r>
          </w:p>
        </w:tc>
        <w:tc>
          <w:tcPr>
            <w:tcW w:w="1275" w:type="dxa"/>
            <w:tcBorders>
              <w:bottom w:val="single" w:sz="8" w:space="0" w:color="FFFFFF" w:themeColor="background1"/>
            </w:tcBorders>
            <w:shd w:val="clear" w:color="auto" w:fill="auto"/>
            <w:tcMar>
              <w:left w:w="57" w:type="dxa"/>
              <w:right w:w="57" w:type="dxa"/>
            </w:tcMar>
          </w:tcPr>
          <w:p w14:paraId="0E95E7F8" w14:textId="77777777" w:rsidR="00E4023A" w:rsidRDefault="00E4023A" w:rsidP="005B0289">
            <w:pPr>
              <w:pStyle w:val="TableUnit"/>
              <w:rPr>
                <w:lang w:val="en-GB"/>
              </w:rPr>
            </w:pPr>
            <w:r>
              <w:rPr>
                <w:lang w:val="en-GB"/>
              </w:rPr>
              <w:t>Per cent</w:t>
            </w:r>
          </w:p>
        </w:tc>
      </w:tr>
      <w:tr w:rsidR="00E4023A" w14:paraId="75F4089D" w14:textId="77777777" w:rsidTr="00CC5C24">
        <w:trPr>
          <w:trHeight w:val="230"/>
        </w:trPr>
        <w:tc>
          <w:tcPr>
            <w:tcW w:w="15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0326EC" w14:textId="77777777" w:rsidR="00E4023A" w:rsidRDefault="00E4023A" w:rsidP="005B0289">
            <w:pPr>
              <w:pStyle w:val="TableDataEntries"/>
              <w:jc w:val="left"/>
              <w:rPr>
                <w:lang w:val="en-GB"/>
              </w:rPr>
            </w:pPr>
            <w:r>
              <w:rPr>
                <w:lang w:val="en-GB"/>
              </w:rPr>
              <w:t>Profound</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F91AC7" w14:textId="77777777" w:rsidR="00E4023A" w:rsidRDefault="00E4023A" w:rsidP="005B0289">
            <w:pPr>
              <w:pStyle w:val="TableDataEntries"/>
              <w:rPr>
                <w:lang w:val="en-GB"/>
              </w:rPr>
            </w:pPr>
            <w:r>
              <w:rPr>
                <w:lang w:val="en-GB"/>
              </w:rPr>
              <w:t xml:space="preserve"> 63.3</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52579" w14:textId="77777777" w:rsidR="00E4023A" w:rsidRDefault="00E4023A" w:rsidP="005B0289">
            <w:pPr>
              <w:pStyle w:val="TableDataEntries"/>
              <w:rPr>
                <w:lang w:val="en-GB"/>
              </w:rPr>
            </w:pPr>
            <w:r>
              <w:rPr>
                <w:lang w:val="en-GB"/>
              </w:rPr>
              <w:t xml:space="preserve"> 22.8</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FB835A" w14:textId="77777777" w:rsidR="00E4023A" w:rsidRDefault="00E4023A" w:rsidP="005B0289">
            <w:pPr>
              <w:pStyle w:val="TableDataEntries"/>
              <w:rPr>
                <w:lang w:val="en-GB"/>
              </w:rPr>
            </w:pPr>
            <w:r>
              <w:rPr>
                <w:lang w:val="en-GB"/>
              </w:rPr>
              <w:t xml:space="preserve"> 86.1</w:t>
            </w:r>
          </w:p>
        </w:tc>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EAD8DA" w14:textId="77777777" w:rsidR="00E4023A" w:rsidRDefault="00E4023A" w:rsidP="005B0289">
            <w:pPr>
              <w:pStyle w:val="TableDataEntries"/>
              <w:rPr>
                <w:lang w:val="en-GB"/>
              </w:rPr>
            </w:pPr>
            <w:r>
              <w:rPr>
                <w:lang w:val="en-GB"/>
              </w:rPr>
              <w:t xml:space="preserve"> 632.2</w:t>
            </w:r>
          </w:p>
        </w:tc>
        <w:tc>
          <w:tcPr>
            <w:tcW w:w="12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8E1622" w14:textId="77777777" w:rsidR="00E4023A" w:rsidRDefault="00E4023A" w:rsidP="005B0289">
            <w:pPr>
              <w:pStyle w:val="TableDataEntries"/>
              <w:rPr>
                <w:lang w:val="en-GB"/>
              </w:rPr>
            </w:pPr>
            <w:r>
              <w:rPr>
                <w:lang w:val="en-GB"/>
              </w:rPr>
              <w:t xml:space="preserve"> 13.6</w:t>
            </w:r>
          </w:p>
        </w:tc>
      </w:tr>
      <w:tr w:rsidR="00E4023A" w14:paraId="5588355B" w14:textId="77777777" w:rsidTr="00CC5C24">
        <w:trPr>
          <w:trHeight w:val="230"/>
        </w:trPr>
        <w:tc>
          <w:tcPr>
            <w:tcW w:w="15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B6F50" w14:textId="77777777" w:rsidR="00E4023A" w:rsidRDefault="00E4023A" w:rsidP="005B0289">
            <w:pPr>
              <w:pStyle w:val="TableDataEntries"/>
              <w:jc w:val="left"/>
              <w:rPr>
                <w:lang w:val="en-GB"/>
              </w:rPr>
            </w:pPr>
            <w:r>
              <w:rPr>
                <w:lang w:val="en-GB"/>
              </w:rPr>
              <w:t>Severe</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EA28B4" w14:textId="77777777" w:rsidR="00E4023A" w:rsidRDefault="00E4023A" w:rsidP="005B0289">
            <w:pPr>
              <w:pStyle w:val="TableDataEntries"/>
              <w:rPr>
                <w:lang w:val="en-GB"/>
              </w:rPr>
            </w:pPr>
            <w:r>
              <w:rPr>
                <w:lang w:val="en-GB"/>
              </w:rPr>
              <w:t xml:space="preserve"> 61.0</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2856A9" w14:textId="77777777" w:rsidR="00E4023A" w:rsidRDefault="00E4023A" w:rsidP="005B0289">
            <w:pPr>
              <w:pStyle w:val="TableDataEntries"/>
              <w:rPr>
                <w:lang w:val="en-GB"/>
              </w:rPr>
            </w:pPr>
            <w:r>
              <w:rPr>
                <w:lang w:val="en-GB"/>
              </w:rPr>
              <w:t xml:space="preserve"> 18.2</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915FFF" w14:textId="77777777" w:rsidR="00E4023A" w:rsidRDefault="00E4023A" w:rsidP="005B0289">
            <w:pPr>
              <w:pStyle w:val="TableDataEntries"/>
              <w:rPr>
                <w:lang w:val="en-GB"/>
              </w:rPr>
            </w:pPr>
            <w:r>
              <w:rPr>
                <w:lang w:val="en-GB"/>
              </w:rPr>
              <w:t xml:space="preserve"> 79.2</w:t>
            </w:r>
          </w:p>
        </w:tc>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1C81DF" w14:textId="77777777" w:rsidR="00E4023A" w:rsidRDefault="00E4023A" w:rsidP="005B0289">
            <w:pPr>
              <w:pStyle w:val="TableDataEntries"/>
              <w:rPr>
                <w:lang w:val="en-GB"/>
              </w:rPr>
            </w:pPr>
            <w:r>
              <w:rPr>
                <w:lang w:val="en-GB"/>
              </w:rPr>
              <w:t xml:space="preserve"> 518.9</w:t>
            </w:r>
          </w:p>
        </w:tc>
        <w:tc>
          <w:tcPr>
            <w:tcW w:w="12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AEFF61" w14:textId="77777777" w:rsidR="00E4023A" w:rsidRDefault="00E4023A" w:rsidP="005B0289">
            <w:pPr>
              <w:pStyle w:val="TableDataEntries"/>
              <w:rPr>
                <w:lang w:val="en-GB"/>
              </w:rPr>
            </w:pPr>
            <w:r>
              <w:rPr>
                <w:lang w:val="en-GB"/>
              </w:rPr>
              <w:t xml:space="preserve"> 15.3</w:t>
            </w:r>
          </w:p>
        </w:tc>
      </w:tr>
      <w:tr w:rsidR="00E4023A" w14:paraId="0FC593D6" w14:textId="77777777" w:rsidTr="00CC5C24">
        <w:trPr>
          <w:trHeight w:val="230"/>
        </w:trPr>
        <w:tc>
          <w:tcPr>
            <w:tcW w:w="15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73CD7B" w14:textId="77777777" w:rsidR="00E4023A" w:rsidRDefault="00E4023A" w:rsidP="005B0289">
            <w:pPr>
              <w:pStyle w:val="TableDataEntries"/>
              <w:jc w:val="left"/>
              <w:rPr>
                <w:lang w:val="en-GB"/>
              </w:rPr>
            </w:pPr>
            <w:r>
              <w:rPr>
                <w:lang w:val="en-GB"/>
              </w:rPr>
              <w:t>Moderate</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9ED754" w14:textId="77777777" w:rsidR="00E4023A" w:rsidRDefault="00E4023A" w:rsidP="005B0289">
            <w:pPr>
              <w:pStyle w:val="TableDataEntries"/>
              <w:rPr>
                <w:lang w:val="en-GB"/>
              </w:rPr>
            </w:pPr>
            <w:r>
              <w:rPr>
                <w:lang w:val="en-GB"/>
              </w:rPr>
              <w:t xml:space="preserve"> 35.3</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B77DB8" w14:textId="77777777" w:rsidR="00E4023A" w:rsidRDefault="00E4023A" w:rsidP="005B0289">
            <w:pPr>
              <w:pStyle w:val="TableDataEntries"/>
              <w:rPr>
                <w:lang w:val="en-GB"/>
              </w:rPr>
            </w:pPr>
            <w:r>
              <w:rPr>
                <w:lang w:val="en-GB"/>
              </w:rPr>
              <w:t xml:space="preserve"> 11.0</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5ECB45" w14:textId="77777777" w:rsidR="00E4023A" w:rsidRDefault="00E4023A" w:rsidP="005B0289">
            <w:pPr>
              <w:pStyle w:val="TableDataEntries"/>
              <w:rPr>
                <w:lang w:val="en-GB"/>
              </w:rPr>
            </w:pPr>
            <w:r>
              <w:rPr>
                <w:lang w:val="en-GB"/>
              </w:rPr>
              <w:t xml:space="preserve"> 46.3</w:t>
            </w:r>
          </w:p>
        </w:tc>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A8DE39" w14:textId="77777777" w:rsidR="00E4023A" w:rsidRDefault="00E4023A" w:rsidP="005B0289">
            <w:pPr>
              <w:pStyle w:val="TableDataEntries"/>
              <w:rPr>
                <w:lang w:val="en-GB"/>
              </w:rPr>
            </w:pPr>
            <w:r>
              <w:rPr>
                <w:lang w:val="en-GB"/>
              </w:rPr>
              <w:t xml:space="preserve"> 434.9</w:t>
            </w:r>
          </w:p>
        </w:tc>
        <w:tc>
          <w:tcPr>
            <w:tcW w:w="12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62077A" w14:textId="77777777" w:rsidR="00E4023A" w:rsidRDefault="00E4023A" w:rsidP="005B0289">
            <w:pPr>
              <w:pStyle w:val="TableDataEntries"/>
              <w:rPr>
                <w:lang w:val="en-GB"/>
              </w:rPr>
            </w:pPr>
            <w:r>
              <w:rPr>
                <w:lang w:val="en-GB"/>
              </w:rPr>
              <w:t xml:space="preserve"> 10.6</w:t>
            </w:r>
          </w:p>
        </w:tc>
      </w:tr>
      <w:tr w:rsidR="00E4023A" w14:paraId="3064B8C3" w14:textId="77777777" w:rsidTr="00CC5C24">
        <w:trPr>
          <w:trHeight w:val="230"/>
        </w:trPr>
        <w:tc>
          <w:tcPr>
            <w:tcW w:w="15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C53B48" w14:textId="77777777" w:rsidR="00E4023A" w:rsidRDefault="00E4023A" w:rsidP="005B0289">
            <w:pPr>
              <w:pStyle w:val="TableDataEntries"/>
              <w:jc w:val="left"/>
              <w:rPr>
                <w:lang w:val="en-GB"/>
              </w:rPr>
            </w:pPr>
            <w:r>
              <w:rPr>
                <w:lang w:val="en-GB"/>
              </w:rPr>
              <w:t>Mild</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7FF806" w14:textId="77777777" w:rsidR="00E4023A" w:rsidRDefault="00E4023A" w:rsidP="005B0289">
            <w:pPr>
              <w:pStyle w:val="TableDataEntries"/>
              <w:rPr>
                <w:lang w:val="en-GB"/>
              </w:rPr>
            </w:pPr>
            <w:r>
              <w:rPr>
                <w:lang w:val="en-GB"/>
              </w:rPr>
              <w:t xml:space="preserve"> 78.8</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AC0DD" w14:textId="77777777" w:rsidR="00E4023A" w:rsidRDefault="00E4023A" w:rsidP="005B0289">
            <w:pPr>
              <w:pStyle w:val="TableDataEntries"/>
              <w:rPr>
                <w:lang w:val="en-GB"/>
              </w:rPr>
            </w:pPr>
            <w:r>
              <w:rPr>
                <w:lang w:val="en-GB"/>
              </w:rPr>
              <w:t xml:space="preserve"> 16.2</w:t>
            </w:r>
          </w:p>
        </w:tc>
        <w:tc>
          <w:tcPr>
            <w:tcW w:w="12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A5D173" w14:textId="77777777" w:rsidR="00E4023A" w:rsidRDefault="00E4023A" w:rsidP="005B0289">
            <w:pPr>
              <w:pStyle w:val="TableDataEntries"/>
              <w:rPr>
                <w:lang w:val="en-GB"/>
              </w:rPr>
            </w:pPr>
            <w:r>
              <w:rPr>
                <w:lang w:val="en-GB"/>
              </w:rPr>
              <w:t xml:space="preserve"> 95.0</w:t>
            </w:r>
          </w:p>
        </w:tc>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610996" w14:textId="77777777" w:rsidR="00E4023A" w:rsidRDefault="00E4023A" w:rsidP="005B0289">
            <w:pPr>
              <w:pStyle w:val="TableDataEntries"/>
              <w:rPr>
                <w:lang w:val="en-GB"/>
              </w:rPr>
            </w:pPr>
            <w:r>
              <w:rPr>
                <w:lang w:val="en-GB"/>
              </w:rPr>
              <w:t>1 394.8</w:t>
            </w:r>
          </w:p>
        </w:tc>
        <w:tc>
          <w:tcPr>
            <w:tcW w:w="12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B98D0A" w14:textId="77777777" w:rsidR="00E4023A" w:rsidRDefault="00E4023A" w:rsidP="005B0289">
            <w:pPr>
              <w:pStyle w:val="TableDataEntries"/>
              <w:rPr>
                <w:lang w:val="en-GB"/>
              </w:rPr>
            </w:pPr>
            <w:r>
              <w:rPr>
                <w:lang w:val="en-GB"/>
              </w:rPr>
              <w:t xml:space="preserve"> 6.8</w:t>
            </w:r>
          </w:p>
        </w:tc>
      </w:tr>
      <w:tr w:rsidR="00E4023A" w:rsidRPr="009B0B14" w14:paraId="43573459" w14:textId="77777777" w:rsidTr="00CC5C24">
        <w:trPr>
          <w:trHeight w:val="230"/>
        </w:trPr>
        <w:tc>
          <w:tcPr>
            <w:tcW w:w="150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310DBB2" w14:textId="77777777" w:rsidR="00E4023A" w:rsidRPr="009B0B14" w:rsidRDefault="00E4023A" w:rsidP="005B0289">
            <w:pPr>
              <w:pStyle w:val="TableDataEntries"/>
              <w:jc w:val="left"/>
              <w:rPr>
                <w:rFonts w:ascii="Franklin Gothic Demi" w:hAnsi="Franklin Gothic Demi"/>
                <w:lang w:val="en-GB"/>
              </w:rPr>
            </w:pPr>
            <w:r w:rsidRPr="009B0B14">
              <w:rPr>
                <w:rFonts w:ascii="Franklin Gothic Demi" w:hAnsi="Franklin Gothic Demi"/>
                <w:lang w:val="en-GB"/>
              </w:rPr>
              <w:t>Total</w:t>
            </w:r>
          </w:p>
        </w:tc>
        <w:tc>
          <w:tcPr>
            <w:tcW w:w="12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8C900BF"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 xml:space="preserve"> 240.0</w:t>
            </w:r>
          </w:p>
        </w:tc>
        <w:tc>
          <w:tcPr>
            <w:tcW w:w="12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22E8B5C"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 xml:space="preserve"> 67.1</w:t>
            </w:r>
          </w:p>
        </w:tc>
        <w:tc>
          <w:tcPr>
            <w:tcW w:w="12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EA51872"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 xml:space="preserve"> 307.1</w:t>
            </w:r>
          </w:p>
        </w:tc>
        <w:tc>
          <w:tcPr>
            <w:tcW w:w="129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EA7A6F4"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2 982.3</w:t>
            </w:r>
          </w:p>
        </w:tc>
        <w:tc>
          <w:tcPr>
            <w:tcW w:w="12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0BCBACD"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 xml:space="preserve"> 10.3</w:t>
            </w:r>
          </w:p>
        </w:tc>
      </w:tr>
    </w:tbl>
    <w:p w14:paraId="03800710" w14:textId="77777777" w:rsidR="00E4023A" w:rsidRDefault="00E4023A" w:rsidP="00E4023A">
      <w:pPr>
        <w:pStyle w:val="Source"/>
        <w:rPr>
          <w:lang w:bidi="fa-IR"/>
        </w:rPr>
      </w:pPr>
      <w:r w:rsidRPr="002474D4">
        <w:rPr>
          <w:lang w:bidi="fa-IR"/>
        </w:rPr>
        <w:t>Source:</w:t>
      </w:r>
      <w:r>
        <w:rPr>
          <w:lang w:bidi="fa-IR"/>
        </w:rPr>
        <w:t xml:space="preserve"> ABS, Survey of Disabilities, Ageing and Carers, 2018, TableBuilder</w:t>
      </w:r>
      <w:r>
        <w:t>.</w:t>
      </w:r>
    </w:p>
    <w:p w14:paraId="619BA449" w14:textId="77777777" w:rsidR="00E4023A" w:rsidRDefault="00E4023A" w:rsidP="00E4023A">
      <w:pPr>
        <w:pStyle w:val="Heading3"/>
        <w:numPr>
          <w:ilvl w:val="2"/>
          <w:numId w:val="5"/>
        </w:numPr>
        <w:rPr>
          <w:lang w:bidi="fa-IR"/>
        </w:rPr>
      </w:pPr>
      <w:r>
        <w:rPr>
          <w:lang w:bidi="fa-IR"/>
        </w:rPr>
        <w:t>Social housing</w:t>
      </w:r>
    </w:p>
    <w:p w14:paraId="2AFA7C8E" w14:textId="77777777" w:rsidR="00E4023A" w:rsidRDefault="00E4023A" w:rsidP="00E4023A">
      <w:pPr>
        <w:pStyle w:val="BodyText"/>
        <w:rPr>
          <w:lang w:bidi="fa-IR"/>
        </w:rPr>
      </w:pPr>
      <w:r>
        <w:rPr>
          <w:lang w:bidi="fa-IR"/>
        </w:rPr>
        <w:t xml:space="preserve">The AIHW reports that around </w:t>
      </w:r>
      <w:r w:rsidRPr="007461B7">
        <w:rPr>
          <w:lang w:bidi="fa-IR"/>
        </w:rPr>
        <w:t xml:space="preserve">393 912 households </w:t>
      </w:r>
      <w:r w:rsidR="001E296D">
        <w:rPr>
          <w:lang w:bidi="fa-IR"/>
        </w:rPr>
        <w:t>were supported through</w:t>
      </w:r>
      <w:r w:rsidRPr="007461B7">
        <w:rPr>
          <w:lang w:bidi="fa-IR"/>
        </w:rPr>
        <w:t xml:space="preserve"> social housing programs</w:t>
      </w:r>
      <w:r>
        <w:rPr>
          <w:lang w:bidi="fa-IR"/>
        </w:rPr>
        <w:t xml:space="preserve"> as at 30 June 2017. Of these, 153 422 households (39 per cent) contained a person with a disability. However, no information is provided on:</w:t>
      </w:r>
    </w:p>
    <w:p w14:paraId="66892CF9" w14:textId="77777777" w:rsidR="00E4023A" w:rsidRDefault="00E4023A" w:rsidP="00E4023A">
      <w:pPr>
        <w:pStyle w:val="ListBullet"/>
        <w:numPr>
          <w:ilvl w:val="0"/>
          <w:numId w:val="16"/>
        </w:numPr>
        <w:rPr>
          <w:lang w:bidi="fa-IR"/>
        </w:rPr>
      </w:pPr>
      <w:r>
        <w:rPr>
          <w:lang w:bidi="fa-IR"/>
        </w:rPr>
        <w:t>the severity of the disabilities</w:t>
      </w:r>
    </w:p>
    <w:p w14:paraId="378F410C" w14:textId="77777777" w:rsidR="00E4023A" w:rsidRDefault="00E4023A" w:rsidP="00E4023A">
      <w:pPr>
        <w:pStyle w:val="ListBullet"/>
        <w:numPr>
          <w:ilvl w:val="0"/>
          <w:numId w:val="16"/>
        </w:numPr>
        <w:rPr>
          <w:lang w:bidi="fa-IR"/>
        </w:rPr>
      </w:pPr>
      <w:r>
        <w:rPr>
          <w:lang w:bidi="fa-IR"/>
        </w:rPr>
        <w:t>the proportion that had mobility</w:t>
      </w:r>
      <w:r>
        <w:rPr>
          <w:lang w:bidi="fa-IR"/>
        </w:rPr>
        <w:noBreakHyphen/>
        <w:t>related disability.</w:t>
      </w:r>
    </w:p>
    <w:p w14:paraId="0DBF351E" w14:textId="0DE42C6C" w:rsidR="00E4023A" w:rsidRDefault="00E4023A" w:rsidP="00E4023A">
      <w:pPr>
        <w:pStyle w:val="BodyText"/>
        <w:rPr>
          <w:lang w:bidi="fa-IR"/>
        </w:rPr>
      </w:pPr>
      <w:r w:rsidRPr="00471251">
        <w:rPr>
          <w:lang w:bidi="fa-IR"/>
        </w:rPr>
        <w:t>According to data from the SDAC, there were around 221 800 people with mobility</w:t>
      </w:r>
      <w:r w:rsidRPr="00471251">
        <w:rPr>
          <w:lang w:bidi="fa-IR"/>
        </w:rPr>
        <w:noBreakHyphen/>
        <w:t>related disability in social housing in 2018 (table </w:t>
      </w:r>
      <w:r w:rsidR="00587754">
        <w:rPr>
          <w:lang w:bidi="fa-IR"/>
        </w:rPr>
        <w:t>3.19</w:t>
      </w:r>
      <w:r w:rsidRPr="00471251">
        <w:rPr>
          <w:lang w:bidi="fa-IR"/>
        </w:rPr>
        <w:t>).</w:t>
      </w:r>
    </w:p>
    <w:p w14:paraId="7B656582" w14:textId="21CFCA3F" w:rsidR="00E4023A" w:rsidRDefault="00076C9B" w:rsidP="00E4023A">
      <w:pPr>
        <w:pStyle w:val="Caption"/>
      </w:pPr>
      <w:bookmarkStart w:id="202" w:name="_Toc45654132"/>
      <w:bookmarkStart w:id="203" w:name="_Toc32321808"/>
      <w:bookmarkStart w:id="204" w:name="_Toc44598501"/>
      <w:bookmarkStart w:id="205" w:name="_Toc44695873"/>
      <w:bookmarkStart w:id="206" w:name="_Toc57643602"/>
      <w:bookmarkStart w:id="207" w:name="_Toc70505518"/>
      <w:r>
        <w:t>3.19</w:t>
      </w:r>
      <w:r w:rsidR="00E4023A" w:rsidRPr="00695C93">
        <w:tab/>
      </w:r>
      <w:r w:rsidR="00E4023A">
        <w:t>Number of people with a mobility-related disability in social housing</w:t>
      </w:r>
      <w:bookmarkEnd w:id="202"/>
      <w:bookmarkEnd w:id="203"/>
      <w:bookmarkEnd w:id="204"/>
      <w:bookmarkEnd w:id="205"/>
      <w:bookmarkEnd w:id="206"/>
      <w:bookmarkEnd w:id="207"/>
    </w:p>
    <w:tbl>
      <w:tblPr>
        <w:tblW w:w="7937" w:type="dxa"/>
        <w:tblLayout w:type="fixed"/>
        <w:tblLook w:val="0000" w:firstRow="0" w:lastRow="0" w:firstColumn="0" w:lastColumn="0" w:noHBand="0" w:noVBand="0"/>
        <w:tblCaption w:val="Table 3.19: Number of people with a mobility-related disability in social housing"/>
        <w:tblDescription w:val="This table lists people with profound, severe, moderate and mild mobility limitations who live in state or territory housing authority dwellings or housing operated by a housing co-operative, community or church group. In total, 166,600 people live in state or terriroty housing authority dwellings. 55,100 people with mobility limitations live in housing co-operative, community or church group dwellings."/>
      </w:tblPr>
      <w:tblGrid>
        <w:gridCol w:w="4078"/>
        <w:gridCol w:w="771"/>
        <w:gridCol w:w="772"/>
        <w:gridCol w:w="900"/>
        <w:gridCol w:w="644"/>
        <w:gridCol w:w="772"/>
      </w:tblGrid>
      <w:tr w:rsidR="00E4023A" w14:paraId="689347A7" w14:textId="77777777" w:rsidTr="005B0289">
        <w:trPr>
          <w:trHeight w:val="250"/>
        </w:trPr>
        <w:tc>
          <w:tcPr>
            <w:tcW w:w="4078" w:type="dxa"/>
            <w:shd w:val="clear" w:color="auto" w:fill="6F6652"/>
            <w:tcMar>
              <w:left w:w="57" w:type="dxa"/>
              <w:right w:w="57" w:type="dxa"/>
            </w:tcMar>
          </w:tcPr>
          <w:p w14:paraId="7BF43378" w14:textId="77777777" w:rsidR="00E4023A" w:rsidRDefault="00F524BC" w:rsidP="005B0289">
            <w:pPr>
              <w:pStyle w:val="TableDataColumnHeading"/>
              <w:jc w:val="left"/>
              <w:rPr>
                <w:lang w:val="en-GB"/>
              </w:rPr>
            </w:pPr>
            <w:r>
              <w:rPr>
                <w:lang w:val="en-GB"/>
              </w:rPr>
              <w:t>Type of social housing</w:t>
            </w:r>
          </w:p>
        </w:tc>
        <w:tc>
          <w:tcPr>
            <w:tcW w:w="771" w:type="dxa"/>
            <w:shd w:val="clear" w:color="auto" w:fill="6F6652"/>
            <w:tcMar>
              <w:left w:w="57" w:type="dxa"/>
              <w:right w:w="57" w:type="dxa"/>
            </w:tcMar>
          </w:tcPr>
          <w:p w14:paraId="62677D8D" w14:textId="77777777" w:rsidR="00E4023A" w:rsidRDefault="00E4023A" w:rsidP="005B0289">
            <w:pPr>
              <w:pStyle w:val="TableDataColumnHeading"/>
              <w:rPr>
                <w:lang w:val="en-GB"/>
              </w:rPr>
            </w:pPr>
            <w:r>
              <w:rPr>
                <w:lang w:val="en-GB"/>
              </w:rPr>
              <w:t>Profound</w:t>
            </w:r>
          </w:p>
        </w:tc>
        <w:tc>
          <w:tcPr>
            <w:tcW w:w="772" w:type="dxa"/>
            <w:shd w:val="clear" w:color="auto" w:fill="6F6652"/>
            <w:tcMar>
              <w:left w:w="57" w:type="dxa"/>
              <w:right w:w="57" w:type="dxa"/>
            </w:tcMar>
          </w:tcPr>
          <w:p w14:paraId="374866E9" w14:textId="77777777" w:rsidR="00E4023A" w:rsidRDefault="00E4023A" w:rsidP="005B0289">
            <w:pPr>
              <w:pStyle w:val="TableDataColumnHeading"/>
              <w:rPr>
                <w:lang w:val="en-GB"/>
              </w:rPr>
            </w:pPr>
            <w:r>
              <w:rPr>
                <w:lang w:val="en-GB"/>
              </w:rPr>
              <w:t>Severe</w:t>
            </w:r>
          </w:p>
        </w:tc>
        <w:tc>
          <w:tcPr>
            <w:tcW w:w="900" w:type="dxa"/>
            <w:shd w:val="clear" w:color="auto" w:fill="6F6652"/>
            <w:tcMar>
              <w:left w:w="57" w:type="dxa"/>
              <w:right w:w="57" w:type="dxa"/>
            </w:tcMar>
          </w:tcPr>
          <w:p w14:paraId="6FA0C691" w14:textId="77777777" w:rsidR="00E4023A" w:rsidRDefault="00E4023A" w:rsidP="005B0289">
            <w:pPr>
              <w:pStyle w:val="TableDataColumnHeading"/>
              <w:rPr>
                <w:lang w:val="en-GB"/>
              </w:rPr>
            </w:pPr>
            <w:r>
              <w:rPr>
                <w:lang w:val="en-GB"/>
              </w:rPr>
              <w:t>Moderate</w:t>
            </w:r>
          </w:p>
        </w:tc>
        <w:tc>
          <w:tcPr>
            <w:tcW w:w="644" w:type="dxa"/>
            <w:shd w:val="clear" w:color="auto" w:fill="6F6652"/>
            <w:tcMar>
              <w:left w:w="57" w:type="dxa"/>
              <w:right w:w="57" w:type="dxa"/>
            </w:tcMar>
          </w:tcPr>
          <w:p w14:paraId="05EEA549" w14:textId="77777777" w:rsidR="00E4023A" w:rsidRDefault="00E4023A" w:rsidP="005B0289">
            <w:pPr>
              <w:pStyle w:val="TableDataColumnHeading"/>
              <w:rPr>
                <w:lang w:val="en-GB"/>
              </w:rPr>
            </w:pPr>
            <w:r>
              <w:rPr>
                <w:lang w:val="en-GB"/>
              </w:rPr>
              <w:t>Mild</w:t>
            </w:r>
          </w:p>
        </w:tc>
        <w:tc>
          <w:tcPr>
            <w:tcW w:w="772" w:type="dxa"/>
            <w:shd w:val="clear" w:color="auto" w:fill="6F6652"/>
            <w:tcMar>
              <w:left w:w="57" w:type="dxa"/>
              <w:right w:w="57" w:type="dxa"/>
            </w:tcMar>
          </w:tcPr>
          <w:p w14:paraId="2F4797B2" w14:textId="77777777" w:rsidR="00E4023A" w:rsidRDefault="00E4023A" w:rsidP="005B0289">
            <w:pPr>
              <w:pStyle w:val="TableDataColumnHeading"/>
              <w:rPr>
                <w:lang w:val="en-GB"/>
              </w:rPr>
            </w:pPr>
            <w:r>
              <w:rPr>
                <w:lang w:val="en-GB"/>
              </w:rPr>
              <w:t>Total</w:t>
            </w:r>
          </w:p>
        </w:tc>
      </w:tr>
      <w:tr w:rsidR="00E4023A" w14:paraId="070AC54D" w14:textId="77777777" w:rsidTr="005B0289">
        <w:trPr>
          <w:trHeight w:val="250"/>
        </w:trPr>
        <w:tc>
          <w:tcPr>
            <w:tcW w:w="4078" w:type="dxa"/>
            <w:tcBorders>
              <w:bottom w:val="single" w:sz="8" w:space="0" w:color="FFFFFF" w:themeColor="background1"/>
            </w:tcBorders>
            <w:shd w:val="clear" w:color="auto" w:fill="auto"/>
            <w:tcMar>
              <w:left w:w="57" w:type="dxa"/>
              <w:right w:w="57" w:type="dxa"/>
            </w:tcMar>
          </w:tcPr>
          <w:p w14:paraId="7530B026" w14:textId="77777777" w:rsidR="00E4023A" w:rsidRDefault="00E4023A" w:rsidP="005B0289">
            <w:pPr>
              <w:pStyle w:val="TableUnit"/>
              <w:jc w:val="left"/>
              <w:rPr>
                <w:lang w:val="en-GB"/>
              </w:rPr>
            </w:pPr>
          </w:p>
        </w:tc>
        <w:tc>
          <w:tcPr>
            <w:tcW w:w="771" w:type="dxa"/>
            <w:tcBorders>
              <w:bottom w:val="single" w:sz="8" w:space="0" w:color="FFFFFF" w:themeColor="background1"/>
            </w:tcBorders>
            <w:shd w:val="clear" w:color="auto" w:fill="auto"/>
            <w:tcMar>
              <w:left w:w="57" w:type="dxa"/>
              <w:right w:w="57" w:type="dxa"/>
            </w:tcMar>
          </w:tcPr>
          <w:p w14:paraId="67E2A3E1" w14:textId="77777777" w:rsidR="00E4023A" w:rsidRDefault="00E4023A" w:rsidP="005B0289">
            <w:pPr>
              <w:pStyle w:val="TableUnit"/>
              <w:rPr>
                <w:lang w:val="en-GB"/>
              </w:rPr>
            </w:pPr>
            <w:r>
              <w:rPr>
                <w:lang w:val="en-GB"/>
              </w:rPr>
              <w:t>'000</w:t>
            </w:r>
          </w:p>
        </w:tc>
        <w:tc>
          <w:tcPr>
            <w:tcW w:w="772" w:type="dxa"/>
            <w:tcBorders>
              <w:bottom w:val="single" w:sz="8" w:space="0" w:color="FFFFFF" w:themeColor="background1"/>
            </w:tcBorders>
            <w:shd w:val="clear" w:color="auto" w:fill="auto"/>
            <w:tcMar>
              <w:left w:w="57" w:type="dxa"/>
              <w:right w:w="57" w:type="dxa"/>
            </w:tcMar>
          </w:tcPr>
          <w:p w14:paraId="7CB5D529" w14:textId="77777777" w:rsidR="00E4023A" w:rsidRDefault="00E4023A" w:rsidP="005B0289">
            <w:pPr>
              <w:pStyle w:val="TableUnit"/>
              <w:rPr>
                <w:lang w:val="en-GB"/>
              </w:rPr>
            </w:pPr>
            <w:r>
              <w:rPr>
                <w:lang w:val="en-GB"/>
              </w:rPr>
              <w:t>'000</w:t>
            </w:r>
          </w:p>
        </w:tc>
        <w:tc>
          <w:tcPr>
            <w:tcW w:w="900" w:type="dxa"/>
            <w:tcBorders>
              <w:bottom w:val="single" w:sz="8" w:space="0" w:color="FFFFFF" w:themeColor="background1"/>
            </w:tcBorders>
            <w:shd w:val="clear" w:color="auto" w:fill="auto"/>
            <w:tcMar>
              <w:left w:w="57" w:type="dxa"/>
              <w:right w:w="57" w:type="dxa"/>
            </w:tcMar>
          </w:tcPr>
          <w:p w14:paraId="66BF91B5" w14:textId="77777777" w:rsidR="00E4023A" w:rsidRDefault="00E4023A" w:rsidP="005B0289">
            <w:pPr>
              <w:pStyle w:val="TableUnit"/>
              <w:rPr>
                <w:lang w:val="en-GB"/>
              </w:rPr>
            </w:pPr>
            <w:r>
              <w:rPr>
                <w:lang w:val="en-GB"/>
              </w:rPr>
              <w:t>'000</w:t>
            </w:r>
          </w:p>
        </w:tc>
        <w:tc>
          <w:tcPr>
            <w:tcW w:w="644" w:type="dxa"/>
            <w:tcBorders>
              <w:bottom w:val="single" w:sz="8" w:space="0" w:color="FFFFFF" w:themeColor="background1"/>
            </w:tcBorders>
            <w:shd w:val="clear" w:color="auto" w:fill="auto"/>
            <w:tcMar>
              <w:left w:w="57" w:type="dxa"/>
              <w:right w:w="57" w:type="dxa"/>
            </w:tcMar>
          </w:tcPr>
          <w:p w14:paraId="5E45CADB" w14:textId="77777777" w:rsidR="00E4023A" w:rsidRDefault="00E4023A" w:rsidP="005B0289">
            <w:pPr>
              <w:pStyle w:val="TableUnit"/>
              <w:rPr>
                <w:lang w:val="en-GB"/>
              </w:rPr>
            </w:pPr>
            <w:r>
              <w:rPr>
                <w:lang w:val="en-GB"/>
              </w:rPr>
              <w:t>'000</w:t>
            </w:r>
          </w:p>
        </w:tc>
        <w:tc>
          <w:tcPr>
            <w:tcW w:w="772" w:type="dxa"/>
            <w:tcBorders>
              <w:bottom w:val="single" w:sz="8" w:space="0" w:color="FFFFFF" w:themeColor="background1"/>
            </w:tcBorders>
            <w:shd w:val="clear" w:color="auto" w:fill="auto"/>
            <w:tcMar>
              <w:left w:w="57" w:type="dxa"/>
              <w:right w:w="57" w:type="dxa"/>
            </w:tcMar>
          </w:tcPr>
          <w:p w14:paraId="3684284C" w14:textId="77777777" w:rsidR="00E4023A" w:rsidRDefault="00E4023A" w:rsidP="005B0289">
            <w:pPr>
              <w:pStyle w:val="TableUnit"/>
              <w:rPr>
                <w:lang w:val="en-GB"/>
              </w:rPr>
            </w:pPr>
            <w:r>
              <w:rPr>
                <w:lang w:val="en-GB"/>
              </w:rPr>
              <w:t>'000</w:t>
            </w:r>
          </w:p>
        </w:tc>
      </w:tr>
      <w:tr w:rsidR="00E4023A" w14:paraId="3D67ECE2" w14:textId="77777777" w:rsidTr="005B0289">
        <w:trPr>
          <w:trHeight w:val="250"/>
        </w:trPr>
        <w:tc>
          <w:tcPr>
            <w:tcW w:w="40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3FDEB5" w14:textId="77777777" w:rsidR="00E4023A" w:rsidRDefault="00E4023A" w:rsidP="005B0289">
            <w:pPr>
              <w:pStyle w:val="TableDataEntries"/>
              <w:jc w:val="left"/>
              <w:rPr>
                <w:lang w:val="en-GB"/>
              </w:rPr>
            </w:pPr>
            <w:r>
              <w:rPr>
                <w:lang w:val="en-GB"/>
              </w:rPr>
              <w:t>State or Territory Housing Authority</w:t>
            </w:r>
          </w:p>
        </w:tc>
        <w:tc>
          <w:tcPr>
            <w:tcW w:w="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4FA764" w14:textId="77777777" w:rsidR="00E4023A" w:rsidRDefault="00E4023A" w:rsidP="005B0289">
            <w:pPr>
              <w:pStyle w:val="TableDataEntries"/>
              <w:rPr>
                <w:lang w:val="en-GB"/>
              </w:rPr>
            </w:pPr>
            <w:r>
              <w:rPr>
                <w:lang w:val="en-GB"/>
              </w:rPr>
              <w:t>29.7</w:t>
            </w:r>
          </w:p>
        </w:tc>
        <w:tc>
          <w:tcPr>
            <w:tcW w:w="7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54E70" w14:textId="77777777" w:rsidR="00E4023A" w:rsidRDefault="00E4023A" w:rsidP="005B0289">
            <w:pPr>
              <w:pStyle w:val="TableDataEntries"/>
              <w:rPr>
                <w:lang w:val="en-GB"/>
              </w:rPr>
            </w:pPr>
            <w:r>
              <w:rPr>
                <w:lang w:val="en-GB"/>
              </w:rPr>
              <w:t>28.9</w:t>
            </w:r>
          </w:p>
        </w:tc>
        <w:tc>
          <w:tcPr>
            <w:tcW w:w="9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2F17D8" w14:textId="77777777" w:rsidR="00E4023A" w:rsidRDefault="00E4023A" w:rsidP="005B0289">
            <w:pPr>
              <w:pStyle w:val="TableDataEntries"/>
              <w:rPr>
                <w:lang w:val="en-GB"/>
              </w:rPr>
            </w:pPr>
            <w:r>
              <w:rPr>
                <w:lang w:val="en-GB"/>
              </w:rPr>
              <w:t>27.4</w:t>
            </w:r>
          </w:p>
        </w:tc>
        <w:tc>
          <w:tcPr>
            <w:tcW w:w="6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2AEBC" w14:textId="77777777" w:rsidR="00E4023A" w:rsidRDefault="00E4023A" w:rsidP="005B0289">
            <w:pPr>
              <w:pStyle w:val="TableDataEntries"/>
              <w:rPr>
                <w:lang w:val="en-GB"/>
              </w:rPr>
            </w:pPr>
            <w:r>
              <w:rPr>
                <w:lang w:val="en-GB"/>
              </w:rPr>
              <w:t>77.5</w:t>
            </w:r>
          </w:p>
        </w:tc>
        <w:tc>
          <w:tcPr>
            <w:tcW w:w="7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E62009" w14:textId="77777777" w:rsidR="00E4023A" w:rsidRDefault="00E4023A" w:rsidP="005B0289">
            <w:pPr>
              <w:pStyle w:val="TableDataEntries"/>
              <w:rPr>
                <w:lang w:val="en-GB"/>
              </w:rPr>
            </w:pPr>
            <w:r>
              <w:rPr>
                <w:lang w:val="en-GB"/>
              </w:rPr>
              <w:t>166.6</w:t>
            </w:r>
          </w:p>
        </w:tc>
      </w:tr>
      <w:tr w:rsidR="00E4023A" w14:paraId="54AA8BB7" w14:textId="77777777" w:rsidTr="005B0289">
        <w:trPr>
          <w:trHeight w:val="250"/>
        </w:trPr>
        <w:tc>
          <w:tcPr>
            <w:tcW w:w="40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F77E5B" w14:textId="77777777" w:rsidR="00E4023A" w:rsidRDefault="00E4023A" w:rsidP="005B0289">
            <w:pPr>
              <w:pStyle w:val="TableDataEntries"/>
              <w:jc w:val="left"/>
              <w:rPr>
                <w:lang w:val="en-GB"/>
              </w:rPr>
            </w:pPr>
            <w:r>
              <w:rPr>
                <w:lang w:val="en-GB"/>
              </w:rPr>
              <w:t>Housing co-operative, community or church group</w:t>
            </w:r>
          </w:p>
        </w:tc>
        <w:tc>
          <w:tcPr>
            <w:tcW w:w="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7443E" w14:textId="77777777" w:rsidR="00E4023A" w:rsidRDefault="00E4023A" w:rsidP="005B0289">
            <w:pPr>
              <w:pStyle w:val="TableDataEntries"/>
              <w:rPr>
                <w:lang w:val="en-GB"/>
              </w:rPr>
            </w:pPr>
            <w:r>
              <w:rPr>
                <w:lang w:val="en-GB"/>
              </w:rPr>
              <w:t>16.7</w:t>
            </w:r>
          </w:p>
        </w:tc>
        <w:tc>
          <w:tcPr>
            <w:tcW w:w="7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C200E6" w14:textId="77777777" w:rsidR="00E4023A" w:rsidRDefault="00E4023A" w:rsidP="005B0289">
            <w:pPr>
              <w:pStyle w:val="TableDataEntries"/>
              <w:rPr>
                <w:lang w:val="en-GB"/>
              </w:rPr>
            </w:pPr>
            <w:r>
              <w:rPr>
                <w:lang w:val="en-GB"/>
              </w:rPr>
              <w:t>7.8</w:t>
            </w:r>
          </w:p>
        </w:tc>
        <w:tc>
          <w:tcPr>
            <w:tcW w:w="9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A9537F" w14:textId="77777777" w:rsidR="00E4023A" w:rsidRDefault="00E4023A" w:rsidP="005B0289">
            <w:pPr>
              <w:pStyle w:val="TableDataEntries"/>
              <w:rPr>
                <w:lang w:val="en-GB"/>
              </w:rPr>
            </w:pPr>
            <w:r>
              <w:rPr>
                <w:lang w:val="en-GB"/>
              </w:rPr>
              <w:t>7.7</w:t>
            </w:r>
          </w:p>
        </w:tc>
        <w:tc>
          <w:tcPr>
            <w:tcW w:w="6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F4DDBE" w14:textId="77777777" w:rsidR="00E4023A" w:rsidRDefault="00E4023A" w:rsidP="005B0289">
            <w:pPr>
              <w:pStyle w:val="TableDataEntries"/>
              <w:rPr>
                <w:lang w:val="en-GB"/>
              </w:rPr>
            </w:pPr>
            <w:r>
              <w:rPr>
                <w:lang w:val="en-GB"/>
              </w:rPr>
              <w:t>26.4</w:t>
            </w:r>
          </w:p>
        </w:tc>
        <w:tc>
          <w:tcPr>
            <w:tcW w:w="7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EB9B1D" w14:textId="77777777" w:rsidR="00E4023A" w:rsidRDefault="00E4023A" w:rsidP="005B0289">
            <w:pPr>
              <w:pStyle w:val="TableDataEntries"/>
              <w:rPr>
                <w:lang w:val="en-GB"/>
              </w:rPr>
            </w:pPr>
            <w:r>
              <w:rPr>
                <w:lang w:val="en-GB"/>
              </w:rPr>
              <w:t>55.1</w:t>
            </w:r>
          </w:p>
        </w:tc>
      </w:tr>
      <w:tr w:rsidR="00E4023A" w:rsidRPr="009B0B14" w14:paraId="704CA1AB" w14:textId="77777777" w:rsidTr="005B0289">
        <w:trPr>
          <w:trHeight w:val="250"/>
        </w:trPr>
        <w:tc>
          <w:tcPr>
            <w:tcW w:w="40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DBEBFB4" w14:textId="77777777" w:rsidR="00E4023A" w:rsidRPr="009B0B14" w:rsidRDefault="00E4023A" w:rsidP="005B0289">
            <w:pPr>
              <w:pStyle w:val="TableDataEntries"/>
              <w:jc w:val="left"/>
              <w:rPr>
                <w:rFonts w:ascii="Franklin Gothic Demi" w:hAnsi="Franklin Gothic Demi"/>
                <w:lang w:val="en-GB"/>
              </w:rPr>
            </w:pPr>
            <w:r w:rsidRPr="009B0B14">
              <w:rPr>
                <w:rFonts w:ascii="Franklin Gothic Demi" w:hAnsi="Franklin Gothic Demi"/>
                <w:lang w:val="en-GB"/>
              </w:rPr>
              <w:t>Total</w:t>
            </w:r>
          </w:p>
        </w:tc>
        <w:tc>
          <w:tcPr>
            <w:tcW w:w="77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9CD162A"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46.3</w:t>
            </w:r>
          </w:p>
        </w:tc>
        <w:tc>
          <w:tcPr>
            <w:tcW w:w="77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BD7FE76"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37.9</w:t>
            </w:r>
          </w:p>
        </w:tc>
        <w:tc>
          <w:tcPr>
            <w:tcW w:w="90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849A6FE"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35.1</w:t>
            </w:r>
          </w:p>
        </w:tc>
        <w:tc>
          <w:tcPr>
            <w:tcW w:w="64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C984BF8"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103.7</w:t>
            </w:r>
          </w:p>
        </w:tc>
        <w:tc>
          <w:tcPr>
            <w:tcW w:w="77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9A73FF0" w14:textId="77777777" w:rsidR="00E4023A" w:rsidRPr="009B0B14" w:rsidRDefault="00E4023A" w:rsidP="005B0289">
            <w:pPr>
              <w:pStyle w:val="TableDataEntries"/>
              <w:rPr>
                <w:rFonts w:ascii="Franklin Gothic Demi" w:hAnsi="Franklin Gothic Demi"/>
                <w:lang w:val="en-GB"/>
              </w:rPr>
            </w:pPr>
            <w:r w:rsidRPr="009B0B14">
              <w:rPr>
                <w:rFonts w:ascii="Franklin Gothic Demi" w:hAnsi="Franklin Gothic Demi"/>
                <w:lang w:val="en-GB"/>
              </w:rPr>
              <w:t>221.8</w:t>
            </w:r>
          </w:p>
        </w:tc>
      </w:tr>
    </w:tbl>
    <w:p w14:paraId="46E301E6" w14:textId="77777777" w:rsidR="00E4023A" w:rsidRDefault="00E4023A" w:rsidP="00E4023A">
      <w:pPr>
        <w:pStyle w:val="Source"/>
        <w:rPr>
          <w:lang w:bidi="fa-IR"/>
        </w:rPr>
      </w:pPr>
      <w:r w:rsidRPr="002474D4">
        <w:rPr>
          <w:lang w:bidi="fa-IR"/>
        </w:rPr>
        <w:t>Source:</w:t>
      </w:r>
      <w:r>
        <w:rPr>
          <w:lang w:bidi="fa-IR"/>
        </w:rPr>
        <w:t xml:space="preserve"> ABS, Survey of Disabilities, Ageing and Carers, 2018, TableBuilder.</w:t>
      </w:r>
    </w:p>
    <w:p w14:paraId="0DCCBA3C" w14:textId="77777777" w:rsidR="00E4023A" w:rsidRDefault="00E4023A" w:rsidP="00E4023A">
      <w:pPr>
        <w:pStyle w:val="Heading3"/>
        <w:numPr>
          <w:ilvl w:val="2"/>
          <w:numId w:val="5"/>
        </w:numPr>
        <w:rPr>
          <w:lang w:bidi="fa-IR"/>
        </w:rPr>
      </w:pPr>
      <w:r>
        <w:rPr>
          <w:lang w:bidi="fa-IR"/>
        </w:rPr>
        <w:t>Aged care</w:t>
      </w:r>
    </w:p>
    <w:p w14:paraId="021155EF" w14:textId="77777777" w:rsidR="00E4023A" w:rsidRDefault="00E4023A" w:rsidP="00E4023A">
      <w:pPr>
        <w:pStyle w:val="BodyText"/>
        <w:rPr>
          <w:lang w:bidi="fa-IR"/>
        </w:rPr>
      </w:pPr>
      <w:r>
        <w:rPr>
          <w:lang w:bidi="fa-IR"/>
        </w:rPr>
        <w:t xml:space="preserve">According to SDAC data, there were around 176 300 people with mobility </w:t>
      </w:r>
      <w:r w:rsidR="000B0659">
        <w:rPr>
          <w:lang w:bidi="fa-IR"/>
        </w:rPr>
        <w:t>limitation</w:t>
      </w:r>
      <w:r>
        <w:rPr>
          <w:lang w:bidi="fa-IR"/>
        </w:rPr>
        <w:t xml:space="preserve"> in residential aged care in 2018 (including </w:t>
      </w:r>
      <w:r w:rsidR="001E296D">
        <w:rPr>
          <w:lang w:bidi="fa-IR"/>
        </w:rPr>
        <w:t xml:space="preserve">accommodation </w:t>
      </w:r>
      <w:r w:rsidR="009072DD">
        <w:rPr>
          <w:lang w:bidi="fa-IR"/>
        </w:rPr>
        <w:t xml:space="preserve">for the </w:t>
      </w:r>
      <w:r>
        <w:rPr>
          <w:lang w:bidi="fa-IR"/>
        </w:rPr>
        <w:t>retired</w:t>
      </w:r>
      <w:r w:rsidR="009072DD">
        <w:rPr>
          <w:lang w:bidi="fa-IR"/>
        </w:rPr>
        <w:t xml:space="preserve"> or </w:t>
      </w:r>
      <w:r>
        <w:rPr>
          <w:lang w:bidi="fa-IR"/>
        </w:rPr>
        <w:t>aged).</w:t>
      </w:r>
    </w:p>
    <w:p w14:paraId="6E1A65E6" w14:textId="77777777" w:rsidR="00E4023A" w:rsidRDefault="00E4023A" w:rsidP="00E4023A">
      <w:pPr>
        <w:pStyle w:val="BodyText"/>
        <w:rPr>
          <w:lang w:bidi="fa-IR"/>
        </w:rPr>
      </w:pPr>
      <w:r>
        <w:rPr>
          <w:lang w:bidi="fa-IR"/>
        </w:rPr>
        <w:lastRenderedPageBreak/>
        <w:t xml:space="preserve">The </w:t>
      </w:r>
      <w:r w:rsidR="006B1600">
        <w:rPr>
          <w:lang w:bidi="fa-IR"/>
        </w:rPr>
        <w:t>AIHW</w:t>
      </w:r>
      <w:r>
        <w:rPr>
          <w:lang w:bidi="fa-IR"/>
        </w:rPr>
        <w:t xml:space="preserve"> reports there were 182 705 permanent aged care places funded by the Australian Government in 2019.</w:t>
      </w:r>
      <w:r>
        <w:rPr>
          <w:rStyle w:val="FootnoteReference"/>
          <w:lang w:bidi="fa-IR"/>
        </w:rPr>
        <w:footnoteReference w:id="98"/>
      </w:r>
    </w:p>
    <w:p w14:paraId="05C40B9E" w14:textId="77777777" w:rsidR="00E4023A" w:rsidRDefault="00E4023A" w:rsidP="00E4023A">
      <w:pPr>
        <w:pStyle w:val="Heading3"/>
        <w:numPr>
          <w:ilvl w:val="2"/>
          <w:numId w:val="5"/>
        </w:numPr>
        <w:rPr>
          <w:lang w:bidi="fa-IR"/>
        </w:rPr>
      </w:pPr>
      <w:r>
        <w:rPr>
          <w:lang w:bidi="fa-IR"/>
        </w:rPr>
        <w:t>Specialist Disability Accommodation</w:t>
      </w:r>
    </w:p>
    <w:p w14:paraId="4CFE5589" w14:textId="77777777" w:rsidR="00E4023A" w:rsidRDefault="00E4023A" w:rsidP="00E4023A">
      <w:pPr>
        <w:pStyle w:val="BodyText"/>
        <w:rPr>
          <w:lang w:bidi="fa-IR"/>
        </w:rPr>
      </w:pPr>
      <w:r>
        <w:rPr>
          <w:lang w:bidi="fa-IR"/>
        </w:rPr>
        <w:t xml:space="preserve">The NDIS Quarterly Report to the COAG Disability Reform Council reported that as at </w:t>
      </w:r>
      <w:r w:rsidR="000D790B">
        <w:rPr>
          <w:lang w:bidi="fa-IR"/>
        </w:rPr>
        <w:t>31 December 2020</w:t>
      </w:r>
      <w:r>
        <w:rPr>
          <w:lang w:bidi="fa-IR"/>
        </w:rPr>
        <w:t>:</w:t>
      </w:r>
      <w:r w:rsidDel="00EB0AE2">
        <w:rPr>
          <w:rStyle w:val="FootnoteReference"/>
          <w:lang w:bidi="fa-IR"/>
        </w:rPr>
        <w:t xml:space="preserve"> </w:t>
      </w:r>
    </w:p>
    <w:p w14:paraId="542437E5" w14:textId="77777777" w:rsidR="00E4023A" w:rsidRDefault="00E4023A" w:rsidP="00E4023A">
      <w:pPr>
        <w:pStyle w:val="ListBullet"/>
        <w:numPr>
          <w:ilvl w:val="0"/>
          <w:numId w:val="16"/>
        </w:numPr>
        <w:rPr>
          <w:lang w:bidi="fa-IR"/>
        </w:rPr>
      </w:pPr>
      <w:r>
        <w:rPr>
          <w:lang w:bidi="fa-IR"/>
        </w:rPr>
        <w:t>there were 1</w:t>
      </w:r>
      <w:r w:rsidR="00A55F38">
        <w:rPr>
          <w:lang w:bidi="fa-IR"/>
        </w:rPr>
        <w:t>5</w:t>
      </w:r>
      <w:r>
        <w:rPr>
          <w:lang w:bidi="fa-IR"/>
        </w:rPr>
        <w:t> 6</w:t>
      </w:r>
      <w:r w:rsidR="00A55F38">
        <w:rPr>
          <w:lang w:bidi="fa-IR"/>
        </w:rPr>
        <w:t>67</w:t>
      </w:r>
      <w:r>
        <w:rPr>
          <w:lang w:bidi="fa-IR"/>
        </w:rPr>
        <w:t xml:space="preserve"> participants with SDA funding in an active NDIS plan (the NDIA has estimated that the number of participants eligible for SDA funding will increase to 28 000 over time)</w:t>
      </w:r>
      <w:r w:rsidR="00354839">
        <w:rPr>
          <w:lang w:bidi="fa-IR"/>
        </w:rPr>
        <w:t>.</w:t>
      </w:r>
    </w:p>
    <w:p w14:paraId="0C811ED7" w14:textId="77777777" w:rsidR="00E4023A" w:rsidRDefault="00E4023A" w:rsidP="00E4023A">
      <w:pPr>
        <w:pStyle w:val="ListBullet"/>
        <w:numPr>
          <w:ilvl w:val="0"/>
          <w:numId w:val="16"/>
        </w:numPr>
        <w:rPr>
          <w:lang w:bidi="fa-IR"/>
        </w:rPr>
      </w:pPr>
      <w:r>
        <w:rPr>
          <w:lang w:bidi="fa-IR"/>
        </w:rPr>
        <w:t xml:space="preserve">there were </w:t>
      </w:r>
      <w:r w:rsidR="00354839">
        <w:rPr>
          <w:lang w:bidi="fa-IR"/>
        </w:rPr>
        <w:t>4</w:t>
      </w:r>
      <w:r>
        <w:rPr>
          <w:lang w:bidi="fa-IR"/>
        </w:rPr>
        <w:t> 9</w:t>
      </w:r>
      <w:r w:rsidR="00354839">
        <w:rPr>
          <w:lang w:bidi="fa-IR"/>
        </w:rPr>
        <w:t>21</w:t>
      </w:r>
      <w:r>
        <w:rPr>
          <w:lang w:bidi="fa-IR"/>
        </w:rPr>
        <w:t xml:space="preserve"> enrolled dwellings, including:</w:t>
      </w:r>
      <w:r>
        <w:rPr>
          <w:rStyle w:val="FootnoteReference"/>
          <w:lang w:bidi="fa-IR"/>
        </w:rPr>
        <w:footnoteReference w:id="99"/>
      </w:r>
    </w:p>
    <w:p w14:paraId="5088DEFE" w14:textId="77777777" w:rsidR="008E1E96" w:rsidRPr="008E1E96" w:rsidRDefault="008E1E96" w:rsidP="008E1E96">
      <w:pPr>
        <w:pStyle w:val="ListBullet2"/>
        <w:numPr>
          <w:ilvl w:val="1"/>
          <w:numId w:val="16"/>
        </w:numPr>
        <w:ind w:left="568" w:hanging="284"/>
        <w:rPr>
          <w:lang w:bidi="fa-IR"/>
        </w:rPr>
      </w:pPr>
      <w:r w:rsidRPr="008E1E96">
        <w:rPr>
          <w:lang w:bidi="fa-IR"/>
        </w:rPr>
        <w:t>2 005 Basic dwellings</w:t>
      </w:r>
    </w:p>
    <w:p w14:paraId="2DDF9BA7" w14:textId="77777777" w:rsidR="008E1E96" w:rsidRPr="008E1E96" w:rsidRDefault="008E1E96" w:rsidP="008E1E96">
      <w:pPr>
        <w:pStyle w:val="ListBullet2"/>
        <w:numPr>
          <w:ilvl w:val="1"/>
          <w:numId w:val="16"/>
        </w:numPr>
        <w:ind w:left="568" w:hanging="284"/>
        <w:rPr>
          <w:lang w:bidi="fa-IR"/>
        </w:rPr>
      </w:pPr>
      <w:r w:rsidRPr="008E1E96">
        <w:rPr>
          <w:lang w:bidi="fa-IR"/>
        </w:rPr>
        <w:t>1 032 Improved Liveability dwellings (broadly aligning with the LHDG silver standard)</w:t>
      </w:r>
    </w:p>
    <w:p w14:paraId="7663264A" w14:textId="77777777" w:rsidR="008E1E96" w:rsidRPr="008E1E96" w:rsidRDefault="008E1E96" w:rsidP="008E1E96">
      <w:pPr>
        <w:pStyle w:val="ListBullet2"/>
        <w:numPr>
          <w:ilvl w:val="1"/>
          <w:numId w:val="16"/>
        </w:numPr>
        <w:ind w:left="568" w:hanging="284"/>
        <w:rPr>
          <w:lang w:bidi="fa-IR"/>
        </w:rPr>
      </w:pPr>
      <w:r w:rsidRPr="008E1E96">
        <w:rPr>
          <w:lang w:bidi="fa-IR"/>
        </w:rPr>
        <w:t>1 007 High Physical Support dwellings (housing that has been designed to incorporate a high level of physical access provision for people with significant physical impairment and requiring very high levels of physical support).</w:t>
      </w:r>
    </w:p>
    <w:p w14:paraId="54C0CFCE" w14:textId="77777777" w:rsidR="008E1E96" w:rsidRPr="008E1E96" w:rsidRDefault="008E1E96" w:rsidP="008E1E96">
      <w:pPr>
        <w:pStyle w:val="ListBullet2"/>
        <w:numPr>
          <w:ilvl w:val="1"/>
          <w:numId w:val="16"/>
        </w:numPr>
        <w:ind w:left="568" w:hanging="284"/>
        <w:rPr>
          <w:lang w:bidi="fa-IR"/>
        </w:rPr>
      </w:pPr>
      <w:r w:rsidRPr="008E1E96">
        <w:rPr>
          <w:lang w:bidi="fa-IR"/>
        </w:rPr>
        <w:t>242 Robust dwellings (broadly aligning with LHDG silver standard)</w:t>
      </w:r>
    </w:p>
    <w:p w14:paraId="03F0F379" w14:textId="77777777" w:rsidR="008E1E96" w:rsidRPr="008E1E96" w:rsidRDefault="008E1E96" w:rsidP="008E1E96">
      <w:pPr>
        <w:pStyle w:val="ListBullet2"/>
        <w:numPr>
          <w:ilvl w:val="1"/>
          <w:numId w:val="16"/>
        </w:numPr>
        <w:ind w:left="568" w:hanging="284"/>
        <w:rPr>
          <w:lang w:bidi="fa-IR"/>
        </w:rPr>
      </w:pPr>
      <w:r w:rsidRPr="008E1E96">
        <w:rPr>
          <w:lang w:bidi="fa-IR"/>
        </w:rPr>
        <w:t>635 ‘Fully Accessible’ dwellings (broadly consistent with LHDG platinum standard dwellings)</w:t>
      </w:r>
    </w:p>
    <w:p w14:paraId="4DB91012" w14:textId="77777777" w:rsidR="00E4023A" w:rsidRDefault="00E4023A" w:rsidP="00E4023A">
      <w:pPr>
        <w:pStyle w:val="Heading2"/>
        <w:numPr>
          <w:ilvl w:val="1"/>
          <w:numId w:val="5"/>
        </w:numPr>
      </w:pPr>
      <w:bookmarkStart w:id="208" w:name="_Toc32321749"/>
      <w:bookmarkStart w:id="209" w:name="_Toc44598437"/>
      <w:bookmarkStart w:id="210" w:name="_Toc44696044"/>
      <w:bookmarkStart w:id="211" w:name="_Toc45654068"/>
      <w:bookmarkStart w:id="212" w:name="_Toc70505099"/>
      <w:r>
        <w:t>Quantifying the problem</w:t>
      </w:r>
      <w:bookmarkEnd w:id="208"/>
      <w:bookmarkEnd w:id="209"/>
      <w:bookmarkEnd w:id="210"/>
      <w:bookmarkEnd w:id="211"/>
      <w:bookmarkEnd w:id="212"/>
    </w:p>
    <w:p w14:paraId="4FAA5556" w14:textId="77777777" w:rsidR="00E4023A" w:rsidRDefault="00E4023A" w:rsidP="00E4023A">
      <w:pPr>
        <w:pStyle w:val="BodyText"/>
      </w:pPr>
      <w:r>
        <w:t>The outcomes (including those described above) under current arrangements and policy settings are not necessarily optimal from various perspectives. In particular, housing designs that are not based on universal design principles may not be optimal where:</w:t>
      </w:r>
    </w:p>
    <w:p w14:paraId="54989311" w14:textId="77777777" w:rsidR="00E4023A" w:rsidRDefault="00E4023A" w:rsidP="00E4023A">
      <w:pPr>
        <w:pStyle w:val="ListBullet"/>
        <w:numPr>
          <w:ilvl w:val="0"/>
          <w:numId w:val="16"/>
        </w:numPr>
      </w:pPr>
      <w:r>
        <w:t>the needs of members of the community with mobility</w:t>
      </w:r>
      <w:r>
        <w:noBreakHyphen/>
        <w:t>related disability are not met; and/or</w:t>
      </w:r>
    </w:p>
    <w:p w14:paraId="7C4ED04F" w14:textId="77777777" w:rsidR="00E4023A" w:rsidRPr="00236F61" w:rsidRDefault="00E4023A" w:rsidP="00E4023A">
      <w:pPr>
        <w:pStyle w:val="ListBullet"/>
        <w:numPr>
          <w:ilvl w:val="0"/>
          <w:numId w:val="16"/>
        </w:numPr>
      </w:pPr>
      <w:r>
        <w:t>the cost of meeting the needs of members of the community with mobility</w:t>
      </w:r>
      <w:r>
        <w:noBreakHyphen/>
        <w:t>related disability is unnecessarily high (including both costs incurred by affected individuals and the government).</w:t>
      </w:r>
    </w:p>
    <w:p w14:paraId="769A5E6E" w14:textId="77777777" w:rsidR="00E4023A" w:rsidRDefault="00E4023A" w:rsidP="00E4023A">
      <w:pPr>
        <w:pStyle w:val="BodyText"/>
      </w:pPr>
      <w:r w:rsidRPr="00687613">
        <w:t>These sub</w:t>
      </w:r>
      <w:r w:rsidRPr="00687613">
        <w:noBreakHyphen/>
        <w:t>optimal outcomes are effectively the problem that the proposed changes to the NCC are trying to solve (i</w:t>
      </w:r>
      <w:r>
        <w:t xml:space="preserve">.e. the problem that is not already being solved through existing mechanisms). </w:t>
      </w:r>
    </w:p>
    <w:p w14:paraId="1B25AC5B" w14:textId="6A4CF59C" w:rsidR="0089766E" w:rsidRDefault="0089766E" w:rsidP="0089766E">
      <w:pPr>
        <w:pStyle w:val="BodyText"/>
      </w:pPr>
      <w:r>
        <w:t>Table </w:t>
      </w:r>
      <w:r w:rsidR="00587754">
        <w:rPr>
          <w:noProof/>
        </w:rPr>
        <w:t>3.20</w:t>
      </w:r>
      <w:r>
        <w:t xml:space="preserve"> identifies some sub-optimal outcomes that could arise from a shortage of accessible housing.</w:t>
      </w:r>
    </w:p>
    <w:p w14:paraId="0F51E56B" w14:textId="5FD1F5B8" w:rsidR="0089766E" w:rsidRDefault="00076C9B" w:rsidP="0089766E">
      <w:pPr>
        <w:pStyle w:val="Caption"/>
      </w:pPr>
      <w:bookmarkStart w:id="213" w:name="_Toc24977950"/>
      <w:bookmarkStart w:id="214" w:name="_Toc32321809"/>
      <w:bookmarkStart w:id="215" w:name="_Toc44598502"/>
      <w:bookmarkStart w:id="216" w:name="_Toc44695874"/>
      <w:bookmarkStart w:id="217" w:name="_Toc57643603"/>
      <w:bookmarkStart w:id="218" w:name="_Toc70505519"/>
      <w:r>
        <w:lastRenderedPageBreak/>
        <w:t>3.20</w:t>
      </w:r>
      <w:r w:rsidR="0089766E" w:rsidRPr="00A72E36">
        <w:tab/>
        <w:t>Summary of sub-optimal outcomes from a shortage of accessible housing</w:t>
      </w:r>
      <w:bookmarkEnd w:id="213"/>
      <w:bookmarkEnd w:id="214"/>
      <w:bookmarkEnd w:id="215"/>
      <w:bookmarkEnd w:id="216"/>
      <w:bookmarkEnd w:id="217"/>
      <w:bookmarkEnd w:id="218"/>
    </w:p>
    <w:tbl>
      <w:tblPr>
        <w:tblW w:w="0" w:type="auto"/>
        <w:tblLayout w:type="fixed"/>
        <w:tblLook w:val="0000" w:firstRow="0" w:lastRow="0" w:firstColumn="0" w:lastColumn="0" w:noHBand="0" w:noVBand="0"/>
        <w:tblCaption w:val="Table 3.20: Summary of sub-optimal outcomes from a shortage of accessible housing"/>
        <w:tblDescription w:val="This table lists some sub-optimal outcomes that could arise from a shortage of accessible housing. The outcomes are categorised as short-term (temporary) or longer-term outcomes. The circumstances where the outcome is not optimal are detailed in the second column, and the cost of each outcome is listed in the third column (for example, less safe environment, inability to participate in the community)."/>
      </w:tblPr>
      <w:tblGrid>
        <w:gridCol w:w="2552"/>
        <w:gridCol w:w="2693"/>
        <w:gridCol w:w="2692"/>
      </w:tblGrid>
      <w:tr w:rsidR="0089766E" w14:paraId="01CA5089" w14:textId="77777777" w:rsidTr="0089766E">
        <w:trPr>
          <w:tblHeader/>
        </w:trPr>
        <w:tc>
          <w:tcPr>
            <w:tcW w:w="2552" w:type="dxa"/>
            <w:tcBorders>
              <w:bottom w:val="single" w:sz="8" w:space="0" w:color="FFFFFF" w:themeColor="background1"/>
            </w:tcBorders>
            <w:shd w:val="clear" w:color="auto" w:fill="6F6652"/>
            <w:tcMar>
              <w:left w:w="57" w:type="dxa"/>
              <w:right w:w="57" w:type="dxa"/>
            </w:tcMar>
          </w:tcPr>
          <w:p w14:paraId="53DB02DA" w14:textId="77777777" w:rsidR="0089766E" w:rsidRDefault="0089766E" w:rsidP="0089766E">
            <w:pPr>
              <w:pStyle w:val="TableTextColumnHeading"/>
              <w:rPr>
                <w:lang w:bidi="fa-IR"/>
              </w:rPr>
            </w:pPr>
            <w:r>
              <w:rPr>
                <w:lang w:bidi="fa-IR"/>
              </w:rPr>
              <w:t>Outcome</w:t>
            </w:r>
          </w:p>
        </w:tc>
        <w:tc>
          <w:tcPr>
            <w:tcW w:w="2693" w:type="dxa"/>
            <w:tcBorders>
              <w:bottom w:val="single" w:sz="8" w:space="0" w:color="FFFFFF" w:themeColor="background1"/>
            </w:tcBorders>
            <w:shd w:val="clear" w:color="auto" w:fill="6F6652"/>
            <w:tcMar>
              <w:left w:w="57" w:type="dxa"/>
              <w:right w:w="57" w:type="dxa"/>
            </w:tcMar>
          </w:tcPr>
          <w:p w14:paraId="14093BE4" w14:textId="77777777" w:rsidR="0089766E" w:rsidRDefault="0089766E" w:rsidP="0089766E">
            <w:pPr>
              <w:pStyle w:val="TableTextColumnHeading"/>
              <w:rPr>
                <w:lang w:bidi="fa-IR"/>
              </w:rPr>
            </w:pPr>
            <w:r>
              <w:rPr>
                <w:lang w:bidi="fa-IR"/>
              </w:rPr>
              <w:t>Circumstances where outcome is not optimal</w:t>
            </w:r>
          </w:p>
        </w:tc>
        <w:tc>
          <w:tcPr>
            <w:tcW w:w="2692" w:type="dxa"/>
            <w:tcBorders>
              <w:bottom w:val="single" w:sz="8" w:space="0" w:color="FFFFFF" w:themeColor="background1"/>
            </w:tcBorders>
            <w:shd w:val="clear" w:color="auto" w:fill="6F6652"/>
            <w:tcMar>
              <w:left w:w="57" w:type="dxa"/>
              <w:right w:w="57" w:type="dxa"/>
            </w:tcMar>
          </w:tcPr>
          <w:p w14:paraId="414B5360" w14:textId="77777777" w:rsidR="0089766E" w:rsidRDefault="0089766E" w:rsidP="0089766E">
            <w:pPr>
              <w:pStyle w:val="TableTextColumnHeading"/>
              <w:rPr>
                <w:lang w:bidi="fa-IR"/>
              </w:rPr>
            </w:pPr>
            <w:r>
              <w:rPr>
                <w:lang w:bidi="fa-IR"/>
              </w:rPr>
              <w:t>Cost of sub-optimal outcome</w:t>
            </w:r>
          </w:p>
        </w:tc>
      </w:tr>
      <w:tr w:rsidR="0089766E" w14:paraId="61A971EF" w14:textId="77777777" w:rsidTr="0089766E">
        <w:tc>
          <w:tcPr>
            <w:tcW w:w="25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9805642" w14:textId="77777777" w:rsidR="0089766E" w:rsidRDefault="0089766E" w:rsidP="0089766E">
            <w:pPr>
              <w:pStyle w:val="TableHeading1"/>
              <w:rPr>
                <w:lang w:bidi="fa-IR"/>
              </w:rPr>
            </w:pPr>
            <w:r>
              <w:rPr>
                <w:lang w:bidi="fa-IR"/>
              </w:rPr>
              <w:t>Short-term (temporary) outcomes</w:t>
            </w:r>
          </w:p>
        </w:tc>
        <w:tc>
          <w:tcPr>
            <w:tcW w:w="26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B7A0E8C" w14:textId="77777777" w:rsidR="0089766E" w:rsidRDefault="0089766E" w:rsidP="0089766E">
            <w:pPr>
              <w:pStyle w:val="TableHeading1"/>
              <w:rPr>
                <w:lang w:bidi="fa-IR"/>
              </w:rPr>
            </w:pPr>
          </w:p>
        </w:tc>
        <w:tc>
          <w:tcPr>
            <w:tcW w:w="26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8D0944" w14:textId="77777777" w:rsidR="0089766E" w:rsidRDefault="0089766E" w:rsidP="0089766E">
            <w:pPr>
              <w:pStyle w:val="TableHeading1"/>
              <w:rPr>
                <w:lang w:bidi="fa-IR"/>
              </w:rPr>
            </w:pPr>
          </w:p>
        </w:tc>
      </w:tr>
      <w:tr w:rsidR="0089766E" w14:paraId="2269F2F4"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84BDF5" w14:textId="77777777" w:rsidR="0089766E" w:rsidRDefault="0089766E" w:rsidP="0089766E">
            <w:pPr>
              <w:pStyle w:val="TableTextEntries"/>
              <w:rPr>
                <w:lang w:bidi="fa-IR"/>
              </w:rPr>
            </w:pPr>
            <w:r>
              <w:rPr>
                <w:lang w:bidi="fa-IR"/>
              </w:rPr>
              <w:t>Patient remains in hospital/transition care while suitable housing is found</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783B91" w14:textId="77777777" w:rsidR="0089766E" w:rsidRDefault="0089766E" w:rsidP="0089766E">
            <w:pPr>
              <w:pStyle w:val="TableTextEntries"/>
              <w:rPr>
                <w:lang w:bidi="fa-IR"/>
              </w:rPr>
            </w:pPr>
            <w:r>
              <w:rPr>
                <w:lang w:bidi="fa-IR"/>
              </w:rPr>
              <w:t>Where patient would not need to be in hospital if accessible housing was available</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92022A" w14:textId="77777777" w:rsidR="0089766E" w:rsidRDefault="0089766E" w:rsidP="0089766E">
            <w:pPr>
              <w:pStyle w:val="TableTextEntries"/>
              <w:rPr>
                <w:lang w:bidi="fa-IR"/>
              </w:rPr>
            </w:pPr>
            <w:r>
              <w:rPr>
                <w:lang w:bidi="fa-IR"/>
              </w:rPr>
              <w:t>Additional cost of hospital stay or respite care</w:t>
            </w:r>
          </w:p>
        </w:tc>
      </w:tr>
      <w:tr w:rsidR="0089766E" w14:paraId="60D2483E"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9A517B" w14:textId="77777777" w:rsidR="0089766E" w:rsidRDefault="0089766E" w:rsidP="0089766E">
            <w:pPr>
              <w:pStyle w:val="TableTextEntries"/>
              <w:rPr>
                <w:lang w:bidi="fa-IR"/>
              </w:rPr>
            </w:pPr>
            <w:r>
              <w:rPr>
                <w:lang w:bidi="fa-IR"/>
              </w:rPr>
              <w:t>Housing without accessibility features (while suitable housing is unable to be found)</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34C988" w14:textId="77777777" w:rsidR="0089766E" w:rsidRDefault="0089766E" w:rsidP="0089766E">
            <w:pPr>
              <w:pStyle w:val="TableTextEntries"/>
              <w:rPr>
                <w:lang w:bidi="fa-IR"/>
              </w:rPr>
            </w:pPr>
            <w:r>
              <w:rPr>
                <w:lang w:bidi="fa-IR"/>
              </w:rPr>
              <w:t>Where individual has accessibility needs but temporarily remains in housing without relevant accessibility features while more suitable housing is found.</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424D3" w14:textId="77777777" w:rsidR="0089766E" w:rsidRDefault="0089766E" w:rsidP="0089766E">
            <w:pPr>
              <w:pStyle w:val="TableTextEntries"/>
              <w:rPr>
                <w:lang w:bidi="fa-IR"/>
              </w:rPr>
            </w:pPr>
            <w:r>
              <w:rPr>
                <w:lang w:bidi="fa-IR"/>
              </w:rPr>
              <w:t>Accessibility needs not met, possibly leading to:</w:t>
            </w:r>
          </w:p>
          <w:p w14:paraId="75A571E4" w14:textId="77777777" w:rsidR="0089766E" w:rsidRDefault="0089766E" w:rsidP="0089766E">
            <w:pPr>
              <w:pStyle w:val="TableListBullet"/>
              <w:rPr>
                <w:lang w:bidi="fa-IR"/>
              </w:rPr>
            </w:pPr>
            <w:r>
              <w:rPr>
                <w:lang w:bidi="fa-IR"/>
              </w:rPr>
              <w:t>Higher care needs (family or other), including:</w:t>
            </w:r>
          </w:p>
          <w:p w14:paraId="670F1D5B" w14:textId="77777777" w:rsidR="0089766E" w:rsidRDefault="0089766E" w:rsidP="0089766E">
            <w:pPr>
              <w:pStyle w:val="TableListBullet2"/>
              <w:spacing w:before="0" w:after="0"/>
              <w:rPr>
                <w:lang w:bidi="fa-IR"/>
              </w:rPr>
            </w:pPr>
            <w:r>
              <w:rPr>
                <w:lang w:bidi="fa-IR"/>
              </w:rPr>
              <w:t>Loss of independence</w:t>
            </w:r>
          </w:p>
          <w:p w14:paraId="49E60AB1" w14:textId="77777777" w:rsidR="0089766E" w:rsidRDefault="0089766E" w:rsidP="0089766E">
            <w:pPr>
              <w:pStyle w:val="TableListBullet2"/>
              <w:spacing w:before="0" w:after="0"/>
              <w:rPr>
                <w:lang w:bidi="fa-IR"/>
              </w:rPr>
            </w:pPr>
            <w:r>
              <w:rPr>
                <w:lang w:bidi="fa-IR"/>
              </w:rPr>
              <w:t>Cost of carers (including opportunity cost of informal care)</w:t>
            </w:r>
          </w:p>
          <w:p w14:paraId="193511F4" w14:textId="77777777" w:rsidR="0089766E" w:rsidRDefault="0089766E" w:rsidP="0089766E">
            <w:pPr>
              <w:pStyle w:val="TableListBullet"/>
              <w:rPr>
                <w:lang w:bidi="fa-IR"/>
              </w:rPr>
            </w:pPr>
            <w:r>
              <w:rPr>
                <w:lang w:bidi="fa-IR"/>
              </w:rPr>
              <w:t>Less safe environment, including:</w:t>
            </w:r>
          </w:p>
          <w:p w14:paraId="23FE7577" w14:textId="77777777" w:rsidR="0089766E" w:rsidRDefault="0089766E" w:rsidP="0089766E">
            <w:pPr>
              <w:pStyle w:val="TableListBullet2"/>
              <w:spacing w:before="0" w:after="0"/>
              <w:rPr>
                <w:lang w:bidi="fa-IR"/>
              </w:rPr>
            </w:pPr>
            <w:r>
              <w:rPr>
                <w:lang w:bidi="fa-IR"/>
              </w:rPr>
              <w:t>Increase in slips, trips and falls for person with impairment</w:t>
            </w:r>
          </w:p>
          <w:p w14:paraId="73ED1611" w14:textId="77777777" w:rsidR="0089766E" w:rsidRDefault="0089766E" w:rsidP="0089766E">
            <w:pPr>
              <w:pStyle w:val="TableListBullet2"/>
              <w:spacing w:before="0" w:after="0"/>
              <w:rPr>
                <w:lang w:bidi="fa-IR"/>
              </w:rPr>
            </w:pPr>
            <w:r>
              <w:rPr>
                <w:lang w:bidi="fa-IR"/>
              </w:rPr>
              <w:t>Safety impacts on carers</w:t>
            </w:r>
          </w:p>
          <w:p w14:paraId="69748116" w14:textId="77777777" w:rsidR="0089766E" w:rsidRDefault="0089766E" w:rsidP="0089766E">
            <w:pPr>
              <w:pStyle w:val="TableListBullet"/>
              <w:rPr>
                <w:lang w:bidi="fa-IR"/>
              </w:rPr>
            </w:pPr>
            <w:r>
              <w:rPr>
                <w:lang w:bidi="fa-IR"/>
              </w:rPr>
              <w:t>Inability to participate in the community (i.e. unable to easily enter/leave the dwelling)</w:t>
            </w:r>
          </w:p>
          <w:p w14:paraId="35890D06" w14:textId="77777777" w:rsidR="0089766E" w:rsidRDefault="0089766E" w:rsidP="0089766E">
            <w:pPr>
              <w:pStyle w:val="TableListBullet2"/>
              <w:spacing w:before="0" w:after="0"/>
              <w:rPr>
                <w:lang w:bidi="fa-IR"/>
              </w:rPr>
            </w:pPr>
            <w:r>
              <w:rPr>
                <w:lang w:bidi="fa-IR"/>
              </w:rPr>
              <w:t>Loss of employment opportunities</w:t>
            </w:r>
          </w:p>
          <w:p w14:paraId="65C56576" w14:textId="77777777" w:rsidR="0089766E" w:rsidRDefault="0089766E" w:rsidP="0089766E">
            <w:pPr>
              <w:pStyle w:val="TableListBullet2"/>
              <w:spacing w:before="0" w:after="0"/>
              <w:rPr>
                <w:lang w:bidi="fa-IR"/>
              </w:rPr>
            </w:pPr>
            <w:r>
              <w:rPr>
                <w:lang w:bidi="fa-IR"/>
              </w:rPr>
              <w:t>Inability to participate in other aspects of community life.</w:t>
            </w:r>
          </w:p>
        </w:tc>
      </w:tr>
      <w:tr w:rsidR="0089766E" w14:paraId="503353EC" w14:textId="77777777" w:rsidTr="0089766E">
        <w:tc>
          <w:tcPr>
            <w:tcW w:w="25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E2A4D55" w14:textId="77777777" w:rsidR="0089766E" w:rsidRDefault="0089766E" w:rsidP="0089766E">
            <w:pPr>
              <w:pStyle w:val="TableHeading1"/>
              <w:rPr>
                <w:lang w:bidi="fa-IR"/>
              </w:rPr>
            </w:pPr>
            <w:r>
              <w:rPr>
                <w:lang w:bidi="fa-IR"/>
              </w:rPr>
              <w:t>Longer-term outcomes</w:t>
            </w:r>
          </w:p>
        </w:tc>
        <w:tc>
          <w:tcPr>
            <w:tcW w:w="26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7E5BBC7" w14:textId="77777777" w:rsidR="0089766E" w:rsidRDefault="0089766E" w:rsidP="0089766E">
            <w:pPr>
              <w:pStyle w:val="TableHeading1"/>
              <w:rPr>
                <w:lang w:bidi="fa-IR"/>
              </w:rPr>
            </w:pPr>
          </w:p>
        </w:tc>
        <w:tc>
          <w:tcPr>
            <w:tcW w:w="26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618B8D" w14:textId="77777777" w:rsidR="0089766E" w:rsidRDefault="0089766E" w:rsidP="0089766E">
            <w:pPr>
              <w:pStyle w:val="TableHeading1"/>
              <w:rPr>
                <w:lang w:bidi="fa-IR"/>
              </w:rPr>
            </w:pPr>
          </w:p>
        </w:tc>
      </w:tr>
      <w:tr w:rsidR="0089766E" w14:paraId="7AADE0D5"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276B4F" w14:textId="77777777" w:rsidR="0089766E" w:rsidRDefault="0089766E" w:rsidP="0089766E">
            <w:pPr>
              <w:pStyle w:val="TableTextEntries"/>
              <w:rPr>
                <w:lang w:bidi="fa-IR"/>
              </w:rPr>
            </w:pPr>
            <w:r>
              <w:rPr>
                <w:lang w:bidi="fa-IR"/>
              </w:rPr>
              <w:t>Housing without accessibility features</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4CA916" w14:textId="77777777" w:rsidR="0089766E" w:rsidRDefault="0089766E" w:rsidP="0089766E">
            <w:pPr>
              <w:pStyle w:val="TableTextEntries"/>
              <w:rPr>
                <w:lang w:bidi="fa-IR"/>
              </w:rPr>
            </w:pPr>
            <w:r>
              <w:rPr>
                <w:lang w:bidi="fa-IR"/>
              </w:rPr>
              <w:t>Where individual has accessibility needs but remains in housing without relevant accessibility features longer-term</w:t>
            </w:r>
            <w:r w:rsidRPr="00572BAC">
              <w:rPr>
                <w:lang w:bidi="fa-IR"/>
              </w:rPr>
              <w:t>.</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FFA6B4" w14:textId="77777777" w:rsidR="0089766E" w:rsidRDefault="0089766E" w:rsidP="0089766E">
            <w:pPr>
              <w:pStyle w:val="TableTextEntries"/>
              <w:rPr>
                <w:lang w:bidi="fa-IR"/>
              </w:rPr>
            </w:pPr>
            <w:r>
              <w:rPr>
                <w:lang w:bidi="fa-IR"/>
              </w:rPr>
              <w:t>Accessibility needs not met, possibly leading to:</w:t>
            </w:r>
          </w:p>
          <w:p w14:paraId="6CAB2F04" w14:textId="77777777" w:rsidR="0089766E" w:rsidRDefault="0089766E" w:rsidP="0089766E">
            <w:pPr>
              <w:pStyle w:val="TableListBullet"/>
              <w:rPr>
                <w:lang w:bidi="fa-IR"/>
              </w:rPr>
            </w:pPr>
            <w:r>
              <w:rPr>
                <w:lang w:bidi="fa-IR"/>
              </w:rPr>
              <w:t>Cost of higher care needs (family or other), including:</w:t>
            </w:r>
          </w:p>
          <w:p w14:paraId="7E378E62" w14:textId="77777777" w:rsidR="0089766E" w:rsidRDefault="0089766E" w:rsidP="0089766E">
            <w:pPr>
              <w:pStyle w:val="TableListBullet2"/>
              <w:spacing w:before="0" w:after="0"/>
              <w:rPr>
                <w:lang w:bidi="fa-IR"/>
              </w:rPr>
            </w:pPr>
            <w:r>
              <w:rPr>
                <w:lang w:bidi="fa-IR"/>
              </w:rPr>
              <w:t>Loss of independence</w:t>
            </w:r>
          </w:p>
          <w:p w14:paraId="345E2F07" w14:textId="77777777" w:rsidR="0089766E" w:rsidRDefault="0089766E" w:rsidP="0089766E">
            <w:pPr>
              <w:pStyle w:val="TableListBullet2"/>
              <w:spacing w:before="0" w:after="0"/>
              <w:rPr>
                <w:lang w:bidi="fa-IR"/>
              </w:rPr>
            </w:pPr>
            <w:r>
              <w:rPr>
                <w:lang w:bidi="fa-IR"/>
              </w:rPr>
              <w:t>Cost of carers (including opportunity cost of informal care)</w:t>
            </w:r>
          </w:p>
          <w:p w14:paraId="1C3EE8E6" w14:textId="77777777" w:rsidR="0089766E" w:rsidRDefault="0089766E" w:rsidP="0089766E">
            <w:pPr>
              <w:pStyle w:val="TableListBullet"/>
              <w:rPr>
                <w:lang w:bidi="fa-IR"/>
              </w:rPr>
            </w:pPr>
            <w:r>
              <w:rPr>
                <w:lang w:bidi="fa-IR"/>
              </w:rPr>
              <w:t>Less safe environment, including:</w:t>
            </w:r>
          </w:p>
          <w:p w14:paraId="347992BA" w14:textId="77777777" w:rsidR="0089766E" w:rsidRDefault="0089766E" w:rsidP="0089766E">
            <w:pPr>
              <w:pStyle w:val="TableListBullet2"/>
              <w:spacing w:before="0" w:after="0"/>
              <w:rPr>
                <w:lang w:bidi="fa-IR"/>
              </w:rPr>
            </w:pPr>
            <w:r>
              <w:rPr>
                <w:lang w:bidi="fa-IR"/>
              </w:rPr>
              <w:t>Increase in falls for person with impairment</w:t>
            </w:r>
          </w:p>
          <w:p w14:paraId="36FEB4E0" w14:textId="77777777" w:rsidR="0089766E" w:rsidRDefault="0089766E" w:rsidP="0089766E">
            <w:pPr>
              <w:pStyle w:val="TableListBullet2"/>
              <w:spacing w:before="0" w:after="0"/>
              <w:rPr>
                <w:lang w:bidi="fa-IR"/>
              </w:rPr>
            </w:pPr>
            <w:r>
              <w:rPr>
                <w:lang w:bidi="fa-IR"/>
              </w:rPr>
              <w:t>Safety impacts on carers</w:t>
            </w:r>
          </w:p>
          <w:p w14:paraId="646DBDE7" w14:textId="77777777" w:rsidR="0089766E" w:rsidRDefault="0089766E" w:rsidP="0089766E">
            <w:pPr>
              <w:pStyle w:val="TableListBullet"/>
              <w:rPr>
                <w:lang w:bidi="fa-IR"/>
              </w:rPr>
            </w:pPr>
            <w:r>
              <w:rPr>
                <w:lang w:bidi="fa-IR"/>
              </w:rPr>
              <w:t>Inability to participate in the community (i.e. unable to easily enter/leave the dwelling)</w:t>
            </w:r>
          </w:p>
          <w:p w14:paraId="611B4086" w14:textId="77777777" w:rsidR="0089766E" w:rsidRDefault="0089766E" w:rsidP="0089766E">
            <w:pPr>
              <w:pStyle w:val="TableListBullet2"/>
              <w:spacing w:before="0" w:after="0"/>
              <w:rPr>
                <w:lang w:bidi="fa-IR"/>
              </w:rPr>
            </w:pPr>
            <w:r>
              <w:rPr>
                <w:lang w:bidi="fa-IR"/>
              </w:rPr>
              <w:t>Loss of employment opportunities</w:t>
            </w:r>
          </w:p>
          <w:p w14:paraId="6D874D50" w14:textId="77777777" w:rsidR="0089766E" w:rsidRDefault="0089766E" w:rsidP="0089766E">
            <w:pPr>
              <w:pStyle w:val="TableListBullet2"/>
              <w:spacing w:before="0" w:after="0"/>
              <w:rPr>
                <w:lang w:bidi="fa-IR"/>
              </w:rPr>
            </w:pPr>
            <w:r>
              <w:rPr>
                <w:lang w:bidi="fa-IR"/>
              </w:rPr>
              <w:t>Inability to participate in other aspects of community life</w:t>
            </w:r>
          </w:p>
        </w:tc>
      </w:tr>
      <w:tr w:rsidR="0089766E" w14:paraId="111957B0"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7456F" w14:textId="77777777" w:rsidR="0089766E" w:rsidRDefault="0089766E" w:rsidP="0089766E">
            <w:pPr>
              <w:pStyle w:val="TableTextEntries"/>
              <w:rPr>
                <w:lang w:bidi="fa-IR"/>
              </w:rPr>
            </w:pPr>
            <w:r>
              <w:rPr>
                <w:lang w:bidi="fa-IR"/>
              </w:rPr>
              <w:lastRenderedPageBreak/>
              <w:t xml:space="preserve">Residential aged care </w:t>
            </w:r>
            <w:r w:rsidRPr="00E4232C">
              <w:rPr>
                <w:rStyle w:val="NoteLabel"/>
              </w:rPr>
              <w:t>a</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4FAF7A" w14:textId="77777777" w:rsidR="0089766E" w:rsidRDefault="0089766E" w:rsidP="0089766E">
            <w:pPr>
              <w:pStyle w:val="TableListBullet"/>
              <w:rPr>
                <w:lang w:bidi="fa-IR"/>
              </w:rPr>
            </w:pPr>
            <w:r>
              <w:rPr>
                <w:lang w:bidi="fa-IR"/>
              </w:rPr>
              <w:t xml:space="preserve">Where the person does not require specialist housing or the level of care that is provided in aged care (i.e. their only requirement is housing that is physically accessible, and they can only get this by moving into aged care) </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0BDAC7" w14:textId="77777777" w:rsidR="0089766E" w:rsidRDefault="0089766E" w:rsidP="0089766E">
            <w:pPr>
              <w:pStyle w:val="TableListBullet"/>
              <w:rPr>
                <w:lang w:bidi="fa-IR"/>
              </w:rPr>
            </w:pPr>
            <w:r>
              <w:rPr>
                <w:lang w:bidi="fa-IR"/>
              </w:rPr>
              <w:t>Less preferred environment, potentially leading to:</w:t>
            </w:r>
          </w:p>
          <w:p w14:paraId="1AD4B6B9" w14:textId="77777777" w:rsidR="0089766E" w:rsidRDefault="0089766E" w:rsidP="0089766E">
            <w:pPr>
              <w:pStyle w:val="TableListBullet2"/>
              <w:spacing w:before="0" w:after="0"/>
              <w:rPr>
                <w:lang w:bidi="fa-IR"/>
              </w:rPr>
            </w:pPr>
            <w:r>
              <w:rPr>
                <w:lang w:bidi="fa-IR"/>
              </w:rPr>
              <w:t>social isolation</w:t>
            </w:r>
          </w:p>
          <w:p w14:paraId="6D72940C" w14:textId="77777777" w:rsidR="0089766E" w:rsidRDefault="0089766E" w:rsidP="0089766E">
            <w:pPr>
              <w:pStyle w:val="TableListBullet2"/>
              <w:spacing w:before="0" w:after="0"/>
              <w:rPr>
                <w:lang w:bidi="fa-IR"/>
              </w:rPr>
            </w:pPr>
            <w:r>
              <w:rPr>
                <w:lang w:bidi="fa-IR"/>
              </w:rPr>
              <w:t>loneliness</w:t>
            </w:r>
          </w:p>
          <w:p w14:paraId="5FA67D14" w14:textId="77777777" w:rsidR="0089766E" w:rsidRDefault="0089766E" w:rsidP="0089766E">
            <w:pPr>
              <w:pStyle w:val="TableListBullet"/>
              <w:rPr>
                <w:lang w:bidi="fa-IR"/>
              </w:rPr>
            </w:pPr>
            <w:r>
              <w:rPr>
                <w:lang w:bidi="fa-IR"/>
              </w:rPr>
              <w:t>Higher financial cost to the government than home-based care.</w:t>
            </w:r>
          </w:p>
        </w:tc>
      </w:tr>
      <w:tr w:rsidR="0089766E" w14:paraId="3AA916AB"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45B23D" w14:textId="77777777" w:rsidR="0089766E" w:rsidRDefault="0089766E" w:rsidP="0089766E">
            <w:pPr>
              <w:pStyle w:val="TableTextEntries"/>
              <w:rPr>
                <w:lang w:bidi="fa-IR"/>
              </w:rPr>
            </w:pPr>
            <w:r>
              <w:rPr>
                <w:lang w:bidi="fa-IR"/>
              </w:rPr>
              <w:t>Institutional care for younger people with a disability</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D38395" w14:textId="77777777" w:rsidR="0089766E" w:rsidRDefault="0089766E" w:rsidP="0089766E">
            <w:pPr>
              <w:pStyle w:val="TableListBullet"/>
              <w:rPr>
                <w:lang w:bidi="fa-IR"/>
              </w:rPr>
            </w:pPr>
            <w:r>
              <w:rPr>
                <w:lang w:bidi="fa-IR"/>
              </w:rPr>
              <w:t>This outcome is sub</w:t>
            </w:r>
            <w:r>
              <w:rPr>
                <w:lang w:bidi="fa-IR"/>
              </w:rPr>
              <w:noBreakHyphen/>
              <w:t>optimal in all instances.</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6BD886" w14:textId="77777777" w:rsidR="0089766E" w:rsidRDefault="0089766E" w:rsidP="0089766E">
            <w:pPr>
              <w:pStyle w:val="TableListBullet"/>
              <w:rPr>
                <w:lang w:bidi="fa-IR"/>
              </w:rPr>
            </w:pPr>
            <w:r>
              <w:rPr>
                <w:lang w:bidi="fa-IR"/>
              </w:rPr>
              <w:t>Less preferred environment, potentially leading to:</w:t>
            </w:r>
          </w:p>
          <w:p w14:paraId="0D5E6E04" w14:textId="77777777" w:rsidR="0089766E" w:rsidRDefault="0089766E" w:rsidP="0089766E">
            <w:pPr>
              <w:pStyle w:val="TableListBullet2"/>
              <w:spacing w:before="0" w:after="0"/>
              <w:rPr>
                <w:lang w:bidi="fa-IR"/>
              </w:rPr>
            </w:pPr>
            <w:r>
              <w:rPr>
                <w:lang w:bidi="fa-IR"/>
              </w:rPr>
              <w:t>social isolation</w:t>
            </w:r>
          </w:p>
          <w:p w14:paraId="7AAF410D" w14:textId="77777777" w:rsidR="0089766E" w:rsidRDefault="0089766E" w:rsidP="0089766E">
            <w:pPr>
              <w:pStyle w:val="TableListBullet2"/>
              <w:spacing w:before="0" w:after="0"/>
              <w:rPr>
                <w:lang w:bidi="fa-IR"/>
              </w:rPr>
            </w:pPr>
            <w:r>
              <w:rPr>
                <w:lang w:bidi="fa-IR"/>
              </w:rPr>
              <w:t>depression</w:t>
            </w:r>
          </w:p>
          <w:p w14:paraId="305F995E" w14:textId="77777777" w:rsidR="0089766E" w:rsidRDefault="0089766E" w:rsidP="0089766E">
            <w:pPr>
              <w:pStyle w:val="TableListBullet2"/>
              <w:spacing w:before="0" w:after="0"/>
              <w:rPr>
                <w:lang w:bidi="fa-IR"/>
              </w:rPr>
            </w:pPr>
            <w:r>
              <w:rPr>
                <w:lang w:bidi="fa-IR"/>
              </w:rPr>
              <w:t>inability to participate in the community (including employment)</w:t>
            </w:r>
          </w:p>
          <w:p w14:paraId="5E8B788C" w14:textId="77777777" w:rsidR="0089766E" w:rsidRDefault="0089766E" w:rsidP="0089766E">
            <w:pPr>
              <w:pStyle w:val="TableListBullet"/>
              <w:rPr>
                <w:lang w:bidi="fa-IR"/>
              </w:rPr>
            </w:pPr>
            <w:r>
              <w:rPr>
                <w:lang w:bidi="fa-IR"/>
              </w:rPr>
              <w:t>Possibly higher cost than home-based care.</w:t>
            </w:r>
          </w:p>
          <w:p w14:paraId="279C850D" w14:textId="77777777" w:rsidR="0089766E" w:rsidRDefault="0089766E" w:rsidP="0089766E">
            <w:pPr>
              <w:pStyle w:val="TableListBullet"/>
              <w:rPr>
                <w:lang w:bidi="fa-IR"/>
              </w:rPr>
            </w:pPr>
            <w:r>
              <w:rPr>
                <w:lang w:bidi="fa-IR"/>
              </w:rPr>
              <w:t>People in institutional care may be more vulnerable to abuse.</w:t>
            </w:r>
          </w:p>
        </w:tc>
      </w:tr>
      <w:tr w:rsidR="0089766E" w14:paraId="2EB6DD19"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D77AE3" w14:textId="77777777" w:rsidR="0089766E" w:rsidRDefault="0089766E" w:rsidP="0089766E">
            <w:pPr>
              <w:pStyle w:val="TableTextEntries"/>
              <w:rPr>
                <w:lang w:bidi="fa-IR"/>
              </w:rPr>
            </w:pPr>
            <w:r>
              <w:rPr>
                <w:lang w:bidi="fa-IR"/>
              </w:rPr>
              <w:t>Accessible private/social housing in non</w:t>
            </w:r>
            <w:r>
              <w:rPr>
                <w:lang w:bidi="fa-IR"/>
              </w:rPr>
              <w:noBreakHyphen/>
              <w:t>preferred location</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9204FE" w14:textId="77777777" w:rsidR="0089766E" w:rsidRDefault="0089766E" w:rsidP="0089766E">
            <w:pPr>
              <w:pStyle w:val="TableTextEntries"/>
              <w:rPr>
                <w:lang w:bidi="fa-IR"/>
              </w:rPr>
            </w:pPr>
            <w:r>
              <w:rPr>
                <w:lang w:bidi="fa-IR"/>
              </w:rPr>
              <w:t xml:space="preserve">A person may have accessible </w:t>
            </w:r>
            <w:r w:rsidRPr="00986E36">
              <w:rPr>
                <w:rStyle w:val="TableTextEntriesChar"/>
              </w:rPr>
              <w:t>private/social housing, but the location does not suit their needs (in terms of proximity to family/friends</w:t>
            </w:r>
            <w:r>
              <w:rPr>
                <w:rStyle w:val="TableTextEntriesChar"/>
              </w:rPr>
              <w:t>, schools</w:t>
            </w:r>
            <w:r w:rsidRPr="00986E36">
              <w:rPr>
                <w:rStyle w:val="TableTextEntriesChar"/>
              </w:rPr>
              <w:t xml:space="preserve"> and employment opportunities</w:t>
            </w:r>
            <w:r>
              <w:rPr>
                <w:rStyle w:val="TableTextEntriesChar"/>
              </w:rPr>
              <w:t>)</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D67CC3" w14:textId="77777777" w:rsidR="0089766E" w:rsidRDefault="0089766E" w:rsidP="0089766E">
            <w:pPr>
              <w:pStyle w:val="TableListBullet"/>
              <w:rPr>
                <w:lang w:bidi="fa-IR"/>
              </w:rPr>
            </w:pPr>
            <w:r>
              <w:rPr>
                <w:lang w:bidi="fa-IR"/>
              </w:rPr>
              <w:t>Social isolation/loneliness</w:t>
            </w:r>
          </w:p>
          <w:p w14:paraId="277CFB51" w14:textId="77777777" w:rsidR="0089766E" w:rsidRDefault="0089766E" w:rsidP="0089766E">
            <w:pPr>
              <w:pStyle w:val="TableListBullet"/>
              <w:rPr>
                <w:lang w:bidi="fa-IR"/>
              </w:rPr>
            </w:pPr>
            <w:r>
              <w:rPr>
                <w:lang w:bidi="fa-IR"/>
              </w:rPr>
              <w:t>Lack of employment opportunities</w:t>
            </w:r>
          </w:p>
          <w:p w14:paraId="00C207EE" w14:textId="77777777" w:rsidR="0089766E" w:rsidRDefault="0089766E" w:rsidP="0089766E">
            <w:pPr>
              <w:pStyle w:val="TableListBullet"/>
              <w:rPr>
                <w:lang w:bidi="fa-IR"/>
              </w:rPr>
            </w:pPr>
            <w:r>
              <w:rPr>
                <w:lang w:bidi="fa-IR"/>
              </w:rPr>
              <w:t>Disruption for families (such as school-aged children moving schools)</w:t>
            </w:r>
          </w:p>
        </w:tc>
      </w:tr>
      <w:tr w:rsidR="0089766E" w14:paraId="3E784E74" w14:textId="77777777" w:rsidTr="0089766E">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CE54B" w14:textId="77777777" w:rsidR="0089766E" w:rsidRDefault="0089766E" w:rsidP="0089766E">
            <w:pPr>
              <w:pStyle w:val="TableTextEntries"/>
              <w:rPr>
                <w:lang w:bidi="fa-IR"/>
              </w:rPr>
            </w:pPr>
            <w:r>
              <w:rPr>
                <w:lang w:bidi="fa-IR"/>
              </w:rPr>
              <w:t>Home modifications</w:t>
            </w:r>
          </w:p>
        </w:tc>
        <w:tc>
          <w:tcPr>
            <w:tcW w:w="26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055216" w14:textId="77777777" w:rsidR="0089766E" w:rsidRDefault="0089766E" w:rsidP="0089766E">
            <w:pPr>
              <w:pStyle w:val="TableTextEntries"/>
              <w:rPr>
                <w:lang w:bidi="fa-IR"/>
              </w:rPr>
            </w:pPr>
            <w:r>
              <w:rPr>
                <w:lang w:bidi="fa-IR"/>
              </w:rPr>
              <w:t>Home modifications may not be an optimal option where:</w:t>
            </w:r>
          </w:p>
          <w:p w14:paraId="5C2B046F" w14:textId="77777777" w:rsidR="0089766E" w:rsidRDefault="0089766E" w:rsidP="0089766E">
            <w:pPr>
              <w:pStyle w:val="TableListBullet"/>
              <w:rPr>
                <w:lang w:bidi="fa-IR"/>
              </w:rPr>
            </w:pPr>
            <w:r>
              <w:rPr>
                <w:lang w:bidi="fa-IR"/>
              </w:rPr>
              <w:t>Home modifications only partially meet accessibility needs</w:t>
            </w:r>
          </w:p>
          <w:p w14:paraId="79560CA2" w14:textId="77777777" w:rsidR="0089766E" w:rsidRDefault="0089766E" w:rsidP="0089766E">
            <w:pPr>
              <w:pStyle w:val="TableListBullet"/>
              <w:rPr>
                <w:lang w:bidi="fa-IR"/>
              </w:rPr>
            </w:pPr>
            <w:r>
              <w:rPr>
                <w:lang w:bidi="fa-IR"/>
              </w:rPr>
              <w:t>Home modifications are prohibitively costly.</w:t>
            </w:r>
          </w:p>
        </w:tc>
        <w:tc>
          <w:tcPr>
            <w:tcW w:w="26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2F9BC8" w14:textId="77777777" w:rsidR="0089766E" w:rsidRDefault="0089766E" w:rsidP="0089766E">
            <w:pPr>
              <w:pStyle w:val="TableListBullet"/>
              <w:rPr>
                <w:lang w:bidi="fa-IR"/>
              </w:rPr>
            </w:pPr>
            <w:r>
              <w:rPr>
                <w:lang w:bidi="fa-IR"/>
              </w:rPr>
              <w:t>High cost of home modification.</w:t>
            </w:r>
          </w:p>
        </w:tc>
      </w:tr>
      <w:tr w:rsidR="0089766E" w14:paraId="5986D5FB" w14:textId="77777777" w:rsidTr="0089766E">
        <w:tc>
          <w:tcPr>
            <w:tcW w:w="2552" w:type="dxa"/>
            <w:tcBorders>
              <w:top w:val="single" w:sz="8" w:space="0" w:color="FFFFFF" w:themeColor="background1"/>
              <w:bottom w:val="single" w:sz="6" w:space="0" w:color="6F6652"/>
            </w:tcBorders>
            <w:shd w:val="clear" w:color="auto" w:fill="E9E8E5" w:themeFill="background2"/>
            <w:tcMar>
              <w:left w:w="57" w:type="dxa"/>
              <w:right w:w="57" w:type="dxa"/>
            </w:tcMar>
          </w:tcPr>
          <w:p w14:paraId="2866894A" w14:textId="77777777" w:rsidR="0089766E" w:rsidRDefault="0089766E" w:rsidP="0089766E">
            <w:pPr>
              <w:pStyle w:val="TableTextEntries"/>
              <w:rPr>
                <w:lang w:bidi="fa-IR"/>
              </w:rPr>
            </w:pPr>
            <w:r>
              <w:rPr>
                <w:lang w:bidi="fa-IR"/>
              </w:rPr>
              <w:t xml:space="preserve">People with </w:t>
            </w:r>
            <w:r w:rsidR="009967E6">
              <w:rPr>
                <w:lang w:bidi="fa-IR"/>
              </w:rPr>
              <w:t xml:space="preserve">disability </w:t>
            </w:r>
            <w:r>
              <w:rPr>
                <w:lang w:bidi="fa-IR"/>
              </w:rPr>
              <w:t>unable to visit family and friends</w:t>
            </w:r>
          </w:p>
        </w:tc>
        <w:tc>
          <w:tcPr>
            <w:tcW w:w="2693" w:type="dxa"/>
            <w:tcBorders>
              <w:top w:val="single" w:sz="8" w:space="0" w:color="FFFFFF" w:themeColor="background1"/>
              <w:bottom w:val="single" w:sz="6" w:space="0" w:color="6F6652"/>
            </w:tcBorders>
            <w:shd w:val="clear" w:color="auto" w:fill="E9E8E5" w:themeFill="background2"/>
            <w:tcMar>
              <w:left w:w="57" w:type="dxa"/>
              <w:right w:w="57" w:type="dxa"/>
            </w:tcMar>
          </w:tcPr>
          <w:p w14:paraId="00ADAADD" w14:textId="77777777" w:rsidR="0089766E" w:rsidRDefault="0089766E" w:rsidP="0089766E">
            <w:pPr>
              <w:pStyle w:val="TableTextEntries"/>
              <w:rPr>
                <w:lang w:bidi="fa-IR"/>
              </w:rPr>
            </w:pPr>
          </w:p>
        </w:tc>
        <w:tc>
          <w:tcPr>
            <w:tcW w:w="2692" w:type="dxa"/>
            <w:tcBorders>
              <w:top w:val="single" w:sz="8" w:space="0" w:color="FFFFFF" w:themeColor="background1"/>
              <w:bottom w:val="single" w:sz="6" w:space="0" w:color="6F6652"/>
            </w:tcBorders>
            <w:shd w:val="clear" w:color="auto" w:fill="E9E8E5" w:themeFill="background2"/>
            <w:tcMar>
              <w:left w:w="57" w:type="dxa"/>
              <w:right w:w="57" w:type="dxa"/>
            </w:tcMar>
          </w:tcPr>
          <w:p w14:paraId="21807EA2" w14:textId="77777777" w:rsidR="0089766E" w:rsidRDefault="0089766E" w:rsidP="0089766E">
            <w:pPr>
              <w:pStyle w:val="TableListBullet"/>
              <w:rPr>
                <w:lang w:bidi="fa-IR"/>
              </w:rPr>
            </w:pPr>
            <w:r>
              <w:rPr>
                <w:lang w:bidi="fa-IR"/>
              </w:rPr>
              <w:t>Social isolation/loneliness</w:t>
            </w:r>
          </w:p>
        </w:tc>
      </w:tr>
    </w:tbl>
    <w:p w14:paraId="24CBEE51" w14:textId="77777777" w:rsidR="0089766E" w:rsidRDefault="0089766E" w:rsidP="0089766E">
      <w:pPr>
        <w:pStyle w:val="Source"/>
        <w:rPr>
          <w:lang w:bidi="fa-IR"/>
        </w:rPr>
      </w:pPr>
      <w:r w:rsidRPr="002474D4">
        <w:rPr>
          <w:lang w:bidi="fa-IR"/>
        </w:rPr>
        <w:t>Source:</w:t>
      </w:r>
      <w:r>
        <w:rPr>
          <w:lang w:bidi="fa-IR"/>
        </w:rPr>
        <w:t xml:space="preserve"> CIE.</w:t>
      </w:r>
    </w:p>
    <w:p w14:paraId="3E82596A" w14:textId="77777777" w:rsidR="00E4023A" w:rsidRDefault="00E4023A" w:rsidP="00E4023A">
      <w:pPr>
        <w:pStyle w:val="BodyText"/>
        <w:rPr>
          <w:lang w:eastAsia="en-US" w:bidi="fa-IR"/>
        </w:rPr>
      </w:pPr>
      <w:r>
        <w:rPr>
          <w:lang w:eastAsia="en-US" w:bidi="fa-IR"/>
        </w:rPr>
        <w:t xml:space="preserve">In summary, </w:t>
      </w:r>
      <w:r w:rsidRPr="007461B7">
        <w:rPr>
          <w:lang w:eastAsia="en-US" w:bidi="fa-IR"/>
        </w:rPr>
        <w:t xml:space="preserve">the problem that the proposed changes to the NCC </w:t>
      </w:r>
      <w:r w:rsidR="00FF57B7">
        <w:rPr>
          <w:lang w:eastAsia="en-US" w:bidi="fa-IR"/>
        </w:rPr>
        <w:t xml:space="preserve">are </w:t>
      </w:r>
      <w:r w:rsidRPr="007461B7">
        <w:rPr>
          <w:lang w:eastAsia="en-US" w:bidi="fa-IR"/>
        </w:rPr>
        <w:t>trying to solve</w:t>
      </w:r>
      <w:r>
        <w:rPr>
          <w:lang w:eastAsia="en-US" w:bidi="fa-IR"/>
        </w:rPr>
        <w:t xml:space="preserve"> includes:</w:t>
      </w:r>
    </w:p>
    <w:p w14:paraId="29AD15FE" w14:textId="77777777" w:rsidR="00E4023A" w:rsidRDefault="00E4023A" w:rsidP="00E4023A">
      <w:pPr>
        <w:pStyle w:val="ListBullet"/>
        <w:numPr>
          <w:ilvl w:val="0"/>
          <w:numId w:val="16"/>
        </w:numPr>
        <w:rPr>
          <w:lang w:eastAsia="en-US" w:bidi="fa-IR"/>
        </w:rPr>
      </w:pPr>
      <w:r>
        <w:rPr>
          <w:lang w:eastAsia="en-US" w:bidi="fa-IR"/>
        </w:rPr>
        <w:t>safety</w:t>
      </w:r>
      <w:r>
        <w:rPr>
          <w:lang w:eastAsia="en-US" w:bidi="fa-IR"/>
        </w:rPr>
        <w:noBreakHyphen/>
        <w:t xml:space="preserve">related costs </w:t>
      </w:r>
      <w:r w:rsidR="00FC2D96">
        <w:rPr>
          <w:lang w:eastAsia="en-US" w:bidi="fa-IR"/>
        </w:rPr>
        <w:t xml:space="preserve">such as </w:t>
      </w:r>
      <w:r>
        <w:rPr>
          <w:lang w:eastAsia="en-US" w:bidi="fa-IR"/>
        </w:rPr>
        <w:t xml:space="preserve">where people with accessibility needs remain living in housing that does not meet their accessibility needs </w:t>
      </w:r>
      <w:r w:rsidR="00FC2D96">
        <w:rPr>
          <w:lang w:eastAsia="en-US" w:bidi="fa-IR"/>
        </w:rPr>
        <w:t xml:space="preserve">and </w:t>
      </w:r>
      <w:r>
        <w:rPr>
          <w:lang w:eastAsia="en-US" w:bidi="fa-IR"/>
        </w:rPr>
        <w:t xml:space="preserve">are </w:t>
      </w:r>
      <w:r w:rsidR="00FC2D96">
        <w:rPr>
          <w:lang w:eastAsia="en-US" w:bidi="fa-IR"/>
        </w:rPr>
        <w:t xml:space="preserve">therefore </w:t>
      </w:r>
      <w:r>
        <w:rPr>
          <w:lang w:eastAsia="en-US" w:bidi="fa-IR"/>
        </w:rPr>
        <w:t>at higher risk of falls</w:t>
      </w:r>
    </w:p>
    <w:p w14:paraId="70318CFC" w14:textId="77777777" w:rsidR="00E4023A" w:rsidRDefault="00E4023A" w:rsidP="00E4023A">
      <w:pPr>
        <w:pStyle w:val="ListBullet"/>
        <w:numPr>
          <w:ilvl w:val="0"/>
          <w:numId w:val="16"/>
        </w:numPr>
        <w:rPr>
          <w:lang w:eastAsia="en-US" w:bidi="fa-IR"/>
        </w:rPr>
      </w:pPr>
      <w:r>
        <w:rPr>
          <w:lang w:eastAsia="en-US" w:bidi="fa-IR"/>
        </w:rPr>
        <w:t>costs associated with additional care needs, where people with accessibility needs remain living in housing that does not meet their needs</w:t>
      </w:r>
    </w:p>
    <w:p w14:paraId="37FA85FA" w14:textId="77777777" w:rsidR="00E4023A" w:rsidRDefault="00E4023A" w:rsidP="00E4023A">
      <w:pPr>
        <w:pStyle w:val="ListBullet"/>
        <w:numPr>
          <w:ilvl w:val="0"/>
          <w:numId w:val="16"/>
        </w:numPr>
        <w:rPr>
          <w:lang w:eastAsia="en-US" w:bidi="fa-IR"/>
        </w:rPr>
      </w:pPr>
      <w:r>
        <w:rPr>
          <w:lang w:eastAsia="en-US" w:bidi="fa-IR"/>
        </w:rPr>
        <w:t>unnecessarily high costs (i.e. higher than if the initial design of the residence had been consistent with universal design principles) associated with home modifications</w:t>
      </w:r>
    </w:p>
    <w:p w14:paraId="20F286FD" w14:textId="77777777" w:rsidR="00E4023A" w:rsidRDefault="00E4023A" w:rsidP="00E4023A">
      <w:pPr>
        <w:pStyle w:val="ListBullet"/>
        <w:numPr>
          <w:ilvl w:val="0"/>
          <w:numId w:val="16"/>
        </w:numPr>
        <w:rPr>
          <w:lang w:eastAsia="en-US" w:bidi="fa-IR"/>
        </w:rPr>
      </w:pPr>
      <w:r>
        <w:rPr>
          <w:lang w:eastAsia="en-US" w:bidi="fa-IR"/>
        </w:rPr>
        <w:t>costs associated with moving house</w:t>
      </w:r>
      <w:r w:rsidR="00FC2D96">
        <w:rPr>
          <w:lang w:eastAsia="en-US" w:bidi="fa-IR"/>
        </w:rPr>
        <w:t xml:space="preserve"> to obtain accessibility features</w:t>
      </w:r>
    </w:p>
    <w:p w14:paraId="1331501C" w14:textId="77777777" w:rsidR="00E4023A" w:rsidRDefault="00E4023A" w:rsidP="00E4023A">
      <w:pPr>
        <w:pStyle w:val="ListBullet"/>
        <w:numPr>
          <w:ilvl w:val="0"/>
          <w:numId w:val="16"/>
        </w:numPr>
        <w:rPr>
          <w:lang w:eastAsia="en-US" w:bidi="fa-IR"/>
        </w:rPr>
      </w:pPr>
      <w:r>
        <w:rPr>
          <w:lang w:eastAsia="en-US" w:bidi="fa-IR"/>
        </w:rPr>
        <w:t>costs associated with longer stays in hospital and transition care, where discharge is delayed due to their home lacking accessibility features</w:t>
      </w:r>
    </w:p>
    <w:p w14:paraId="65DAFE7D" w14:textId="77777777" w:rsidR="00E4023A" w:rsidRDefault="00E4023A" w:rsidP="00E4023A">
      <w:pPr>
        <w:pStyle w:val="ListBullet"/>
        <w:numPr>
          <w:ilvl w:val="0"/>
          <w:numId w:val="16"/>
        </w:numPr>
        <w:rPr>
          <w:lang w:eastAsia="en-US" w:bidi="fa-IR"/>
        </w:rPr>
      </w:pPr>
      <w:r>
        <w:rPr>
          <w:lang w:eastAsia="en-US" w:bidi="fa-IR"/>
        </w:rPr>
        <w:lastRenderedPageBreak/>
        <w:t>costs associated with loneliness, where people with accessibility needs are unable to leave their own house as frequently as they would like or are unable to visit friends and relatives (there may also be costs for people without accessibility needs, where family members and friends with accessibility needs are unable to visit</w:t>
      </w:r>
      <w:r w:rsidR="008D62AD">
        <w:rPr>
          <w:lang w:eastAsia="en-US" w:bidi="fa-IR"/>
        </w:rPr>
        <w:t xml:space="preserve"> them</w:t>
      </w:r>
      <w:r>
        <w:rPr>
          <w:lang w:eastAsia="en-US" w:bidi="fa-IR"/>
        </w:rPr>
        <w:t>)</w:t>
      </w:r>
    </w:p>
    <w:p w14:paraId="1D61E3B8" w14:textId="77777777" w:rsidR="00E4023A" w:rsidRDefault="00E4023A" w:rsidP="00E4023A">
      <w:pPr>
        <w:pStyle w:val="ListBullet"/>
        <w:numPr>
          <w:ilvl w:val="0"/>
          <w:numId w:val="16"/>
        </w:numPr>
        <w:rPr>
          <w:lang w:eastAsia="en-US" w:bidi="fa-IR"/>
        </w:rPr>
      </w:pPr>
      <w:r>
        <w:rPr>
          <w:lang w:eastAsia="en-US" w:bidi="fa-IR"/>
        </w:rPr>
        <w:t>additional costs associated with inappropriate or premature entry into aged care due to dwellings lacking relevant accessibility features.</w:t>
      </w:r>
    </w:p>
    <w:p w14:paraId="4F69C94F" w14:textId="77777777" w:rsidR="00E4023A" w:rsidRDefault="00E4023A" w:rsidP="00E4023A">
      <w:pPr>
        <w:pStyle w:val="BodyText"/>
        <w:rPr>
          <w:lang w:eastAsia="en-US" w:bidi="fa-IR"/>
        </w:rPr>
      </w:pPr>
      <w:r>
        <w:rPr>
          <w:lang w:eastAsia="en-US" w:bidi="fa-IR"/>
        </w:rPr>
        <w:t>Some stakeholders argued that a lack of accessible housing may also be contributing to poorer employment outcomes for some people with mobility</w:t>
      </w:r>
      <w:r>
        <w:rPr>
          <w:lang w:eastAsia="en-US" w:bidi="fa-IR"/>
        </w:rPr>
        <w:noBreakHyphen/>
        <w:t>related disabilit</w:t>
      </w:r>
      <w:r w:rsidR="00333A88">
        <w:rPr>
          <w:lang w:eastAsia="en-US" w:bidi="fa-IR"/>
        </w:rPr>
        <w:t>y</w:t>
      </w:r>
      <w:r>
        <w:rPr>
          <w:lang w:eastAsia="en-US" w:bidi="fa-IR"/>
        </w:rPr>
        <w:t xml:space="preserve">. </w:t>
      </w:r>
      <w:r>
        <w:t>There is related literature that provides relevant</w:t>
      </w:r>
      <w:r w:rsidR="00A04140">
        <w:t xml:space="preserve"> qualitative</w:t>
      </w:r>
      <w:r>
        <w:t xml:space="preserve"> insights into this issue; however, </w:t>
      </w:r>
      <w:r w:rsidR="000A27AA">
        <w:t>CIE was</w:t>
      </w:r>
      <w:r>
        <w:t xml:space="preserve"> not able to identify any direct quantifiable evidence</w:t>
      </w:r>
      <w:r w:rsidR="00F11C46">
        <w:t>.</w:t>
      </w:r>
      <w:r>
        <w:t xml:space="preserve"> </w:t>
      </w:r>
      <w:r w:rsidR="006D6C87">
        <w:t>Some findings of the MDI survey have been used to provide an indicative estimate subject to the qualifications mentioned above.</w:t>
      </w:r>
    </w:p>
    <w:p w14:paraId="285CAFC5" w14:textId="77777777" w:rsidR="00E4023A" w:rsidRDefault="00E4023A" w:rsidP="00E4023A">
      <w:pPr>
        <w:pStyle w:val="BodyText"/>
        <w:rPr>
          <w:lang w:eastAsia="en-US" w:bidi="fa-IR"/>
        </w:rPr>
      </w:pPr>
      <w:r>
        <w:rPr>
          <w:lang w:eastAsia="en-US" w:bidi="fa-IR"/>
        </w:rPr>
        <w:t xml:space="preserve">To understand the size of the problem, </w:t>
      </w:r>
      <w:r w:rsidR="000A27AA">
        <w:rPr>
          <w:lang w:eastAsia="en-US" w:bidi="fa-IR"/>
        </w:rPr>
        <w:t xml:space="preserve">the following factors </w:t>
      </w:r>
      <w:r>
        <w:rPr>
          <w:lang w:eastAsia="en-US" w:bidi="fa-IR"/>
        </w:rPr>
        <w:t xml:space="preserve">need to </w:t>
      </w:r>
      <w:r w:rsidR="000A27AA">
        <w:rPr>
          <w:lang w:eastAsia="en-US" w:bidi="fa-IR"/>
        </w:rPr>
        <w:t>be understood</w:t>
      </w:r>
      <w:r>
        <w:rPr>
          <w:lang w:eastAsia="en-US" w:bidi="fa-IR"/>
        </w:rPr>
        <w:t>:</w:t>
      </w:r>
    </w:p>
    <w:p w14:paraId="06CFEAC4" w14:textId="77777777" w:rsidR="00E4023A" w:rsidRDefault="00E4023A" w:rsidP="00E4023A">
      <w:pPr>
        <w:pStyle w:val="ListBullet"/>
        <w:numPr>
          <w:ilvl w:val="0"/>
          <w:numId w:val="16"/>
        </w:numPr>
        <w:rPr>
          <w:lang w:eastAsia="en-US" w:bidi="fa-IR"/>
        </w:rPr>
      </w:pPr>
      <w:r>
        <w:rPr>
          <w:lang w:eastAsia="en-US" w:bidi="fa-IR"/>
        </w:rPr>
        <w:t>the number of people affected, and</w:t>
      </w:r>
    </w:p>
    <w:p w14:paraId="716E1EA4" w14:textId="77777777" w:rsidR="00E4023A" w:rsidRDefault="00E4023A" w:rsidP="00E4023A">
      <w:pPr>
        <w:pStyle w:val="ListBullet"/>
        <w:numPr>
          <w:ilvl w:val="0"/>
          <w:numId w:val="16"/>
        </w:numPr>
        <w:rPr>
          <w:lang w:eastAsia="en-US" w:bidi="fa-IR"/>
        </w:rPr>
      </w:pPr>
      <w:r>
        <w:rPr>
          <w:lang w:eastAsia="en-US" w:bidi="fa-IR"/>
        </w:rPr>
        <w:t>the costs imposed on those affected as a result of a shortage of accessible housing.</w:t>
      </w:r>
    </w:p>
    <w:p w14:paraId="289A77AF" w14:textId="77777777" w:rsidR="00E4023A" w:rsidRDefault="000A27AA" w:rsidP="00E4023A">
      <w:pPr>
        <w:pStyle w:val="BodyText"/>
        <w:spacing w:after="240"/>
        <w:rPr>
          <w:lang w:eastAsia="en-US" w:bidi="fa-IR"/>
        </w:rPr>
      </w:pPr>
      <w:r>
        <w:rPr>
          <w:lang w:eastAsia="en-US" w:bidi="fa-IR"/>
        </w:rPr>
        <w:t>The</w:t>
      </w:r>
      <w:r w:rsidR="00E4023A">
        <w:rPr>
          <w:lang w:eastAsia="en-US" w:bidi="fa-IR"/>
        </w:rPr>
        <w:t xml:space="preserve"> estimate</w:t>
      </w:r>
      <w:r>
        <w:rPr>
          <w:lang w:eastAsia="en-US" w:bidi="fa-IR"/>
        </w:rPr>
        <w:t>s</w:t>
      </w:r>
      <w:r w:rsidR="00E4023A">
        <w:rPr>
          <w:lang w:eastAsia="en-US" w:bidi="fa-IR"/>
        </w:rPr>
        <w:t xml:space="preserve"> </w:t>
      </w:r>
      <w:r>
        <w:rPr>
          <w:lang w:eastAsia="en-US" w:bidi="fa-IR"/>
        </w:rPr>
        <w:t>of</w:t>
      </w:r>
      <w:r w:rsidR="00E4023A">
        <w:rPr>
          <w:lang w:eastAsia="en-US" w:bidi="fa-IR"/>
        </w:rPr>
        <w:t xml:space="preserve"> the approximate size of each of these problems based on the available </w:t>
      </w:r>
      <w:r w:rsidR="00E4023A" w:rsidRPr="007461B7">
        <w:rPr>
          <w:lang w:eastAsia="en-US" w:bidi="fa-IR"/>
        </w:rPr>
        <w:t>information</w:t>
      </w:r>
      <w:r>
        <w:rPr>
          <w:lang w:eastAsia="en-US" w:bidi="fa-IR"/>
        </w:rPr>
        <w:t xml:space="preserve"> are presented below</w:t>
      </w:r>
      <w:r w:rsidR="00E4023A" w:rsidRPr="007461B7">
        <w:rPr>
          <w:lang w:eastAsia="en-US" w:bidi="fa-IR"/>
        </w:rPr>
        <w:t>.</w:t>
      </w:r>
    </w:p>
    <w:bookmarkEnd w:id="172"/>
    <w:p w14:paraId="48EE4306" w14:textId="77777777" w:rsidR="00E4023A" w:rsidRDefault="00E4023A" w:rsidP="00E4023A">
      <w:pPr>
        <w:pStyle w:val="Heading3"/>
        <w:numPr>
          <w:ilvl w:val="2"/>
          <w:numId w:val="5"/>
        </w:numPr>
        <w:spacing w:before="300"/>
        <w:rPr>
          <w:lang w:bidi="fa-IR"/>
        </w:rPr>
      </w:pPr>
      <w:r>
        <w:rPr>
          <w:lang w:bidi="fa-IR"/>
        </w:rPr>
        <w:t>Safety</w:t>
      </w:r>
      <w:r w:rsidR="00F00635">
        <w:rPr>
          <w:lang w:bidi="fa-IR"/>
        </w:rPr>
        <w:t>-</w:t>
      </w:r>
      <w:r>
        <w:rPr>
          <w:lang w:bidi="fa-IR"/>
        </w:rPr>
        <w:t>related costs</w:t>
      </w:r>
    </w:p>
    <w:p w14:paraId="778E1DD6" w14:textId="77777777" w:rsidR="00E4023A" w:rsidRDefault="00E4023A" w:rsidP="00E4023A">
      <w:pPr>
        <w:pStyle w:val="BodyText"/>
        <w:spacing w:before="80"/>
        <w:rPr>
          <w:lang w:bidi="fa-IR"/>
        </w:rPr>
      </w:pPr>
      <w:r>
        <w:rPr>
          <w:lang w:bidi="fa-IR"/>
        </w:rPr>
        <w:t>Many people with accessibility needs have trouble finding accessible housing that meets their needs.</w:t>
      </w:r>
      <w:r>
        <w:rPr>
          <w:rStyle w:val="FootnoteReference"/>
          <w:lang w:bidi="fa-IR"/>
        </w:rPr>
        <w:footnoteReference w:id="100"/>
      </w:r>
      <w:r>
        <w:rPr>
          <w:lang w:bidi="fa-IR"/>
        </w:rPr>
        <w:t xml:space="preserve"> When accessibility needs are not met, there </w:t>
      </w:r>
      <w:r w:rsidR="00C959BB">
        <w:rPr>
          <w:lang w:bidi="fa-IR"/>
        </w:rPr>
        <w:t>may be</w:t>
      </w:r>
      <w:r>
        <w:rPr>
          <w:lang w:bidi="fa-IR"/>
        </w:rPr>
        <w:t xml:space="preserve"> an increased risk of falls. In some cases, falls result in serious injury or even death.</w:t>
      </w:r>
      <w:r w:rsidR="00EF4775">
        <w:rPr>
          <w:lang w:bidi="fa-IR"/>
        </w:rPr>
        <w:t xml:space="preserve"> Box </w:t>
      </w:r>
      <w:r w:rsidR="00D82A3E">
        <w:rPr>
          <w:lang w:bidi="fa-IR"/>
        </w:rPr>
        <w:t>3.2</w:t>
      </w:r>
      <w:r w:rsidR="005908AC">
        <w:rPr>
          <w:lang w:bidi="fa-IR"/>
        </w:rPr>
        <w:t>1</w:t>
      </w:r>
      <w:r w:rsidR="00EF4775">
        <w:rPr>
          <w:lang w:bidi="fa-IR"/>
        </w:rPr>
        <w:t xml:space="preserve"> presents a case from the public submissions where </w:t>
      </w:r>
      <w:r w:rsidR="00070B01">
        <w:rPr>
          <w:lang w:bidi="fa-IR"/>
        </w:rPr>
        <w:t xml:space="preserve">a person using </w:t>
      </w:r>
      <w:r w:rsidR="00101A30">
        <w:rPr>
          <w:lang w:bidi="fa-IR"/>
        </w:rPr>
        <w:t xml:space="preserve">a </w:t>
      </w:r>
      <w:r w:rsidR="00070B01">
        <w:rPr>
          <w:lang w:bidi="fa-IR"/>
        </w:rPr>
        <w:t xml:space="preserve">power wheelchair and living in a third floor apartment faces safety and other issues when the lift does not work. </w:t>
      </w:r>
    </w:p>
    <w:p w14:paraId="221B80B9" w14:textId="77777777" w:rsidR="00E4023A" w:rsidRDefault="00FC2D96" w:rsidP="00E4023A">
      <w:pPr>
        <w:pStyle w:val="BodyText"/>
        <w:spacing w:before="80"/>
        <w:rPr>
          <w:lang w:bidi="fa-IR"/>
        </w:rPr>
      </w:pPr>
      <w:r>
        <w:rPr>
          <w:lang w:bidi="fa-IR"/>
        </w:rPr>
        <w:t>While</w:t>
      </w:r>
      <w:r w:rsidR="00C959BB">
        <w:rPr>
          <w:lang w:bidi="fa-IR"/>
        </w:rPr>
        <w:t xml:space="preserve"> it is not clear that the NCC proposal would directly address this issue, the increased availability of accessible dwellings could provide people in this situation greater choice of </w:t>
      </w:r>
      <w:r>
        <w:rPr>
          <w:lang w:bidi="fa-IR"/>
        </w:rPr>
        <w:t xml:space="preserve">suitable </w:t>
      </w:r>
      <w:r w:rsidR="00C959BB">
        <w:rPr>
          <w:lang w:bidi="fa-IR"/>
        </w:rPr>
        <w:t xml:space="preserve">dwellings </w:t>
      </w:r>
      <w:r>
        <w:rPr>
          <w:lang w:bidi="fa-IR"/>
        </w:rPr>
        <w:t>and it provides a good example of the safety-related costs</w:t>
      </w:r>
      <w:r w:rsidR="00C959BB">
        <w:rPr>
          <w:lang w:bidi="fa-IR"/>
        </w:rPr>
        <w:t>.</w:t>
      </w:r>
    </w:p>
    <w:p w14:paraId="1425F4EE" w14:textId="77777777" w:rsidR="00ED09F6" w:rsidRDefault="00ED09F6" w:rsidP="00554FDC">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21: Lived experience – safety"/>
        <w:tblDescription w:val="Case study of a person who uses a power wheelchair who lives in a private rental in a third floor apartment. She has accessibility issues entering or leaving her dwelling when the building lift breaks down, and on one occasion had to stay overnight in a hotel at her own expense when she was unable to access her apartment."/>
      </w:tblPr>
      <w:tblGrid>
        <w:gridCol w:w="7938"/>
      </w:tblGrid>
      <w:tr w:rsidR="00ED09F6" w:rsidRPr="00E05C8C" w14:paraId="0B2B1541" w14:textId="77777777" w:rsidTr="00FF2A58">
        <w:trPr>
          <w:cantSplit/>
          <w:tblHeader/>
        </w:trPr>
        <w:tc>
          <w:tcPr>
            <w:tcW w:w="7938" w:type="dxa"/>
            <w:tcBorders>
              <w:top w:val="nil"/>
              <w:left w:val="nil"/>
              <w:bottom w:val="nil"/>
              <w:right w:val="nil"/>
            </w:tcBorders>
            <w:shd w:val="clear" w:color="auto" w:fill="C6BFAB" w:themeFill="accent3"/>
          </w:tcPr>
          <w:p w14:paraId="0F31F906" w14:textId="657F777B" w:rsidR="00ED09F6" w:rsidRPr="00E05C8C" w:rsidRDefault="00076C9B" w:rsidP="008A220E">
            <w:pPr>
              <w:pStyle w:val="Caption"/>
              <w:numPr>
                <w:ilvl w:val="0"/>
                <w:numId w:val="13"/>
              </w:numPr>
              <w:spacing w:before="120" w:after="100"/>
            </w:pPr>
            <w:bookmarkStart w:id="219" w:name="_Toc70505520"/>
            <w:r>
              <w:t>3.21</w:t>
            </w:r>
            <w:r w:rsidR="00ED09F6" w:rsidRPr="00E05C8C">
              <w:tab/>
            </w:r>
            <w:r w:rsidR="008A220E">
              <w:t xml:space="preserve">Lived </w:t>
            </w:r>
            <w:r w:rsidR="00ED09F6">
              <w:t>experience</w:t>
            </w:r>
            <w:r w:rsidR="00EF4775">
              <w:t xml:space="preserve"> – safety</w:t>
            </w:r>
            <w:bookmarkEnd w:id="219"/>
          </w:p>
        </w:tc>
      </w:tr>
      <w:tr w:rsidR="00F76823" w14:paraId="482B56BA" w14:textId="77777777" w:rsidTr="00FF2A58">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0EDB0953" w14:textId="77777777" w:rsidR="00ED09F6" w:rsidRDefault="00EF4775" w:rsidP="00FF2A58">
            <w:pPr>
              <w:pStyle w:val="BodyText"/>
              <w:spacing w:before="60"/>
            </w:pPr>
            <w:r w:rsidRPr="00EF4775">
              <w:t xml:space="preserve">I use a power wheelchair and live in a private rental in a third floor apartment. Since truly accessible affordable properties are hard to find, this was the best we could get. When the lift breaks down (which it does), or there is a fire alarm, I am unable to get in and out of the building on crutches without assistance. My safety is significantly more at risk as a result. When the lift breaks down, if I am not at home then I am stuck outside my apartment until someone is able to help me get inside. On one occasion, I was not fit to climb the stairs even with assistance, so I stayed in a hotel overnight when the lift was out. That was a significant expense for which I was entitled to no compensation. If I am at home when the lift breaks down, I am unable </w:t>
            </w:r>
            <w:r w:rsidRPr="00EF4775">
              <w:lastRenderedPageBreak/>
              <w:t>to use my power chair to leave the building until it is fixed so my ability to get out into the community is greatly reduced.</w:t>
            </w:r>
          </w:p>
          <w:p w14:paraId="04017D2A" w14:textId="77777777" w:rsidR="00EF4775" w:rsidRPr="00FF2A58" w:rsidRDefault="00EF4775" w:rsidP="00FF2A58">
            <w:pPr>
              <w:pStyle w:val="BodyText"/>
              <w:spacing w:before="0" w:after="120"/>
              <w:rPr>
                <w:rFonts w:ascii="Franklin Gothic Book" w:hAnsi="Franklin Gothic Book"/>
                <w:i/>
                <w:iCs/>
                <w:sz w:val="14"/>
                <w:szCs w:val="14"/>
              </w:rPr>
            </w:pPr>
            <w:r w:rsidRPr="00FF2A58">
              <w:rPr>
                <w:rFonts w:ascii="Franklin Gothic Book" w:hAnsi="Franklin Gothic Book"/>
                <w:i/>
                <w:iCs/>
                <w:sz w:val="14"/>
                <w:szCs w:val="14"/>
              </w:rPr>
              <w:t>Source: Jane Scott Response</w:t>
            </w:r>
            <w:r w:rsidRPr="00FF2A58">
              <w:rPr>
                <w:rStyle w:val="FootnoteReference"/>
                <w:rFonts w:ascii="Franklin Gothic Book" w:hAnsi="Franklin Gothic Book"/>
                <w:sz w:val="14"/>
                <w:szCs w:val="14"/>
              </w:rPr>
              <w:footnoteReference w:id="101"/>
            </w:r>
          </w:p>
        </w:tc>
      </w:tr>
    </w:tbl>
    <w:p w14:paraId="41AAE653" w14:textId="77777777" w:rsidR="007D4E08" w:rsidRDefault="007D4E08" w:rsidP="007D4E08">
      <w:pPr>
        <w:pStyle w:val="BodyText"/>
        <w:spacing w:before="80"/>
        <w:rPr>
          <w:lang w:eastAsia="en-US" w:bidi="fa-IR"/>
        </w:rPr>
      </w:pPr>
      <w:r>
        <w:rPr>
          <w:lang w:bidi="fa-IR"/>
        </w:rPr>
        <w:lastRenderedPageBreak/>
        <w:t>The main safety</w:t>
      </w:r>
      <w:r w:rsidR="00DF61D3">
        <w:rPr>
          <w:lang w:bidi="fa-IR"/>
        </w:rPr>
        <w:t>-</w:t>
      </w:r>
      <w:r>
        <w:rPr>
          <w:lang w:bidi="fa-IR"/>
        </w:rPr>
        <w:t xml:space="preserve">related costs are likely to relate to additional falls. </w:t>
      </w:r>
      <w:r w:rsidR="00DF61D3">
        <w:rPr>
          <w:lang w:eastAsia="en-US" w:bidi="fa-IR"/>
        </w:rPr>
        <w:t>T</w:t>
      </w:r>
      <w:r>
        <w:rPr>
          <w:lang w:eastAsia="en-US" w:bidi="fa-IR"/>
        </w:rPr>
        <w:t>he evidence on the impact of environmental factors on the incidence of falls in homes is mixed.</w:t>
      </w:r>
      <w:r>
        <w:rPr>
          <w:rStyle w:val="FootnoteReference"/>
          <w:lang w:eastAsia="en-US" w:bidi="fa-IR"/>
        </w:rPr>
        <w:footnoteReference w:id="102"/>
      </w:r>
    </w:p>
    <w:p w14:paraId="5452E64D" w14:textId="77777777" w:rsidR="007D4E08" w:rsidRPr="00363A93" w:rsidRDefault="007D4E08" w:rsidP="007D4E08">
      <w:pPr>
        <w:pStyle w:val="ListBullet"/>
        <w:rPr>
          <w:lang w:eastAsia="en-US" w:bidi="fa-IR"/>
        </w:rPr>
      </w:pPr>
      <w:r>
        <w:rPr>
          <w:lang w:eastAsia="en-US" w:bidi="fa-IR"/>
        </w:rPr>
        <w:t xml:space="preserve">The World Health Organisation (WHO) assessed that the strength of evidence that people with functional impairments have reduced fall and injury rates in homes that have </w:t>
      </w:r>
      <w:r w:rsidRPr="00363A93">
        <w:rPr>
          <w:lang w:eastAsia="en-US" w:bidi="fa-IR"/>
        </w:rPr>
        <w:t xml:space="preserve">been modified is </w:t>
      </w:r>
      <w:r w:rsidRPr="00363A93">
        <w:rPr>
          <w:b/>
          <w:bCs/>
          <w:lang w:eastAsia="en-US" w:bidi="fa-IR"/>
        </w:rPr>
        <w:t xml:space="preserve">moderate </w:t>
      </w:r>
      <w:r w:rsidRPr="00363A93">
        <w:rPr>
          <w:lang w:eastAsia="en-US" w:bidi="fa-IR"/>
        </w:rPr>
        <w:t>based on a review of the literature.</w:t>
      </w:r>
      <w:r w:rsidR="00C15E45" w:rsidRPr="00363A93">
        <w:rPr>
          <w:rStyle w:val="FootnoteReference"/>
          <w:lang w:eastAsia="en-US" w:bidi="fa-IR"/>
        </w:rPr>
        <w:footnoteReference w:id="103"/>
      </w:r>
    </w:p>
    <w:p w14:paraId="0B5A043F" w14:textId="77777777" w:rsidR="007D4E08" w:rsidRDefault="007D4E08" w:rsidP="007D4E08">
      <w:pPr>
        <w:pStyle w:val="ListBullet"/>
      </w:pPr>
      <w:r w:rsidRPr="00363A93">
        <w:t>An older (2006) review of the evidence for the (then) Australian Government Department of Health</w:t>
      </w:r>
      <w:r>
        <w:t xml:space="preserve"> and Ageing by the National Ageing Research Institute concluded that:</w:t>
      </w:r>
    </w:p>
    <w:p w14:paraId="1761AA6C" w14:textId="77777777" w:rsidR="007D4E08" w:rsidRDefault="007D4E08" w:rsidP="007D4E08">
      <w:pPr>
        <w:pStyle w:val="Quote"/>
      </w:pPr>
      <w:r>
        <w:t xml:space="preserve">“There is growing evidence that home hazard assessment and modification programs may be effective in reducing falls, particularly when undertaken by trained health professionals such as occupational therapists, and when targeting those at increased risk of falls. These approaches are more likely to be effective when combined with strategies to modify risky behaviours, and maximise adherence with recommended hazard modifications. </w:t>
      </w:r>
      <w:r w:rsidRPr="008D5DBA">
        <w:rPr>
          <w:b/>
          <w:bCs/>
        </w:rPr>
        <w:t>To date there is no strong evidence that modifications to reduce environmental fall hazards within the home or public areas in isolation are effective in reducing fall rates</w:t>
      </w:r>
      <w:r>
        <w:t xml:space="preserve"> [emphasis added]</w:t>
      </w:r>
      <w:r w:rsidR="00DD10F2">
        <w:t>.</w:t>
      </w:r>
      <w:r>
        <w:t>”</w:t>
      </w:r>
      <w:r>
        <w:rPr>
          <w:rStyle w:val="FootnoteReference"/>
        </w:rPr>
        <w:footnoteReference w:id="104"/>
      </w:r>
    </w:p>
    <w:p w14:paraId="18D3BA4B" w14:textId="77777777" w:rsidR="007D4E08" w:rsidRDefault="007D4E08" w:rsidP="007D4E08">
      <w:pPr>
        <w:pStyle w:val="BodyText"/>
      </w:pPr>
      <w:r>
        <w:t>The implication is that there is limited evidence to suggest that the universal design features would significantly reduce falls.</w:t>
      </w:r>
    </w:p>
    <w:p w14:paraId="0D9E868C" w14:textId="77777777" w:rsidR="007D4E08" w:rsidRDefault="007D4E08" w:rsidP="007D4E08">
      <w:pPr>
        <w:pStyle w:val="KeyPoint"/>
        <w:numPr>
          <w:ilvl w:val="0"/>
          <w:numId w:val="11"/>
        </w:numPr>
        <w:rPr>
          <w:lang w:bidi="fa-IR"/>
        </w:rPr>
      </w:pPr>
      <w:r>
        <w:rPr>
          <w:lang w:bidi="fa-IR"/>
        </w:rPr>
        <w:t>For the purposes of the CBA, the following assumptions</w:t>
      </w:r>
      <w:r w:rsidR="004B48EC">
        <w:rPr>
          <w:lang w:bidi="fa-IR"/>
        </w:rPr>
        <w:t xml:space="preserve"> are made:</w:t>
      </w:r>
    </w:p>
    <w:p w14:paraId="159C5E49" w14:textId="77777777" w:rsidR="007D4E08" w:rsidRDefault="007D4E08" w:rsidP="007D4E08">
      <w:pPr>
        <w:pStyle w:val="KeyPoint2"/>
        <w:numPr>
          <w:ilvl w:val="1"/>
          <w:numId w:val="11"/>
        </w:numPr>
        <w:rPr>
          <w:lang w:bidi="fa-IR"/>
        </w:rPr>
      </w:pPr>
      <w:r>
        <w:rPr>
          <w:lang w:bidi="fa-IR"/>
        </w:rPr>
        <w:t xml:space="preserve">As a significant number of studies suggest that environmental factors have a minimal impact on falls, a reasonable lower bound would be to assume that the universal design features on their own could have </w:t>
      </w:r>
      <w:r w:rsidR="00483957">
        <w:rPr>
          <w:lang w:bidi="fa-IR"/>
        </w:rPr>
        <w:t xml:space="preserve">no </w:t>
      </w:r>
      <w:r>
        <w:rPr>
          <w:lang w:bidi="fa-IR"/>
        </w:rPr>
        <w:t>impact on falls.</w:t>
      </w:r>
    </w:p>
    <w:p w14:paraId="2AD9DD8E" w14:textId="77777777" w:rsidR="007D4E08" w:rsidRDefault="007D4E08" w:rsidP="007D4E08">
      <w:pPr>
        <w:pStyle w:val="KeyPoint2"/>
        <w:numPr>
          <w:ilvl w:val="1"/>
          <w:numId w:val="11"/>
        </w:numPr>
        <w:rPr>
          <w:lang w:bidi="fa-IR"/>
        </w:rPr>
      </w:pPr>
      <w:r>
        <w:rPr>
          <w:lang w:bidi="fa-IR"/>
        </w:rPr>
        <w:t xml:space="preserve">As an upper bound estimate, </w:t>
      </w:r>
      <w:r w:rsidR="004B48EC">
        <w:rPr>
          <w:lang w:bidi="fa-IR"/>
        </w:rPr>
        <w:t>CIE</w:t>
      </w:r>
      <w:r>
        <w:rPr>
          <w:lang w:bidi="fa-IR"/>
        </w:rPr>
        <w:t xml:space="preserve"> use</w:t>
      </w:r>
      <w:r w:rsidR="004B48EC">
        <w:rPr>
          <w:lang w:bidi="fa-IR"/>
        </w:rPr>
        <w:t>s</w:t>
      </w:r>
      <w:r>
        <w:rPr>
          <w:lang w:bidi="fa-IR"/>
        </w:rPr>
        <w:t xml:space="preserve"> the same impact estimated for the Consultation RIS (i.e. lack of universal design features increases falls by around 37 per cent).</w:t>
      </w:r>
    </w:p>
    <w:p w14:paraId="03154B8F" w14:textId="77777777" w:rsidR="007D4E08" w:rsidRDefault="007D4E08" w:rsidP="007D4E08">
      <w:pPr>
        <w:pStyle w:val="KeyPoint2"/>
        <w:numPr>
          <w:ilvl w:val="1"/>
          <w:numId w:val="11"/>
        </w:numPr>
        <w:rPr>
          <w:lang w:bidi="fa-IR"/>
        </w:rPr>
      </w:pPr>
      <w:r>
        <w:rPr>
          <w:lang w:bidi="fa-IR"/>
        </w:rPr>
        <w:t xml:space="preserve">For the central case, </w:t>
      </w:r>
      <w:r w:rsidR="004B48EC">
        <w:rPr>
          <w:lang w:bidi="fa-IR"/>
        </w:rPr>
        <w:t>it is</w:t>
      </w:r>
      <w:r>
        <w:rPr>
          <w:lang w:bidi="fa-IR"/>
        </w:rPr>
        <w:t xml:space="preserve"> assume</w:t>
      </w:r>
      <w:r w:rsidR="004B48EC">
        <w:rPr>
          <w:lang w:bidi="fa-IR"/>
        </w:rPr>
        <w:t>d</w:t>
      </w:r>
      <w:r>
        <w:rPr>
          <w:lang w:bidi="fa-IR"/>
        </w:rPr>
        <w:t xml:space="preserve"> that the lack of universal design features increase falls by around 10 per cent. </w:t>
      </w:r>
      <w:r w:rsidR="00DF0E99">
        <w:rPr>
          <w:lang w:bidi="fa-IR"/>
        </w:rPr>
        <w:t>CIE</w:t>
      </w:r>
      <w:r>
        <w:rPr>
          <w:lang w:bidi="fa-IR"/>
        </w:rPr>
        <w:t xml:space="preserve"> consider</w:t>
      </w:r>
      <w:r w:rsidR="00DF0E99">
        <w:rPr>
          <w:lang w:bidi="fa-IR"/>
        </w:rPr>
        <w:t>s</w:t>
      </w:r>
      <w:r>
        <w:rPr>
          <w:lang w:bidi="fa-IR"/>
        </w:rPr>
        <w:t xml:space="preserve"> that the impact of the NCC </w:t>
      </w:r>
      <w:r>
        <w:rPr>
          <w:lang w:bidi="fa-IR"/>
        </w:rPr>
        <w:lastRenderedPageBreak/>
        <w:t>is more likely to be towards the lower end of the range for the following reasons.</w:t>
      </w:r>
    </w:p>
    <w:p w14:paraId="63005E8D" w14:textId="77777777" w:rsidR="007D4E08" w:rsidRDefault="007D4E08" w:rsidP="007D4E08">
      <w:pPr>
        <w:pStyle w:val="KeyPoint3"/>
        <w:numPr>
          <w:ilvl w:val="2"/>
          <w:numId w:val="11"/>
        </w:numPr>
        <w:rPr>
          <w:lang w:bidi="fa-IR"/>
        </w:rPr>
      </w:pPr>
      <w:r>
        <w:rPr>
          <w:lang w:bidi="fa-IR"/>
        </w:rPr>
        <w:t>Most (but not all) studies that look at the number of hazards in the home (without other interventions) tend to find that the number of environmental hazards has little to no impact on the number of falls.</w:t>
      </w:r>
    </w:p>
    <w:p w14:paraId="20382A82" w14:textId="77777777" w:rsidR="007D4E08" w:rsidRDefault="007D4E08" w:rsidP="007D4E08">
      <w:pPr>
        <w:pStyle w:val="KeyPoint3"/>
        <w:numPr>
          <w:ilvl w:val="2"/>
          <w:numId w:val="11"/>
        </w:numPr>
        <w:rPr>
          <w:lang w:bidi="fa-IR"/>
        </w:rPr>
      </w:pPr>
      <w:r>
        <w:rPr>
          <w:lang w:bidi="fa-IR"/>
        </w:rPr>
        <w:t xml:space="preserve">Most studies at the upper end of the range tend to include either home assessments (which could assist in removing environmental hazards unrelated to the dwelling design such as rugs, worn carpets, inappropriate furniture placement etc.) or other types of interventions. As such, </w:t>
      </w:r>
      <w:r w:rsidR="003D56FC">
        <w:rPr>
          <w:lang w:bidi="fa-IR"/>
        </w:rPr>
        <w:t>using the results of these studies (</w:t>
      </w:r>
      <w:r w:rsidR="00483957">
        <w:rPr>
          <w:lang w:bidi="fa-IR"/>
        </w:rPr>
        <w:t xml:space="preserve">extrapolating from </w:t>
      </w:r>
      <w:r>
        <w:rPr>
          <w:lang w:bidi="fa-IR"/>
        </w:rPr>
        <w:t>th</w:t>
      </w:r>
      <w:r w:rsidR="003D56FC">
        <w:rPr>
          <w:lang w:bidi="fa-IR"/>
        </w:rPr>
        <w:t>eir estimates)</w:t>
      </w:r>
      <w:r>
        <w:rPr>
          <w:lang w:bidi="fa-IR"/>
        </w:rPr>
        <w:t xml:space="preserve"> </w:t>
      </w:r>
      <w:r w:rsidR="00483957">
        <w:rPr>
          <w:lang w:bidi="fa-IR"/>
        </w:rPr>
        <w:t>is</w:t>
      </w:r>
      <w:r>
        <w:rPr>
          <w:lang w:bidi="fa-IR"/>
        </w:rPr>
        <w:t xml:space="preserve"> likely to overstate the impact of universal design features.</w:t>
      </w:r>
    </w:p>
    <w:p w14:paraId="25C37B32" w14:textId="77777777" w:rsidR="007D4E08" w:rsidRDefault="007D4E08" w:rsidP="007D4E08">
      <w:pPr>
        <w:pStyle w:val="BodyText"/>
        <w:spacing w:before="80"/>
        <w:rPr>
          <w:lang w:bidi="fa-IR"/>
        </w:rPr>
      </w:pPr>
      <w:r>
        <w:rPr>
          <w:lang w:bidi="fa-IR"/>
        </w:rPr>
        <w:t xml:space="preserve">Based on these assumptions, </w:t>
      </w:r>
      <w:r w:rsidR="004B48EC">
        <w:rPr>
          <w:lang w:bidi="fa-IR"/>
        </w:rPr>
        <w:t>it is</w:t>
      </w:r>
      <w:r>
        <w:rPr>
          <w:lang w:bidi="fa-IR"/>
        </w:rPr>
        <w:t xml:space="preserve"> estimate</w:t>
      </w:r>
      <w:r w:rsidR="004B48EC">
        <w:rPr>
          <w:lang w:bidi="fa-IR"/>
        </w:rPr>
        <w:t>d</w:t>
      </w:r>
      <w:r w:rsidR="00E4023A">
        <w:rPr>
          <w:lang w:bidi="fa-IR"/>
        </w:rPr>
        <w:t xml:space="preserve"> that the cost of additional falls as a result of some people with accessibility needs remaining in housing that lacks relevant accessibility features could range between </w:t>
      </w:r>
      <w:r>
        <w:rPr>
          <w:lang w:bidi="fa-IR"/>
        </w:rPr>
        <w:t xml:space="preserve">zero and </w:t>
      </w:r>
      <w:r w:rsidR="00E4023A">
        <w:rPr>
          <w:lang w:bidi="fa-IR"/>
        </w:rPr>
        <w:t>around $</w:t>
      </w:r>
      <w:r w:rsidR="00CC0A1A">
        <w:rPr>
          <w:lang w:bidi="fa-IR"/>
        </w:rPr>
        <w:t>570.3</w:t>
      </w:r>
      <w:r w:rsidR="00E4023A">
        <w:rPr>
          <w:lang w:bidi="fa-IR"/>
        </w:rPr>
        <w:t> million per year, with a central case estimate of around $</w:t>
      </w:r>
      <w:r w:rsidR="00CC0A1A">
        <w:rPr>
          <w:lang w:bidi="fa-IR"/>
        </w:rPr>
        <w:t>154.1</w:t>
      </w:r>
      <w:r w:rsidR="00E4023A">
        <w:rPr>
          <w:lang w:bidi="fa-IR"/>
        </w:rPr>
        <w:t> million (table </w:t>
      </w:r>
      <w:r w:rsidR="007751CF">
        <w:rPr>
          <w:lang w:bidi="fa-IR"/>
        </w:rPr>
        <w:t>3.2</w:t>
      </w:r>
      <w:r w:rsidR="005908AC">
        <w:rPr>
          <w:lang w:bidi="fa-IR"/>
        </w:rPr>
        <w:t>2</w:t>
      </w:r>
      <w:r w:rsidR="00E4023A">
        <w:rPr>
          <w:lang w:bidi="fa-IR"/>
        </w:rPr>
        <w:t>). This includes</w:t>
      </w:r>
      <w:r>
        <w:rPr>
          <w:lang w:bidi="fa-IR"/>
        </w:rPr>
        <w:t>:</w:t>
      </w:r>
    </w:p>
    <w:p w14:paraId="5759E8F5" w14:textId="7161B6F2" w:rsidR="007D4E08" w:rsidRDefault="00E4023A" w:rsidP="007D4E08">
      <w:pPr>
        <w:pStyle w:val="ListBullet"/>
        <w:rPr>
          <w:lang w:bidi="fa-IR"/>
        </w:rPr>
      </w:pPr>
      <w:r>
        <w:rPr>
          <w:lang w:bidi="fa-IR"/>
        </w:rPr>
        <w:t>costs associated with an increased number of deaths (based on standard economic approaches to valuing the loss of life</w:t>
      </w:r>
      <w:r w:rsidR="007D4E08">
        <w:rPr>
          <w:lang w:bidi="fa-IR"/>
        </w:rPr>
        <w:t>, discussed on page</w:t>
      </w:r>
      <w:r w:rsidR="00A16DAF">
        <w:rPr>
          <w:lang w:bidi="fa-IR"/>
        </w:rPr>
        <w:t xml:space="preserve">s </w:t>
      </w:r>
      <w:r w:rsidR="005211EC">
        <w:rPr>
          <w:lang w:bidi="fa-IR"/>
        </w:rPr>
        <w:fldChar w:fldCharType="begin"/>
      </w:r>
      <w:r w:rsidR="005211EC">
        <w:rPr>
          <w:lang w:bidi="fa-IR"/>
        </w:rPr>
        <w:instrText xml:space="preserve"> PAGEREF _Ref64927053 \h </w:instrText>
      </w:r>
      <w:r w:rsidR="005211EC">
        <w:rPr>
          <w:lang w:bidi="fa-IR"/>
        </w:rPr>
      </w:r>
      <w:r w:rsidR="005211EC">
        <w:rPr>
          <w:lang w:bidi="fa-IR"/>
        </w:rPr>
        <w:fldChar w:fldCharType="separate"/>
      </w:r>
      <w:r w:rsidR="000F445C">
        <w:rPr>
          <w:noProof/>
          <w:lang w:bidi="fa-IR"/>
        </w:rPr>
        <w:t>281</w:t>
      </w:r>
      <w:r w:rsidR="005211EC">
        <w:rPr>
          <w:lang w:bidi="fa-IR"/>
        </w:rPr>
        <w:fldChar w:fldCharType="end"/>
      </w:r>
      <w:r w:rsidR="00A16DAF">
        <w:rPr>
          <w:lang w:bidi="fa-IR"/>
        </w:rPr>
        <w:t xml:space="preserve"> to </w:t>
      </w:r>
      <w:r w:rsidR="005211EC">
        <w:rPr>
          <w:lang w:bidi="fa-IR"/>
        </w:rPr>
        <w:fldChar w:fldCharType="begin"/>
      </w:r>
      <w:r w:rsidR="005211EC">
        <w:rPr>
          <w:lang w:bidi="fa-IR"/>
        </w:rPr>
        <w:instrText xml:space="preserve"> PAGEREF _Ref64927075 \h </w:instrText>
      </w:r>
      <w:r w:rsidR="005211EC">
        <w:rPr>
          <w:lang w:bidi="fa-IR"/>
        </w:rPr>
      </w:r>
      <w:r w:rsidR="005211EC">
        <w:rPr>
          <w:lang w:bidi="fa-IR"/>
        </w:rPr>
        <w:fldChar w:fldCharType="separate"/>
      </w:r>
      <w:r w:rsidR="000F445C">
        <w:rPr>
          <w:noProof/>
          <w:lang w:bidi="fa-IR"/>
        </w:rPr>
        <w:t>285</w:t>
      </w:r>
      <w:r w:rsidR="005211EC">
        <w:rPr>
          <w:lang w:bidi="fa-IR"/>
        </w:rPr>
        <w:fldChar w:fldCharType="end"/>
      </w:r>
      <w:r>
        <w:rPr>
          <w:lang w:bidi="fa-IR"/>
        </w:rPr>
        <w:t xml:space="preserve"> and </w:t>
      </w:r>
      <w:r w:rsidR="007D4E08" w:rsidRPr="00A16DAF">
        <w:rPr>
          <w:lang w:bidi="fa-IR"/>
        </w:rPr>
        <w:t xml:space="preserve">in appendix </w:t>
      </w:r>
      <w:r w:rsidR="00411CF7" w:rsidRPr="00A16DAF">
        <w:rPr>
          <w:lang w:bidi="fa-IR"/>
        </w:rPr>
        <w:fldChar w:fldCharType="begin"/>
      </w:r>
      <w:r w:rsidR="00411CF7" w:rsidRPr="00A16DAF">
        <w:rPr>
          <w:lang w:bidi="fa-IR"/>
        </w:rPr>
        <w:instrText xml:space="preserve"> REF _Ref55130725 \n \h  \* MERGEFORMAT </w:instrText>
      </w:r>
      <w:r w:rsidR="00411CF7" w:rsidRPr="00A16DAF">
        <w:rPr>
          <w:lang w:bidi="fa-IR"/>
        </w:rPr>
      </w:r>
      <w:r w:rsidR="00411CF7" w:rsidRPr="00A16DAF">
        <w:rPr>
          <w:lang w:bidi="fa-IR"/>
        </w:rPr>
        <w:fldChar w:fldCharType="separate"/>
      </w:r>
      <w:r w:rsidR="000F445C">
        <w:rPr>
          <w:lang w:bidi="fa-IR"/>
        </w:rPr>
        <w:t>B</w:t>
      </w:r>
      <w:r w:rsidR="00411CF7" w:rsidRPr="00A16DAF">
        <w:rPr>
          <w:lang w:bidi="fa-IR"/>
        </w:rPr>
        <w:fldChar w:fldCharType="end"/>
      </w:r>
      <w:r w:rsidR="007D4E08" w:rsidRPr="00A16DAF">
        <w:rPr>
          <w:lang w:bidi="fa-IR"/>
        </w:rPr>
        <w:t>)</w:t>
      </w:r>
    </w:p>
    <w:p w14:paraId="2F4AD6E5" w14:textId="77777777" w:rsidR="007D4E08" w:rsidRDefault="007D4E08" w:rsidP="007D4E08">
      <w:pPr>
        <w:pStyle w:val="ListBullet"/>
        <w:rPr>
          <w:lang w:bidi="fa-IR"/>
        </w:rPr>
      </w:pPr>
      <w:r>
        <w:rPr>
          <w:lang w:bidi="fa-IR"/>
        </w:rPr>
        <w:t>morbidity costs associated with hospitalised falls</w:t>
      </w:r>
      <w:r w:rsidR="003D56FC">
        <w:rPr>
          <w:lang w:bidi="fa-IR"/>
        </w:rPr>
        <w:t xml:space="preserve"> (which were not included in the Consultation RIS)</w:t>
      </w:r>
      <w:r w:rsidR="00F922E9">
        <w:rPr>
          <w:lang w:bidi="fa-IR"/>
        </w:rPr>
        <w:t xml:space="preserve"> – given the relatively high morbidity costs implied by available studies,</w:t>
      </w:r>
      <w:r>
        <w:rPr>
          <w:lang w:bidi="fa-IR"/>
        </w:rPr>
        <w:t xml:space="preserve"> the morbidity costs </w:t>
      </w:r>
      <w:r w:rsidR="00F922E9">
        <w:rPr>
          <w:lang w:bidi="fa-IR"/>
        </w:rPr>
        <w:t xml:space="preserve">are more likely </w:t>
      </w:r>
      <w:r>
        <w:rPr>
          <w:lang w:bidi="fa-IR"/>
        </w:rPr>
        <w:t xml:space="preserve">associated with </w:t>
      </w:r>
      <w:r w:rsidR="00F922E9">
        <w:rPr>
          <w:lang w:bidi="fa-IR"/>
        </w:rPr>
        <w:t xml:space="preserve">hospitalised falls rather than </w:t>
      </w:r>
      <w:r w:rsidR="00C901D0">
        <w:rPr>
          <w:lang w:bidi="fa-IR"/>
        </w:rPr>
        <w:t>u</w:t>
      </w:r>
      <w:r>
        <w:rPr>
          <w:lang w:bidi="fa-IR"/>
        </w:rPr>
        <w:t>n</w:t>
      </w:r>
      <w:r>
        <w:rPr>
          <w:lang w:bidi="fa-IR"/>
        </w:rPr>
        <w:noBreakHyphen/>
        <w:t xml:space="preserve">hospitalised falls </w:t>
      </w:r>
      <w:r w:rsidR="00F922E9">
        <w:rPr>
          <w:lang w:bidi="fa-IR"/>
        </w:rPr>
        <w:t xml:space="preserve">which </w:t>
      </w:r>
      <w:r>
        <w:rPr>
          <w:lang w:bidi="fa-IR"/>
        </w:rPr>
        <w:t xml:space="preserve">have </w:t>
      </w:r>
      <w:r w:rsidR="00F922E9">
        <w:rPr>
          <w:lang w:bidi="fa-IR"/>
        </w:rPr>
        <w:t xml:space="preserve">therefore </w:t>
      </w:r>
      <w:r>
        <w:rPr>
          <w:lang w:bidi="fa-IR"/>
        </w:rPr>
        <w:t>not been included</w:t>
      </w:r>
      <w:r w:rsidR="00FF2A58">
        <w:rPr>
          <w:lang w:bidi="fa-IR"/>
        </w:rPr>
        <w:t>,</w:t>
      </w:r>
      <w:r w:rsidR="003D56FC">
        <w:rPr>
          <w:lang w:bidi="fa-IR"/>
        </w:rPr>
        <w:t xml:space="preserve"> and</w:t>
      </w:r>
    </w:p>
    <w:p w14:paraId="6522EB80" w14:textId="77777777" w:rsidR="007D4E08" w:rsidRDefault="00E4023A" w:rsidP="007D4E08">
      <w:pPr>
        <w:pStyle w:val="ListBullet"/>
        <w:rPr>
          <w:lang w:bidi="fa-IR"/>
        </w:rPr>
      </w:pPr>
      <w:r>
        <w:rPr>
          <w:lang w:bidi="fa-IR"/>
        </w:rPr>
        <w:t>medical costs associated with injuries</w:t>
      </w:r>
      <w:r w:rsidR="007D4E08">
        <w:rPr>
          <w:lang w:bidi="fa-IR"/>
        </w:rPr>
        <w:t xml:space="preserve"> (including additional hospital admissions, emergency department attendances and non</w:t>
      </w:r>
      <w:r w:rsidR="007D4E08">
        <w:rPr>
          <w:lang w:bidi="fa-IR"/>
        </w:rPr>
        <w:noBreakHyphen/>
        <w:t>hospital treatment).</w:t>
      </w:r>
    </w:p>
    <w:p w14:paraId="07B18550" w14:textId="3B3C97A7" w:rsidR="00E4023A" w:rsidRDefault="00E4023A" w:rsidP="00E4023A">
      <w:pPr>
        <w:pStyle w:val="BodyText"/>
        <w:spacing w:before="80"/>
        <w:rPr>
          <w:lang w:bidi="fa-IR"/>
        </w:rPr>
      </w:pPr>
      <w:r>
        <w:rPr>
          <w:lang w:bidi="fa-IR"/>
        </w:rPr>
        <w:t xml:space="preserve">Further details on </w:t>
      </w:r>
      <w:r w:rsidR="003B4A5A">
        <w:rPr>
          <w:lang w:bidi="fa-IR"/>
        </w:rPr>
        <w:t>the</w:t>
      </w:r>
      <w:r>
        <w:rPr>
          <w:lang w:bidi="fa-IR"/>
        </w:rPr>
        <w:t xml:space="preserve"> approach to estimating these costs are set out in appendix </w:t>
      </w:r>
      <w:r w:rsidR="005E4D4B" w:rsidRPr="005E4D4B">
        <w:rPr>
          <w:lang w:bidi="fa-IR"/>
        </w:rPr>
        <w:fldChar w:fldCharType="begin"/>
      </w:r>
      <w:r w:rsidR="005E4D4B" w:rsidRPr="005E4D4B">
        <w:rPr>
          <w:lang w:bidi="fa-IR"/>
        </w:rPr>
        <w:instrText xml:space="preserve"> REF _Ref55130725 \n \h </w:instrText>
      </w:r>
      <w:r w:rsidR="005E4D4B">
        <w:rPr>
          <w:lang w:bidi="fa-IR"/>
        </w:rPr>
        <w:instrText xml:space="preserve"> \* MERGEFORMAT </w:instrText>
      </w:r>
      <w:r w:rsidR="005E4D4B" w:rsidRPr="005E4D4B">
        <w:rPr>
          <w:lang w:bidi="fa-IR"/>
        </w:rPr>
      </w:r>
      <w:r w:rsidR="005E4D4B" w:rsidRPr="005E4D4B">
        <w:rPr>
          <w:lang w:bidi="fa-IR"/>
        </w:rPr>
        <w:fldChar w:fldCharType="separate"/>
      </w:r>
      <w:r w:rsidR="000F445C">
        <w:rPr>
          <w:lang w:bidi="fa-IR"/>
        </w:rPr>
        <w:t>B</w:t>
      </w:r>
      <w:r w:rsidR="005E4D4B" w:rsidRPr="005E4D4B">
        <w:rPr>
          <w:lang w:bidi="fa-IR"/>
        </w:rPr>
        <w:fldChar w:fldCharType="end"/>
      </w:r>
      <w:r w:rsidRPr="005E4D4B">
        <w:rPr>
          <w:lang w:bidi="fa-IR"/>
        </w:rPr>
        <w:t>.</w:t>
      </w:r>
    </w:p>
    <w:p w14:paraId="4054128C" w14:textId="25A313FA" w:rsidR="00E4023A" w:rsidRDefault="00076C9B" w:rsidP="00E4023A">
      <w:pPr>
        <w:pStyle w:val="Caption"/>
        <w:spacing w:before="240"/>
      </w:pPr>
      <w:bookmarkStart w:id="220" w:name="_Toc70505521"/>
      <w:r>
        <w:t>3.22</w:t>
      </w:r>
      <w:r w:rsidR="00E4023A" w:rsidRPr="00695C93">
        <w:tab/>
      </w:r>
      <w:r w:rsidR="00E4023A">
        <w:t>Estimated annual safety costs from inaccessible housing</w:t>
      </w:r>
      <w:bookmarkEnd w:id="220"/>
    </w:p>
    <w:tbl>
      <w:tblPr>
        <w:tblW w:w="7938" w:type="dxa"/>
        <w:tblLayout w:type="fixed"/>
        <w:tblLook w:val="0000" w:firstRow="0" w:lastRow="0" w:firstColumn="0" w:lastColumn="0" w:noHBand="0" w:noVBand="0"/>
        <w:tblCaption w:val="Table 3.22: Estimated annual safety costs from inaccessible housing"/>
        <w:tblDescription w:val="This table lists outcomes - death, morbidity costs, hospital admissions, emergency department attendance, non-hospital treatment - and a low, central and high estimate of annual safety costs from inaccessible housing in millions of dollars for each outcome. The total estimated costs range from zero to $570,300,000. The total central case cost estimate is $154,140,000."/>
      </w:tblPr>
      <w:tblGrid>
        <w:gridCol w:w="2604"/>
        <w:gridCol w:w="1771"/>
        <w:gridCol w:w="1794"/>
        <w:gridCol w:w="1769"/>
      </w:tblGrid>
      <w:tr w:rsidR="00E4023A" w14:paraId="64BEED65" w14:textId="77777777" w:rsidTr="005B0289">
        <w:trPr>
          <w:trHeight w:val="230"/>
          <w:tblHeader/>
        </w:trPr>
        <w:tc>
          <w:tcPr>
            <w:tcW w:w="2604" w:type="dxa"/>
            <w:shd w:val="clear" w:color="auto" w:fill="6F6652"/>
            <w:tcMar>
              <w:left w:w="57" w:type="dxa"/>
              <w:right w:w="57" w:type="dxa"/>
            </w:tcMar>
          </w:tcPr>
          <w:p w14:paraId="74585F72" w14:textId="77777777" w:rsidR="00E4023A" w:rsidRDefault="00E4023A" w:rsidP="005B0289">
            <w:pPr>
              <w:pStyle w:val="TableDataColumnHeading"/>
              <w:jc w:val="left"/>
              <w:rPr>
                <w:lang w:val="en-GB"/>
              </w:rPr>
            </w:pPr>
            <w:r>
              <w:rPr>
                <w:lang w:val="en-GB"/>
              </w:rPr>
              <w:t>Outcome</w:t>
            </w:r>
          </w:p>
        </w:tc>
        <w:tc>
          <w:tcPr>
            <w:tcW w:w="1771" w:type="dxa"/>
            <w:shd w:val="clear" w:color="auto" w:fill="6F6652"/>
            <w:tcMar>
              <w:left w:w="57" w:type="dxa"/>
              <w:right w:w="57" w:type="dxa"/>
            </w:tcMar>
          </w:tcPr>
          <w:p w14:paraId="7D528967" w14:textId="77777777" w:rsidR="00E4023A" w:rsidRDefault="00E4023A" w:rsidP="005B0289">
            <w:pPr>
              <w:pStyle w:val="TableDataColumnHeading"/>
              <w:rPr>
                <w:lang w:val="en-GB"/>
              </w:rPr>
            </w:pPr>
            <w:r>
              <w:rPr>
                <w:lang w:val="en-GB"/>
              </w:rPr>
              <w:t>Low estimate</w:t>
            </w:r>
          </w:p>
        </w:tc>
        <w:tc>
          <w:tcPr>
            <w:tcW w:w="1794" w:type="dxa"/>
            <w:shd w:val="clear" w:color="auto" w:fill="6F6652"/>
          </w:tcPr>
          <w:p w14:paraId="626E3152" w14:textId="77777777" w:rsidR="00E4023A" w:rsidRDefault="00E4023A" w:rsidP="005B0289">
            <w:pPr>
              <w:pStyle w:val="TableDataColumnHeading"/>
              <w:rPr>
                <w:lang w:val="en-GB"/>
              </w:rPr>
            </w:pPr>
            <w:r>
              <w:rPr>
                <w:lang w:val="en-GB"/>
              </w:rPr>
              <w:t>Central case</w:t>
            </w:r>
          </w:p>
        </w:tc>
        <w:tc>
          <w:tcPr>
            <w:tcW w:w="1769" w:type="dxa"/>
            <w:shd w:val="clear" w:color="auto" w:fill="6F6652"/>
            <w:tcMar>
              <w:left w:w="57" w:type="dxa"/>
              <w:right w:w="57" w:type="dxa"/>
            </w:tcMar>
          </w:tcPr>
          <w:p w14:paraId="38670F33" w14:textId="77777777" w:rsidR="00E4023A" w:rsidRDefault="00E4023A" w:rsidP="005B0289">
            <w:pPr>
              <w:pStyle w:val="TableDataColumnHeading"/>
              <w:rPr>
                <w:lang w:val="en-GB"/>
              </w:rPr>
            </w:pPr>
            <w:r>
              <w:rPr>
                <w:lang w:val="en-GB"/>
              </w:rPr>
              <w:t>High estimate</w:t>
            </w:r>
          </w:p>
        </w:tc>
      </w:tr>
      <w:tr w:rsidR="00E4023A" w14:paraId="4A1D76DB" w14:textId="77777777" w:rsidTr="005B0289">
        <w:trPr>
          <w:trHeight w:val="230"/>
          <w:tblHeader/>
        </w:trPr>
        <w:tc>
          <w:tcPr>
            <w:tcW w:w="2604" w:type="dxa"/>
            <w:tcBorders>
              <w:bottom w:val="single" w:sz="8" w:space="0" w:color="FFFFFF" w:themeColor="background1"/>
            </w:tcBorders>
            <w:shd w:val="clear" w:color="auto" w:fill="auto"/>
            <w:tcMar>
              <w:left w:w="57" w:type="dxa"/>
              <w:right w:w="57" w:type="dxa"/>
            </w:tcMar>
          </w:tcPr>
          <w:p w14:paraId="0BA61BAE" w14:textId="77777777" w:rsidR="00E4023A" w:rsidRDefault="00E4023A" w:rsidP="005B0289">
            <w:pPr>
              <w:pStyle w:val="TableUnit"/>
              <w:jc w:val="left"/>
              <w:rPr>
                <w:lang w:val="en-GB"/>
              </w:rPr>
            </w:pPr>
          </w:p>
        </w:tc>
        <w:tc>
          <w:tcPr>
            <w:tcW w:w="1771" w:type="dxa"/>
            <w:tcBorders>
              <w:bottom w:val="single" w:sz="8" w:space="0" w:color="FFFFFF" w:themeColor="background1"/>
            </w:tcBorders>
            <w:shd w:val="clear" w:color="auto" w:fill="auto"/>
            <w:tcMar>
              <w:left w:w="57" w:type="dxa"/>
              <w:right w:w="57" w:type="dxa"/>
            </w:tcMar>
          </w:tcPr>
          <w:p w14:paraId="7E808978" w14:textId="77777777" w:rsidR="00E4023A" w:rsidRDefault="00E4023A" w:rsidP="005B0289">
            <w:pPr>
              <w:pStyle w:val="TableUnit"/>
              <w:rPr>
                <w:lang w:val="en-GB"/>
              </w:rPr>
            </w:pPr>
            <w:r>
              <w:rPr>
                <w:lang w:val="en-GB"/>
              </w:rPr>
              <w:t>$ million</w:t>
            </w:r>
          </w:p>
        </w:tc>
        <w:tc>
          <w:tcPr>
            <w:tcW w:w="1794" w:type="dxa"/>
            <w:tcBorders>
              <w:bottom w:val="single" w:sz="8" w:space="0" w:color="FFFFFF" w:themeColor="background1"/>
            </w:tcBorders>
            <w:shd w:val="clear" w:color="auto" w:fill="auto"/>
          </w:tcPr>
          <w:p w14:paraId="2426C7B1" w14:textId="77777777" w:rsidR="00E4023A" w:rsidRDefault="00E4023A" w:rsidP="005B0289">
            <w:pPr>
              <w:pStyle w:val="TableUnit"/>
              <w:rPr>
                <w:lang w:val="en-GB"/>
              </w:rPr>
            </w:pPr>
            <w:r>
              <w:rPr>
                <w:lang w:val="en-GB"/>
              </w:rPr>
              <w:t>$ million</w:t>
            </w:r>
          </w:p>
        </w:tc>
        <w:tc>
          <w:tcPr>
            <w:tcW w:w="1769" w:type="dxa"/>
            <w:tcBorders>
              <w:bottom w:val="single" w:sz="8" w:space="0" w:color="FFFFFF" w:themeColor="background1"/>
            </w:tcBorders>
            <w:shd w:val="clear" w:color="auto" w:fill="auto"/>
            <w:tcMar>
              <w:left w:w="57" w:type="dxa"/>
              <w:right w:w="57" w:type="dxa"/>
            </w:tcMar>
          </w:tcPr>
          <w:p w14:paraId="7EC797F4" w14:textId="77777777" w:rsidR="00E4023A" w:rsidRDefault="00E4023A" w:rsidP="005B0289">
            <w:pPr>
              <w:pStyle w:val="TableUnit"/>
              <w:rPr>
                <w:lang w:val="en-GB"/>
              </w:rPr>
            </w:pPr>
            <w:r>
              <w:rPr>
                <w:lang w:val="en-GB"/>
              </w:rPr>
              <w:t>$ million</w:t>
            </w:r>
          </w:p>
        </w:tc>
      </w:tr>
      <w:tr w:rsidR="003A2E3D" w14:paraId="5A9585F5" w14:textId="77777777" w:rsidTr="005B0289">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659C47" w14:textId="77777777" w:rsidR="003A2E3D" w:rsidRDefault="003A2E3D" w:rsidP="003A2E3D">
            <w:pPr>
              <w:pStyle w:val="TableDataEntries"/>
              <w:jc w:val="left"/>
              <w:rPr>
                <w:lang w:val="en-GB"/>
              </w:rPr>
            </w:pPr>
            <w:r>
              <w:rPr>
                <w:lang w:val="en-GB"/>
              </w:rPr>
              <w:t>Death</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293F23" w14:textId="77777777" w:rsidR="003A2E3D" w:rsidRPr="00F36A14" w:rsidRDefault="003A2E3D" w:rsidP="003A2E3D">
            <w:pPr>
              <w:pStyle w:val="TableDataEntries"/>
            </w:pPr>
            <w:r w:rsidRPr="00F36A14">
              <w:t xml:space="preserve"> </w:t>
            </w:r>
            <w:r w:rsidRPr="00B52C4A">
              <w:t>0.00</w:t>
            </w:r>
          </w:p>
        </w:tc>
        <w:tc>
          <w:tcPr>
            <w:tcW w:w="1794" w:type="dxa"/>
            <w:tcBorders>
              <w:top w:val="single" w:sz="8" w:space="0" w:color="FFFFFF" w:themeColor="background1"/>
              <w:bottom w:val="single" w:sz="8" w:space="0" w:color="FFFFFF" w:themeColor="background1"/>
            </w:tcBorders>
            <w:shd w:val="clear" w:color="auto" w:fill="E9E8E5" w:themeFill="background2"/>
            <w:vAlign w:val="bottom"/>
          </w:tcPr>
          <w:p w14:paraId="0967F869" w14:textId="77777777" w:rsidR="003A2E3D" w:rsidRPr="00C65C3A" w:rsidRDefault="003A2E3D" w:rsidP="003A2E3D">
            <w:pPr>
              <w:pStyle w:val="TableDataEntries"/>
              <w:rPr>
                <w:szCs w:val="16"/>
              </w:rPr>
            </w:pPr>
            <w:r w:rsidRPr="00C65C3A">
              <w:rPr>
                <w:szCs w:val="16"/>
              </w:rPr>
              <w:t xml:space="preserve"> 9.13</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B18DB0" w14:textId="77777777" w:rsidR="003A2E3D" w:rsidRPr="00C65C3A" w:rsidRDefault="003A2E3D" w:rsidP="003A2E3D">
            <w:pPr>
              <w:pStyle w:val="TableDataEntries"/>
              <w:rPr>
                <w:szCs w:val="16"/>
              </w:rPr>
            </w:pPr>
            <w:r w:rsidRPr="00C65C3A">
              <w:rPr>
                <w:szCs w:val="16"/>
              </w:rPr>
              <w:t xml:space="preserve"> 33.77</w:t>
            </w:r>
          </w:p>
        </w:tc>
      </w:tr>
      <w:tr w:rsidR="003A2E3D" w14:paraId="71271AA6" w14:textId="77777777" w:rsidTr="005B0289">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40ECEF" w14:textId="77777777" w:rsidR="003A2E3D" w:rsidRDefault="003A2E3D" w:rsidP="003A2E3D">
            <w:pPr>
              <w:pStyle w:val="TableDataEntries"/>
              <w:jc w:val="left"/>
              <w:rPr>
                <w:lang w:val="en-GB"/>
              </w:rPr>
            </w:pPr>
            <w:r>
              <w:rPr>
                <w:lang w:val="en-GB"/>
              </w:rPr>
              <w:t>Morbidity costs</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CE5A01" w14:textId="77777777" w:rsidR="003A2E3D" w:rsidRPr="00F36A14" w:rsidRDefault="003A2E3D" w:rsidP="003A2E3D">
            <w:pPr>
              <w:pStyle w:val="TableDataEntries"/>
            </w:pPr>
            <w:r w:rsidRPr="00B52C4A">
              <w:t xml:space="preserve"> 0.00</w:t>
            </w:r>
          </w:p>
        </w:tc>
        <w:tc>
          <w:tcPr>
            <w:tcW w:w="1794" w:type="dxa"/>
            <w:tcBorders>
              <w:top w:val="single" w:sz="8" w:space="0" w:color="FFFFFF" w:themeColor="background1"/>
              <w:bottom w:val="single" w:sz="8" w:space="0" w:color="FFFFFF" w:themeColor="background1"/>
            </w:tcBorders>
            <w:shd w:val="clear" w:color="auto" w:fill="E9E8E5" w:themeFill="background2"/>
            <w:vAlign w:val="bottom"/>
          </w:tcPr>
          <w:p w14:paraId="055F8F4A" w14:textId="77777777" w:rsidR="003A2E3D" w:rsidRPr="00C65C3A" w:rsidRDefault="003A2E3D" w:rsidP="003A2E3D">
            <w:pPr>
              <w:pStyle w:val="TableDataEntries"/>
              <w:rPr>
                <w:szCs w:val="16"/>
              </w:rPr>
            </w:pPr>
            <w:r w:rsidRPr="00C65C3A">
              <w:rPr>
                <w:szCs w:val="16"/>
              </w:rPr>
              <w:t xml:space="preserve"> 135.11</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08C2D4" w14:textId="77777777" w:rsidR="003A2E3D" w:rsidRPr="00C65C3A" w:rsidRDefault="003A2E3D" w:rsidP="003A2E3D">
            <w:pPr>
              <w:pStyle w:val="TableDataEntries"/>
              <w:rPr>
                <w:szCs w:val="16"/>
              </w:rPr>
            </w:pPr>
            <w:r w:rsidRPr="00C65C3A">
              <w:rPr>
                <w:szCs w:val="16"/>
              </w:rPr>
              <w:t xml:space="preserve"> 499.92</w:t>
            </w:r>
          </w:p>
        </w:tc>
      </w:tr>
      <w:tr w:rsidR="003A2E3D" w14:paraId="24D7B1EA" w14:textId="77777777" w:rsidTr="005B0289">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365821" w14:textId="77777777" w:rsidR="003A2E3D" w:rsidRDefault="003A2E3D" w:rsidP="003A2E3D">
            <w:pPr>
              <w:pStyle w:val="TableDataEntries"/>
              <w:jc w:val="left"/>
              <w:rPr>
                <w:lang w:val="en-GB"/>
              </w:rPr>
            </w:pPr>
            <w:r>
              <w:rPr>
                <w:lang w:val="en-GB"/>
              </w:rPr>
              <w:t>Hospital admissions</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DFAD5A" w14:textId="77777777" w:rsidR="003A2E3D" w:rsidRPr="00F36A14" w:rsidRDefault="003A2E3D" w:rsidP="003A2E3D">
            <w:pPr>
              <w:pStyle w:val="TableDataEntries"/>
            </w:pPr>
            <w:r w:rsidRPr="00F36A14">
              <w:t xml:space="preserve"> </w:t>
            </w:r>
            <w:r w:rsidRPr="00B52C4A">
              <w:t>0.00</w:t>
            </w:r>
          </w:p>
        </w:tc>
        <w:tc>
          <w:tcPr>
            <w:tcW w:w="1794" w:type="dxa"/>
            <w:tcBorders>
              <w:top w:val="single" w:sz="8" w:space="0" w:color="FFFFFF" w:themeColor="background1"/>
              <w:bottom w:val="single" w:sz="8" w:space="0" w:color="FFFFFF" w:themeColor="background1"/>
            </w:tcBorders>
            <w:shd w:val="clear" w:color="auto" w:fill="E9E8E5" w:themeFill="background2"/>
            <w:vAlign w:val="bottom"/>
          </w:tcPr>
          <w:p w14:paraId="270A147D" w14:textId="77777777" w:rsidR="003A2E3D" w:rsidRPr="00C65C3A" w:rsidRDefault="003A2E3D" w:rsidP="003A2E3D">
            <w:pPr>
              <w:pStyle w:val="TableDataEntries"/>
              <w:rPr>
                <w:szCs w:val="16"/>
              </w:rPr>
            </w:pPr>
            <w:r w:rsidRPr="00C65C3A">
              <w:rPr>
                <w:szCs w:val="16"/>
              </w:rPr>
              <w:t xml:space="preserve"> 8.60</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C0BB21" w14:textId="77777777" w:rsidR="003A2E3D" w:rsidRPr="00C65C3A" w:rsidRDefault="003A2E3D" w:rsidP="003A2E3D">
            <w:pPr>
              <w:pStyle w:val="TableDataEntries"/>
              <w:rPr>
                <w:szCs w:val="16"/>
              </w:rPr>
            </w:pPr>
            <w:r w:rsidRPr="00C65C3A">
              <w:rPr>
                <w:szCs w:val="16"/>
              </w:rPr>
              <w:t xml:space="preserve"> 31.84</w:t>
            </w:r>
          </w:p>
        </w:tc>
      </w:tr>
      <w:tr w:rsidR="003A2E3D" w14:paraId="1248F9C7" w14:textId="77777777" w:rsidTr="005B0289">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D11815" w14:textId="77777777" w:rsidR="003A2E3D" w:rsidRDefault="003A2E3D" w:rsidP="003A2E3D">
            <w:pPr>
              <w:pStyle w:val="TableDataEntries"/>
              <w:jc w:val="left"/>
              <w:rPr>
                <w:lang w:val="en-GB"/>
              </w:rPr>
            </w:pPr>
            <w:r>
              <w:rPr>
                <w:lang w:val="en-GB"/>
              </w:rPr>
              <w:t>Emergency department attendance</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958856" w14:textId="77777777" w:rsidR="003A2E3D" w:rsidRPr="00F36A14" w:rsidRDefault="003A2E3D" w:rsidP="003A2E3D">
            <w:pPr>
              <w:pStyle w:val="TableDataEntries"/>
            </w:pPr>
            <w:r w:rsidRPr="00F36A14">
              <w:t xml:space="preserve"> </w:t>
            </w:r>
            <w:r w:rsidRPr="00B52C4A">
              <w:t>0.00</w:t>
            </w:r>
          </w:p>
        </w:tc>
        <w:tc>
          <w:tcPr>
            <w:tcW w:w="1794" w:type="dxa"/>
            <w:tcBorders>
              <w:top w:val="single" w:sz="8" w:space="0" w:color="FFFFFF" w:themeColor="background1"/>
              <w:bottom w:val="single" w:sz="8" w:space="0" w:color="FFFFFF" w:themeColor="background1"/>
            </w:tcBorders>
            <w:shd w:val="clear" w:color="auto" w:fill="E9E8E5" w:themeFill="background2"/>
            <w:vAlign w:val="bottom"/>
          </w:tcPr>
          <w:p w14:paraId="7C9C399C" w14:textId="77777777" w:rsidR="003A2E3D" w:rsidRPr="00C65C3A" w:rsidRDefault="003A2E3D" w:rsidP="003A2E3D">
            <w:pPr>
              <w:pStyle w:val="TableDataEntries"/>
              <w:rPr>
                <w:szCs w:val="16"/>
              </w:rPr>
            </w:pPr>
            <w:r w:rsidRPr="00C65C3A">
              <w:rPr>
                <w:szCs w:val="16"/>
              </w:rPr>
              <w:t xml:space="preserve"> 0.71</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5B1BDF" w14:textId="77777777" w:rsidR="003A2E3D" w:rsidRPr="00C65C3A" w:rsidRDefault="003A2E3D" w:rsidP="003A2E3D">
            <w:pPr>
              <w:pStyle w:val="TableDataEntries"/>
              <w:rPr>
                <w:szCs w:val="16"/>
              </w:rPr>
            </w:pPr>
            <w:r w:rsidRPr="00C65C3A">
              <w:rPr>
                <w:szCs w:val="16"/>
              </w:rPr>
              <w:t xml:space="preserve"> 2.63</w:t>
            </w:r>
          </w:p>
        </w:tc>
      </w:tr>
      <w:tr w:rsidR="003A2E3D" w14:paraId="62C07A62" w14:textId="77777777" w:rsidTr="00C65C3A">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A310E0" w14:textId="77777777" w:rsidR="003A2E3D" w:rsidRDefault="003A2E3D" w:rsidP="003A2E3D">
            <w:pPr>
              <w:pStyle w:val="TableDataEntries"/>
              <w:jc w:val="left"/>
              <w:rPr>
                <w:lang w:val="en-GB"/>
              </w:rPr>
            </w:pPr>
            <w:r>
              <w:rPr>
                <w:lang w:val="en-GB"/>
              </w:rPr>
              <w:t>Non-hospital treatment</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CB2316" w14:textId="77777777" w:rsidR="003A2E3D" w:rsidRPr="00F36A14" w:rsidRDefault="003A2E3D" w:rsidP="003A2E3D">
            <w:pPr>
              <w:pStyle w:val="TableDataEntries"/>
            </w:pPr>
            <w:r w:rsidRPr="00F36A14">
              <w:t xml:space="preserve"> </w:t>
            </w:r>
            <w:r w:rsidRPr="00B52C4A">
              <w:t>0.00</w:t>
            </w:r>
          </w:p>
        </w:tc>
        <w:tc>
          <w:tcPr>
            <w:tcW w:w="1794" w:type="dxa"/>
            <w:tcBorders>
              <w:top w:val="single" w:sz="8" w:space="0" w:color="FFFFFF" w:themeColor="background1"/>
              <w:bottom w:val="single" w:sz="8" w:space="0" w:color="FFFFFF" w:themeColor="background1"/>
            </w:tcBorders>
            <w:shd w:val="clear" w:color="auto" w:fill="E9E8E5" w:themeFill="background2"/>
            <w:vAlign w:val="bottom"/>
          </w:tcPr>
          <w:p w14:paraId="620DE84B" w14:textId="77777777" w:rsidR="003A2E3D" w:rsidRPr="00C65C3A" w:rsidRDefault="003A2E3D" w:rsidP="003A2E3D">
            <w:pPr>
              <w:pStyle w:val="TableDataEntries"/>
              <w:rPr>
                <w:szCs w:val="16"/>
              </w:rPr>
            </w:pPr>
            <w:r w:rsidRPr="00C65C3A">
              <w:rPr>
                <w:szCs w:val="16"/>
              </w:rPr>
              <w:t xml:space="preserve"> 0.58</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957543" w14:textId="77777777" w:rsidR="003A2E3D" w:rsidRPr="00C65C3A" w:rsidRDefault="003A2E3D" w:rsidP="003A2E3D">
            <w:pPr>
              <w:pStyle w:val="TableDataEntries"/>
              <w:rPr>
                <w:szCs w:val="16"/>
              </w:rPr>
            </w:pPr>
            <w:r w:rsidRPr="00C65C3A">
              <w:rPr>
                <w:szCs w:val="16"/>
              </w:rPr>
              <w:t xml:space="preserve"> 2.15</w:t>
            </w:r>
          </w:p>
        </w:tc>
      </w:tr>
      <w:tr w:rsidR="003A2E3D" w:rsidRPr="005F4D37" w14:paraId="10175F1E" w14:textId="77777777" w:rsidTr="005B0289">
        <w:trPr>
          <w:trHeight w:val="230"/>
        </w:trPr>
        <w:tc>
          <w:tcPr>
            <w:tcW w:w="26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D23E2C9" w14:textId="77777777" w:rsidR="003A2E3D" w:rsidRPr="005F4D37" w:rsidRDefault="003A2E3D" w:rsidP="003A2E3D">
            <w:pPr>
              <w:pStyle w:val="TableDataEntries"/>
              <w:jc w:val="left"/>
              <w:rPr>
                <w:rFonts w:ascii="Franklin Gothic Demi" w:hAnsi="Franklin Gothic Demi"/>
                <w:lang w:val="en-GB"/>
              </w:rPr>
            </w:pPr>
            <w:r w:rsidRPr="005F4D37">
              <w:rPr>
                <w:rFonts w:ascii="Franklin Gothic Demi" w:hAnsi="Franklin Gothic Demi"/>
                <w:lang w:val="en-GB"/>
              </w:rPr>
              <w:t>Total</w:t>
            </w:r>
          </w:p>
        </w:tc>
        <w:tc>
          <w:tcPr>
            <w:tcW w:w="177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4C0030D" w14:textId="77777777" w:rsidR="003A2E3D" w:rsidRPr="005F4D37" w:rsidRDefault="003A2E3D" w:rsidP="003A2E3D">
            <w:pPr>
              <w:pStyle w:val="TableDataEntries"/>
              <w:rPr>
                <w:rFonts w:ascii="Franklin Gothic Demi" w:hAnsi="Franklin Gothic Demi"/>
              </w:rPr>
            </w:pPr>
            <w:r>
              <w:rPr>
                <w:rFonts w:ascii="Franklin Gothic Demi" w:hAnsi="Franklin Gothic Demi"/>
              </w:rPr>
              <w:t>0.00</w:t>
            </w:r>
          </w:p>
        </w:tc>
        <w:tc>
          <w:tcPr>
            <w:tcW w:w="1794" w:type="dxa"/>
            <w:tcBorders>
              <w:top w:val="single" w:sz="8" w:space="0" w:color="FFFFFF" w:themeColor="background1"/>
              <w:bottom w:val="single" w:sz="6" w:space="0" w:color="6F6652"/>
            </w:tcBorders>
            <w:shd w:val="clear" w:color="auto" w:fill="C2DADB" w:themeFill="accent6" w:themeFillTint="99"/>
            <w:vAlign w:val="bottom"/>
          </w:tcPr>
          <w:p w14:paraId="4541CEE2" w14:textId="77777777" w:rsidR="003A2E3D" w:rsidRPr="00C65C3A" w:rsidRDefault="003A2E3D" w:rsidP="003A2E3D">
            <w:pPr>
              <w:pStyle w:val="TableDataEntries"/>
              <w:rPr>
                <w:rFonts w:ascii="Franklin Gothic Demi" w:hAnsi="Franklin Gothic Demi"/>
                <w:szCs w:val="16"/>
              </w:rPr>
            </w:pPr>
            <w:r w:rsidRPr="00C65C3A">
              <w:rPr>
                <w:rFonts w:ascii="Franklin Gothic Demi" w:hAnsi="Franklin Gothic Demi"/>
                <w:szCs w:val="16"/>
              </w:rPr>
              <w:t xml:space="preserve"> 154.14</w:t>
            </w:r>
          </w:p>
        </w:tc>
        <w:tc>
          <w:tcPr>
            <w:tcW w:w="176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8AA80AF" w14:textId="77777777" w:rsidR="003A2E3D" w:rsidRPr="00C65C3A" w:rsidRDefault="003A2E3D" w:rsidP="003A2E3D">
            <w:pPr>
              <w:pStyle w:val="TableDataEntries"/>
              <w:rPr>
                <w:rFonts w:ascii="Franklin Gothic Demi" w:hAnsi="Franklin Gothic Demi"/>
                <w:szCs w:val="16"/>
              </w:rPr>
            </w:pPr>
            <w:r w:rsidRPr="00C65C3A">
              <w:rPr>
                <w:rFonts w:ascii="Franklin Gothic Demi" w:hAnsi="Franklin Gothic Demi"/>
                <w:szCs w:val="16"/>
              </w:rPr>
              <w:t xml:space="preserve"> 570.30</w:t>
            </w:r>
          </w:p>
        </w:tc>
      </w:tr>
    </w:tbl>
    <w:p w14:paraId="6BA8B572" w14:textId="77777777" w:rsidR="00E4023A" w:rsidRDefault="00E4023A" w:rsidP="00E4023A">
      <w:pPr>
        <w:pStyle w:val="Source"/>
        <w:rPr>
          <w:lang w:bidi="fa-IR"/>
        </w:rPr>
      </w:pPr>
      <w:r w:rsidRPr="002474D4">
        <w:rPr>
          <w:lang w:bidi="fa-IR"/>
        </w:rPr>
        <w:t>Source:</w:t>
      </w:r>
      <w:r>
        <w:rPr>
          <w:lang w:bidi="fa-IR"/>
        </w:rPr>
        <w:t xml:space="preserve"> CIE estimates (see appendix A for further details).</w:t>
      </w:r>
    </w:p>
    <w:p w14:paraId="4245D56B" w14:textId="77777777" w:rsidR="00E4023A" w:rsidRDefault="00E4023A" w:rsidP="00E4023A">
      <w:pPr>
        <w:pStyle w:val="Heading3"/>
        <w:numPr>
          <w:ilvl w:val="2"/>
          <w:numId w:val="5"/>
        </w:numPr>
        <w:rPr>
          <w:lang w:eastAsia="en-US" w:bidi="fa-IR"/>
        </w:rPr>
      </w:pPr>
      <w:bookmarkStart w:id="221" w:name="_Ref56614848"/>
      <w:r>
        <w:rPr>
          <w:lang w:eastAsia="en-US" w:bidi="fa-IR"/>
        </w:rPr>
        <w:t>The cost of additional assistance</w:t>
      </w:r>
      <w:bookmarkEnd w:id="221"/>
    </w:p>
    <w:p w14:paraId="0C193F38" w14:textId="77777777" w:rsidR="00E4023A" w:rsidRDefault="00E4023A" w:rsidP="00E4023A">
      <w:pPr>
        <w:pStyle w:val="BodyText"/>
        <w:rPr>
          <w:lang w:eastAsia="en-US" w:bidi="fa-IR"/>
        </w:rPr>
      </w:pPr>
      <w:r>
        <w:rPr>
          <w:lang w:eastAsia="en-US" w:bidi="fa-IR"/>
        </w:rPr>
        <w:t xml:space="preserve">Where people with </w:t>
      </w:r>
      <w:r w:rsidR="00D870C0">
        <w:rPr>
          <w:lang w:eastAsia="en-US" w:bidi="fa-IR"/>
        </w:rPr>
        <w:t xml:space="preserve">disability </w:t>
      </w:r>
      <w:r>
        <w:rPr>
          <w:lang w:eastAsia="en-US" w:bidi="fa-IR"/>
        </w:rPr>
        <w:t>remain in housing that does not meet their accessibility needs, they may also have an increased need for assistance/care</w:t>
      </w:r>
      <w:r w:rsidR="00C31BC3">
        <w:rPr>
          <w:lang w:eastAsia="en-US" w:bidi="fa-IR"/>
        </w:rPr>
        <w:t>. This</w:t>
      </w:r>
      <w:r>
        <w:rPr>
          <w:lang w:eastAsia="en-US" w:bidi="fa-IR"/>
        </w:rPr>
        <w:t xml:space="preserve"> includ</w:t>
      </w:r>
      <w:r w:rsidR="00C31BC3">
        <w:rPr>
          <w:lang w:eastAsia="en-US" w:bidi="fa-IR"/>
        </w:rPr>
        <w:t>es</w:t>
      </w:r>
      <w:r>
        <w:rPr>
          <w:lang w:eastAsia="en-US" w:bidi="fa-IR"/>
        </w:rPr>
        <w:t xml:space="preserve"> both formal care and informal care provided by family and friends.</w:t>
      </w:r>
    </w:p>
    <w:p w14:paraId="3F9AF68D" w14:textId="478A3235" w:rsidR="00AB489E" w:rsidRDefault="00AB489E" w:rsidP="00AB489E">
      <w:pPr>
        <w:pStyle w:val="BodyText"/>
        <w:rPr>
          <w:lang w:eastAsia="en-US" w:bidi="fa-IR"/>
        </w:rPr>
      </w:pPr>
      <w:r>
        <w:rPr>
          <w:lang w:eastAsia="en-US" w:bidi="fa-IR"/>
        </w:rPr>
        <w:lastRenderedPageBreak/>
        <w:t xml:space="preserve">A higher share of respondents to the MDI survey that were living in </w:t>
      </w:r>
      <w:r w:rsidR="00DF61D3">
        <w:rPr>
          <w:lang w:eastAsia="en-US" w:bidi="fa-IR"/>
        </w:rPr>
        <w:t xml:space="preserve">an </w:t>
      </w:r>
      <w:r>
        <w:rPr>
          <w:lang w:eastAsia="en-US" w:bidi="fa-IR"/>
        </w:rPr>
        <w:t>inaccessible home indicated that their need for paid disability support had increased due to the design of their current home compared to those living in accessible homes (chart </w:t>
      </w:r>
      <w:r w:rsidR="00587754">
        <w:rPr>
          <w:lang w:eastAsia="en-US" w:bidi="fa-IR"/>
        </w:rPr>
        <w:t>3.23</w:t>
      </w:r>
      <w:r>
        <w:rPr>
          <w:lang w:eastAsia="en-US" w:bidi="fa-IR"/>
        </w:rPr>
        <w:t>).</w:t>
      </w:r>
    </w:p>
    <w:p w14:paraId="36F14355" w14:textId="3F5B6E75" w:rsidR="00AB489E" w:rsidRDefault="00076C9B" w:rsidP="00AB489E">
      <w:pPr>
        <w:pStyle w:val="Caption"/>
      </w:pPr>
      <w:bookmarkStart w:id="222" w:name="_Toc57643606"/>
      <w:bookmarkStart w:id="223" w:name="_Toc70505522"/>
      <w:r>
        <w:t>3.23</w:t>
      </w:r>
      <w:r w:rsidR="00AB489E" w:rsidRPr="00695C93">
        <w:tab/>
      </w:r>
      <w:r w:rsidR="00AB489E">
        <w:t>Share of respondents with increasing need for paid disability support</w:t>
      </w:r>
      <w:bookmarkEnd w:id="222"/>
      <w:bookmarkEnd w:id="223"/>
    </w:p>
    <w:p w14:paraId="60B0F1FD" w14:textId="77777777" w:rsidR="00233C02" w:rsidRPr="00233C02" w:rsidRDefault="00233C02" w:rsidP="00233C02">
      <w:pPr>
        <w:pStyle w:val="Subtitlebox"/>
      </w:pPr>
      <w:r w:rsidRPr="005528F5">
        <w:rPr>
          <w:noProof/>
        </w:rPr>
        <w:drawing>
          <wp:inline distT="0" distB="0" distL="0" distR="0" wp14:anchorId="6925CF20" wp14:editId="6A87E367">
            <wp:extent cx="5035550" cy="2432050"/>
            <wp:effectExtent l="76200" t="76200" r="69850" b="82550"/>
            <wp:docPr id="35" name="Picture 35" descr="This bar graph shows the percentages of people with low support needs and high support needs who require paid disability support in their current home. The requirement for paid disability support is much higher in an inaccessible home than in an accessible home, in both categories. For people with high support needs, the need for paid disability support is more than double (over 65%) in an inaccessible home." title="Chart 3.23: Share of respondents with increasing need for paid disabilit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76200">
                      <a:solidFill>
                        <a:schemeClr val="bg2"/>
                      </a:solidFill>
                    </a:ln>
                  </pic:spPr>
                </pic:pic>
              </a:graphicData>
            </a:graphic>
          </wp:inline>
        </w:drawing>
      </w:r>
    </w:p>
    <w:p w14:paraId="7F405624" w14:textId="77777777" w:rsidR="00B3197F" w:rsidRDefault="00B3197F" w:rsidP="00B3197F">
      <w:pPr>
        <w:pStyle w:val="Source"/>
        <w:rPr>
          <w:lang w:bidi="fa-IR"/>
        </w:rPr>
      </w:pPr>
      <w:r w:rsidRPr="002474D4">
        <w:rPr>
          <w:lang w:bidi="fa-IR"/>
        </w:rPr>
        <w:t>Data source:</w:t>
      </w:r>
      <w:r>
        <w:rPr>
          <w:lang w:bidi="fa-IR"/>
        </w:rPr>
        <w:t xml:space="preserve"> Wiesel, I. </w:t>
      </w:r>
      <w:r w:rsidRPr="002474D4">
        <w:rPr>
          <w:lang w:bidi="fa-IR"/>
        </w:rPr>
        <w:t>Lived experience and social, health and economic impacts of inaccessible housing</w:t>
      </w:r>
      <w:r>
        <w:rPr>
          <w:lang w:bidi="fa-IR"/>
        </w:rPr>
        <w:t>, prepared for the Melbourne Disability Institute, University of Melbourne and the Summer Foundation, 18 August 2020, as Appendix 2 of the submission by Melbourne Disability Institute (MDI) and Summer Foundation.</w:t>
      </w:r>
    </w:p>
    <w:p w14:paraId="62359E1C" w14:textId="2973BA4A" w:rsidR="004F6FF2" w:rsidRDefault="004F6FF2" w:rsidP="004F6FF2">
      <w:pPr>
        <w:pStyle w:val="BodyText"/>
        <w:rPr>
          <w:lang w:eastAsia="en-US" w:bidi="fa-IR"/>
        </w:rPr>
      </w:pPr>
      <w:r>
        <w:rPr>
          <w:lang w:eastAsia="en-US" w:bidi="fa-IR"/>
        </w:rPr>
        <w:t>Similarly, a higher share of respondents living in inaccessible homes indicated that their need for informal care had increased due to the design of their current home compared to those living in accessible homes (chart </w:t>
      </w:r>
      <w:r w:rsidR="00587754">
        <w:rPr>
          <w:lang w:eastAsia="en-US" w:bidi="fa-IR"/>
        </w:rPr>
        <w:t>3.24</w:t>
      </w:r>
      <w:r>
        <w:rPr>
          <w:lang w:eastAsia="en-US" w:bidi="fa-IR"/>
        </w:rPr>
        <w:t>).</w:t>
      </w:r>
    </w:p>
    <w:p w14:paraId="3DFF7BE7" w14:textId="09834D81" w:rsidR="004F6FF2" w:rsidRDefault="00076C9B" w:rsidP="004F6FF2">
      <w:pPr>
        <w:pStyle w:val="Caption"/>
      </w:pPr>
      <w:bookmarkStart w:id="224" w:name="_Toc57643607"/>
      <w:bookmarkStart w:id="225" w:name="_Toc70505523"/>
      <w:r>
        <w:t>3.24</w:t>
      </w:r>
      <w:r w:rsidR="004F6FF2" w:rsidRPr="00695C93">
        <w:tab/>
      </w:r>
      <w:r w:rsidR="004F6FF2">
        <w:t>Share of respondents with increasing need for informal care</w:t>
      </w:r>
      <w:bookmarkEnd w:id="224"/>
      <w:bookmarkEnd w:id="225"/>
    </w:p>
    <w:p w14:paraId="0D411DB2" w14:textId="77777777" w:rsidR="00233C02" w:rsidRDefault="00233C02" w:rsidP="00233C02">
      <w:pPr>
        <w:pStyle w:val="Subtitlebox"/>
      </w:pPr>
      <w:r w:rsidRPr="005528F5">
        <w:rPr>
          <w:noProof/>
        </w:rPr>
        <w:drawing>
          <wp:inline distT="0" distB="0" distL="0" distR="0" wp14:anchorId="7A2BCC04" wp14:editId="7D3EC157">
            <wp:extent cx="5035550" cy="2432050"/>
            <wp:effectExtent l="76200" t="76200" r="69850" b="82550"/>
            <wp:docPr id="36" name="Picture 36" descr="This bar graph shows a much higher need for informal care in inaccessible homes. For people with low support needs, the need for informal care more than doubles. For people with high support needs, the increase is even higher." title="Chart 3.24: Share of respondents with increasing need for inform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76200">
                      <a:solidFill>
                        <a:schemeClr val="bg2"/>
                      </a:solidFill>
                    </a:ln>
                  </pic:spPr>
                </pic:pic>
              </a:graphicData>
            </a:graphic>
          </wp:inline>
        </w:drawing>
      </w:r>
    </w:p>
    <w:p w14:paraId="161CE1CD" w14:textId="77777777" w:rsidR="00B3197F" w:rsidRDefault="00B3197F" w:rsidP="00B3197F">
      <w:pPr>
        <w:pStyle w:val="Source"/>
        <w:rPr>
          <w:lang w:bidi="fa-IR"/>
        </w:rPr>
      </w:pPr>
      <w:r w:rsidRPr="002474D4">
        <w:rPr>
          <w:lang w:bidi="fa-IR"/>
        </w:rPr>
        <w:t>Data source:</w:t>
      </w:r>
      <w:r>
        <w:rPr>
          <w:lang w:bidi="fa-IR"/>
        </w:rPr>
        <w:t xml:space="preserve"> Wiesel, I. </w:t>
      </w:r>
      <w:r w:rsidRPr="002474D4">
        <w:rPr>
          <w:lang w:bidi="fa-IR"/>
        </w:rPr>
        <w:t>Lived experience and social, health and economic impacts of inaccessible housing</w:t>
      </w:r>
      <w:r>
        <w:rPr>
          <w:lang w:bidi="fa-IR"/>
        </w:rPr>
        <w:t>, prepared for the Melbourne Disability Institute, University of Melbourne and the Summer Foundation, 18 August 2020, as Appendix 2 of the submission by Melbourne Disability Institute (MDI) and Summer Foundation.</w:t>
      </w:r>
    </w:p>
    <w:p w14:paraId="6D0F286C" w14:textId="0DF9F6A1" w:rsidR="007A64B0" w:rsidRDefault="007A64B0" w:rsidP="007A64B0">
      <w:pPr>
        <w:pStyle w:val="BodyText"/>
        <w:rPr>
          <w:lang w:eastAsia="en-US" w:bidi="fa-IR"/>
        </w:rPr>
      </w:pPr>
      <w:r>
        <w:rPr>
          <w:lang w:eastAsia="en-US" w:bidi="fa-IR"/>
        </w:rPr>
        <w:lastRenderedPageBreak/>
        <w:t xml:space="preserve">Evidence of additional care needs as a direct result of inaccessible housing was </w:t>
      </w:r>
      <w:r w:rsidR="00DF61D3">
        <w:rPr>
          <w:lang w:eastAsia="en-US" w:bidi="fa-IR"/>
        </w:rPr>
        <w:t xml:space="preserve">also </w:t>
      </w:r>
      <w:r>
        <w:rPr>
          <w:lang w:eastAsia="en-US" w:bidi="fa-IR"/>
        </w:rPr>
        <w:t>presented in submissions (see box</w:t>
      </w:r>
      <w:r w:rsidR="00587754">
        <w:rPr>
          <w:lang w:eastAsia="en-US" w:bidi="fa-IR"/>
        </w:rPr>
        <w:t xml:space="preserve"> 3.25</w:t>
      </w:r>
      <w:r>
        <w:rPr>
          <w:lang w:eastAsia="en-US" w:bidi="fa-IR"/>
        </w:rPr>
        <w:t>).</w:t>
      </w:r>
    </w:p>
    <w:p w14:paraId="798EA4DA" w14:textId="77777777" w:rsidR="007A64B0" w:rsidRDefault="007A64B0" w:rsidP="007A64B0">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25: Lived experience — additional care"/>
        <w:tblDescription w:val="Case study of a person with cerebral palsy who lives in a social housing unit. The shower is over a bathtub, and NDIS funding of about $25,000 a year is required for paid support to supervise showering. An accessible shower would avoid this cost."/>
      </w:tblPr>
      <w:tblGrid>
        <w:gridCol w:w="7938"/>
      </w:tblGrid>
      <w:tr w:rsidR="007A64B0" w:rsidRPr="00E05C8C" w14:paraId="5CAC8EDF" w14:textId="77777777" w:rsidTr="00757632">
        <w:trPr>
          <w:cantSplit/>
        </w:trPr>
        <w:tc>
          <w:tcPr>
            <w:tcW w:w="7938" w:type="dxa"/>
            <w:tcBorders>
              <w:top w:val="nil"/>
              <w:left w:val="nil"/>
              <w:bottom w:val="nil"/>
              <w:right w:val="nil"/>
            </w:tcBorders>
            <w:shd w:val="clear" w:color="auto" w:fill="C6BFAB" w:themeFill="accent3"/>
          </w:tcPr>
          <w:p w14:paraId="70573581" w14:textId="57BE7070" w:rsidR="007A64B0" w:rsidRPr="00E05C8C" w:rsidRDefault="00076C9B" w:rsidP="007A64B0">
            <w:pPr>
              <w:pStyle w:val="Caption"/>
              <w:numPr>
                <w:ilvl w:val="0"/>
                <w:numId w:val="13"/>
              </w:numPr>
              <w:spacing w:before="120" w:after="100"/>
            </w:pPr>
            <w:bookmarkStart w:id="226" w:name="_Ref56625653"/>
            <w:bookmarkStart w:id="227" w:name="_Toc70505524"/>
            <w:r>
              <w:t>3.25</w:t>
            </w:r>
            <w:bookmarkStart w:id="228" w:name="_Toc57643608"/>
            <w:r w:rsidR="007A64B0" w:rsidRPr="00E05C8C">
              <w:tab/>
            </w:r>
            <w:r w:rsidR="007A64B0">
              <w:t>Lived experience — additional care</w:t>
            </w:r>
            <w:bookmarkEnd w:id="226"/>
            <w:bookmarkEnd w:id="227"/>
            <w:bookmarkEnd w:id="228"/>
          </w:p>
        </w:tc>
      </w:tr>
      <w:tr w:rsidR="007A64B0" w14:paraId="756B1796" w14:textId="77777777" w:rsidTr="00757632">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62F1E856" w14:textId="77777777" w:rsidR="007A64B0" w:rsidRPr="00BF2F67" w:rsidRDefault="007A64B0" w:rsidP="00757632">
            <w:pPr>
              <w:pStyle w:val="BodyText"/>
            </w:pPr>
            <w:r>
              <w:t>One of the case studies in the submission from the Summer Foundation and the Melbourne Disability Institute — Miriam’s story — provides direct evidence of inaccessible housing significantly increasing the need for paid support. Miriam has cerebral palsy and lives in social housing unit. The shower is over a bathtub and Miriam cannot use it safely without support. As a result, Miriam requires paid support to supervise her showering (funded through the NDIS). This equates to an additional cost of around $25 000 per year that would be avoided through an accessible shower.</w:t>
            </w:r>
            <w:r>
              <w:rPr>
                <w:rStyle w:val="FootnoteReference"/>
              </w:rPr>
              <w:footnoteReference w:id="105"/>
            </w:r>
          </w:p>
        </w:tc>
      </w:tr>
      <w:tr w:rsidR="007A64B0" w14:paraId="2337366F" w14:textId="77777777" w:rsidTr="00757632">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2874C85C" w14:textId="77777777" w:rsidR="007A64B0" w:rsidRDefault="007A64B0" w:rsidP="00757632"/>
        </w:tc>
      </w:tr>
    </w:tbl>
    <w:p w14:paraId="182FFEF8" w14:textId="77777777" w:rsidR="00F74635" w:rsidRDefault="00F74635" w:rsidP="00F74635">
      <w:pPr>
        <w:pStyle w:val="BodyText"/>
        <w:rPr>
          <w:lang w:eastAsia="en-US" w:bidi="fa-IR"/>
        </w:rPr>
      </w:pPr>
      <w:r>
        <w:rPr>
          <w:lang w:eastAsia="en-US" w:bidi="fa-IR"/>
        </w:rPr>
        <w:t>This section focuses on estimating the cost of the additional time spent caring for people with mobility and self</w:t>
      </w:r>
      <w:r>
        <w:rPr>
          <w:lang w:eastAsia="en-US" w:bidi="fa-IR"/>
        </w:rPr>
        <w:noBreakHyphen/>
        <w:t>care limitations as a result of inaccessible housing (i.e. the opportunity cost of the carer’s time). In some cases, the need for additional care also reduces independence and quality of life of the recipient. These costs are estimated in the section on ‘quality of life’.</w:t>
      </w:r>
    </w:p>
    <w:p w14:paraId="04551DE1" w14:textId="77777777" w:rsidR="00F74635" w:rsidRDefault="00F74635" w:rsidP="00F74635">
      <w:pPr>
        <w:pStyle w:val="BodyText"/>
        <w:rPr>
          <w:lang w:eastAsia="en-US" w:bidi="fa-IR"/>
        </w:rPr>
      </w:pPr>
      <w:r>
        <w:rPr>
          <w:lang w:eastAsia="en-US" w:bidi="fa-IR"/>
        </w:rPr>
        <w:t xml:space="preserve">In the Consultation RIS, the estimated costs associated with additional care was based on the number of people with mobility limitations only. However, several stakeholders (including ANUHD), </w:t>
      </w:r>
      <w:r w:rsidR="003E3009">
        <w:rPr>
          <w:lang w:eastAsia="en-US" w:bidi="fa-IR"/>
        </w:rPr>
        <w:t xml:space="preserve">suggested </w:t>
      </w:r>
      <w:r>
        <w:rPr>
          <w:lang w:eastAsia="en-US" w:bidi="fa-IR"/>
        </w:rPr>
        <w:t>this excluded people requiring assistance with bathing and showering, and toileting that would benefit from more accessible showers and toilets.</w:t>
      </w:r>
      <w:r>
        <w:rPr>
          <w:rStyle w:val="FootnoteReference"/>
          <w:lang w:eastAsia="en-US" w:bidi="fa-IR"/>
        </w:rPr>
        <w:footnoteReference w:id="106"/>
      </w:r>
      <w:r>
        <w:rPr>
          <w:lang w:eastAsia="en-US" w:bidi="fa-IR"/>
        </w:rPr>
        <w:t xml:space="preserve"> Some stakeholders also argued that the time spent by family and friends caring for people with </w:t>
      </w:r>
      <w:r w:rsidR="00D870C0">
        <w:rPr>
          <w:lang w:eastAsia="en-US" w:bidi="fa-IR"/>
        </w:rPr>
        <w:t xml:space="preserve">disability </w:t>
      </w:r>
      <w:r>
        <w:rPr>
          <w:lang w:eastAsia="en-US" w:bidi="fa-IR"/>
        </w:rPr>
        <w:t>(i.e. informal care) had been undervalued at the minimum wage.</w:t>
      </w:r>
      <w:r>
        <w:rPr>
          <w:rStyle w:val="FootnoteReference"/>
          <w:lang w:eastAsia="en-US" w:bidi="fa-IR"/>
        </w:rPr>
        <w:footnoteReference w:id="107"/>
      </w:r>
    </w:p>
    <w:p w14:paraId="5067F38A" w14:textId="77777777" w:rsidR="00283817" w:rsidRDefault="00283817" w:rsidP="00E4023A">
      <w:pPr>
        <w:pStyle w:val="BodyText"/>
        <w:rPr>
          <w:lang w:eastAsia="en-US" w:bidi="fa-IR"/>
        </w:rPr>
      </w:pPr>
      <w:r>
        <w:rPr>
          <w:lang w:eastAsia="en-US" w:bidi="fa-IR"/>
        </w:rPr>
        <w:t>To address these issues</w:t>
      </w:r>
      <w:r w:rsidR="00A50FB9">
        <w:rPr>
          <w:lang w:eastAsia="en-US" w:bidi="fa-IR"/>
        </w:rPr>
        <w:t xml:space="preserve"> the following adjustments</w:t>
      </w:r>
      <w:r w:rsidR="00760C0A">
        <w:rPr>
          <w:lang w:eastAsia="en-US" w:bidi="fa-IR"/>
        </w:rPr>
        <w:t xml:space="preserve"> </w:t>
      </w:r>
      <w:r w:rsidR="00DF61D3">
        <w:rPr>
          <w:lang w:eastAsia="en-US" w:bidi="fa-IR"/>
        </w:rPr>
        <w:t>have been</w:t>
      </w:r>
      <w:r w:rsidR="00760C0A">
        <w:rPr>
          <w:lang w:eastAsia="en-US" w:bidi="fa-IR"/>
        </w:rPr>
        <w:t xml:space="preserve"> made</w:t>
      </w:r>
      <w:r w:rsidR="00A50FB9">
        <w:rPr>
          <w:lang w:eastAsia="en-US" w:bidi="fa-IR"/>
        </w:rPr>
        <w:t>.</w:t>
      </w:r>
    </w:p>
    <w:p w14:paraId="3EF6D4D1" w14:textId="77777777" w:rsidR="00A50FB9" w:rsidRDefault="00654F10" w:rsidP="000E4B3F">
      <w:pPr>
        <w:pStyle w:val="ListBullet"/>
        <w:rPr>
          <w:lang w:eastAsia="en-US" w:bidi="fa-IR"/>
        </w:rPr>
      </w:pPr>
      <w:r>
        <w:rPr>
          <w:lang w:eastAsia="en-US" w:bidi="fa-IR"/>
        </w:rPr>
        <w:t>The number of</w:t>
      </w:r>
      <w:r w:rsidR="00A50FB9">
        <w:rPr>
          <w:lang w:eastAsia="en-US" w:bidi="fa-IR"/>
        </w:rPr>
        <w:t xml:space="preserve"> people requiring assistance with bathing and showering and toileting</w:t>
      </w:r>
      <w:r>
        <w:rPr>
          <w:lang w:eastAsia="en-US" w:bidi="fa-IR"/>
        </w:rPr>
        <w:t xml:space="preserve"> have now been included.</w:t>
      </w:r>
    </w:p>
    <w:p w14:paraId="1E4F2E0B" w14:textId="77777777" w:rsidR="00A50FB9" w:rsidRDefault="00D078DF" w:rsidP="000E4B3F">
      <w:pPr>
        <w:pStyle w:val="ListBullet"/>
        <w:rPr>
          <w:lang w:eastAsia="en-US" w:bidi="fa-IR"/>
        </w:rPr>
      </w:pPr>
      <w:r>
        <w:rPr>
          <w:lang w:eastAsia="en-US" w:bidi="fa-IR"/>
        </w:rPr>
        <w:t>I</w:t>
      </w:r>
      <w:r w:rsidR="00A50FB9">
        <w:rPr>
          <w:lang w:eastAsia="en-US" w:bidi="fa-IR"/>
        </w:rPr>
        <w:t>nformal care</w:t>
      </w:r>
      <w:r>
        <w:rPr>
          <w:lang w:eastAsia="en-US" w:bidi="fa-IR"/>
        </w:rPr>
        <w:t xml:space="preserve"> is valued </w:t>
      </w:r>
      <w:r w:rsidR="00A50FB9">
        <w:rPr>
          <w:lang w:eastAsia="en-US" w:bidi="fa-IR"/>
        </w:rPr>
        <w:t xml:space="preserve">based on current </w:t>
      </w:r>
      <w:r w:rsidR="000E4B3F">
        <w:rPr>
          <w:lang w:eastAsia="en-US" w:bidi="fa-IR"/>
        </w:rPr>
        <w:t>wage rates of aged care workers, which is around $22.85 per hour (based on Sydney</w:t>
      </w:r>
      <w:r w:rsidR="00654F10">
        <w:rPr>
          <w:lang w:eastAsia="en-US" w:bidi="fa-IR"/>
        </w:rPr>
        <w:t xml:space="preserve"> hourly rates</w:t>
      </w:r>
      <w:r w:rsidR="000E4B3F">
        <w:rPr>
          <w:lang w:eastAsia="en-US" w:bidi="fa-IR"/>
        </w:rPr>
        <w:t>).</w:t>
      </w:r>
    </w:p>
    <w:p w14:paraId="5EA626D9" w14:textId="0105216C" w:rsidR="00C31BC3" w:rsidRDefault="000E4B3F" w:rsidP="00E4023A">
      <w:pPr>
        <w:pStyle w:val="BodyText"/>
        <w:rPr>
          <w:lang w:val="en-GB"/>
        </w:rPr>
      </w:pPr>
      <w:r>
        <w:rPr>
          <w:lang w:bidi="fa-IR"/>
        </w:rPr>
        <w:t xml:space="preserve">Under these revised assumptions, </w:t>
      </w:r>
      <w:r w:rsidR="00760C0A">
        <w:rPr>
          <w:lang w:bidi="fa-IR"/>
        </w:rPr>
        <w:t>it is</w:t>
      </w:r>
      <w:r w:rsidR="00760C0A" w:rsidRPr="00E4099A">
        <w:rPr>
          <w:lang w:bidi="fa-IR"/>
        </w:rPr>
        <w:t xml:space="preserve"> </w:t>
      </w:r>
      <w:r w:rsidR="00E4023A" w:rsidRPr="00E4099A">
        <w:rPr>
          <w:lang w:bidi="fa-IR"/>
        </w:rPr>
        <w:t>estimate</w:t>
      </w:r>
      <w:r w:rsidR="00760C0A">
        <w:rPr>
          <w:lang w:bidi="fa-IR"/>
        </w:rPr>
        <w:t>d</w:t>
      </w:r>
      <w:r w:rsidR="00E4023A" w:rsidRPr="00E4099A">
        <w:rPr>
          <w:lang w:bidi="fa-IR"/>
        </w:rPr>
        <w:t xml:space="preserve"> that the additional cost of carers — including both formal and informal carers — that can be attributable to inaccessible housing could </w:t>
      </w:r>
      <w:r w:rsidR="00E4023A">
        <w:rPr>
          <w:lang w:bidi="fa-IR"/>
        </w:rPr>
        <w:t>be around $</w:t>
      </w:r>
      <w:r>
        <w:rPr>
          <w:lang w:bidi="fa-IR"/>
        </w:rPr>
        <w:t>938.5</w:t>
      </w:r>
      <w:r w:rsidR="00E4023A">
        <w:rPr>
          <w:lang w:bidi="fa-IR"/>
        </w:rPr>
        <w:t xml:space="preserve"> million </w:t>
      </w:r>
      <w:r w:rsidR="00E4023A" w:rsidRPr="00E4099A">
        <w:rPr>
          <w:lang w:bidi="fa-IR"/>
        </w:rPr>
        <w:t>per year</w:t>
      </w:r>
      <w:r w:rsidR="00E4023A">
        <w:rPr>
          <w:lang w:bidi="fa-IR"/>
        </w:rPr>
        <w:t xml:space="preserve"> (table </w:t>
      </w:r>
      <w:r w:rsidR="00587754">
        <w:rPr>
          <w:lang w:bidi="fa-IR"/>
        </w:rPr>
        <w:t>3.26</w:t>
      </w:r>
      <w:r w:rsidR="00E4023A">
        <w:rPr>
          <w:lang w:bidi="fa-IR"/>
        </w:rPr>
        <w:t>)</w:t>
      </w:r>
      <w:r w:rsidR="00E4023A" w:rsidRPr="00E4099A">
        <w:rPr>
          <w:lang w:bidi="fa-IR"/>
        </w:rPr>
        <w:t>.</w:t>
      </w:r>
    </w:p>
    <w:p w14:paraId="272D3E48" w14:textId="1C5C2261" w:rsidR="00C31BC3" w:rsidRDefault="00142D49" w:rsidP="00C31BC3">
      <w:pPr>
        <w:pStyle w:val="Caption"/>
      </w:pPr>
      <w:bookmarkStart w:id="229" w:name="_Toc57643609"/>
      <w:bookmarkStart w:id="230" w:name="_Toc70505525"/>
      <w:r>
        <w:lastRenderedPageBreak/>
        <w:t>3.26</w:t>
      </w:r>
      <w:r w:rsidR="00C31BC3" w:rsidRPr="00695C93">
        <w:tab/>
      </w:r>
      <w:r w:rsidR="00C31BC3">
        <w:t xml:space="preserve">Annual additional cost </w:t>
      </w:r>
      <w:r w:rsidR="00283817">
        <w:t xml:space="preserve">of care </w:t>
      </w:r>
      <w:r w:rsidR="00C31BC3">
        <w:t>due to inaccessible housing</w:t>
      </w:r>
      <w:bookmarkEnd w:id="229"/>
      <w:bookmarkEnd w:id="230"/>
    </w:p>
    <w:tbl>
      <w:tblPr>
        <w:tblW w:w="7936" w:type="dxa"/>
        <w:tblLayout w:type="fixed"/>
        <w:tblLook w:val="0000" w:firstRow="0" w:lastRow="0" w:firstColumn="0" w:lastColumn="0" w:noHBand="0" w:noVBand="0"/>
        <w:tblCaption w:val="Table 3.26: Annual additional cost of care due to inaccessible housing"/>
        <w:tblDescription w:val="This table lists the annual additional cost of care to assist with moving about the house, bathing and showering, and toileting due to inaccessible housing. This cost is divided into informal and formal care. The table lists the number of people receiving care, the annual cost per person in dollars, and the total annual cost. The total annual cost in informal care is $911,920,000. The total annual additional cost of formal care is $26,600,000. The total annual additional cost of all types of care is $938,520,000."/>
      </w:tblPr>
      <w:tblGrid>
        <w:gridCol w:w="1564"/>
        <w:gridCol w:w="919"/>
        <w:gridCol w:w="919"/>
        <w:gridCol w:w="918"/>
        <w:gridCol w:w="919"/>
        <w:gridCol w:w="919"/>
        <w:gridCol w:w="889"/>
        <w:gridCol w:w="889"/>
      </w:tblGrid>
      <w:tr w:rsidR="00C31BC3" w:rsidRPr="00233C02" w14:paraId="4DC40B41" w14:textId="77777777" w:rsidTr="00C31BC3">
        <w:trPr>
          <w:trHeight w:val="245"/>
        </w:trPr>
        <w:tc>
          <w:tcPr>
            <w:tcW w:w="1564" w:type="dxa"/>
            <w:shd w:val="clear" w:color="auto" w:fill="6F6652"/>
            <w:tcMar>
              <w:left w:w="57" w:type="dxa"/>
              <w:right w:w="57" w:type="dxa"/>
            </w:tcMar>
          </w:tcPr>
          <w:p w14:paraId="0DBB15C5" w14:textId="77777777" w:rsidR="00C31BC3" w:rsidRPr="00233C02" w:rsidRDefault="00C31BC3" w:rsidP="00C31BC3">
            <w:pPr>
              <w:pStyle w:val="TableDataColumnHeading"/>
              <w:jc w:val="left"/>
            </w:pPr>
          </w:p>
        </w:tc>
        <w:tc>
          <w:tcPr>
            <w:tcW w:w="2756" w:type="dxa"/>
            <w:gridSpan w:val="3"/>
            <w:shd w:val="clear" w:color="auto" w:fill="6F6652"/>
            <w:tcMar>
              <w:left w:w="57" w:type="dxa"/>
              <w:right w:w="57" w:type="dxa"/>
            </w:tcMar>
          </w:tcPr>
          <w:p w14:paraId="5D3ED03A" w14:textId="77777777" w:rsidR="00C31BC3" w:rsidRPr="00233C02" w:rsidRDefault="00C31BC3" w:rsidP="00C31BC3">
            <w:pPr>
              <w:pStyle w:val="TableDataColumnHeading"/>
              <w:jc w:val="center"/>
            </w:pPr>
            <w:r w:rsidRPr="00233C02">
              <w:t>Informal care</w:t>
            </w:r>
          </w:p>
        </w:tc>
        <w:tc>
          <w:tcPr>
            <w:tcW w:w="2727" w:type="dxa"/>
            <w:gridSpan w:val="3"/>
            <w:shd w:val="clear" w:color="auto" w:fill="6F6652"/>
            <w:tcMar>
              <w:left w:w="57" w:type="dxa"/>
              <w:right w:w="57" w:type="dxa"/>
            </w:tcMar>
          </w:tcPr>
          <w:p w14:paraId="4DC71A9C" w14:textId="77777777" w:rsidR="00C31BC3" w:rsidRPr="00233C02" w:rsidRDefault="00C31BC3" w:rsidP="00C31BC3">
            <w:pPr>
              <w:pStyle w:val="TableDataColumnHeading"/>
              <w:jc w:val="center"/>
            </w:pPr>
            <w:r w:rsidRPr="00233C02">
              <w:t>Formal care</w:t>
            </w:r>
          </w:p>
        </w:tc>
        <w:tc>
          <w:tcPr>
            <w:tcW w:w="889" w:type="dxa"/>
            <w:shd w:val="clear" w:color="auto" w:fill="6F6652"/>
            <w:tcMar>
              <w:left w:w="57" w:type="dxa"/>
              <w:right w:w="57" w:type="dxa"/>
            </w:tcMar>
          </w:tcPr>
          <w:p w14:paraId="6A54AED5" w14:textId="77777777" w:rsidR="00C31BC3" w:rsidRPr="00233C02" w:rsidRDefault="00C31BC3" w:rsidP="00C31BC3">
            <w:pPr>
              <w:pStyle w:val="TableDataColumnHeading"/>
            </w:pPr>
            <w:r w:rsidRPr="00233C02">
              <w:t>Total</w:t>
            </w:r>
          </w:p>
        </w:tc>
      </w:tr>
      <w:tr w:rsidR="00C31BC3" w:rsidRPr="00233C02" w14:paraId="2632ECEA" w14:textId="77777777" w:rsidTr="00C31BC3">
        <w:trPr>
          <w:trHeight w:val="734"/>
        </w:trPr>
        <w:tc>
          <w:tcPr>
            <w:tcW w:w="1564" w:type="dxa"/>
            <w:tcBorders>
              <w:bottom w:val="single" w:sz="8" w:space="0" w:color="FFFFFF" w:themeColor="background1"/>
            </w:tcBorders>
            <w:shd w:val="clear" w:color="auto" w:fill="6F6652"/>
            <w:tcMar>
              <w:left w:w="57" w:type="dxa"/>
              <w:right w:w="57" w:type="dxa"/>
            </w:tcMar>
          </w:tcPr>
          <w:p w14:paraId="74F08956" w14:textId="77777777" w:rsidR="00C31BC3" w:rsidRPr="00233C02" w:rsidRDefault="00C31BC3" w:rsidP="00C31BC3">
            <w:pPr>
              <w:pStyle w:val="TableDataColumnHeading"/>
              <w:jc w:val="left"/>
              <w:rPr>
                <w:rFonts w:ascii="Franklin Gothic Medium" w:hAnsi="Franklin Gothic Medium"/>
              </w:rPr>
            </w:pPr>
          </w:p>
        </w:tc>
        <w:tc>
          <w:tcPr>
            <w:tcW w:w="919" w:type="dxa"/>
            <w:tcBorders>
              <w:bottom w:val="single" w:sz="8" w:space="0" w:color="FFFFFF" w:themeColor="background1"/>
            </w:tcBorders>
            <w:shd w:val="clear" w:color="auto" w:fill="6F6652"/>
            <w:tcMar>
              <w:left w:w="57" w:type="dxa"/>
              <w:right w:w="57" w:type="dxa"/>
            </w:tcMar>
          </w:tcPr>
          <w:p w14:paraId="4AD1A872"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People receiving care ('000)</w:t>
            </w:r>
          </w:p>
        </w:tc>
        <w:tc>
          <w:tcPr>
            <w:tcW w:w="919" w:type="dxa"/>
            <w:tcBorders>
              <w:bottom w:val="single" w:sz="8" w:space="0" w:color="FFFFFF" w:themeColor="background1"/>
            </w:tcBorders>
            <w:shd w:val="clear" w:color="auto" w:fill="6F6652"/>
            <w:tcMar>
              <w:left w:w="57" w:type="dxa"/>
              <w:right w:w="57" w:type="dxa"/>
            </w:tcMar>
          </w:tcPr>
          <w:p w14:paraId="6837EF29" w14:textId="77777777" w:rsidR="00C31BC3" w:rsidRPr="00233C02" w:rsidRDefault="00283817" w:rsidP="00C31BC3">
            <w:pPr>
              <w:pStyle w:val="TableDataColumnHeading"/>
              <w:rPr>
                <w:rFonts w:ascii="Franklin Gothic Medium" w:hAnsi="Franklin Gothic Medium"/>
              </w:rPr>
            </w:pPr>
            <w:r w:rsidRPr="00233C02">
              <w:rPr>
                <w:rFonts w:ascii="Franklin Gothic Medium" w:hAnsi="Franklin Gothic Medium"/>
              </w:rPr>
              <w:t>A</w:t>
            </w:r>
            <w:r w:rsidR="00C31BC3" w:rsidRPr="00233C02">
              <w:rPr>
                <w:rFonts w:ascii="Franklin Gothic Medium" w:hAnsi="Franklin Gothic Medium"/>
              </w:rPr>
              <w:t>nnual cost per person ($ per person per year)</w:t>
            </w:r>
          </w:p>
        </w:tc>
        <w:tc>
          <w:tcPr>
            <w:tcW w:w="918" w:type="dxa"/>
            <w:tcBorders>
              <w:bottom w:val="single" w:sz="8" w:space="0" w:color="FFFFFF" w:themeColor="background1"/>
            </w:tcBorders>
            <w:shd w:val="clear" w:color="auto" w:fill="6F6652"/>
            <w:tcMar>
              <w:left w:w="57" w:type="dxa"/>
              <w:right w:w="57" w:type="dxa"/>
            </w:tcMar>
          </w:tcPr>
          <w:p w14:paraId="44DED841"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Annual cost ($m per year)</w:t>
            </w:r>
          </w:p>
        </w:tc>
        <w:tc>
          <w:tcPr>
            <w:tcW w:w="919" w:type="dxa"/>
            <w:tcBorders>
              <w:bottom w:val="single" w:sz="8" w:space="0" w:color="FFFFFF" w:themeColor="background1"/>
            </w:tcBorders>
            <w:shd w:val="clear" w:color="auto" w:fill="6F6652"/>
            <w:tcMar>
              <w:left w:w="57" w:type="dxa"/>
              <w:right w:w="57" w:type="dxa"/>
            </w:tcMar>
          </w:tcPr>
          <w:p w14:paraId="341AFFB8"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People receiving care ('000)</w:t>
            </w:r>
          </w:p>
        </w:tc>
        <w:tc>
          <w:tcPr>
            <w:tcW w:w="919" w:type="dxa"/>
            <w:tcBorders>
              <w:bottom w:val="single" w:sz="8" w:space="0" w:color="FFFFFF" w:themeColor="background1"/>
            </w:tcBorders>
            <w:shd w:val="clear" w:color="auto" w:fill="6F6652"/>
            <w:tcMar>
              <w:left w:w="57" w:type="dxa"/>
              <w:right w:w="57" w:type="dxa"/>
            </w:tcMar>
          </w:tcPr>
          <w:p w14:paraId="0AD101F9"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Additional annual cost per person ($ per person per year)</w:t>
            </w:r>
          </w:p>
        </w:tc>
        <w:tc>
          <w:tcPr>
            <w:tcW w:w="889" w:type="dxa"/>
            <w:tcBorders>
              <w:bottom w:val="single" w:sz="8" w:space="0" w:color="FFFFFF" w:themeColor="background1"/>
            </w:tcBorders>
            <w:shd w:val="clear" w:color="auto" w:fill="6F6652"/>
            <w:tcMar>
              <w:left w:w="57" w:type="dxa"/>
              <w:right w:w="57" w:type="dxa"/>
            </w:tcMar>
          </w:tcPr>
          <w:p w14:paraId="0F4575EA"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Annual additional cost ($m per year)</w:t>
            </w:r>
          </w:p>
        </w:tc>
        <w:tc>
          <w:tcPr>
            <w:tcW w:w="889" w:type="dxa"/>
            <w:tcBorders>
              <w:bottom w:val="single" w:sz="8" w:space="0" w:color="FFFFFF" w:themeColor="background1"/>
            </w:tcBorders>
            <w:shd w:val="clear" w:color="auto" w:fill="6F6652"/>
            <w:tcMar>
              <w:left w:w="57" w:type="dxa"/>
              <w:right w:w="57" w:type="dxa"/>
            </w:tcMar>
          </w:tcPr>
          <w:p w14:paraId="76C95E48" w14:textId="77777777" w:rsidR="00C31BC3" w:rsidRPr="00233C02" w:rsidRDefault="00C31BC3" w:rsidP="00C31BC3">
            <w:pPr>
              <w:pStyle w:val="TableDataColumnHeading"/>
              <w:rPr>
                <w:rFonts w:ascii="Franklin Gothic Medium" w:hAnsi="Franklin Gothic Medium"/>
              </w:rPr>
            </w:pPr>
            <w:r w:rsidRPr="00233C02">
              <w:rPr>
                <w:rFonts w:ascii="Franklin Gothic Medium" w:hAnsi="Franklin Gothic Medium"/>
              </w:rPr>
              <w:t>Annual additional cost ($m per year)</w:t>
            </w:r>
          </w:p>
        </w:tc>
      </w:tr>
      <w:tr w:rsidR="00C31BC3" w14:paraId="52D2C9BB" w14:textId="77777777" w:rsidTr="00C31BC3">
        <w:trPr>
          <w:trHeight w:val="245"/>
        </w:trPr>
        <w:tc>
          <w:tcPr>
            <w:tcW w:w="156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B7911F" w14:textId="77777777" w:rsidR="00C31BC3" w:rsidRDefault="00C31BC3" w:rsidP="00C31BC3">
            <w:pPr>
              <w:pStyle w:val="TableDataEntries"/>
              <w:jc w:val="left"/>
            </w:pPr>
            <w:r>
              <w:t>Moving about the house</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470A02" w14:textId="77777777" w:rsidR="00C31BC3" w:rsidRDefault="00C31BC3" w:rsidP="00C31BC3">
            <w:pPr>
              <w:pStyle w:val="TableDataEntries"/>
            </w:pPr>
            <w:r>
              <w:t xml:space="preserve"> 111.5</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7CDF6" w14:textId="77777777" w:rsidR="00C31BC3" w:rsidRDefault="00C31BC3" w:rsidP="00C31BC3">
            <w:pPr>
              <w:pStyle w:val="TableDataEntries"/>
            </w:pPr>
            <w:r>
              <w:t>4 159</w:t>
            </w:r>
          </w:p>
        </w:tc>
        <w:tc>
          <w:tcPr>
            <w:tcW w:w="9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852B08" w14:textId="77777777" w:rsidR="00C31BC3" w:rsidRDefault="00C31BC3" w:rsidP="00C31BC3">
            <w:pPr>
              <w:pStyle w:val="TableDataEntries"/>
            </w:pPr>
            <w:r>
              <w:t xml:space="preserve"> 463.70</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D0DBD9" w14:textId="77777777" w:rsidR="00C31BC3" w:rsidRDefault="00C31BC3" w:rsidP="00C31BC3">
            <w:pPr>
              <w:pStyle w:val="TableDataEntries"/>
            </w:pPr>
            <w:r>
              <w:t xml:space="preserve"> 21.3</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8EFD1C" w14:textId="77777777" w:rsidR="00C31BC3" w:rsidRDefault="00C31BC3" w:rsidP="00C31BC3">
            <w:pPr>
              <w:pStyle w:val="TableDataEntries"/>
            </w:pPr>
            <w:r>
              <w:t xml:space="preserve"> 676</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90D684" w14:textId="77777777" w:rsidR="00C31BC3" w:rsidRDefault="00C31BC3" w:rsidP="00C31BC3">
            <w:pPr>
              <w:pStyle w:val="TableDataEntries"/>
            </w:pPr>
            <w:r>
              <w:t xml:space="preserve"> 14.40</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825A65" w14:textId="77777777" w:rsidR="00C31BC3" w:rsidRDefault="00C31BC3" w:rsidP="00C31BC3">
            <w:pPr>
              <w:pStyle w:val="TableDataEntries"/>
            </w:pPr>
            <w:r>
              <w:t xml:space="preserve"> 478.09</w:t>
            </w:r>
          </w:p>
        </w:tc>
      </w:tr>
      <w:tr w:rsidR="00C31BC3" w14:paraId="6404898F" w14:textId="77777777" w:rsidTr="00C31BC3">
        <w:trPr>
          <w:trHeight w:val="245"/>
        </w:trPr>
        <w:tc>
          <w:tcPr>
            <w:tcW w:w="156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1DA48" w14:textId="77777777" w:rsidR="00C31BC3" w:rsidRDefault="00C31BC3" w:rsidP="00C31BC3">
            <w:pPr>
              <w:pStyle w:val="TableDataEntries"/>
              <w:jc w:val="left"/>
            </w:pPr>
            <w:r>
              <w:t>Bathing and showering</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6FE3B6" w14:textId="77777777" w:rsidR="00C31BC3" w:rsidRDefault="00C31BC3" w:rsidP="00C31BC3">
            <w:pPr>
              <w:pStyle w:val="TableDataEntries"/>
            </w:pPr>
            <w:r>
              <w:t xml:space="preserve"> 182.7</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7F71CB" w14:textId="77777777" w:rsidR="00C31BC3" w:rsidRDefault="00C31BC3" w:rsidP="00C31BC3">
            <w:pPr>
              <w:pStyle w:val="TableDataEntries"/>
            </w:pPr>
            <w:r>
              <w:t>2 020</w:t>
            </w:r>
          </w:p>
        </w:tc>
        <w:tc>
          <w:tcPr>
            <w:tcW w:w="9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3D46D2" w14:textId="77777777" w:rsidR="00C31BC3" w:rsidRDefault="00C31BC3" w:rsidP="00C31BC3">
            <w:pPr>
              <w:pStyle w:val="TableDataEntries"/>
            </w:pPr>
            <w:r>
              <w:t xml:space="preserve"> 369.04</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D2CA77" w14:textId="77777777" w:rsidR="00C31BC3" w:rsidRDefault="00C31BC3" w:rsidP="00C31BC3">
            <w:pPr>
              <w:pStyle w:val="TableDataEntries"/>
            </w:pPr>
            <w:r>
              <w:t xml:space="preserve"> 36.1</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AE31D1" w14:textId="77777777" w:rsidR="00C31BC3" w:rsidRDefault="00C31BC3" w:rsidP="00C31BC3">
            <w:pPr>
              <w:pStyle w:val="TableDataEntries"/>
            </w:pPr>
            <w:r>
              <w:t xml:space="preserve"> 338</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B9D8B3" w14:textId="77777777" w:rsidR="00C31BC3" w:rsidRDefault="00C31BC3" w:rsidP="00C31BC3">
            <w:pPr>
              <w:pStyle w:val="TableDataEntries"/>
            </w:pPr>
            <w:r>
              <w:t xml:space="preserve"> 12.20</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BB003B" w14:textId="77777777" w:rsidR="00C31BC3" w:rsidRDefault="00C31BC3" w:rsidP="00C31BC3">
            <w:pPr>
              <w:pStyle w:val="TableDataEntries"/>
            </w:pPr>
            <w:r>
              <w:t xml:space="preserve"> 381.24</w:t>
            </w:r>
          </w:p>
        </w:tc>
      </w:tr>
      <w:tr w:rsidR="00C31BC3" w14:paraId="391F1FF7" w14:textId="77777777" w:rsidTr="00C31BC3">
        <w:trPr>
          <w:trHeight w:val="245"/>
        </w:trPr>
        <w:tc>
          <w:tcPr>
            <w:tcW w:w="156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1E20A6" w14:textId="77777777" w:rsidR="00C31BC3" w:rsidRDefault="00C31BC3" w:rsidP="00C31BC3">
            <w:pPr>
              <w:pStyle w:val="TableDataEntries"/>
              <w:jc w:val="left"/>
            </w:pPr>
            <w:r>
              <w:t>Toileting</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D730C9" w14:textId="77777777" w:rsidR="00C31BC3" w:rsidRDefault="00C31BC3" w:rsidP="00C31BC3">
            <w:pPr>
              <w:pStyle w:val="TableDataEntries"/>
            </w:pPr>
            <w:r>
              <w:t xml:space="preserve"> 83.3</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775681" w14:textId="77777777" w:rsidR="00C31BC3" w:rsidRDefault="00C31BC3" w:rsidP="00C31BC3">
            <w:pPr>
              <w:pStyle w:val="TableDataEntries"/>
            </w:pPr>
            <w:r>
              <w:t xml:space="preserve"> 951</w:t>
            </w:r>
          </w:p>
        </w:tc>
        <w:tc>
          <w:tcPr>
            <w:tcW w:w="9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3E5147" w14:textId="77777777" w:rsidR="00C31BC3" w:rsidRDefault="00C31BC3" w:rsidP="00C31BC3">
            <w:pPr>
              <w:pStyle w:val="TableDataEntries"/>
            </w:pPr>
            <w:r>
              <w:t xml:space="preserve"> 79.18</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C0F665" w14:textId="77777777" w:rsidR="00C31BC3" w:rsidRDefault="00C31BC3" w:rsidP="00C31BC3">
            <w:pPr>
              <w:pStyle w:val="TableDataEntries"/>
            </w:pPr>
            <w:r>
              <w:t xml:space="preserve"> 18.5</w:t>
            </w:r>
          </w:p>
        </w:tc>
        <w:tc>
          <w:tcPr>
            <w:tcW w:w="9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B96638" w14:textId="77777777" w:rsidR="00C31BC3" w:rsidRDefault="00C31BC3" w:rsidP="00C31BC3">
            <w:pPr>
              <w:pStyle w:val="TableDataEntries"/>
            </w:pPr>
            <w:r>
              <w:t xml:space="preserve"> 0</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9350E7" w14:textId="77777777" w:rsidR="00C31BC3" w:rsidRDefault="00C31BC3" w:rsidP="00C31BC3">
            <w:pPr>
              <w:pStyle w:val="TableDataEntries"/>
            </w:pPr>
            <w:r>
              <w:t xml:space="preserve"> 0.00</w:t>
            </w:r>
          </w:p>
        </w:tc>
        <w:tc>
          <w:tcPr>
            <w:tcW w:w="8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939098" w14:textId="77777777" w:rsidR="00C31BC3" w:rsidRDefault="00C31BC3" w:rsidP="00C31BC3">
            <w:pPr>
              <w:pStyle w:val="TableDataEntries"/>
            </w:pPr>
            <w:r>
              <w:t xml:space="preserve"> 79.18</w:t>
            </w:r>
          </w:p>
        </w:tc>
      </w:tr>
      <w:tr w:rsidR="00C31BC3" w:rsidRPr="00C31BC3" w14:paraId="2B9B06A8" w14:textId="77777777" w:rsidTr="00C31BC3">
        <w:trPr>
          <w:trHeight w:val="245"/>
        </w:trPr>
        <w:tc>
          <w:tcPr>
            <w:tcW w:w="156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A1A0D3C" w14:textId="77777777" w:rsidR="00C31BC3" w:rsidRPr="00C31BC3" w:rsidRDefault="00C31BC3" w:rsidP="00C31BC3">
            <w:pPr>
              <w:pStyle w:val="TableDataEntries"/>
              <w:jc w:val="left"/>
              <w:rPr>
                <w:rFonts w:ascii="Franklin Gothic Demi" w:hAnsi="Franklin Gothic Demi"/>
              </w:rPr>
            </w:pPr>
            <w:r w:rsidRPr="00C31BC3">
              <w:rPr>
                <w:rFonts w:ascii="Franklin Gothic Demi" w:hAnsi="Franklin Gothic Demi"/>
              </w:rPr>
              <w:t>Total</w:t>
            </w:r>
          </w:p>
        </w:tc>
        <w:tc>
          <w:tcPr>
            <w:tcW w:w="9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47AB413" w14:textId="77777777" w:rsidR="00C31BC3" w:rsidRPr="00C31BC3" w:rsidRDefault="00C31BC3" w:rsidP="00C31BC3">
            <w:pPr>
              <w:pStyle w:val="TableDataEntries"/>
              <w:rPr>
                <w:rFonts w:ascii="Franklin Gothic Demi" w:hAnsi="Franklin Gothic Demi"/>
              </w:rPr>
            </w:pPr>
          </w:p>
        </w:tc>
        <w:tc>
          <w:tcPr>
            <w:tcW w:w="9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25B31B8" w14:textId="77777777" w:rsidR="00C31BC3" w:rsidRPr="00C31BC3" w:rsidRDefault="00C31BC3" w:rsidP="00C31BC3">
            <w:pPr>
              <w:pStyle w:val="TableDataEntries"/>
              <w:rPr>
                <w:rFonts w:ascii="Franklin Gothic Demi" w:hAnsi="Franklin Gothic Demi"/>
              </w:rPr>
            </w:pPr>
          </w:p>
        </w:tc>
        <w:tc>
          <w:tcPr>
            <w:tcW w:w="9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F8F1A22" w14:textId="77777777" w:rsidR="00C31BC3" w:rsidRPr="00C31BC3" w:rsidRDefault="00C31BC3" w:rsidP="00C31BC3">
            <w:pPr>
              <w:pStyle w:val="TableDataEntries"/>
              <w:rPr>
                <w:rFonts w:ascii="Franklin Gothic Demi" w:hAnsi="Franklin Gothic Demi"/>
              </w:rPr>
            </w:pPr>
            <w:r w:rsidRPr="00C31BC3">
              <w:rPr>
                <w:rFonts w:ascii="Franklin Gothic Demi" w:hAnsi="Franklin Gothic Demi"/>
              </w:rPr>
              <w:t xml:space="preserve"> 911.92</w:t>
            </w:r>
          </w:p>
        </w:tc>
        <w:tc>
          <w:tcPr>
            <w:tcW w:w="9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FEA96B2" w14:textId="77777777" w:rsidR="00C31BC3" w:rsidRPr="00C31BC3" w:rsidRDefault="00C31BC3" w:rsidP="00C31BC3">
            <w:pPr>
              <w:pStyle w:val="TableDataEntries"/>
              <w:rPr>
                <w:rFonts w:ascii="Franklin Gothic Demi" w:hAnsi="Franklin Gothic Demi"/>
              </w:rPr>
            </w:pPr>
          </w:p>
        </w:tc>
        <w:tc>
          <w:tcPr>
            <w:tcW w:w="9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5A3FD4F" w14:textId="77777777" w:rsidR="00C31BC3" w:rsidRPr="00C31BC3" w:rsidRDefault="00C31BC3" w:rsidP="00C31BC3">
            <w:pPr>
              <w:pStyle w:val="TableDataEntries"/>
              <w:rPr>
                <w:rFonts w:ascii="Franklin Gothic Demi" w:hAnsi="Franklin Gothic Demi"/>
              </w:rPr>
            </w:pPr>
          </w:p>
        </w:tc>
        <w:tc>
          <w:tcPr>
            <w:tcW w:w="88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F39A6F4" w14:textId="77777777" w:rsidR="00C31BC3" w:rsidRPr="00C31BC3" w:rsidRDefault="00C31BC3" w:rsidP="00C31BC3">
            <w:pPr>
              <w:pStyle w:val="TableDataEntries"/>
              <w:rPr>
                <w:rFonts w:ascii="Franklin Gothic Demi" w:hAnsi="Franklin Gothic Demi"/>
              </w:rPr>
            </w:pPr>
            <w:r w:rsidRPr="00C31BC3">
              <w:rPr>
                <w:rFonts w:ascii="Franklin Gothic Demi" w:hAnsi="Franklin Gothic Demi"/>
              </w:rPr>
              <w:t xml:space="preserve"> 26.60</w:t>
            </w:r>
          </w:p>
        </w:tc>
        <w:tc>
          <w:tcPr>
            <w:tcW w:w="88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1C69DA8" w14:textId="77777777" w:rsidR="00C31BC3" w:rsidRPr="00C31BC3" w:rsidRDefault="00C31BC3" w:rsidP="00C31BC3">
            <w:pPr>
              <w:pStyle w:val="TableDataEntries"/>
              <w:rPr>
                <w:rFonts w:ascii="Franklin Gothic Demi" w:hAnsi="Franklin Gothic Demi"/>
              </w:rPr>
            </w:pPr>
            <w:r w:rsidRPr="00C31BC3">
              <w:rPr>
                <w:rFonts w:ascii="Franklin Gothic Demi" w:hAnsi="Franklin Gothic Demi"/>
              </w:rPr>
              <w:t xml:space="preserve"> 938.52</w:t>
            </w:r>
          </w:p>
        </w:tc>
      </w:tr>
    </w:tbl>
    <w:p w14:paraId="755B1F96" w14:textId="77777777" w:rsidR="000E4B3F" w:rsidRPr="00E4232C" w:rsidRDefault="000E4B3F" w:rsidP="000E4B3F">
      <w:pPr>
        <w:pStyle w:val="Note"/>
      </w:pPr>
      <w:r w:rsidRPr="00E4232C">
        <w:rPr>
          <w:rStyle w:val="NoteLabel"/>
        </w:rPr>
        <w:t>a</w:t>
      </w:r>
      <w:r>
        <w:t xml:space="preserve"> Based on SDAC 2018, TableBuilder. </w:t>
      </w:r>
    </w:p>
    <w:p w14:paraId="43D7C56A" w14:textId="77777777" w:rsidR="000E4B3F" w:rsidRDefault="000E4B3F" w:rsidP="000E4B3F">
      <w:pPr>
        <w:pStyle w:val="Source"/>
        <w:rPr>
          <w:lang w:bidi="fa-IR"/>
        </w:rPr>
      </w:pPr>
      <w:r w:rsidRPr="002474D4">
        <w:rPr>
          <w:lang w:bidi="fa-IR"/>
        </w:rPr>
        <w:t>Source:</w:t>
      </w:r>
      <w:r>
        <w:rPr>
          <w:lang w:bidi="fa-IR"/>
        </w:rPr>
        <w:t xml:space="preserve"> See appendix B for details.</w:t>
      </w:r>
    </w:p>
    <w:p w14:paraId="47BD3A2A" w14:textId="7B9DF983" w:rsidR="00E4023A" w:rsidRDefault="00E4023A" w:rsidP="00E4023A">
      <w:pPr>
        <w:pStyle w:val="BodyText"/>
        <w:rPr>
          <w:lang w:eastAsia="en-US" w:bidi="fa-IR"/>
        </w:rPr>
      </w:pPr>
      <w:r>
        <w:rPr>
          <w:lang w:bidi="fa-IR"/>
        </w:rPr>
        <w:t xml:space="preserve">Further details of </w:t>
      </w:r>
      <w:r w:rsidR="00DB0D33">
        <w:rPr>
          <w:lang w:eastAsia="en-US" w:bidi="fa-IR"/>
        </w:rPr>
        <w:t>the</w:t>
      </w:r>
      <w:r>
        <w:rPr>
          <w:lang w:eastAsia="en-US" w:bidi="fa-IR"/>
        </w:rPr>
        <w:t xml:space="preserve"> approach to estimating the additional costs of the assistance provided to people with mobility limitation living in housing that does not meet their accessibility needs is provided in appendix</w:t>
      </w:r>
      <w:r w:rsidR="00BE47AA">
        <w:rPr>
          <w:lang w:eastAsia="en-US" w:bidi="fa-IR"/>
        </w:rPr>
        <w:t xml:space="preserve"> </w:t>
      </w:r>
      <w:r w:rsidR="00BE47AA">
        <w:rPr>
          <w:lang w:eastAsia="en-US" w:bidi="fa-IR"/>
        </w:rPr>
        <w:fldChar w:fldCharType="begin"/>
      </w:r>
      <w:r w:rsidR="00BE47AA">
        <w:rPr>
          <w:lang w:eastAsia="en-US" w:bidi="fa-IR"/>
        </w:rPr>
        <w:instrText xml:space="preserve"> REF _Ref55130688 \n \h </w:instrText>
      </w:r>
      <w:r w:rsidR="00BE47AA">
        <w:rPr>
          <w:lang w:eastAsia="en-US" w:bidi="fa-IR"/>
        </w:rPr>
      </w:r>
      <w:r w:rsidR="00BE47AA">
        <w:rPr>
          <w:lang w:eastAsia="en-US" w:bidi="fa-IR"/>
        </w:rPr>
        <w:fldChar w:fldCharType="separate"/>
      </w:r>
      <w:r w:rsidR="000F445C">
        <w:rPr>
          <w:lang w:eastAsia="en-US" w:bidi="fa-IR"/>
        </w:rPr>
        <w:t>C</w:t>
      </w:r>
      <w:r w:rsidR="00BE47AA">
        <w:rPr>
          <w:lang w:eastAsia="en-US" w:bidi="fa-IR"/>
        </w:rPr>
        <w:fldChar w:fldCharType="end"/>
      </w:r>
      <w:r>
        <w:rPr>
          <w:lang w:eastAsia="en-US" w:bidi="fa-IR"/>
        </w:rPr>
        <w:t>.</w:t>
      </w:r>
    </w:p>
    <w:p w14:paraId="416D421D" w14:textId="77777777" w:rsidR="00E4023A" w:rsidRDefault="00E4023A" w:rsidP="005F4930">
      <w:pPr>
        <w:pStyle w:val="BodyText"/>
        <w:rPr>
          <w:lang w:eastAsia="en-US" w:bidi="fa-IR"/>
        </w:rPr>
      </w:pPr>
      <w:r w:rsidRPr="005F4930">
        <w:rPr>
          <w:lang w:eastAsia="en-US" w:bidi="fa-IR"/>
        </w:rPr>
        <w:t xml:space="preserve">Note that these estimates include only the opportunity cost of the carer’s time. </w:t>
      </w:r>
      <w:r w:rsidR="00760C0A">
        <w:rPr>
          <w:lang w:eastAsia="en-US" w:bidi="fa-IR"/>
        </w:rPr>
        <w:t>CIE</w:t>
      </w:r>
      <w:r w:rsidR="00760C0A" w:rsidRPr="005F4930">
        <w:rPr>
          <w:lang w:eastAsia="en-US" w:bidi="fa-IR"/>
        </w:rPr>
        <w:t xml:space="preserve"> ha</w:t>
      </w:r>
      <w:r w:rsidR="00760C0A">
        <w:rPr>
          <w:lang w:eastAsia="en-US" w:bidi="fa-IR"/>
        </w:rPr>
        <w:t>s</w:t>
      </w:r>
      <w:r w:rsidRPr="005F4930">
        <w:rPr>
          <w:lang w:eastAsia="en-US" w:bidi="fa-IR"/>
        </w:rPr>
        <w:t xml:space="preserve"> not been able to quantify</w:t>
      </w:r>
      <w:r w:rsidR="005F4930" w:rsidRPr="005F4930">
        <w:rPr>
          <w:lang w:eastAsia="en-US" w:bidi="fa-IR"/>
        </w:rPr>
        <w:t xml:space="preserve"> a</w:t>
      </w:r>
      <w:r w:rsidRPr="005F4930">
        <w:rPr>
          <w:lang w:eastAsia="en-US" w:bidi="fa-IR"/>
        </w:rPr>
        <w:t>ny costs associated with injuries to carers</w:t>
      </w:r>
      <w:r w:rsidR="005F4930" w:rsidRPr="005F4930">
        <w:rPr>
          <w:lang w:eastAsia="en-US" w:bidi="fa-IR"/>
        </w:rPr>
        <w:t>. That said,</w:t>
      </w:r>
      <w:r w:rsidRPr="005F4930">
        <w:rPr>
          <w:lang w:eastAsia="en-US" w:bidi="fa-IR"/>
        </w:rPr>
        <w:t xml:space="preserve"> the costs associated with injuries to formal carers are at least partly covered as the NDIS rates for formal carers </w:t>
      </w:r>
      <w:r w:rsidR="00760C0A">
        <w:rPr>
          <w:lang w:eastAsia="en-US" w:bidi="fa-IR"/>
        </w:rPr>
        <w:t xml:space="preserve">were used </w:t>
      </w:r>
      <w:r w:rsidRPr="005F4930">
        <w:rPr>
          <w:lang w:eastAsia="en-US" w:bidi="fa-IR"/>
        </w:rPr>
        <w:t xml:space="preserve">as the basis for cost estimates which would include workers’ compensation insurance, reflecting the risk/probability of getting injured during work. Although there is evidence to suggest that carers (particularly informal carers) frequently acquire injuries in providing care to people with disability, </w:t>
      </w:r>
      <w:r w:rsidR="00760C0A">
        <w:rPr>
          <w:lang w:eastAsia="en-US" w:bidi="fa-IR"/>
        </w:rPr>
        <w:t>CIE</w:t>
      </w:r>
      <w:r w:rsidR="00760C0A" w:rsidRPr="005F4930">
        <w:rPr>
          <w:lang w:eastAsia="en-US" w:bidi="fa-IR"/>
        </w:rPr>
        <w:t xml:space="preserve"> </w:t>
      </w:r>
      <w:r w:rsidRPr="005F4930">
        <w:rPr>
          <w:lang w:eastAsia="en-US" w:bidi="fa-IR"/>
        </w:rPr>
        <w:t>did not find any empirical studies that explicitly links carer injuries to inaccessible housing that would enable quantif</w:t>
      </w:r>
      <w:r w:rsidR="00483957">
        <w:rPr>
          <w:lang w:eastAsia="en-US" w:bidi="fa-IR"/>
        </w:rPr>
        <w:t>ication of</w:t>
      </w:r>
      <w:r w:rsidRPr="005F4930">
        <w:rPr>
          <w:lang w:eastAsia="en-US" w:bidi="fa-IR"/>
        </w:rPr>
        <w:t xml:space="preserve"> these costs.</w:t>
      </w:r>
      <w:r w:rsidRPr="005F4930">
        <w:rPr>
          <w:rStyle w:val="FootnoteReference"/>
          <w:lang w:eastAsia="en-US" w:bidi="fa-IR"/>
        </w:rPr>
        <w:footnoteReference w:id="108"/>
      </w:r>
    </w:p>
    <w:p w14:paraId="178E18BF" w14:textId="77777777" w:rsidR="006657CD" w:rsidRDefault="006657CD" w:rsidP="005F4930">
      <w:pPr>
        <w:pStyle w:val="BodyText"/>
        <w:rPr>
          <w:lang w:eastAsia="en-US" w:bidi="fa-IR"/>
        </w:rPr>
      </w:pPr>
      <w:r>
        <w:rPr>
          <w:lang w:eastAsia="en-US" w:bidi="fa-IR"/>
        </w:rPr>
        <w:t>Some public submissions suggested that informal care may affect carers’ employment and productivity. The above opportunity cost approach to estimate the informal care costs is one way to acknowledge the impact on informal carers’</w:t>
      </w:r>
      <w:r w:rsidR="000F137E">
        <w:rPr>
          <w:lang w:eastAsia="en-US" w:bidi="fa-IR"/>
        </w:rPr>
        <w:t xml:space="preserve"> time which could be devoted to work. There is little evidence to suggest that accessible housing would provide additional </w:t>
      </w:r>
      <w:r w:rsidR="009602F2">
        <w:rPr>
          <w:lang w:eastAsia="en-US" w:bidi="fa-IR"/>
        </w:rPr>
        <w:t xml:space="preserve">employment </w:t>
      </w:r>
      <w:r w:rsidR="000F137E">
        <w:rPr>
          <w:lang w:eastAsia="en-US" w:bidi="fa-IR"/>
        </w:rPr>
        <w:t>benefit to informal carers than the estimated opportunity cost.</w:t>
      </w:r>
    </w:p>
    <w:p w14:paraId="4158126E" w14:textId="77777777" w:rsidR="000F137E" w:rsidRDefault="000F137E" w:rsidP="005F4930">
      <w:pPr>
        <w:pStyle w:val="BodyText"/>
        <w:rPr>
          <w:lang w:eastAsia="en-US" w:bidi="fa-IR"/>
        </w:rPr>
      </w:pPr>
      <w:r>
        <w:rPr>
          <w:lang w:eastAsia="en-US" w:bidi="fa-IR"/>
        </w:rPr>
        <w:t>Leigh (2010) used Australian panel data for the period 2001-2007 to track the same individuals over time and to observe how their labour market outcomes alter as their care arrangements change. He found</w:t>
      </w:r>
      <w:r>
        <w:rPr>
          <w:rStyle w:val="FootnoteReference"/>
          <w:lang w:eastAsia="en-US" w:bidi="fa-IR"/>
        </w:rPr>
        <w:footnoteReference w:id="109"/>
      </w:r>
    </w:p>
    <w:p w14:paraId="6AC7E4E5" w14:textId="77777777" w:rsidR="000F137E" w:rsidRDefault="000F137E" w:rsidP="000F137E">
      <w:pPr>
        <w:pStyle w:val="Quote"/>
        <w:rPr>
          <w:lang w:eastAsia="en-US" w:bidi="fa-IR"/>
        </w:rPr>
      </w:pPr>
      <w:r>
        <w:rPr>
          <w:lang w:eastAsia="en-US" w:bidi="fa-IR"/>
        </w:rPr>
        <w:t xml:space="preserve">While caregiving does appear to have a modest negative impact on labour force participation, this impact is only one-quarter to one-sixth as large in the panel as in the cross-section. Taking </w:t>
      </w:r>
      <w:r>
        <w:rPr>
          <w:lang w:eastAsia="en-US" w:bidi="fa-IR"/>
        </w:rPr>
        <w:lastRenderedPageBreak/>
        <w:t>account of individual heterogeneity, the impact of caregiving on other labour force outcomes (and on life satisfaction) seems to be small or non-existent.</w:t>
      </w:r>
    </w:p>
    <w:p w14:paraId="11A5045A" w14:textId="77777777" w:rsidR="000F137E" w:rsidRDefault="00261CD1" w:rsidP="005F4930">
      <w:pPr>
        <w:pStyle w:val="BodyText"/>
        <w:rPr>
          <w:lang w:eastAsia="en-US" w:bidi="fa-IR"/>
        </w:rPr>
      </w:pPr>
      <w:r>
        <w:rPr>
          <w:lang w:eastAsia="en-US" w:bidi="fa-IR"/>
        </w:rPr>
        <w:t>Inaccessible housing is only one of many factors affecting informal caregivers’ labour market outcomes</w:t>
      </w:r>
      <w:r w:rsidR="00E929F5">
        <w:rPr>
          <w:lang w:eastAsia="en-US" w:bidi="fa-IR"/>
        </w:rPr>
        <w:t>. If the impact of caregiving status on employment is ‘small or non-existent’, the impact of inaccessible housing would be even smaller.</w:t>
      </w:r>
    </w:p>
    <w:p w14:paraId="02A4BE8D" w14:textId="77777777" w:rsidR="00E929F5" w:rsidRPr="005F4930" w:rsidRDefault="00E929F5" w:rsidP="005F4930">
      <w:pPr>
        <w:pStyle w:val="BodyText"/>
        <w:rPr>
          <w:lang w:eastAsia="en-US" w:bidi="fa-IR"/>
        </w:rPr>
      </w:pPr>
      <w:r>
        <w:rPr>
          <w:lang w:eastAsia="en-US" w:bidi="fa-IR"/>
        </w:rPr>
        <w:t xml:space="preserve">For this reason, any additional employment impact or productivity impacts </w:t>
      </w:r>
      <w:r w:rsidR="00DF61D3">
        <w:rPr>
          <w:lang w:eastAsia="en-US" w:bidi="fa-IR"/>
        </w:rPr>
        <w:t>have</w:t>
      </w:r>
      <w:r w:rsidR="00760C0A">
        <w:rPr>
          <w:lang w:eastAsia="en-US" w:bidi="fa-IR"/>
        </w:rPr>
        <w:t xml:space="preserve"> not be</w:t>
      </w:r>
      <w:r w:rsidR="00DF61D3">
        <w:rPr>
          <w:lang w:eastAsia="en-US" w:bidi="fa-IR"/>
        </w:rPr>
        <w:t>en</w:t>
      </w:r>
      <w:r w:rsidR="00760C0A">
        <w:rPr>
          <w:lang w:eastAsia="en-US" w:bidi="fa-IR"/>
        </w:rPr>
        <w:t xml:space="preserve"> included </w:t>
      </w:r>
      <w:r>
        <w:rPr>
          <w:lang w:eastAsia="en-US" w:bidi="fa-IR"/>
        </w:rPr>
        <w:t xml:space="preserve">in the </w:t>
      </w:r>
      <w:r w:rsidR="00DF61D3">
        <w:rPr>
          <w:lang w:eastAsia="en-US" w:bidi="fa-IR"/>
        </w:rPr>
        <w:t xml:space="preserve">quantifiable </w:t>
      </w:r>
      <w:r>
        <w:rPr>
          <w:lang w:eastAsia="en-US" w:bidi="fa-IR"/>
        </w:rPr>
        <w:t>size of the problem.</w:t>
      </w:r>
    </w:p>
    <w:p w14:paraId="052ED023" w14:textId="77777777" w:rsidR="00483957" w:rsidRDefault="00483957" w:rsidP="009863B4">
      <w:pPr>
        <w:pStyle w:val="Heading3"/>
        <w:rPr>
          <w:lang w:eastAsia="en-US" w:bidi="fa-IR"/>
        </w:rPr>
      </w:pPr>
      <w:bookmarkStart w:id="231" w:name="_Ref60090613"/>
      <w:r>
        <w:rPr>
          <w:lang w:eastAsia="en-US" w:bidi="fa-IR"/>
        </w:rPr>
        <w:t>Quality of life impacts</w:t>
      </w:r>
      <w:bookmarkEnd w:id="231"/>
    </w:p>
    <w:p w14:paraId="6FF388EF" w14:textId="77777777" w:rsidR="00483957" w:rsidRDefault="00483957" w:rsidP="00483957">
      <w:pPr>
        <w:pStyle w:val="BodyText"/>
        <w:rPr>
          <w:lang w:bidi="fa-IR"/>
        </w:rPr>
      </w:pPr>
      <w:r>
        <w:rPr>
          <w:lang w:bidi="fa-IR"/>
        </w:rPr>
        <w:t xml:space="preserve">A number of submissions </w:t>
      </w:r>
      <w:r w:rsidR="00DF61D3">
        <w:rPr>
          <w:lang w:bidi="fa-IR"/>
        </w:rPr>
        <w:t>suggest</w:t>
      </w:r>
      <w:r>
        <w:rPr>
          <w:lang w:bidi="fa-IR"/>
        </w:rPr>
        <w:t>ed that inaccessible housing reduces the quality of life</w:t>
      </w:r>
      <w:r w:rsidR="001C560A">
        <w:rPr>
          <w:lang w:bidi="fa-IR"/>
        </w:rPr>
        <w:t xml:space="preserve"> </w:t>
      </w:r>
      <w:r>
        <w:rPr>
          <w:lang w:bidi="fa-IR"/>
        </w:rPr>
        <w:t xml:space="preserve">of people with accessibility needs which should be included in the estimates of the size of the problem. Quality of life covers a wide spectrum of impacts, including reduced independence, loss of dignity, </w:t>
      </w:r>
      <w:r w:rsidR="00DF61D3">
        <w:rPr>
          <w:lang w:bidi="fa-IR"/>
        </w:rPr>
        <w:t>poor</w:t>
      </w:r>
      <w:r>
        <w:rPr>
          <w:lang w:bidi="fa-IR"/>
        </w:rPr>
        <w:t xml:space="preserve"> mental health, social isolation and loneliness. </w:t>
      </w:r>
    </w:p>
    <w:p w14:paraId="6CD92ED3" w14:textId="77777777" w:rsidR="00483957" w:rsidRDefault="00483957" w:rsidP="00483957">
      <w:pPr>
        <w:pStyle w:val="BodyText"/>
        <w:rPr>
          <w:lang w:bidi="fa-IR"/>
        </w:rPr>
      </w:pPr>
      <w:r>
        <w:rPr>
          <w:lang w:bidi="fa-IR"/>
        </w:rPr>
        <w:t>There is a range of qualitative evidence to support this proposition.</w:t>
      </w:r>
    </w:p>
    <w:p w14:paraId="62E648DD" w14:textId="77777777" w:rsidR="00483957" w:rsidRPr="00363A93" w:rsidRDefault="00483957" w:rsidP="00483957">
      <w:pPr>
        <w:pStyle w:val="ListBullet"/>
        <w:rPr>
          <w:lang w:bidi="fa-IR"/>
        </w:rPr>
      </w:pPr>
      <w:r>
        <w:rPr>
          <w:lang w:bidi="fa-IR"/>
        </w:rPr>
        <w:t>A study from the London Schools of Economics and Political Science</w:t>
      </w:r>
      <w:r w:rsidR="003F5EAC">
        <w:rPr>
          <w:rStyle w:val="FootnoteReference"/>
          <w:lang w:bidi="fa-IR"/>
        </w:rPr>
        <w:footnoteReference w:id="110"/>
      </w:r>
      <w:r>
        <w:rPr>
          <w:lang w:bidi="fa-IR"/>
        </w:rPr>
        <w:t xml:space="preserve"> (LSE) emphasised the wider quality of life impacts where housing accessibility needs are met (compared to those with unmet needs). Based on a survey and in</w:t>
      </w:r>
      <w:r>
        <w:rPr>
          <w:lang w:bidi="fa-IR"/>
        </w:rPr>
        <w:noBreakHyphen/>
        <w:t xml:space="preserve">depth interviews, the LSE </w:t>
      </w:r>
      <w:r w:rsidR="00C65619">
        <w:rPr>
          <w:lang w:bidi="fa-IR"/>
        </w:rPr>
        <w:t xml:space="preserve">study </w:t>
      </w:r>
      <w:r>
        <w:rPr>
          <w:lang w:bidi="fa-IR"/>
        </w:rPr>
        <w:t xml:space="preserve">identified the </w:t>
      </w:r>
      <w:r w:rsidRPr="00363A93">
        <w:rPr>
          <w:lang w:bidi="fa-IR"/>
        </w:rPr>
        <w:t>importance of retaining dignity, independence and social contact.</w:t>
      </w:r>
    </w:p>
    <w:p w14:paraId="37863C00" w14:textId="77777777" w:rsidR="00483957" w:rsidRDefault="00483957" w:rsidP="00483957">
      <w:pPr>
        <w:pStyle w:val="ListBullet"/>
        <w:rPr>
          <w:lang w:bidi="fa-IR"/>
        </w:rPr>
      </w:pPr>
      <w:r>
        <w:rPr>
          <w:lang w:bidi="fa-IR"/>
        </w:rPr>
        <w:t>Multiple submissions also identified issues that could broadly be termed as reduced quality of life from inaccessible housing (or quality of life improvements associated with accessible housing) (see box</w:t>
      </w:r>
      <w:r w:rsidR="00EC579F">
        <w:rPr>
          <w:lang w:bidi="fa-IR"/>
        </w:rPr>
        <w:t> 3.2</w:t>
      </w:r>
      <w:r w:rsidR="005908AC">
        <w:rPr>
          <w:lang w:bidi="fa-IR"/>
        </w:rPr>
        <w:t>7</w:t>
      </w:r>
      <w:r>
        <w:rPr>
          <w:lang w:bidi="fa-IR"/>
        </w:rPr>
        <w:t xml:space="preserve"> for a case study of </w:t>
      </w:r>
      <w:r w:rsidR="00284B21">
        <w:rPr>
          <w:lang w:bidi="fa-IR"/>
        </w:rPr>
        <w:t>lived</w:t>
      </w:r>
      <w:r>
        <w:rPr>
          <w:lang w:bidi="fa-IR"/>
        </w:rPr>
        <w:t xml:space="preserve"> experience of quality of life impacts of inaccessible housing).</w:t>
      </w:r>
    </w:p>
    <w:p w14:paraId="33B88D30" w14:textId="77777777" w:rsidR="00483957" w:rsidRDefault="00483957" w:rsidP="00483957">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27: Lived experience – quality of life impacts"/>
        <w:tblDescription w:val="Examples from submissions about the impacts on quality of life with accessible and inaccessible housing. Quality of life in these examples include mental health, physical health, social isolation, living situation choices and visitability."/>
      </w:tblPr>
      <w:tblGrid>
        <w:gridCol w:w="7938"/>
      </w:tblGrid>
      <w:tr w:rsidR="00483957" w:rsidRPr="00E05C8C" w14:paraId="7A2967A7" w14:textId="77777777" w:rsidTr="00142D49">
        <w:trPr>
          <w:cantSplit/>
        </w:trPr>
        <w:tc>
          <w:tcPr>
            <w:tcW w:w="7938" w:type="dxa"/>
            <w:tcBorders>
              <w:top w:val="nil"/>
              <w:left w:val="nil"/>
              <w:bottom w:val="nil"/>
              <w:right w:val="nil"/>
            </w:tcBorders>
            <w:shd w:val="clear" w:color="auto" w:fill="C6BFAB" w:themeFill="accent3"/>
          </w:tcPr>
          <w:p w14:paraId="4A0D4553" w14:textId="4FD2B68C" w:rsidR="00483957" w:rsidRPr="00E05C8C" w:rsidRDefault="00142D49" w:rsidP="0088031C">
            <w:pPr>
              <w:pStyle w:val="Caption"/>
              <w:numPr>
                <w:ilvl w:val="0"/>
                <w:numId w:val="13"/>
              </w:numPr>
              <w:spacing w:before="120" w:after="100"/>
            </w:pPr>
            <w:bookmarkStart w:id="232" w:name="_Toc70505526"/>
            <w:r>
              <w:t>3.27</w:t>
            </w:r>
            <w:r w:rsidR="00483957" w:rsidRPr="00E05C8C">
              <w:tab/>
            </w:r>
            <w:r w:rsidR="00483957">
              <w:t>Lived experience –</w:t>
            </w:r>
            <w:r w:rsidR="00CD15D8">
              <w:t xml:space="preserve"> </w:t>
            </w:r>
            <w:r w:rsidR="00483957">
              <w:t>quality of life impacts</w:t>
            </w:r>
            <w:bookmarkEnd w:id="232"/>
          </w:p>
        </w:tc>
      </w:tr>
      <w:tr w:rsidR="00483957" w14:paraId="1CD044B4" w14:textId="77777777" w:rsidTr="0088031C">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217A5E17" w14:textId="77777777" w:rsidR="00483957" w:rsidRPr="00233C02" w:rsidRDefault="00483957" w:rsidP="00233C02">
            <w:pPr>
              <w:pStyle w:val="BoxHeading1"/>
              <w:spacing w:before="120"/>
            </w:pPr>
            <w:r w:rsidRPr="00233C02">
              <w:t>Better quality of life with accessible housing</w:t>
            </w:r>
          </w:p>
          <w:p w14:paraId="6E786BE6" w14:textId="77777777" w:rsidR="00483957" w:rsidRPr="00BF2F67" w:rsidRDefault="00483957" w:rsidP="00FF2A58">
            <w:pPr>
              <w:pStyle w:val="BodyText"/>
              <w:spacing w:before="80"/>
            </w:pPr>
            <w:r>
              <w:t>A person is more disabled when their built environment is inaccessible. I have lived in both an inaccessible house and a fully purpose built home. In my accessible home – I am happy, productive, social and my best person (to myself, my friends and family). I am an excellent employee … - and this is partly related to my physical health and my mental health being on track. Without access in my home – I was clinically depressed, suicidal, unemployed and single. I now have a great career, I am a wife, a mother, a friend and I am studying at uni.</w:t>
            </w:r>
            <w:r>
              <w:rPr>
                <w:rStyle w:val="FootnoteReference"/>
              </w:rPr>
              <w:footnoteReference w:id="111"/>
            </w:r>
          </w:p>
        </w:tc>
      </w:tr>
      <w:tr w:rsidR="00483957" w14:paraId="1495CC14" w14:textId="77777777" w:rsidTr="00142D49">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7CE86176" w14:textId="77777777" w:rsidR="00483957" w:rsidRPr="00233C02" w:rsidRDefault="00483957" w:rsidP="00233C02">
            <w:pPr>
              <w:pStyle w:val="BoxHeading1"/>
            </w:pPr>
            <w:r w:rsidRPr="00233C02">
              <w:t>Social isolation due to inaccessible housing</w:t>
            </w:r>
          </w:p>
          <w:p w14:paraId="79EFF548" w14:textId="77777777" w:rsidR="00483957" w:rsidRDefault="00483957" w:rsidP="00FF2A58">
            <w:pPr>
              <w:pStyle w:val="BodyText"/>
              <w:spacing w:before="80"/>
            </w:pPr>
            <w:r>
              <w:t xml:space="preserve">I lead a very social life, we have barbeques and such, but we [my wife and I] never get invited anywhere because our friend’s houses aren’t accessible for me. It’s not just affecting me, it affects [my wife’s] socialising too. </w:t>
            </w:r>
          </w:p>
          <w:p w14:paraId="05A1D075" w14:textId="77777777" w:rsidR="00483957" w:rsidRDefault="00483957" w:rsidP="0088031C">
            <w:pPr>
              <w:pStyle w:val="BodyText"/>
              <w:rPr>
                <w:i/>
                <w:iCs/>
              </w:rPr>
            </w:pPr>
            <w:r w:rsidRPr="006D4A2B">
              <w:rPr>
                <w:i/>
                <w:iCs/>
              </w:rPr>
              <w:t>PDCN member &amp; fulltime wheelchair user (his wife does not have a physical disability)</w:t>
            </w:r>
          </w:p>
          <w:p w14:paraId="2BC6D160" w14:textId="77777777" w:rsidR="00483957" w:rsidRPr="00233C02" w:rsidRDefault="00483957" w:rsidP="00233C02">
            <w:pPr>
              <w:pStyle w:val="BodyText"/>
              <w:spacing w:before="0"/>
              <w:rPr>
                <w:rFonts w:ascii="Franklin Gothic Book" w:hAnsi="Franklin Gothic Book"/>
                <w:i/>
                <w:iCs/>
                <w:sz w:val="14"/>
                <w:szCs w:val="14"/>
              </w:rPr>
            </w:pPr>
            <w:r w:rsidRPr="00233C02">
              <w:rPr>
                <w:rFonts w:ascii="Franklin Gothic Book" w:hAnsi="Franklin Gothic Book"/>
                <w:i/>
                <w:iCs/>
                <w:sz w:val="14"/>
                <w:szCs w:val="14"/>
              </w:rPr>
              <w:t>Source:</w:t>
            </w:r>
            <w:r w:rsidRPr="00233C02">
              <w:rPr>
                <w:rFonts w:ascii="Franklin Gothic Book" w:hAnsi="Franklin Gothic Book"/>
                <w:sz w:val="14"/>
                <w:szCs w:val="14"/>
              </w:rPr>
              <w:t xml:space="preserve"> </w:t>
            </w:r>
            <w:r w:rsidRPr="00FF2A58">
              <w:rPr>
                <w:rFonts w:ascii="Franklin Gothic Book" w:hAnsi="Franklin Gothic Book"/>
                <w:sz w:val="14"/>
                <w:szCs w:val="14"/>
              </w:rPr>
              <w:t>Physical Disability Council of NSW (p5)</w:t>
            </w:r>
            <w:r w:rsidRPr="00FF2A58">
              <w:rPr>
                <w:rStyle w:val="FootnoteReference"/>
                <w:rFonts w:ascii="Franklin Gothic Book" w:hAnsi="Franklin Gothic Book"/>
                <w:sz w:val="14"/>
                <w:szCs w:val="14"/>
              </w:rPr>
              <w:footnoteReference w:id="112"/>
            </w:r>
          </w:p>
          <w:p w14:paraId="055B248C" w14:textId="77777777" w:rsidR="00483957" w:rsidRDefault="00483957" w:rsidP="0088031C">
            <w:pPr>
              <w:pStyle w:val="BodyText"/>
            </w:pPr>
            <w:r>
              <w:t>While I do not personally experience any of the physical disabilities included in the form (so didn't submit it) the difficulty of finding accessible housing impacts me in many ways. I also know several people who are directly impacted due to their physical disabilities - some of whom will not have the capacity to fill out the form (due to mental health situations).</w:t>
            </w:r>
          </w:p>
        </w:tc>
      </w:tr>
      <w:tr w:rsidR="00483957" w14:paraId="1E8FF1A4" w14:textId="77777777" w:rsidTr="00142D49">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FFFFFF" w:themeColor="background1"/>
            </w:tcBorders>
            <w:shd w:val="clear" w:color="auto" w:fill="E9E8E5" w:themeFill="background2"/>
          </w:tcPr>
          <w:p w14:paraId="51C2DE1A" w14:textId="77777777" w:rsidR="00483957" w:rsidRDefault="00483957" w:rsidP="0088031C">
            <w:pPr>
              <w:pStyle w:val="BodyText"/>
            </w:pPr>
            <w:r>
              <w:t>The ways that I am impacted include having been unable to live with people I would have if we were able to find a house that was accessible (and affordable) for them - they ended up moving back into their parents at 38. Even were I not wanting to live with someone with accessible housing needs, I would still prioritise finding a home where I can invite all of my friends to visit - including those who have physical disabilities.</w:t>
            </w:r>
          </w:p>
          <w:p w14:paraId="3BCF662F" w14:textId="77777777" w:rsidR="00483957" w:rsidRPr="00233C02" w:rsidRDefault="00483957" w:rsidP="00FF2A58">
            <w:pPr>
              <w:pStyle w:val="BodyText"/>
              <w:spacing w:before="0" w:after="120"/>
              <w:rPr>
                <w:rFonts w:ascii="Franklin Gothic Book" w:hAnsi="Franklin Gothic Book"/>
                <w:sz w:val="14"/>
                <w:szCs w:val="14"/>
              </w:rPr>
            </w:pPr>
            <w:r w:rsidRPr="00233C02">
              <w:rPr>
                <w:rFonts w:ascii="Franklin Gothic Book" w:hAnsi="Franklin Gothic Book"/>
                <w:i/>
                <w:iCs/>
                <w:sz w:val="14"/>
                <w:szCs w:val="14"/>
              </w:rPr>
              <w:t>Source:</w:t>
            </w:r>
            <w:r w:rsidRPr="00FF2A58">
              <w:rPr>
                <w:rFonts w:ascii="Franklin Gothic Book" w:hAnsi="Franklin Gothic Book"/>
                <w:sz w:val="14"/>
                <w:szCs w:val="14"/>
              </w:rPr>
              <w:t xml:space="preserve"> Anonymous Response 722067220</w:t>
            </w:r>
            <w:r w:rsidRPr="00233C02">
              <w:rPr>
                <w:rStyle w:val="FootnoteReference"/>
                <w:rFonts w:ascii="Franklin Gothic Book" w:hAnsi="Franklin Gothic Book"/>
                <w:sz w:val="14"/>
                <w:szCs w:val="14"/>
              </w:rPr>
              <w:footnoteReference w:id="113"/>
            </w:r>
          </w:p>
        </w:tc>
      </w:tr>
    </w:tbl>
    <w:p w14:paraId="1C17430F" w14:textId="77777777" w:rsidR="00142D49" w:rsidRDefault="00142D49"/>
    <w:p w14:paraId="62331904" w14:textId="77777777" w:rsidR="00142D49" w:rsidRDefault="00142D49">
      <w:r>
        <w:br w:type="page"/>
      </w: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27: Lived experience – quality of life impacts"/>
        <w:tblDescription w:val="Examples from submissions about the impacts on quality of life with accessible and inaccessible housing. Quality of life in these examples include mental health, physical health, social isolation, living situation choices and visitability."/>
      </w:tblPr>
      <w:tblGrid>
        <w:gridCol w:w="7938"/>
      </w:tblGrid>
      <w:tr w:rsidR="00142D49" w:rsidRPr="00E05C8C" w14:paraId="4781159A" w14:textId="77777777" w:rsidTr="001E5038">
        <w:trPr>
          <w:cantSplit/>
        </w:trPr>
        <w:tc>
          <w:tcPr>
            <w:tcW w:w="7938" w:type="dxa"/>
            <w:tcBorders>
              <w:top w:val="nil"/>
              <w:left w:val="nil"/>
              <w:bottom w:val="nil"/>
              <w:right w:val="nil"/>
            </w:tcBorders>
            <w:shd w:val="clear" w:color="auto" w:fill="C6BFAB" w:themeFill="accent3"/>
          </w:tcPr>
          <w:p w14:paraId="265FE280" w14:textId="43745D7B" w:rsidR="00142D49" w:rsidRPr="00142D49" w:rsidRDefault="00142D49" w:rsidP="00142D49">
            <w:pPr>
              <w:pStyle w:val="BodyText"/>
              <w:spacing w:before="120" w:after="100"/>
              <w:rPr>
                <w:rFonts w:ascii="Franklin Gothic Demi" w:hAnsi="Franklin Gothic Demi"/>
              </w:rPr>
            </w:pPr>
            <w:r w:rsidRPr="00142D49">
              <w:rPr>
                <w:rFonts w:ascii="Franklin Gothic Demi" w:hAnsi="Franklin Gothic Demi"/>
              </w:rPr>
              <w:lastRenderedPageBreak/>
              <w:t>3.27</w:t>
            </w:r>
            <w:r w:rsidRPr="00142D49">
              <w:rPr>
                <w:rFonts w:ascii="Franklin Gothic Demi" w:hAnsi="Franklin Gothic Demi"/>
              </w:rPr>
              <w:tab/>
              <w:t>Lived experience – quality of life impacts</w:t>
            </w:r>
          </w:p>
        </w:tc>
      </w:tr>
      <w:tr w:rsidR="00483957" w14:paraId="50277877" w14:textId="77777777" w:rsidTr="00142D49">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top w:val="single" w:sz="4" w:space="0" w:color="FFFFFF" w:themeColor="background1"/>
            </w:tcBorders>
            <w:shd w:val="clear" w:color="auto" w:fill="E9E8E5" w:themeFill="background2"/>
          </w:tcPr>
          <w:p w14:paraId="1335EEE2" w14:textId="77777777" w:rsidR="00483957" w:rsidRDefault="00483957" w:rsidP="001F486D">
            <w:pPr>
              <w:pStyle w:val="BoxHeading1"/>
              <w:spacing w:before="120"/>
            </w:pPr>
            <w:r>
              <w:t>Improved visitability and social participation with accessibility features</w:t>
            </w:r>
          </w:p>
          <w:p w14:paraId="171A0076" w14:textId="77777777" w:rsidR="00483957" w:rsidRDefault="00483957" w:rsidP="0088031C">
            <w:pPr>
              <w:pStyle w:val="BodyText"/>
            </w:pPr>
            <w:r w:rsidRPr="007E2754">
              <w:t>Based on my own experience of 24 years being a paraplegic in rental housing and trying to visit friends/family in a wheelchair, the most critical features to provide for a basic level of accessibility are STEP FREE, accessible gradient paths of travel from parking area to inside, wider doorways (Gold level provisions), minimum 1m clearance on one side of the bed and accessible bathroom facilities (Gold level provisions). If those things are provided, I can tolerate all the other difficulties with practically accessing kitchens, parking, other rooms in the house but would recommend they were also addressed with additional provisions to make a more wholistic</w:t>
            </w:r>
            <w:r w:rsidR="009863B4">
              <w:t xml:space="preserve"> [</w:t>
            </w:r>
            <w:r w:rsidR="009863B4">
              <w:rPr>
                <w:i/>
                <w:iCs/>
              </w:rPr>
              <w:t>sic</w:t>
            </w:r>
            <w:r w:rsidR="009863B4">
              <w:t>]</w:t>
            </w:r>
            <w:r w:rsidRPr="007E2754">
              <w:t xml:space="preserve"> solution.</w:t>
            </w:r>
          </w:p>
          <w:p w14:paraId="5B9076B9" w14:textId="77777777" w:rsidR="00483957" w:rsidRPr="00233C02" w:rsidRDefault="00483957" w:rsidP="00233C02">
            <w:pPr>
              <w:pStyle w:val="BodyText"/>
              <w:spacing w:before="0"/>
              <w:rPr>
                <w:rFonts w:ascii="Franklin Gothic Book" w:hAnsi="Franklin Gothic Book"/>
                <w:sz w:val="14"/>
                <w:szCs w:val="14"/>
              </w:rPr>
            </w:pPr>
            <w:r w:rsidRPr="00233C02">
              <w:rPr>
                <w:rFonts w:ascii="Franklin Gothic Book" w:hAnsi="Franklin Gothic Book"/>
                <w:i/>
                <w:iCs/>
                <w:sz w:val="14"/>
                <w:szCs w:val="14"/>
              </w:rPr>
              <w:t xml:space="preserve">Source: </w:t>
            </w:r>
            <w:r w:rsidRPr="00FF2A58">
              <w:rPr>
                <w:rFonts w:ascii="Franklin Gothic Book" w:hAnsi="Franklin Gothic Book"/>
                <w:sz w:val="14"/>
                <w:szCs w:val="14"/>
              </w:rPr>
              <w:t>Anonymous (Q30) Response 894045598</w:t>
            </w:r>
            <w:r w:rsidRPr="00233C02">
              <w:rPr>
                <w:rStyle w:val="FootnoteReference"/>
                <w:rFonts w:ascii="Franklin Gothic Book" w:hAnsi="Franklin Gothic Book"/>
                <w:sz w:val="14"/>
                <w:szCs w:val="14"/>
              </w:rPr>
              <w:footnoteReference w:id="114"/>
            </w:r>
          </w:p>
        </w:tc>
      </w:tr>
      <w:tr w:rsidR="00483957" w14:paraId="3AAAD4E9" w14:textId="77777777" w:rsidTr="0088031C">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15453E3B" w14:textId="77777777" w:rsidR="00483957" w:rsidRDefault="00483957" w:rsidP="0088031C">
            <w:pPr>
              <w:spacing w:before="140"/>
            </w:pPr>
            <w:r w:rsidRPr="000112CF">
              <w:t>I have been a member of a Book</w:t>
            </w:r>
            <w:r>
              <w:t xml:space="preserve"> </w:t>
            </w:r>
            <w:r w:rsidRPr="000112CF">
              <w:t>Club for almost fifteen years.  We have evolved into a tight knit and supportive group who have together navigated births, marriages, separation, illness, renovations and meet regularly to share wine, cheese and stories. Originally established in a bookshop, on its closure a new venue was sought. Eventually, cafes and restaurants becoming too expensive or too constrained we discussed visiting each other’s homes, a different member hosting each month. With one of our group in a wheelchair an accessibility review of each person’s home resulting in only one person from the seven having a home that was equally accessible to all, predictably that of the person in the wheelchair, although two others had homes that were accessible through the garage. Imagine our delight when one evening on arrival there was a handcrafted plywood ramp enabling access with the proud pronouncement that “Everybody should be able to come in through our front door!</w:t>
            </w:r>
            <w:r>
              <w:t>”</w:t>
            </w:r>
            <w:r w:rsidRPr="000112CF">
              <w:t>. And now we all do just that on a regular basis.</w:t>
            </w:r>
          </w:p>
          <w:p w14:paraId="1C711E79" w14:textId="77777777" w:rsidR="00483957" w:rsidRPr="00233C02" w:rsidRDefault="00483957" w:rsidP="00233C02">
            <w:pPr>
              <w:pStyle w:val="BodyText"/>
              <w:spacing w:before="0"/>
              <w:rPr>
                <w:rFonts w:ascii="Franklin Gothic Book" w:hAnsi="Franklin Gothic Book"/>
                <w:sz w:val="14"/>
                <w:szCs w:val="14"/>
              </w:rPr>
            </w:pPr>
            <w:r w:rsidRPr="00233C02">
              <w:rPr>
                <w:rFonts w:ascii="Franklin Gothic Book" w:hAnsi="Franklin Gothic Book"/>
                <w:i/>
                <w:iCs/>
                <w:sz w:val="14"/>
                <w:szCs w:val="14"/>
              </w:rPr>
              <w:t xml:space="preserve">Source: </w:t>
            </w:r>
            <w:r w:rsidRPr="00FF2A58">
              <w:rPr>
                <w:rFonts w:ascii="Franklin Gothic Book" w:hAnsi="Franklin Gothic Book"/>
                <w:sz w:val="14"/>
                <w:szCs w:val="14"/>
              </w:rPr>
              <w:t>Wendy Lovelace Response</w:t>
            </w:r>
            <w:r w:rsidRPr="00233C02">
              <w:rPr>
                <w:rStyle w:val="FootnoteReference"/>
                <w:rFonts w:ascii="Franklin Gothic Book" w:hAnsi="Franklin Gothic Book"/>
                <w:sz w:val="14"/>
                <w:szCs w:val="14"/>
              </w:rPr>
              <w:footnoteReference w:id="115"/>
            </w:r>
          </w:p>
        </w:tc>
      </w:tr>
      <w:tr w:rsidR="00483957" w14:paraId="6A984CD9" w14:textId="77777777" w:rsidTr="0088031C">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46B6B706" w14:textId="77777777" w:rsidR="00483957" w:rsidRDefault="00483957" w:rsidP="0088031C"/>
        </w:tc>
      </w:tr>
      <w:tr w:rsidR="00483957" w14:paraId="121F06C8" w14:textId="77777777" w:rsidTr="0088031C">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6FC921B5" w14:textId="77777777" w:rsidR="00483957" w:rsidRDefault="00483957" w:rsidP="0088031C"/>
        </w:tc>
      </w:tr>
    </w:tbl>
    <w:p w14:paraId="4B53DB08" w14:textId="77777777" w:rsidR="00483957" w:rsidRDefault="009863B4" w:rsidP="00483957">
      <w:pPr>
        <w:pStyle w:val="BodyText"/>
        <w:rPr>
          <w:lang w:bidi="fa-IR"/>
        </w:rPr>
      </w:pPr>
      <w:r>
        <w:rPr>
          <w:lang w:bidi="fa-IR"/>
        </w:rPr>
        <w:t xml:space="preserve">According to the survey by </w:t>
      </w:r>
      <w:r w:rsidR="00483957">
        <w:rPr>
          <w:lang w:bidi="fa-IR"/>
        </w:rPr>
        <w:t>MDI</w:t>
      </w:r>
      <w:r>
        <w:rPr>
          <w:lang w:bidi="fa-IR"/>
        </w:rPr>
        <w:t>,</w:t>
      </w:r>
      <w:r w:rsidR="00483957">
        <w:rPr>
          <w:lang w:bidi="fa-IR"/>
        </w:rPr>
        <w:t xml:space="preserve"> a significantly higher share of respondents living in inaccessible housing indicated worsened mental health and wellbeing, compared with those living in accessible homes (chart </w:t>
      </w:r>
      <w:r>
        <w:rPr>
          <w:lang w:bidi="fa-IR"/>
        </w:rPr>
        <w:t>3.2</w:t>
      </w:r>
      <w:r w:rsidR="005908AC">
        <w:rPr>
          <w:lang w:bidi="fa-IR"/>
        </w:rPr>
        <w:t>8</w:t>
      </w:r>
      <w:r w:rsidR="00483957">
        <w:rPr>
          <w:lang w:bidi="fa-IR"/>
        </w:rPr>
        <w:t>).</w:t>
      </w:r>
      <w:r w:rsidR="00483957">
        <w:rPr>
          <w:rStyle w:val="FootnoteReference"/>
          <w:lang w:bidi="fa-IR"/>
        </w:rPr>
        <w:footnoteReference w:id="116"/>
      </w:r>
      <w:r w:rsidR="00483957">
        <w:rPr>
          <w:lang w:bidi="fa-IR"/>
        </w:rPr>
        <w:t xml:space="preserve"> Conversely, a high share of people living in accessible homes reported improved mental health and wellbeing.</w:t>
      </w:r>
    </w:p>
    <w:p w14:paraId="6B069A78" w14:textId="7E87B8B3" w:rsidR="00483957" w:rsidRDefault="00142D49" w:rsidP="001F486D">
      <w:pPr>
        <w:pStyle w:val="Caption"/>
        <w:ind w:left="568" w:hanging="568"/>
      </w:pPr>
      <w:bookmarkStart w:id="233" w:name="_Toc70505527"/>
      <w:r>
        <w:lastRenderedPageBreak/>
        <w:t>3.28</w:t>
      </w:r>
      <w:r w:rsidR="00483957" w:rsidRPr="00695C93">
        <w:tab/>
      </w:r>
      <w:r w:rsidR="00483957">
        <w:t>Share of respondents indicating that the accessibility of their current home had worsened their mental health and wellbeing</w:t>
      </w:r>
      <w:bookmarkEnd w:id="233"/>
    </w:p>
    <w:p w14:paraId="7760E241" w14:textId="77777777" w:rsidR="001F486D" w:rsidRDefault="001F486D" w:rsidP="001F486D">
      <w:pPr>
        <w:pStyle w:val="Subtitlebox"/>
      </w:pPr>
      <w:r w:rsidRPr="00800FE4">
        <w:rPr>
          <w:noProof/>
        </w:rPr>
        <w:drawing>
          <wp:inline distT="0" distB="0" distL="0" distR="0" wp14:anchorId="6B8C2B9A" wp14:editId="7B719CAA">
            <wp:extent cx="5035550" cy="2432050"/>
            <wp:effectExtent l="76200" t="76200" r="69850" b="82550"/>
            <wp:docPr id="31" name="Picture 31" descr="This bar graph illustrates the worsened mental heath and wellbeing of respondents living in inaccessible homes. People with low support needs indicated nearly three times worse mental health in an inaccessible home compared to an accessible home. For people with high support needs, the figure was over four times worse." title="Chart 3.28: Share of respondents indicating that the accessibility of their current home had worsened their ment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76200">
                      <a:solidFill>
                        <a:schemeClr val="bg2"/>
                      </a:solidFill>
                    </a:ln>
                  </pic:spPr>
                </pic:pic>
              </a:graphicData>
            </a:graphic>
          </wp:inline>
        </w:drawing>
      </w:r>
    </w:p>
    <w:p w14:paraId="5AD4D0C5" w14:textId="77777777" w:rsidR="00CC68EA" w:rsidRPr="00A97BEC" w:rsidRDefault="00CC68EA" w:rsidP="002474D4">
      <w:pPr>
        <w:pStyle w:val="Source"/>
        <w:rPr>
          <w:lang w:bidi="fa-IR"/>
        </w:rPr>
      </w:pPr>
      <w:r w:rsidRPr="002474D4">
        <w:rPr>
          <w:lang w:bidi="fa-IR"/>
        </w:rPr>
        <w:t>Note: Q: To what extent has the accessibility standard of your current home — and ability to get in and around the home — affected your mental health and wellbeing?</w:t>
      </w:r>
    </w:p>
    <w:p w14:paraId="315A0AD5" w14:textId="77777777" w:rsidR="00B3197F" w:rsidRDefault="00B3197F" w:rsidP="00B3197F">
      <w:pPr>
        <w:pStyle w:val="Source"/>
        <w:rPr>
          <w:lang w:bidi="fa-IR"/>
        </w:rPr>
      </w:pPr>
      <w:r w:rsidRPr="002474D4">
        <w:rPr>
          <w:lang w:bidi="fa-IR"/>
        </w:rPr>
        <w:t>Data source:</w:t>
      </w:r>
      <w:r>
        <w:rPr>
          <w:lang w:bidi="fa-IR"/>
        </w:rPr>
        <w:t xml:space="preserve"> Wiesel, I. </w:t>
      </w:r>
      <w:r w:rsidRPr="002474D4">
        <w:rPr>
          <w:lang w:bidi="fa-IR"/>
        </w:rPr>
        <w:t>Lived experience and social, health and economic impacts of inaccessible housing</w:t>
      </w:r>
      <w:r>
        <w:rPr>
          <w:lang w:bidi="fa-IR"/>
        </w:rPr>
        <w:t>, prepared for the Melbourne Disability Institute, University of Melbourne and the Summer Foundation, 18 August 2020, as Appendix 2 of the submission by Melbourne Disability Institute (MDI) and Summer Foundation.</w:t>
      </w:r>
    </w:p>
    <w:p w14:paraId="665E4B1E" w14:textId="77777777" w:rsidR="00C45B1D" w:rsidRDefault="00CC68EA" w:rsidP="00C45B1D">
      <w:pPr>
        <w:pStyle w:val="BodyText"/>
        <w:rPr>
          <w:lang w:eastAsia="en-US"/>
        </w:rPr>
      </w:pPr>
      <w:r>
        <w:rPr>
          <w:lang w:eastAsia="en-US"/>
        </w:rPr>
        <w:t>Although there is significant qualitative evidence demonstrating reduced quality of life, including loss of independence, loss of dignity and poorer mental health outcomes associated with inaccessible housing (relative to accessible housing), quantitative evidence is limited.</w:t>
      </w:r>
      <w:r w:rsidR="00C45B1D">
        <w:rPr>
          <w:lang w:eastAsia="en-US"/>
        </w:rPr>
        <w:t xml:space="preserve"> Based on the limited information available, CIE considered various approaches to quantifying the quality of life impacts (see below).</w:t>
      </w:r>
    </w:p>
    <w:p w14:paraId="4A74B183" w14:textId="77777777" w:rsidR="00C45B1D" w:rsidRDefault="00C45B1D" w:rsidP="00C45B1D">
      <w:pPr>
        <w:pStyle w:val="KeyPoint"/>
        <w:numPr>
          <w:ilvl w:val="0"/>
          <w:numId w:val="11"/>
        </w:numPr>
        <w:rPr>
          <w:lang w:bidi="fa-IR"/>
        </w:rPr>
      </w:pPr>
      <w:r>
        <w:rPr>
          <w:lang w:bidi="fa-IR"/>
        </w:rPr>
        <w:t>The estimates of the quality of life costs associated with inaccessible housing based on these various approaches varied significantly (reflecting high levels of uncertainty). The CBA assumes:</w:t>
      </w:r>
    </w:p>
    <w:p w14:paraId="79CAD2D7" w14:textId="77777777" w:rsidR="00C45B1D" w:rsidRDefault="00C45B1D" w:rsidP="00C45B1D">
      <w:pPr>
        <w:pStyle w:val="KeyPoint"/>
        <w:numPr>
          <w:ilvl w:val="1"/>
          <w:numId w:val="11"/>
        </w:numPr>
        <w:rPr>
          <w:lang w:bidi="fa-IR"/>
        </w:rPr>
      </w:pPr>
      <w:r>
        <w:rPr>
          <w:lang w:bidi="fa-IR"/>
        </w:rPr>
        <w:t xml:space="preserve">A lower bound estimate of around $1 billion per year, based on the lower bound estimate using the </w:t>
      </w:r>
      <w:bookmarkStart w:id="234" w:name="_Hlk64366928"/>
      <w:r w:rsidR="002F3F0C">
        <w:rPr>
          <w:lang w:bidi="fa-IR"/>
        </w:rPr>
        <w:t>WTP</w:t>
      </w:r>
      <w:bookmarkEnd w:id="234"/>
      <w:r>
        <w:rPr>
          <w:lang w:bidi="fa-IR"/>
        </w:rPr>
        <w:t xml:space="preserve"> approach.</w:t>
      </w:r>
    </w:p>
    <w:p w14:paraId="750783A7" w14:textId="77777777" w:rsidR="00C45B1D" w:rsidRDefault="00C45B1D" w:rsidP="00C45B1D">
      <w:pPr>
        <w:pStyle w:val="KeyPoint"/>
        <w:numPr>
          <w:ilvl w:val="1"/>
          <w:numId w:val="11"/>
        </w:numPr>
        <w:rPr>
          <w:lang w:bidi="fa-IR"/>
        </w:rPr>
      </w:pPr>
      <w:r>
        <w:rPr>
          <w:lang w:bidi="fa-IR"/>
        </w:rPr>
        <w:t xml:space="preserve">A central case estimate of around $1.9 billion per year, based on the upper bound estimate using the </w:t>
      </w:r>
      <w:r w:rsidR="002F3F0C" w:rsidRPr="002F3F0C">
        <w:rPr>
          <w:lang w:bidi="fa-IR"/>
        </w:rPr>
        <w:t xml:space="preserve">WTP </w:t>
      </w:r>
      <w:r>
        <w:rPr>
          <w:lang w:bidi="fa-IR"/>
        </w:rPr>
        <w:t>approach.</w:t>
      </w:r>
    </w:p>
    <w:p w14:paraId="3C52A01E" w14:textId="77777777" w:rsidR="00CC68EA" w:rsidRDefault="00C45B1D" w:rsidP="00C45B1D">
      <w:pPr>
        <w:pStyle w:val="KeyPoint"/>
        <w:numPr>
          <w:ilvl w:val="1"/>
          <w:numId w:val="11"/>
        </w:numPr>
        <w:rPr>
          <w:lang w:bidi="fa-IR"/>
        </w:rPr>
      </w:pPr>
      <w:r>
        <w:rPr>
          <w:lang w:bidi="fa-IR"/>
        </w:rPr>
        <w:t>An upper bound estimate of around $3.8 billion per year, based on the estimate using the reduction in quality</w:t>
      </w:r>
      <w:r>
        <w:rPr>
          <w:lang w:bidi="fa-IR"/>
        </w:rPr>
        <w:noBreakHyphen/>
        <w:t>adjusted life years (QALYs).</w:t>
      </w:r>
    </w:p>
    <w:p w14:paraId="48D581E1" w14:textId="77777777" w:rsidR="00C45B1D" w:rsidRDefault="00C45B1D" w:rsidP="00C45B1D">
      <w:pPr>
        <w:pStyle w:val="Heading4"/>
        <w:rPr>
          <w:lang w:eastAsia="en-US"/>
        </w:rPr>
      </w:pPr>
      <w:bookmarkStart w:id="235" w:name="_Ref60090841"/>
      <w:r>
        <w:rPr>
          <w:lang w:eastAsia="en-US"/>
        </w:rPr>
        <w:t>The willingness to pay approach</w:t>
      </w:r>
      <w:bookmarkEnd w:id="235"/>
    </w:p>
    <w:p w14:paraId="41E46C8E" w14:textId="77777777" w:rsidR="00483957" w:rsidRDefault="00167806" w:rsidP="00483957">
      <w:pPr>
        <w:pStyle w:val="BodyText"/>
        <w:rPr>
          <w:lang w:eastAsia="en-US"/>
        </w:rPr>
      </w:pPr>
      <w:r>
        <w:rPr>
          <w:lang w:eastAsia="en-US"/>
        </w:rPr>
        <w:t xml:space="preserve">Anticipated quality of life improvements should be reflected in household’s willingness to pay for accessibility features. The </w:t>
      </w:r>
      <w:r w:rsidR="009D7A56">
        <w:rPr>
          <w:lang w:eastAsia="en-US"/>
        </w:rPr>
        <w:t>stated preference</w:t>
      </w:r>
      <w:r>
        <w:rPr>
          <w:lang w:eastAsia="en-US"/>
        </w:rPr>
        <w:t xml:space="preserve"> survey conducted for the Consultation RIS was therefore used as one approach for estimating the WTP for accessible features proposed in the NCC. It is estimated that the WTP for Silver and Gold is $1 919 per year and $3 451 per year per household with at least one family member having mobility disabilit</w:t>
      </w:r>
      <w:r w:rsidR="00547FFC">
        <w:rPr>
          <w:lang w:eastAsia="en-US"/>
        </w:rPr>
        <w:t>y</w:t>
      </w:r>
      <w:r>
        <w:rPr>
          <w:lang w:eastAsia="en-US"/>
        </w:rPr>
        <w:t>, respectively.</w:t>
      </w:r>
    </w:p>
    <w:p w14:paraId="732558ED" w14:textId="77777777" w:rsidR="00483957" w:rsidRDefault="00483957" w:rsidP="00483957">
      <w:pPr>
        <w:pStyle w:val="BodyText"/>
        <w:rPr>
          <w:lang w:eastAsia="en-US"/>
        </w:rPr>
      </w:pPr>
      <w:r>
        <w:rPr>
          <w:lang w:eastAsia="en-US"/>
        </w:rPr>
        <w:lastRenderedPageBreak/>
        <w:t xml:space="preserve">SDAC data suggests that there are about </w:t>
      </w:r>
      <w:r w:rsidRPr="00CB1C52">
        <w:rPr>
          <w:lang w:eastAsia="en-US"/>
        </w:rPr>
        <w:t>554 400</w:t>
      </w:r>
      <w:r>
        <w:rPr>
          <w:lang w:eastAsia="en-US"/>
        </w:rPr>
        <w:t xml:space="preserve"> people who live in an unmodified home </w:t>
      </w:r>
      <w:r w:rsidR="002927E7">
        <w:rPr>
          <w:lang w:eastAsia="en-US"/>
        </w:rPr>
        <w:t xml:space="preserve">who </w:t>
      </w:r>
      <w:r>
        <w:rPr>
          <w:lang w:eastAsia="en-US"/>
        </w:rPr>
        <w:t>hav</w:t>
      </w:r>
      <w:r w:rsidR="002927E7">
        <w:rPr>
          <w:lang w:eastAsia="en-US"/>
        </w:rPr>
        <w:t>e</w:t>
      </w:r>
      <w:r>
        <w:rPr>
          <w:lang w:eastAsia="en-US"/>
        </w:rPr>
        <w:t xml:space="preserve"> difficulties with moving about </w:t>
      </w:r>
      <w:r w:rsidR="00B112D2">
        <w:rPr>
          <w:lang w:eastAsia="en-US"/>
        </w:rPr>
        <w:t xml:space="preserve">the </w:t>
      </w:r>
      <w:r>
        <w:rPr>
          <w:lang w:eastAsia="en-US"/>
        </w:rPr>
        <w:t>hous</w:t>
      </w:r>
      <w:r w:rsidR="00B112D2">
        <w:rPr>
          <w:lang w:eastAsia="en-US"/>
        </w:rPr>
        <w:t>e</w:t>
      </w:r>
      <w:r>
        <w:rPr>
          <w:lang w:eastAsia="en-US"/>
        </w:rPr>
        <w:t xml:space="preserve">, toileting or showering. Assuming that each household has only one person with difficulties </w:t>
      </w:r>
      <w:r w:rsidR="00D355BC">
        <w:rPr>
          <w:lang w:eastAsia="en-US"/>
        </w:rPr>
        <w:t>with</w:t>
      </w:r>
      <w:r>
        <w:rPr>
          <w:lang w:eastAsia="en-US"/>
        </w:rPr>
        <w:t xml:space="preserve"> these activities, it is estimated that the total benefit of making their home</w:t>
      </w:r>
      <w:r w:rsidR="00D355BC">
        <w:rPr>
          <w:lang w:eastAsia="en-US"/>
        </w:rPr>
        <w:t>s</w:t>
      </w:r>
      <w:r>
        <w:rPr>
          <w:lang w:eastAsia="en-US"/>
        </w:rPr>
        <w:t xml:space="preserve"> accessible could be between $1.1 billion and $1.9 billion per year (table</w:t>
      </w:r>
      <w:r w:rsidR="009863B4">
        <w:rPr>
          <w:lang w:eastAsia="en-US"/>
        </w:rPr>
        <w:t> 3.2</w:t>
      </w:r>
      <w:r w:rsidR="005908AC">
        <w:rPr>
          <w:lang w:eastAsia="en-US"/>
        </w:rPr>
        <w:t>9</w:t>
      </w:r>
      <w:r>
        <w:rPr>
          <w:lang w:eastAsia="en-US"/>
        </w:rPr>
        <w:t>).</w:t>
      </w:r>
    </w:p>
    <w:p w14:paraId="7AD17807" w14:textId="2F64706E" w:rsidR="00483957" w:rsidRDefault="00142D49" w:rsidP="00483957">
      <w:pPr>
        <w:pStyle w:val="Caption"/>
      </w:pPr>
      <w:bookmarkStart w:id="236" w:name="_Toc70505528"/>
      <w:r>
        <w:t>3.29</w:t>
      </w:r>
      <w:r w:rsidR="00483957" w:rsidRPr="00695C93">
        <w:tab/>
      </w:r>
      <w:r w:rsidR="00483957">
        <w:t>Willingness to pay for accessibl</w:t>
      </w:r>
      <w:r w:rsidR="00D727E8">
        <w:t>e</w:t>
      </w:r>
      <w:r w:rsidR="00483957">
        <w:t xml:space="preserve"> housing</w:t>
      </w:r>
      <w:bookmarkEnd w:id="236"/>
    </w:p>
    <w:tbl>
      <w:tblPr>
        <w:tblW w:w="7937" w:type="dxa"/>
        <w:tblLook w:val="04A0" w:firstRow="1" w:lastRow="0" w:firstColumn="1" w:lastColumn="0" w:noHBand="0" w:noVBand="1"/>
        <w:tblCaption w:val="Table 3.29: Willingness to pay for accessibly housing"/>
        <w:tblDescription w:val="This table shows the willingness to pay (WTP) cost per household per year, and the number of households who currently live in unmodified homes. The total estimated benefit of making their homes accessible could be between $1,063,900,000 (Silver) and $1,913,200,000 (Gold)."/>
      </w:tblPr>
      <w:tblGrid>
        <w:gridCol w:w="4937"/>
        <w:gridCol w:w="1500"/>
        <w:gridCol w:w="1500"/>
      </w:tblGrid>
      <w:tr w:rsidR="00CC68EA" w:rsidRPr="000D243D" w14:paraId="118CDAD4" w14:textId="77777777" w:rsidTr="00951EBC">
        <w:trPr>
          <w:trHeight w:val="252"/>
        </w:trPr>
        <w:tc>
          <w:tcPr>
            <w:tcW w:w="4937" w:type="dxa"/>
            <w:tcBorders>
              <w:bottom w:val="single" w:sz="8" w:space="0" w:color="FFFFFF" w:themeColor="background1"/>
            </w:tcBorders>
            <w:shd w:val="clear" w:color="auto" w:fill="6F6652"/>
            <w:noWrap/>
            <w:tcMar>
              <w:left w:w="57" w:type="dxa"/>
              <w:right w:w="57" w:type="dxa"/>
            </w:tcMar>
            <w:hideMark/>
          </w:tcPr>
          <w:p w14:paraId="50F68F2A" w14:textId="77777777" w:rsidR="00CC68EA" w:rsidRPr="000D243D" w:rsidRDefault="002F1496" w:rsidP="00951EBC">
            <w:pPr>
              <w:pStyle w:val="TableDataColumnHeading"/>
              <w:jc w:val="left"/>
            </w:pPr>
            <w:r>
              <w:t>Willingness to pay</w:t>
            </w:r>
          </w:p>
        </w:tc>
        <w:tc>
          <w:tcPr>
            <w:tcW w:w="1500" w:type="dxa"/>
            <w:tcBorders>
              <w:bottom w:val="single" w:sz="8" w:space="0" w:color="FFFFFF" w:themeColor="background1"/>
            </w:tcBorders>
            <w:shd w:val="clear" w:color="auto" w:fill="6F6652"/>
            <w:noWrap/>
            <w:tcMar>
              <w:left w:w="57" w:type="dxa"/>
              <w:right w:w="57" w:type="dxa"/>
            </w:tcMar>
            <w:hideMark/>
          </w:tcPr>
          <w:p w14:paraId="1DDF2A62" w14:textId="77777777" w:rsidR="00CC68EA" w:rsidRPr="000D243D" w:rsidRDefault="00CC68EA" w:rsidP="00951EBC">
            <w:pPr>
              <w:pStyle w:val="TableDataColumnHeading"/>
              <w:rPr>
                <w:szCs w:val="16"/>
              </w:rPr>
            </w:pPr>
            <w:r w:rsidRPr="000D243D">
              <w:rPr>
                <w:szCs w:val="16"/>
              </w:rPr>
              <w:t>Silver</w:t>
            </w:r>
          </w:p>
        </w:tc>
        <w:tc>
          <w:tcPr>
            <w:tcW w:w="1500" w:type="dxa"/>
            <w:tcBorders>
              <w:bottom w:val="single" w:sz="8" w:space="0" w:color="FFFFFF" w:themeColor="background1"/>
            </w:tcBorders>
            <w:shd w:val="clear" w:color="auto" w:fill="6F6652"/>
            <w:noWrap/>
            <w:tcMar>
              <w:left w:w="57" w:type="dxa"/>
              <w:right w:w="57" w:type="dxa"/>
            </w:tcMar>
            <w:hideMark/>
          </w:tcPr>
          <w:p w14:paraId="1569A934" w14:textId="77777777" w:rsidR="00CC68EA" w:rsidRPr="000D243D" w:rsidRDefault="00CC68EA" w:rsidP="00951EBC">
            <w:pPr>
              <w:pStyle w:val="TableDataColumnHeading"/>
              <w:rPr>
                <w:szCs w:val="16"/>
              </w:rPr>
            </w:pPr>
            <w:r w:rsidRPr="000D243D">
              <w:rPr>
                <w:szCs w:val="16"/>
              </w:rPr>
              <w:t>Gold</w:t>
            </w:r>
          </w:p>
        </w:tc>
      </w:tr>
      <w:tr w:rsidR="00CC68EA" w:rsidRPr="000D243D" w14:paraId="1AF4D887" w14:textId="77777777" w:rsidTr="00951EBC">
        <w:trPr>
          <w:trHeight w:val="252"/>
        </w:trPr>
        <w:tc>
          <w:tcPr>
            <w:tcW w:w="49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B3AD90" w14:textId="77777777" w:rsidR="00CC68EA" w:rsidRPr="000D243D" w:rsidRDefault="00CC68EA" w:rsidP="00951EBC">
            <w:pPr>
              <w:pStyle w:val="TableDataEntries"/>
              <w:jc w:val="left"/>
            </w:pPr>
            <w:r w:rsidRPr="000D243D">
              <w:t>WTP ($ per year per household)</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165024" w14:textId="77777777" w:rsidR="00CC68EA" w:rsidRPr="000D243D" w:rsidRDefault="00CC68EA" w:rsidP="00951EBC">
            <w:pPr>
              <w:pStyle w:val="TableDataEntries"/>
            </w:pPr>
            <w:r w:rsidRPr="000D243D">
              <w:t>1,919.0</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D6553" w14:textId="77777777" w:rsidR="00CC68EA" w:rsidRPr="000D243D" w:rsidRDefault="00CC68EA" w:rsidP="00951EBC">
            <w:pPr>
              <w:pStyle w:val="TableDataEntries"/>
            </w:pPr>
            <w:r w:rsidRPr="000D243D">
              <w:t>3,451.0</w:t>
            </w:r>
          </w:p>
        </w:tc>
      </w:tr>
      <w:tr w:rsidR="00CC68EA" w:rsidRPr="000D243D" w14:paraId="790E6C53" w14:textId="77777777" w:rsidTr="00951EBC">
        <w:trPr>
          <w:trHeight w:val="252"/>
        </w:trPr>
        <w:tc>
          <w:tcPr>
            <w:tcW w:w="49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236F70" w14:textId="77777777" w:rsidR="00CC68EA" w:rsidRPr="000D243D" w:rsidRDefault="00CC68EA" w:rsidP="00951EBC">
            <w:pPr>
              <w:pStyle w:val="TableDataEntries"/>
              <w:jc w:val="left"/>
            </w:pPr>
            <w:r w:rsidRPr="000D243D">
              <w:t>Number of households impacted ('000)</w:t>
            </w:r>
            <w:r w:rsidRPr="00E4232C">
              <w:rPr>
                <w:rStyle w:val="NoteLabel"/>
              </w:rPr>
              <w:t xml:space="preserve"> a</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76DE99" w14:textId="77777777" w:rsidR="00CC68EA" w:rsidRPr="000D243D" w:rsidRDefault="00CC68EA" w:rsidP="00951EBC">
            <w:pPr>
              <w:pStyle w:val="TableDataEntries"/>
            </w:pPr>
            <w:r w:rsidRPr="000D243D">
              <w:t>554.4</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46754B" w14:textId="77777777" w:rsidR="00CC68EA" w:rsidRPr="000D243D" w:rsidRDefault="00CC68EA" w:rsidP="00951EBC">
            <w:pPr>
              <w:pStyle w:val="TableDataEntries"/>
            </w:pPr>
            <w:r w:rsidRPr="000D243D">
              <w:t>554.4</w:t>
            </w:r>
          </w:p>
        </w:tc>
      </w:tr>
      <w:tr w:rsidR="00CC68EA" w:rsidRPr="000D243D" w14:paraId="2FD0D719" w14:textId="77777777" w:rsidTr="00951EBC">
        <w:trPr>
          <w:trHeight w:val="252"/>
        </w:trPr>
        <w:tc>
          <w:tcPr>
            <w:tcW w:w="493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95EA131" w14:textId="77777777" w:rsidR="00CC68EA" w:rsidRPr="000D243D" w:rsidRDefault="00CC68EA" w:rsidP="00951EBC">
            <w:pPr>
              <w:pStyle w:val="TableDataEntries"/>
              <w:jc w:val="left"/>
              <w:rPr>
                <w:rFonts w:ascii="Franklin Gothic Demi" w:hAnsi="Franklin Gothic Demi"/>
              </w:rPr>
            </w:pPr>
            <w:r w:rsidRPr="000D243D">
              <w:rPr>
                <w:rFonts w:ascii="Franklin Gothic Demi" w:hAnsi="Franklin Gothic Demi"/>
              </w:rPr>
              <w:t>Total impact ($ million)</w:t>
            </w:r>
          </w:p>
        </w:tc>
        <w:tc>
          <w:tcPr>
            <w:tcW w:w="150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E5AA425" w14:textId="77777777" w:rsidR="00CC68EA" w:rsidRPr="000D243D" w:rsidRDefault="00CC68EA" w:rsidP="00951EBC">
            <w:pPr>
              <w:pStyle w:val="TableDataEntries"/>
              <w:rPr>
                <w:rFonts w:ascii="Franklin Gothic Demi" w:hAnsi="Franklin Gothic Demi"/>
              </w:rPr>
            </w:pPr>
            <w:r w:rsidRPr="000D243D">
              <w:rPr>
                <w:rFonts w:ascii="Franklin Gothic Demi" w:hAnsi="Franklin Gothic Demi"/>
              </w:rPr>
              <w:t>1,063.9</w:t>
            </w:r>
          </w:p>
        </w:tc>
        <w:tc>
          <w:tcPr>
            <w:tcW w:w="150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6582D5A" w14:textId="77777777" w:rsidR="00CC68EA" w:rsidRPr="000D243D" w:rsidRDefault="00CC68EA" w:rsidP="00951EBC">
            <w:pPr>
              <w:pStyle w:val="TableDataEntries"/>
              <w:rPr>
                <w:rFonts w:ascii="Franklin Gothic Demi" w:hAnsi="Franklin Gothic Demi"/>
              </w:rPr>
            </w:pPr>
            <w:r w:rsidRPr="000D243D">
              <w:rPr>
                <w:rFonts w:ascii="Franklin Gothic Demi" w:hAnsi="Franklin Gothic Demi"/>
              </w:rPr>
              <w:t>1,913.2</w:t>
            </w:r>
          </w:p>
        </w:tc>
      </w:tr>
    </w:tbl>
    <w:p w14:paraId="79D8A83B" w14:textId="77777777" w:rsidR="00CC68EA" w:rsidRPr="00E4232C" w:rsidRDefault="00CC68EA" w:rsidP="00CC68EA">
      <w:pPr>
        <w:pStyle w:val="Note"/>
      </w:pPr>
      <w:r w:rsidRPr="00E4232C">
        <w:rPr>
          <w:rStyle w:val="NoteLabel"/>
        </w:rPr>
        <w:t>a</w:t>
      </w:r>
      <w:r>
        <w:t xml:space="preserve"> Assuming each household has only one family member having difficulty in moving about home, toileting or showering</w:t>
      </w:r>
      <w:r w:rsidR="00FF2A58">
        <w:t>.</w:t>
      </w:r>
    </w:p>
    <w:p w14:paraId="07BACA96" w14:textId="77777777" w:rsidR="00CC68EA" w:rsidRDefault="00CC68EA" w:rsidP="00CC68EA">
      <w:pPr>
        <w:pStyle w:val="Source"/>
        <w:rPr>
          <w:lang w:bidi="fa-IR"/>
        </w:rPr>
      </w:pPr>
      <w:r w:rsidRPr="002474D4">
        <w:rPr>
          <w:lang w:bidi="fa-IR"/>
        </w:rPr>
        <w:t>Source:</w:t>
      </w:r>
      <w:r>
        <w:rPr>
          <w:lang w:bidi="fa-IR"/>
        </w:rPr>
        <w:t xml:space="preserve"> CIE estimates based on WTP survey and SDAC data</w:t>
      </w:r>
      <w:r w:rsidR="00FF2A58">
        <w:rPr>
          <w:lang w:bidi="fa-IR"/>
        </w:rPr>
        <w:t>.</w:t>
      </w:r>
    </w:p>
    <w:p w14:paraId="23FA8661" w14:textId="77777777" w:rsidR="00483957" w:rsidRDefault="00CC68EA" w:rsidP="00483957">
      <w:pPr>
        <w:pStyle w:val="BodyText"/>
        <w:rPr>
          <w:lang w:eastAsia="en-US"/>
        </w:rPr>
      </w:pPr>
      <w:r>
        <w:rPr>
          <w:lang w:eastAsia="en-US"/>
        </w:rPr>
        <w:t xml:space="preserve">It should be noted that this estimate of WTP for accessible housing includes a </w:t>
      </w:r>
      <w:r w:rsidR="00D355BC">
        <w:rPr>
          <w:lang w:eastAsia="en-US"/>
        </w:rPr>
        <w:t>range</w:t>
      </w:r>
      <w:r>
        <w:rPr>
          <w:lang w:eastAsia="en-US"/>
        </w:rPr>
        <w:t xml:space="preserve"> of impacts which have </w:t>
      </w:r>
      <w:r w:rsidR="00D355BC">
        <w:rPr>
          <w:lang w:eastAsia="en-US"/>
        </w:rPr>
        <w:t xml:space="preserve">been </w:t>
      </w:r>
      <w:r>
        <w:rPr>
          <w:lang w:eastAsia="en-US"/>
        </w:rPr>
        <w:t>identified and quantified separately</w:t>
      </w:r>
      <w:r w:rsidR="00D355BC">
        <w:rPr>
          <w:lang w:eastAsia="en-US"/>
        </w:rPr>
        <w:t xml:space="preserve"> to avoid overlapping</w:t>
      </w:r>
      <w:r>
        <w:rPr>
          <w:lang w:eastAsia="en-US"/>
        </w:rPr>
        <w:t>. For example, as suggested by Dalton and Carter in their supplementary report, private</w:t>
      </w:r>
      <w:r w:rsidR="00D365BE">
        <w:rPr>
          <w:lang w:eastAsia="en-US"/>
        </w:rPr>
        <w:t>ly</w:t>
      </w:r>
      <w:r>
        <w:rPr>
          <w:lang w:eastAsia="en-US"/>
        </w:rPr>
        <w:t xml:space="preserve"> borne costs and inconvenience (or disutility) such as cost associated with loneliness, care related costs, home modifications and moving may be overlapping with the WTP estimates.</w:t>
      </w:r>
      <w:r>
        <w:rPr>
          <w:rStyle w:val="FootnoteReference"/>
          <w:lang w:eastAsia="en-US"/>
        </w:rPr>
        <w:footnoteReference w:id="117"/>
      </w:r>
      <w:r>
        <w:rPr>
          <w:lang w:eastAsia="en-US"/>
        </w:rPr>
        <w:t xml:space="preserve"> These items amount </w:t>
      </w:r>
      <w:r w:rsidRPr="00A020BE">
        <w:rPr>
          <w:lang w:eastAsia="en-US"/>
        </w:rPr>
        <w:t>to $1.</w:t>
      </w:r>
      <w:r w:rsidR="00A020BE" w:rsidRPr="00A020BE">
        <w:rPr>
          <w:lang w:eastAsia="en-US"/>
        </w:rPr>
        <w:t>6</w:t>
      </w:r>
      <w:r w:rsidRPr="00A020BE">
        <w:rPr>
          <w:lang w:eastAsia="en-US"/>
        </w:rPr>
        <w:t xml:space="preserve"> billion and $1.</w:t>
      </w:r>
      <w:r w:rsidR="005F246F">
        <w:rPr>
          <w:lang w:eastAsia="en-US"/>
        </w:rPr>
        <w:t>9</w:t>
      </w:r>
      <w:r w:rsidR="005F246F" w:rsidRPr="00A020BE">
        <w:rPr>
          <w:lang w:eastAsia="en-US"/>
        </w:rPr>
        <w:t xml:space="preserve"> </w:t>
      </w:r>
      <w:r w:rsidRPr="00A020BE">
        <w:rPr>
          <w:lang w:eastAsia="en-US"/>
        </w:rPr>
        <w:t>billion</w:t>
      </w:r>
      <w:r>
        <w:rPr>
          <w:lang w:eastAsia="en-US"/>
        </w:rPr>
        <w:t xml:space="preserve"> per </w:t>
      </w:r>
      <w:r>
        <w:rPr>
          <w:noProof/>
        </w:rPr>
        <w:t>year (</w:t>
      </w:r>
      <w:r w:rsidRPr="00CB1C52">
        <w:rPr>
          <w:noProof/>
        </w:rPr>
        <w:t>see table</w:t>
      </w:r>
      <w:r>
        <w:rPr>
          <w:lang w:eastAsia="en-US"/>
        </w:rPr>
        <w:t> </w:t>
      </w:r>
      <w:r w:rsidR="00D365BE">
        <w:rPr>
          <w:lang w:eastAsia="en-US"/>
        </w:rPr>
        <w:t>3.</w:t>
      </w:r>
      <w:r w:rsidR="005908AC">
        <w:rPr>
          <w:lang w:eastAsia="en-US"/>
        </w:rPr>
        <w:t>2</w:t>
      </w:r>
      <w:r w:rsidR="00483957">
        <w:rPr>
          <w:lang w:eastAsia="en-US"/>
        </w:rPr>
        <w:t>)</w:t>
      </w:r>
      <w:r w:rsidR="00167806">
        <w:rPr>
          <w:lang w:eastAsia="en-US"/>
        </w:rPr>
        <w:t>. This</w:t>
      </w:r>
      <w:r w:rsidR="00483957">
        <w:rPr>
          <w:lang w:eastAsia="en-US"/>
        </w:rPr>
        <w:t xml:space="preserve"> impl</w:t>
      </w:r>
      <w:r w:rsidR="00167806">
        <w:rPr>
          <w:lang w:eastAsia="en-US"/>
        </w:rPr>
        <w:t>ies</w:t>
      </w:r>
      <w:r w:rsidR="00483957">
        <w:rPr>
          <w:lang w:eastAsia="en-US"/>
        </w:rPr>
        <w:t xml:space="preserve"> no additional quality of life impact</w:t>
      </w:r>
      <w:r w:rsidR="00167806">
        <w:rPr>
          <w:lang w:eastAsia="en-US"/>
        </w:rPr>
        <w:t xml:space="preserve"> over and above</w:t>
      </w:r>
      <w:r w:rsidR="009F1BA4">
        <w:rPr>
          <w:lang w:eastAsia="en-US"/>
        </w:rPr>
        <w:t xml:space="preserve"> that which was estimated under other problems</w:t>
      </w:r>
      <w:r w:rsidR="00483957">
        <w:rPr>
          <w:lang w:eastAsia="en-US"/>
        </w:rPr>
        <w:t>.</w:t>
      </w:r>
    </w:p>
    <w:p w14:paraId="5D01FF51" w14:textId="77777777" w:rsidR="00483957" w:rsidRDefault="00483957" w:rsidP="00483957">
      <w:pPr>
        <w:pStyle w:val="BodyText"/>
        <w:rPr>
          <w:lang w:eastAsia="en-US"/>
        </w:rPr>
      </w:pPr>
      <w:r>
        <w:rPr>
          <w:lang w:eastAsia="en-US"/>
        </w:rPr>
        <w:t>Dalton and Carter (2020a, b) also argue that there is possibly no overlap between WTP and the problem reduction approach. If no overlap is assumed, the above WTP estimate could be viewed as a maximum upper bound measurement of the quality of life impact.</w:t>
      </w:r>
    </w:p>
    <w:p w14:paraId="30ACBC97" w14:textId="77777777" w:rsidR="00483957" w:rsidRPr="00542D14" w:rsidRDefault="00483957" w:rsidP="00542D14">
      <w:pPr>
        <w:pStyle w:val="KeyPoint"/>
        <w:numPr>
          <w:ilvl w:val="0"/>
          <w:numId w:val="11"/>
        </w:numPr>
        <w:rPr>
          <w:lang w:bidi="fa-IR"/>
        </w:rPr>
      </w:pPr>
      <w:r w:rsidRPr="00542D14">
        <w:rPr>
          <w:lang w:bidi="fa-IR"/>
        </w:rPr>
        <w:t>Based on the limited evidence available, quality of life costs as a result of inaccessible housing could be between zero and a couple of billion dollars per year.</w:t>
      </w:r>
    </w:p>
    <w:p w14:paraId="6DCBB17D" w14:textId="77777777" w:rsidR="00483957" w:rsidRDefault="00483957" w:rsidP="00483957">
      <w:pPr>
        <w:pStyle w:val="BodyText"/>
        <w:rPr>
          <w:lang w:bidi="fa-IR"/>
        </w:rPr>
      </w:pPr>
      <w:r>
        <w:rPr>
          <w:lang w:bidi="fa-IR"/>
        </w:rPr>
        <w:t>It should be emphasised that the upper bound of the estimate include</w:t>
      </w:r>
      <w:r w:rsidR="00D355BC">
        <w:rPr>
          <w:lang w:bidi="fa-IR"/>
        </w:rPr>
        <w:t>s</w:t>
      </w:r>
      <w:r>
        <w:rPr>
          <w:lang w:bidi="fa-IR"/>
        </w:rPr>
        <w:t xml:space="preserve"> a wide spectrum of impacts</w:t>
      </w:r>
      <w:r w:rsidR="00A54A84">
        <w:rPr>
          <w:lang w:bidi="fa-IR"/>
        </w:rPr>
        <w:t>. I</w:t>
      </w:r>
      <w:r>
        <w:rPr>
          <w:lang w:bidi="fa-IR"/>
        </w:rPr>
        <w:t>t does not only include the impacts on independent living, mental health, social isolation and loneliness for people with mobility difficulties, but also include</w:t>
      </w:r>
      <w:r w:rsidR="00D355BC">
        <w:rPr>
          <w:lang w:bidi="fa-IR"/>
        </w:rPr>
        <w:t>s</w:t>
      </w:r>
      <w:r>
        <w:rPr>
          <w:lang w:bidi="fa-IR"/>
        </w:rPr>
        <w:t xml:space="preserve"> the impact on their family members because the WTP estimate is household based.</w:t>
      </w:r>
    </w:p>
    <w:p w14:paraId="3A64F0F0" w14:textId="426AB6B5" w:rsidR="00483957" w:rsidRPr="001A0903" w:rsidRDefault="00483957" w:rsidP="00483957">
      <w:pPr>
        <w:pStyle w:val="BodyText"/>
        <w:rPr>
          <w:lang w:bidi="fa-IR"/>
        </w:rPr>
      </w:pPr>
      <w:r>
        <w:rPr>
          <w:lang w:bidi="fa-IR"/>
        </w:rPr>
        <w:t>As a component of the quality of life impacts, an estimate of the mental health impact is also provided in appendix </w:t>
      </w:r>
      <w:r>
        <w:rPr>
          <w:lang w:bidi="fa-IR"/>
        </w:rPr>
        <w:fldChar w:fldCharType="begin"/>
      </w:r>
      <w:r>
        <w:rPr>
          <w:lang w:bidi="fa-IR"/>
        </w:rPr>
        <w:instrText xml:space="preserve"> REF _Ref55206770 \n \h </w:instrText>
      </w:r>
      <w:r>
        <w:rPr>
          <w:lang w:bidi="fa-IR"/>
        </w:rPr>
      </w:r>
      <w:r>
        <w:rPr>
          <w:lang w:bidi="fa-IR"/>
        </w:rPr>
        <w:fldChar w:fldCharType="separate"/>
      </w:r>
      <w:r w:rsidR="000F445C">
        <w:rPr>
          <w:lang w:bidi="fa-IR"/>
        </w:rPr>
        <w:t>I</w:t>
      </w:r>
      <w:r>
        <w:rPr>
          <w:lang w:bidi="fa-IR"/>
        </w:rPr>
        <w:fldChar w:fldCharType="end"/>
      </w:r>
      <w:r>
        <w:rPr>
          <w:lang w:bidi="fa-IR"/>
        </w:rPr>
        <w:t xml:space="preserve">. It is estimated that the mental health impact of inaccessible housing is around $420 million to $440 million which, as discussed in the appendix, is </w:t>
      </w:r>
      <w:r>
        <w:rPr>
          <w:lang w:bidi="fa-IR"/>
        </w:rPr>
        <w:lastRenderedPageBreak/>
        <w:t xml:space="preserve">likely an overestimate and suggests the upper bound </w:t>
      </w:r>
      <w:r w:rsidR="00D355BC">
        <w:rPr>
          <w:lang w:bidi="fa-IR"/>
        </w:rPr>
        <w:t xml:space="preserve">WTP </w:t>
      </w:r>
      <w:r>
        <w:rPr>
          <w:lang w:bidi="fa-IR"/>
        </w:rPr>
        <w:t>estimate of $1.9 billion for the quality of life impacts is al</w:t>
      </w:r>
      <w:r w:rsidR="00D355BC">
        <w:rPr>
          <w:lang w:bidi="fa-IR"/>
        </w:rPr>
        <w:t>s</w:t>
      </w:r>
      <w:r>
        <w:rPr>
          <w:lang w:bidi="fa-IR"/>
        </w:rPr>
        <w:t>o an overestimate.</w:t>
      </w:r>
      <w:r>
        <w:rPr>
          <w:rStyle w:val="FootnoteReference"/>
          <w:lang w:bidi="fa-IR"/>
        </w:rPr>
        <w:footnoteReference w:id="118"/>
      </w:r>
    </w:p>
    <w:p w14:paraId="4D7BE9A6" w14:textId="77777777" w:rsidR="00483957" w:rsidRDefault="00E11E4F" w:rsidP="006E2F16">
      <w:pPr>
        <w:pStyle w:val="Heading4"/>
        <w:rPr>
          <w:lang w:eastAsia="en-US" w:bidi="fa-IR"/>
        </w:rPr>
      </w:pPr>
      <w:r>
        <w:rPr>
          <w:lang w:eastAsia="en-US" w:bidi="fa-IR"/>
        </w:rPr>
        <w:t>Estimating quality of life impacts through QALYs</w:t>
      </w:r>
    </w:p>
    <w:p w14:paraId="25BF6391" w14:textId="77777777" w:rsidR="00AA3716" w:rsidRDefault="00AA3716" w:rsidP="00AA3716">
      <w:pPr>
        <w:pStyle w:val="BodyText"/>
        <w:rPr>
          <w:lang w:bidi="fa-IR"/>
        </w:rPr>
      </w:pPr>
      <w:r>
        <w:rPr>
          <w:lang w:eastAsia="en-US" w:bidi="fa-IR"/>
        </w:rPr>
        <w:t>Another approach to incorporating</w:t>
      </w:r>
      <w:r>
        <w:rPr>
          <w:lang w:bidi="fa-IR"/>
        </w:rPr>
        <w:t xml:space="preserve"> quality of life changes into economic analysis is through estimating changes in quality</w:t>
      </w:r>
      <w:r>
        <w:rPr>
          <w:lang w:bidi="fa-IR"/>
        </w:rPr>
        <w:noBreakHyphen/>
        <w:t>adjusted life years (QALYs). QALYs are calculated by multiplying life years by an index of utility, also referred to as health</w:t>
      </w:r>
      <w:r>
        <w:rPr>
          <w:lang w:bidi="fa-IR"/>
        </w:rPr>
        <w:noBreakHyphen/>
        <w:t>related quality of life (HRQoL) or multi</w:t>
      </w:r>
      <w:r>
        <w:rPr>
          <w:lang w:bidi="fa-IR"/>
        </w:rPr>
        <w:noBreakHyphen/>
        <w:t>attribute utility (MAU) instrument. Utility represents the strength of a person’s preference for a health state on a scale from 0 (representing death) to 1 (representing good health).</w:t>
      </w:r>
      <w:r>
        <w:rPr>
          <w:rStyle w:val="FootnoteReference"/>
          <w:lang w:bidi="fa-IR"/>
        </w:rPr>
        <w:footnoteReference w:id="119"/>
      </w:r>
      <w:r>
        <w:rPr>
          <w:lang w:bidi="fa-IR"/>
        </w:rPr>
        <w:t xml:space="preserve"> </w:t>
      </w:r>
    </w:p>
    <w:p w14:paraId="3A5B787C" w14:textId="77777777" w:rsidR="00AA3716" w:rsidRDefault="00AA3716" w:rsidP="00AA3716">
      <w:pPr>
        <w:pStyle w:val="BodyText"/>
        <w:rPr>
          <w:lang w:bidi="fa-IR"/>
        </w:rPr>
      </w:pPr>
      <w:r>
        <w:rPr>
          <w:lang w:bidi="fa-IR"/>
        </w:rPr>
        <w:t>CIE identified only one study</w:t>
      </w:r>
      <w:r w:rsidR="00F07CD6">
        <w:rPr>
          <w:lang w:bidi="fa-IR"/>
        </w:rPr>
        <w:t xml:space="preserve"> that estimated the HRQoL associated with accessible housing, although the relevance of that study to the NCC </w:t>
      </w:r>
      <w:r w:rsidR="00815DE4">
        <w:rPr>
          <w:lang w:bidi="fa-IR"/>
        </w:rPr>
        <w:t xml:space="preserve">proposal </w:t>
      </w:r>
      <w:r w:rsidR="00F07CD6">
        <w:rPr>
          <w:lang w:bidi="fa-IR"/>
        </w:rPr>
        <w:t>is questionable</w:t>
      </w:r>
      <w:r w:rsidR="00815DE4">
        <w:rPr>
          <w:lang w:bidi="fa-IR"/>
        </w:rPr>
        <w:t xml:space="preserve"> (see discussion in appendix </w:t>
      </w:r>
      <w:r w:rsidR="00430A82">
        <w:rPr>
          <w:lang w:bidi="fa-IR"/>
        </w:rPr>
        <w:t>J</w:t>
      </w:r>
      <w:r w:rsidR="00815DE4">
        <w:rPr>
          <w:lang w:bidi="fa-IR"/>
        </w:rPr>
        <w:t xml:space="preserve"> for more details)</w:t>
      </w:r>
      <w:r w:rsidR="00F07CD6">
        <w:rPr>
          <w:lang w:bidi="fa-IR"/>
        </w:rPr>
        <w:t xml:space="preserve">. Nevertheless, </w:t>
      </w:r>
      <w:r w:rsidR="00F07CD6" w:rsidRPr="007E7A48">
        <w:rPr>
          <w:lang w:bidi="fa-IR"/>
        </w:rPr>
        <w:t>Carnemolla (201</w:t>
      </w:r>
      <w:r w:rsidR="007E7A48" w:rsidRPr="007E7A48">
        <w:rPr>
          <w:lang w:bidi="fa-IR"/>
        </w:rPr>
        <w:t>5</w:t>
      </w:r>
      <w:r w:rsidR="00F07CD6" w:rsidRPr="007E7A48">
        <w:rPr>
          <w:lang w:bidi="fa-IR"/>
        </w:rPr>
        <w:t>)</w:t>
      </w:r>
      <w:r w:rsidR="007E7A48" w:rsidRPr="007E7A48">
        <w:rPr>
          <w:rStyle w:val="FootnoteReference"/>
          <w:lang w:bidi="fa-IR"/>
        </w:rPr>
        <w:footnoteReference w:id="120"/>
      </w:r>
      <w:r w:rsidR="00F07CD6">
        <w:rPr>
          <w:lang w:bidi="fa-IR"/>
        </w:rPr>
        <w:t xml:space="preserve"> estimate that home modifications to make homes more accessible increased the HRQoL by 0.12.</w:t>
      </w:r>
    </w:p>
    <w:p w14:paraId="6229F979" w14:textId="77777777" w:rsidR="00F07CD6" w:rsidRDefault="00F07CD6" w:rsidP="00AA3716">
      <w:pPr>
        <w:pStyle w:val="BodyText"/>
        <w:rPr>
          <w:lang w:bidi="fa-IR"/>
        </w:rPr>
      </w:pPr>
      <w:r>
        <w:rPr>
          <w:lang w:bidi="fa-IR"/>
        </w:rPr>
        <w:t xml:space="preserve">Applying OBPR’s preferred estimate of the value of a life year of $213 000 implies that the HRQoL costs associated with inaccessible housing would be around $25 560 per person. Note that this estimate is likely </w:t>
      </w:r>
      <w:r w:rsidR="001C296F">
        <w:rPr>
          <w:lang w:bidi="fa-IR"/>
        </w:rPr>
        <w:t>to exceed the capacity of many affected individuals to pay for improved accessibility. This is one reason why some health economists prefer not to monetise QALYs.</w:t>
      </w:r>
      <w:r w:rsidR="001C296F">
        <w:rPr>
          <w:rStyle w:val="FootnoteReference"/>
          <w:lang w:bidi="fa-IR"/>
        </w:rPr>
        <w:footnoteReference w:id="121"/>
      </w:r>
    </w:p>
    <w:p w14:paraId="7F547B48" w14:textId="77777777" w:rsidR="00815DE4" w:rsidRDefault="00815DE4" w:rsidP="00815DE4">
      <w:pPr>
        <w:pStyle w:val="BodyText"/>
        <w:rPr>
          <w:lang w:bidi="fa-IR"/>
        </w:rPr>
      </w:pPr>
      <w:r>
        <w:rPr>
          <w:lang w:bidi="fa-IR"/>
        </w:rPr>
        <w:t xml:space="preserve">There is no definitive data on the number of people experiencing significant </w:t>
      </w:r>
      <w:r w:rsidR="003F692A">
        <w:rPr>
          <w:lang w:bidi="fa-IR"/>
        </w:rPr>
        <w:t>lower</w:t>
      </w:r>
      <w:r>
        <w:rPr>
          <w:lang w:bidi="fa-IR"/>
        </w:rPr>
        <w:t xml:space="preserve"> HRQoL due to inaccessible housing. However, there is some evidence to suggest that </w:t>
      </w:r>
      <w:r w:rsidR="003F692A">
        <w:rPr>
          <w:lang w:bidi="fa-IR"/>
        </w:rPr>
        <w:t>the main factor contributing to lower HRQoL is the loss of independence.</w:t>
      </w:r>
      <w:r w:rsidR="003F692A">
        <w:rPr>
          <w:rStyle w:val="FootnoteReference"/>
          <w:lang w:bidi="fa-IR"/>
        </w:rPr>
        <w:footnoteReference w:id="122"/>
      </w:r>
      <w:r w:rsidR="003F692A">
        <w:rPr>
          <w:lang w:bidi="fa-IR"/>
        </w:rPr>
        <w:t xml:space="preserve"> The focus is therefore on people</w:t>
      </w:r>
      <w:r w:rsidR="004C5D8C">
        <w:rPr>
          <w:lang w:bidi="fa-IR"/>
        </w:rPr>
        <w:t xml:space="preserve"> </w:t>
      </w:r>
      <w:r w:rsidR="004C5D8C" w:rsidRPr="004C5D8C">
        <w:rPr>
          <w:lang w:bidi="fa-IR"/>
        </w:rPr>
        <w:t>who live in unmodified dwellings</w:t>
      </w:r>
      <w:r w:rsidR="003F692A">
        <w:rPr>
          <w:lang w:bidi="fa-IR"/>
        </w:rPr>
        <w:t xml:space="preserve"> who always need assistance with: mobility around the place of residence, showering/bathing and toileting. Based on 2018 SDAC data, this is around 147 500 people.</w:t>
      </w:r>
    </w:p>
    <w:p w14:paraId="670A81AC" w14:textId="77777777" w:rsidR="00AA3716" w:rsidRDefault="003F692A" w:rsidP="005F4930">
      <w:pPr>
        <w:pStyle w:val="BodyText"/>
        <w:rPr>
          <w:lang w:bidi="fa-IR"/>
        </w:rPr>
      </w:pPr>
      <w:r>
        <w:rPr>
          <w:lang w:bidi="fa-IR"/>
        </w:rPr>
        <w:lastRenderedPageBreak/>
        <w:t>Together this information suggests that the quality of life impacts of inaccessible housing could be around $3.77 billion per year.</w:t>
      </w:r>
    </w:p>
    <w:p w14:paraId="191DA1E4" w14:textId="77777777" w:rsidR="003F692A" w:rsidRPr="005F4930" w:rsidRDefault="00430A82" w:rsidP="005F4930">
      <w:pPr>
        <w:pStyle w:val="BodyText"/>
        <w:rPr>
          <w:lang w:eastAsia="en-US" w:bidi="fa-IR"/>
        </w:rPr>
      </w:pPr>
      <w:r>
        <w:rPr>
          <w:lang w:bidi="fa-IR"/>
        </w:rPr>
        <w:t>As discussed above, s</w:t>
      </w:r>
      <w:r w:rsidR="003F692A">
        <w:rPr>
          <w:lang w:bidi="fa-IR"/>
        </w:rPr>
        <w:t xml:space="preserve">ome of these benefits could potentially overlap with </w:t>
      </w:r>
      <w:r>
        <w:rPr>
          <w:lang w:bidi="fa-IR"/>
        </w:rPr>
        <w:t>other benefits estimated separately.</w:t>
      </w:r>
    </w:p>
    <w:p w14:paraId="20D86BB7" w14:textId="77777777" w:rsidR="00E4023A" w:rsidRDefault="00E4023A" w:rsidP="00E4023A">
      <w:pPr>
        <w:pStyle w:val="Heading3"/>
        <w:numPr>
          <w:ilvl w:val="2"/>
          <w:numId w:val="5"/>
        </w:numPr>
        <w:spacing w:before="360"/>
        <w:rPr>
          <w:lang w:bidi="fa-IR"/>
        </w:rPr>
      </w:pPr>
      <w:r>
        <w:rPr>
          <w:lang w:bidi="fa-IR"/>
        </w:rPr>
        <w:t>Home modifications</w:t>
      </w:r>
    </w:p>
    <w:p w14:paraId="29A914B0" w14:textId="77777777" w:rsidR="00286A29" w:rsidRDefault="00E4023A" w:rsidP="00E4023A">
      <w:pPr>
        <w:pStyle w:val="BodyText"/>
        <w:rPr>
          <w:lang w:bidi="fa-IR"/>
        </w:rPr>
      </w:pPr>
      <w:r>
        <w:rPr>
          <w:lang w:bidi="fa-IR"/>
        </w:rPr>
        <w:t xml:space="preserve">As noted </w:t>
      </w:r>
      <w:r w:rsidR="00D355BC">
        <w:rPr>
          <w:lang w:bidi="fa-IR"/>
        </w:rPr>
        <w:t>previously</w:t>
      </w:r>
      <w:r>
        <w:rPr>
          <w:lang w:bidi="fa-IR"/>
        </w:rPr>
        <w:t xml:space="preserve">, around 16 per cent </w:t>
      </w:r>
      <w:r w:rsidR="001F064D">
        <w:rPr>
          <w:lang w:bidi="fa-IR"/>
        </w:rPr>
        <w:t xml:space="preserve">of </w:t>
      </w:r>
      <w:r>
        <w:rPr>
          <w:lang w:bidi="fa-IR"/>
        </w:rPr>
        <w:t>people with mobility</w:t>
      </w:r>
      <w:r>
        <w:rPr>
          <w:lang w:bidi="fa-IR"/>
        </w:rPr>
        <w:noBreakHyphen/>
        <w:t>related disability resid</w:t>
      </w:r>
      <w:r w:rsidR="00D355BC">
        <w:rPr>
          <w:lang w:bidi="fa-IR"/>
        </w:rPr>
        <w:t>e</w:t>
      </w:r>
      <w:r>
        <w:rPr>
          <w:lang w:bidi="fa-IR"/>
        </w:rPr>
        <w:t xml:space="preserve"> in dwellings that have been modified as a result of their condition or age, including around 25 per cent of people with a profound or severe mobility</w:t>
      </w:r>
      <w:r>
        <w:rPr>
          <w:lang w:bidi="fa-IR"/>
        </w:rPr>
        <w:noBreakHyphen/>
        <w:t>related disability.</w:t>
      </w:r>
    </w:p>
    <w:p w14:paraId="568B692C" w14:textId="77777777" w:rsidR="00E4023A" w:rsidRDefault="00E4023A" w:rsidP="00E4023A">
      <w:pPr>
        <w:pStyle w:val="BodyText"/>
        <w:ind w:right="-427"/>
        <w:rPr>
          <w:lang w:bidi="fa-IR"/>
        </w:rPr>
      </w:pPr>
      <w:r>
        <w:rPr>
          <w:lang w:bidi="fa-IR"/>
        </w:rPr>
        <w:t>Although the evidence suggests that home modifications can improve accessibility and lead to better safety outcomes and fewer care needs (see above), it is not always an optimal outcome.</w:t>
      </w:r>
    </w:p>
    <w:p w14:paraId="3D4E9088" w14:textId="77777777" w:rsidR="00E4023A" w:rsidRPr="00257144" w:rsidRDefault="00E4023A" w:rsidP="00E4023A">
      <w:pPr>
        <w:pStyle w:val="ListBullet"/>
        <w:numPr>
          <w:ilvl w:val="0"/>
          <w:numId w:val="16"/>
        </w:numPr>
        <w:ind w:right="-427"/>
        <w:rPr>
          <w:lang w:bidi="fa-IR"/>
        </w:rPr>
      </w:pPr>
      <w:r w:rsidRPr="00547531">
        <w:rPr>
          <w:b/>
          <w:bCs/>
          <w:lang w:bidi="fa-IR"/>
        </w:rPr>
        <w:t>The cost of modifications can be high</w:t>
      </w:r>
      <w:r>
        <w:rPr>
          <w:lang w:bidi="fa-IR"/>
        </w:rPr>
        <w:t xml:space="preserve"> — o</w:t>
      </w:r>
      <w:r w:rsidRPr="00257144">
        <w:rPr>
          <w:lang w:bidi="fa-IR"/>
        </w:rPr>
        <w:t xml:space="preserve">f the homes that are modified, the data available to </w:t>
      </w:r>
      <w:r w:rsidR="002D4C31">
        <w:rPr>
          <w:lang w:bidi="fa-IR"/>
        </w:rPr>
        <w:t>CIE</w:t>
      </w:r>
      <w:r w:rsidR="002D4C31" w:rsidRPr="00257144">
        <w:rPr>
          <w:lang w:bidi="fa-IR"/>
        </w:rPr>
        <w:t xml:space="preserve"> </w:t>
      </w:r>
      <w:r w:rsidRPr="00257144">
        <w:rPr>
          <w:lang w:bidi="fa-IR"/>
        </w:rPr>
        <w:t xml:space="preserve">imply </w:t>
      </w:r>
      <w:r w:rsidRPr="007461B7">
        <w:rPr>
          <w:lang w:bidi="fa-IR"/>
        </w:rPr>
        <w:t>that up to a third require modifications that are relatively substantial</w:t>
      </w:r>
      <w:r w:rsidRPr="00257144">
        <w:rPr>
          <w:lang w:bidi="fa-IR"/>
        </w:rPr>
        <w:t xml:space="preserve"> (including full bathroom renovations and/or structural renovations), while two thirds of homes only require minor modifications like grabrails.</w:t>
      </w:r>
      <w:r w:rsidRPr="00257144">
        <w:rPr>
          <w:rStyle w:val="FootnoteReference"/>
          <w:lang w:bidi="fa-IR"/>
        </w:rPr>
        <w:footnoteReference w:id="123"/>
      </w:r>
      <w:r>
        <w:rPr>
          <w:lang w:bidi="fa-IR"/>
        </w:rPr>
        <w:t xml:space="preserve"> </w:t>
      </w:r>
      <w:r w:rsidRPr="00257144">
        <w:rPr>
          <w:lang w:bidi="fa-IR"/>
        </w:rPr>
        <w:t>Homes that are designed to be consistent with universal design principle</w:t>
      </w:r>
      <w:r>
        <w:rPr>
          <w:lang w:bidi="fa-IR"/>
        </w:rPr>
        <w:t>s</w:t>
      </w:r>
      <w:r w:rsidRPr="00257144">
        <w:rPr>
          <w:lang w:bidi="fa-IR"/>
        </w:rPr>
        <w:t xml:space="preserve">, would already have accessible bathrooms, ramps, wider doorways, etc. This implies that </w:t>
      </w:r>
      <w:r>
        <w:rPr>
          <w:lang w:bidi="fa-IR"/>
        </w:rPr>
        <w:t>only</w:t>
      </w:r>
      <w:r w:rsidRPr="00257144">
        <w:rPr>
          <w:lang w:bidi="fa-IR"/>
        </w:rPr>
        <w:t xml:space="preserve"> minor modifications</w:t>
      </w:r>
      <w:r>
        <w:rPr>
          <w:lang w:bidi="fa-IR"/>
        </w:rPr>
        <w:t xml:space="preserve"> would be required</w:t>
      </w:r>
      <w:r w:rsidRPr="00257144">
        <w:rPr>
          <w:lang w:bidi="fa-IR"/>
        </w:rPr>
        <w:t>.</w:t>
      </w:r>
    </w:p>
    <w:p w14:paraId="0A0B7931" w14:textId="77777777" w:rsidR="00E4023A" w:rsidRDefault="00E4023A" w:rsidP="00E4023A">
      <w:pPr>
        <w:pStyle w:val="ListBullet"/>
        <w:numPr>
          <w:ilvl w:val="0"/>
          <w:numId w:val="16"/>
        </w:numPr>
        <w:ind w:right="-427"/>
        <w:rPr>
          <w:lang w:bidi="fa-IR"/>
        </w:rPr>
      </w:pPr>
      <w:r w:rsidRPr="00547531">
        <w:rPr>
          <w:b/>
          <w:bCs/>
          <w:lang w:bidi="fa-IR"/>
        </w:rPr>
        <w:t>Some modifications take time</w:t>
      </w:r>
      <w:r>
        <w:rPr>
          <w:lang w:bidi="fa-IR"/>
        </w:rPr>
        <w:t xml:space="preserve"> — f</w:t>
      </w:r>
      <w:r w:rsidRPr="00257144">
        <w:rPr>
          <w:lang w:bidi="fa-IR"/>
        </w:rPr>
        <w:t>or the third of homes that require substantial modifications, these modifications take up to 3 months to complete.</w:t>
      </w:r>
      <w:r w:rsidRPr="00257144">
        <w:rPr>
          <w:rStyle w:val="FootnoteReference"/>
          <w:lang w:bidi="fa-IR"/>
        </w:rPr>
        <w:footnoteReference w:id="124"/>
      </w:r>
      <w:r w:rsidRPr="00257144">
        <w:rPr>
          <w:lang w:bidi="fa-IR"/>
        </w:rPr>
        <w:t xml:space="preserve"> However, if </w:t>
      </w:r>
      <w:r>
        <w:rPr>
          <w:lang w:bidi="fa-IR"/>
        </w:rPr>
        <w:t>the dwelling design incorporated universal design principles,</w:t>
      </w:r>
      <w:r w:rsidRPr="00257144">
        <w:rPr>
          <w:lang w:bidi="fa-IR"/>
        </w:rPr>
        <w:t xml:space="preserve"> this delay in the modifications should </w:t>
      </w:r>
      <w:r>
        <w:rPr>
          <w:lang w:bidi="fa-IR"/>
        </w:rPr>
        <w:t>reduce significantly</w:t>
      </w:r>
      <w:r w:rsidRPr="00257144">
        <w:rPr>
          <w:lang w:bidi="fa-IR"/>
        </w:rPr>
        <w:t xml:space="preserve"> because only minor modifications are required.</w:t>
      </w:r>
    </w:p>
    <w:p w14:paraId="753500B9" w14:textId="4C274E47" w:rsidR="00970AB1" w:rsidRDefault="00970AB1" w:rsidP="00970AB1">
      <w:pPr>
        <w:pStyle w:val="BodyText"/>
        <w:ind w:right="-427"/>
        <w:rPr>
          <w:lang w:bidi="fa-IR"/>
        </w:rPr>
      </w:pPr>
      <w:r>
        <w:rPr>
          <w:lang w:bidi="fa-IR"/>
        </w:rPr>
        <w:t xml:space="preserve">Box </w:t>
      </w:r>
      <w:r w:rsidR="004769FA">
        <w:rPr>
          <w:lang w:bidi="fa-IR"/>
        </w:rPr>
        <w:t xml:space="preserve">3.30 </w:t>
      </w:r>
      <w:r>
        <w:rPr>
          <w:lang w:bidi="fa-IR"/>
        </w:rPr>
        <w:t xml:space="preserve">presents </w:t>
      </w:r>
      <w:r w:rsidR="00284B21">
        <w:rPr>
          <w:lang w:bidi="fa-IR"/>
        </w:rPr>
        <w:t>lived</w:t>
      </w:r>
      <w:r>
        <w:rPr>
          <w:lang w:bidi="fa-IR"/>
        </w:rPr>
        <w:t xml:space="preserve"> experiences </w:t>
      </w:r>
      <w:r w:rsidR="000B577C">
        <w:rPr>
          <w:lang w:bidi="fa-IR"/>
        </w:rPr>
        <w:t xml:space="preserve">of the cost, time and limitations of </w:t>
      </w:r>
      <w:r>
        <w:rPr>
          <w:lang w:bidi="fa-IR"/>
        </w:rPr>
        <w:t>retrofitting home modification</w:t>
      </w:r>
      <w:r w:rsidR="000B577C">
        <w:rPr>
          <w:lang w:bidi="fa-IR"/>
        </w:rPr>
        <w:t>s</w:t>
      </w:r>
      <w:r>
        <w:rPr>
          <w:lang w:bidi="fa-IR"/>
        </w:rPr>
        <w:t>.</w:t>
      </w:r>
    </w:p>
    <w:p w14:paraId="0D69B4B1" w14:textId="77777777" w:rsidR="00286A29" w:rsidRDefault="00286A29" w:rsidP="00554FDC">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0: Lived experience – home modification"/>
        <w:tblDescription w:val="Case studies of the cost, time and limitations of retrofitting home modifications. Examples include $900 of added accessible features such as grab bars that would cost about $19,000 to retrofit, and limited modifications which could be made to an existing family home to enable a young adult with an acquired brain injury to return home after 16 months in residential aged care."/>
      </w:tblPr>
      <w:tblGrid>
        <w:gridCol w:w="7938"/>
      </w:tblGrid>
      <w:tr w:rsidR="00286A29" w:rsidRPr="00E05C8C" w14:paraId="2ABC9635" w14:textId="77777777" w:rsidTr="008B1414">
        <w:trPr>
          <w:cantSplit/>
          <w:tblHeader/>
        </w:trPr>
        <w:tc>
          <w:tcPr>
            <w:tcW w:w="7938" w:type="dxa"/>
            <w:tcBorders>
              <w:top w:val="nil"/>
              <w:left w:val="nil"/>
              <w:bottom w:val="nil"/>
              <w:right w:val="nil"/>
            </w:tcBorders>
            <w:shd w:val="clear" w:color="auto" w:fill="C6BFAB" w:themeFill="accent3"/>
          </w:tcPr>
          <w:p w14:paraId="2B45AAF7" w14:textId="60D7374C" w:rsidR="00286A29" w:rsidRPr="00E05C8C" w:rsidRDefault="00142D49" w:rsidP="00286A29">
            <w:pPr>
              <w:pStyle w:val="Caption"/>
              <w:numPr>
                <w:ilvl w:val="0"/>
                <w:numId w:val="13"/>
              </w:numPr>
              <w:spacing w:before="120" w:after="100"/>
            </w:pPr>
            <w:bookmarkStart w:id="237" w:name="_Toc57643610"/>
            <w:bookmarkStart w:id="238" w:name="_Toc70505529"/>
            <w:r>
              <w:t>3.30</w:t>
            </w:r>
            <w:r w:rsidR="00286A29" w:rsidRPr="00E05C8C">
              <w:tab/>
            </w:r>
            <w:r w:rsidR="00284B21">
              <w:t>Lived</w:t>
            </w:r>
            <w:r w:rsidR="00286A29">
              <w:t xml:space="preserve"> experience – </w:t>
            </w:r>
            <w:r w:rsidR="00970AB1">
              <w:t>home modification</w:t>
            </w:r>
            <w:bookmarkEnd w:id="237"/>
            <w:bookmarkEnd w:id="238"/>
          </w:p>
        </w:tc>
      </w:tr>
      <w:tr w:rsidR="00F76823" w14:paraId="173D29C6" w14:textId="77777777" w:rsidTr="008B1414">
        <w:tblPrEx>
          <w:shd w:val="clear" w:color="6F6652" w:fill="F1EFEA"/>
        </w:tblPrEx>
        <w:tc>
          <w:tcPr>
            <w:tcW w:w="7938" w:type="dxa"/>
            <w:tcBorders>
              <w:top w:val="nil"/>
              <w:left w:val="nil"/>
              <w:bottom w:val="nil"/>
              <w:right w:val="nil"/>
            </w:tcBorders>
            <w:shd w:val="clear" w:color="auto" w:fill="E9E8E5" w:themeFill="background2"/>
          </w:tcPr>
          <w:p w14:paraId="1FDB25E1" w14:textId="77777777" w:rsidR="00970AB1" w:rsidRDefault="00970AB1" w:rsidP="001F486D">
            <w:pPr>
              <w:pStyle w:val="BoxHeading1"/>
              <w:spacing w:before="120"/>
            </w:pPr>
            <w:r>
              <w:t>P</w:t>
            </w:r>
            <w:r w:rsidRPr="00970AB1">
              <w:t>otential high retrofitting cost</w:t>
            </w:r>
          </w:p>
          <w:p w14:paraId="3548EC2D" w14:textId="77777777" w:rsidR="00286A29" w:rsidRDefault="00286A29" w:rsidP="00554FDC">
            <w:pPr>
              <w:pStyle w:val="BodyText"/>
            </w:pPr>
            <w:r w:rsidRPr="00286A29">
              <w:t>Our builders estimate that the cost of added accessible features would be about $900 which would include battens for grab bars and the grab bars themselves (the shower rail is a grab bar as are all towel rails) They also estimate that the cost of retrofitting these features would be about $19,000.</w:t>
            </w:r>
          </w:p>
          <w:p w14:paraId="4999401B" w14:textId="77777777" w:rsidR="00970AB1" w:rsidRPr="001F486D" w:rsidRDefault="00286A29" w:rsidP="001F486D">
            <w:pPr>
              <w:pStyle w:val="BodyText"/>
              <w:spacing w:before="0"/>
              <w:rPr>
                <w:rFonts w:ascii="Franklin Gothic Book" w:hAnsi="Franklin Gothic Book"/>
                <w:i/>
                <w:iCs/>
                <w:sz w:val="14"/>
                <w:szCs w:val="14"/>
              </w:rPr>
            </w:pPr>
            <w:r w:rsidRPr="001F486D">
              <w:rPr>
                <w:rFonts w:ascii="Franklin Gothic Book" w:hAnsi="Franklin Gothic Book"/>
                <w:i/>
                <w:iCs/>
                <w:sz w:val="14"/>
                <w:szCs w:val="14"/>
              </w:rPr>
              <w:t xml:space="preserve">Source: </w:t>
            </w:r>
            <w:r w:rsidRPr="00FF2A58">
              <w:rPr>
                <w:rFonts w:ascii="Franklin Gothic Book" w:hAnsi="Franklin Gothic Book"/>
                <w:sz w:val="14"/>
                <w:szCs w:val="14"/>
              </w:rPr>
              <w:t>Lee Jordan Response</w:t>
            </w:r>
            <w:r w:rsidRPr="001F486D">
              <w:rPr>
                <w:rStyle w:val="FootnoteReference"/>
                <w:rFonts w:ascii="Franklin Gothic Book" w:hAnsi="Franklin Gothic Book"/>
                <w:sz w:val="14"/>
                <w:szCs w:val="14"/>
              </w:rPr>
              <w:footnoteReference w:id="125"/>
            </w:r>
          </w:p>
        </w:tc>
      </w:tr>
      <w:tr w:rsidR="00F76823" w14:paraId="14FFE2FF" w14:textId="77777777" w:rsidTr="001F486D">
        <w:tblPrEx>
          <w:shd w:val="clear" w:color="6F6652" w:fill="F1EFEA"/>
        </w:tblPrEx>
        <w:tc>
          <w:tcPr>
            <w:tcW w:w="7938" w:type="dxa"/>
            <w:tcBorders>
              <w:top w:val="nil"/>
              <w:left w:val="nil"/>
              <w:bottom w:val="nil"/>
              <w:right w:val="nil"/>
            </w:tcBorders>
            <w:shd w:val="clear" w:color="auto" w:fill="E9E8E5" w:themeFill="background2"/>
          </w:tcPr>
          <w:p w14:paraId="20783BDE" w14:textId="77777777" w:rsidR="00970AB1" w:rsidRDefault="00970AB1" w:rsidP="001F486D">
            <w:pPr>
              <w:pStyle w:val="BoxHeading1"/>
            </w:pPr>
            <w:r>
              <w:t>Limitations of home modification</w:t>
            </w:r>
          </w:p>
          <w:p w14:paraId="3F9D6A32" w14:textId="77777777" w:rsidR="00970AB1" w:rsidRPr="00970AB1" w:rsidRDefault="00970AB1" w:rsidP="00970AB1">
            <w:pPr>
              <w:pStyle w:val="BodyText"/>
            </w:pPr>
            <w:r>
              <w:t xml:space="preserve">Michelle was just 19 when she had a severe asthma attack that resulted in an Acquired Brain Injury. </w:t>
            </w:r>
          </w:p>
        </w:tc>
      </w:tr>
      <w:tr w:rsidR="00F76823" w14:paraId="0FEEE0B5" w14:textId="77777777" w:rsidTr="001F486D">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37B41A84" w14:textId="77777777" w:rsidR="00970AB1" w:rsidRDefault="00970AB1" w:rsidP="00970AB1">
            <w:pPr>
              <w:pStyle w:val="BodyText"/>
            </w:pPr>
            <w:r>
              <w:t xml:space="preserve">Doctors did not hold much hope for her recovery or her ability to regain the skills she needed to live independently. When her time in rehab expired, with nowhere else to go, she was admitted to Residential Aged Care (RAC) where she stayed for 16 months – fighting to retain relearnt capabilities, like walking and talking, and to maintain her social connections. </w:t>
            </w:r>
          </w:p>
          <w:p w14:paraId="136A178B" w14:textId="77777777" w:rsidR="00970AB1" w:rsidRDefault="00970AB1" w:rsidP="00970AB1">
            <w:pPr>
              <w:pStyle w:val="BodyText"/>
            </w:pPr>
            <w:r>
              <w:t>However, the determination of Michelle and her parents finally saw her return to the family home just before her 21st birthday.</w:t>
            </w:r>
          </w:p>
          <w:p w14:paraId="6815DDF3" w14:textId="77777777" w:rsidR="00970AB1" w:rsidRDefault="00970AB1" w:rsidP="00970AB1">
            <w:pPr>
              <w:pStyle w:val="BodyText"/>
            </w:pPr>
            <w:r w:rsidRPr="00970AB1">
              <w:t>Although modifications had been made, everyone had to work around the limitations of the family home that made wheelchair access difficult, and presented risks for carers working in cramped spaces.</w:t>
            </w:r>
          </w:p>
          <w:p w14:paraId="29F0A4CC" w14:textId="77777777" w:rsidR="00970AB1" w:rsidRPr="001F486D" w:rsidRDefault="00970AB1" w:rsidP="001F486D">
            <w:pPr>
              <w:pStyle w:val="BodyText"/>
              <w:spacing w:before="0" w:after="120"/>
              <w:rPr>
                <w:rFonts w:ascii="Franklin Gothic Book" w:hAnsi="Franklin Gothic Book"/>
                <w:sz w:val="14"/>
                <w:szCs w:val="14"/>
              </w:rPr>
            </w:pPr>
            <w:r w:rsidRPr="001F486D">
              <w:rPr>
                <w:rFonts w:ascii="Franklin Gothic Book" w:hAnsi="Franklin Gothic Book"/>
                <w:i/>
                <w:iCs/>
                <w:sz w:val="14"/>
                <w:szCs w:val="14"/>
              </w:rPr>
              <w:t xml:space="preserve">Source: </w:t>
            </w:r>
            <w:r w:rsidRPr="00FF2A58">
              <w:rPr>
                <w:rFonts w:ascii="Franklin Gothic Book" w:hAnsi="Franklin Gothic Book"/>
                <w:sz w:val="14"/>
                <w:szCs w:val="14"/>
              </w:rPr>
              <w:t>Michelle’s personal story in Amelia Condi for Summer Foundation Response</w:t>
            </w:r>
            <w:r w:rsidRPr="001F486D">
              <w:rPr>
                <w:rStyle w:val="FootnoteReference"/>
                <w:rFonts w:ascii="Franklin Gothic Book" w:hAnsi="Franklin Gothic Book"/>
                <w:sz w:val="14"/>
                <w:szCs w:val="14"/>
              </w:rPr>
              <w:footnoteReference w:id="126"/>
            </w:r>
          </w:p>
        </w:tc>
      </w:tr>
    </w:tbl>
    <w:p w14:paraId="5A2F34E0" w14:textId="77777777" w:rsidR="00E4023A" w:rsidRDefault="00E4023A" w:rsidP="00E4023A">
      <w:pPr>
        <w:pStyle w:val="BodyText"/>
      </w:pPr>
      <w:r>
        <w:t>Furthermore, accessibility needs cannot always be met through home modifications. Related to the high cost of some home modifications, some homes cannot practically be modified to meet accessibility needs within a reasonable budget.</w:t>
      </w:r>
    </w:p>
    <w:p w14:paraId="600C6D42" w14:textId="4DB34435" w:rsidR="00E4023A" w:rsidRPr="00212C18" w:rsidRDefault="006C0525" w:rsidP="00E4023A">
      <w:pPr>
        <w:pStyle w:val="BodyText"/>
        <w:rPr>
          <w:lang w:bidi="fa-IR"/>
        </w:rPr>
      </w:pPr>
      <w:r>
        <w:rPr>
          <w:lang w:bidi="fa-IR"/>
        </w:rPr>
        <w:t>Australian Housing and Urban Research Institute</w:t>
      </w:r>
      <w:r w:rsidR="005055CE">
        <w:rPr>
          <w:lang w:bidi="fa-IR"/>
        </w:rPr>
        <w:t xml:space="preserve"> (</w:t>
      </w:r>
      <w:r w:rsidR="00E4023A" w:rsidRPr="00212C18">
        <w:rPr>
          <w:lang w:bidi="fa-IR"/>
        </w:rPr>
        <w:t>AHURI</w:t>
      </w:r>
      <w:r w:rsidR="005055CE">
        <w:rPr>
          <w:lang w:bidi="fa-IR"/>
        </w:rPr>
        <w:t>)</w:t>
      </w:r>
      <w:r w:rsidR="00E4023A" w:rsidRPr="00212C18">
        <w:rPr>
          <w:lang w:bidi="fa-IR"/>
        </w:rPr>
        <w:t xml:space="preserve"> has published the results of a survey on whether people though</w:t>
      </w:r>
      <w:r w:rsidR="000B577C">
        <w:rPr>
          <w:lang w:bidi="fa-IR"/>
        </w:rPr>
        <w:t>t</w:t>
      </w:r>
      <w:r w:rsidR="00E4023A" w:rsidRPr="00212C18">
        <w:rPr>
          <w:lang w:bidi="fa-IR"/>
        </w:rPr>
        <w:t xml:space="preserve"> they would be able to afford future modifications to make their home accessible/liveable (table </w:t>
      </w:r>
      <w:r w:rsidR="00587754">
        <w:rPr>
          <w:lang w:bidi="fa-IR"/>
        </w:rPr>
        <w:t>3.31</w:t>
      </w:r>
      <w:r w:rsidR="00E4023A" w:rsidRPr="00212C18">
        <w:rPr>
          <w:lang w:bidi="fa-IR"/>
        </w:rPr>
        <w:t xml:space="preserve">). This survey suggested that only 10 per cent expected not to be able to afford future modifications. </w:t>
      </w:r>
      <w:r w:rsidR="00E4023A" w:rsidRPr="00D130F6">
        <w:rPr>
          <w:lang w:bidi="fa-IR"/>
        </w:rPr>
        <w:t>That said, around 35 per cent were unsure, suggesting an upper bound of around 45 per cent of homes expect not to be able to afford future home modifications.</w:t>
      </w:r>
    </w:p>
    <w:p w14:paraId="57C86ECB" w14:textId="77777777" w:rsidR="00E4023A" w:rsidRPr="00212C18" w:rsidRDefault="00E4023A" w:rsidP="00E4023A">
      <w:pPr>
        <w:pStyle w:val="BodyText"/>
        <w:rPr>
          <w:lang w:bidi="fa-IR"/>
        </w:rPr>
      </w:pPr>
      <w:r w:rsidRPr="00212C18">
        <w:rPr>
          <w:lang w:bidi="fa-IR"/>
        </w:rPr>
        <w:t xml:space="preserve">In responding to the survey, it is not clear whether respondents were aware of the government assistance available for home modifications. </w:t>
      </w:r>
      <w:r w:rsidRPr="00D130F6">
        <w:rPr>
          <w:lang w:bidi="fa-IR"/>
        </w:rPr>
        <w:t xml:space="preserve">Furthermore, many </w:t>
      </w:r>
      <w:r w:rsidRPr="00D130F6">
        <w:rPr>
          <w:lang w:bidi="fa-IR"/>
        </w:rPr>
        <w:lastRenderedPageBreak/>
        <w:t>respondents may not be aware of what making a home accessible entails and therefore the associated cost.</w:t>
      </w:r>
    </w:p>
    <w:p w14:paraId="3F4F3837" w14:textId="4AF008CA" w:rsidR="00E4023A" w:rsidRPr="00212C18" w:rsidRDefault="00142D49" w:rsidP="00E4023A">
      <w:pPr>
        <w:pStyle w:val="Caption"/>
        <w:ind w:left="568" w:hanging="568"/>
      </w:pPr>
      <w:bookmarkStart w:id="239" w:name="_Toc45654137"/>
      <w:bookmarkStart w:id="240" w:name="_Toc32321812"/>
      <w:bookmarkStart w:id="241" w:name="_Toc44598506"/>
      <w:bookmarkStart w:id="242" w:name="_Toc44695878"/>
      <w:bookmarkStart w:id="243" w:name="_Toc57643611"/>
      <w:bookmarkStart w:id="244" w:name="_Toc70505530"/>
      <w:r>
        <w:t>3.31</w:t>
      </w:r>
      <w:r w:rsidR="00E4023A" w:rsidRPr="00212C18">
        <w:tab/>
        <w:t>Expectations of ability to afford future modifications to make home accessible/liveable</w:t>
      </w:r>
      <w:bookmarkEnd w:id="239"/>
      <w:bookmarkEnd w:id="240"/>
      <w:bookmarkEnd w:id="241"/>
      <w:bookmarkEnd w:id="242"/>
      <w:bookmarkEnd w:id="243"/>
      <w:bookmarkEnd w:id="244"/>
    </w:p>
    <w:tbl>
      <w:tblPr>
        <w:tblW w:w="0" w:type="auto"/>
        <w:tblLayout w:type="fixed"/>
        <w:tblLook w:val="0000" w:firstRow="0" w:lastRow="0" w:firstColumn="0" w:lastColumn="0" w:noHBand="0" w:noVBand="0"/>
        <w:tblCaption w:val="Table 3.31: Expectations of ability to afford future modifications to make home accessible/liveable"/>
        <w:tblDescription w:val="This table contains the results of a question about whether people thought they would be able to afford future modifications to make their home accessible. 54.2% expect to be able to afford to fund modifications, 35.3% are unsure, and 10.5% said they expect not to be able to afford modifications."/>
      </w:tblPr>
      <w:tblGrid>
        <w:gridCol w:w="3968"/>
        <w:gridCol w:w="3969"/>
      </w:tblGrid>
      <w:tr w:rsidR="00E4023A" w:rsidRPr="00212C18" w14:paraId="097E7C69" w14:textId="77777777" w:rsidTr="005B0289">
        <w:trPr>
          <w:tblHeader/>
        </w:trPr>
        <w:tc>
          <w:tcPr>
            <w:tcW w:w="3968" w:type="dxa"/>
            <w:shd w:val="clear" w:color="auto" w:fill="6F6652"/>
            <w:tcMar>
              <w:left w:w="57" w:type="dxa"/>
              <w:right w:w="57" w:type="dxa"/>
            </w:tcMar>
          </w:tcPr>
          <w:p w14:paraId="5D2C60FB" w14:textId="77777777" w:rsidR="00E4023A" w:rsidRPr="00212C18" w:rsidRDefault="002367DA" w:rsidP="005B0289">
            <w:pPr>
              <w:pStyle w:val="TableDataColumnHeading"/>
              <w:jc w:val="left"/>
              <w:rPr>
                <w:lang w:bidi="fa-IR"/>
              </w:rPr>
            </w:pPr>
            <w:r>
              <w:rPr>
                <w:lang w:bidi="fa-IR"/>
              </w:rPr>
              <w:t>Expectations</w:t>
            </w:r>
          </w:p>
        </w:tc>
        <w:tc>
          <w:tcPr>
            <w:tcW w:w="3969" w:type="dxa"/>
            <w:shd w:val="clear" w:color="auto" w:fill="6F6652"/>
            <w:tcMar>
              <w:left w:w="57" w:type="dxa"/>
              <w:right w:w="57" w:type="dxa"/>
            </w:tcMar>
          </w:tcPr>
          <w:p w14:paraId="0A917692" w14:textId="77777777" w:rsidR="00E4023A" w:rsidRPr="00212C18" w:rsidRDefault="00E4023A" w:rsidP="005B0289">
            <w:pPr>
              <w:pStyle w:val="TableDataColumnHeading"/>
              <w:rPr>
                <w:lang w:bidi="fa-IR"/>
              </w:rPr>
            </w:pPr>
            <w:r w:rsidRPr="00212C18">
              <w:rPr>
                <w:lang w:bidi="fa-IR"/>
              </w:rPr>
              <w:t>Share</w:t>
            </w:r>
          </w:p>
        </w:tc>
      </w:tr>
      <w:tr w:rsidR="00E4023A" w:rsidRPr="00212C18" w14:paraId="1541F2F2" w14:textId="77777777" w:rsidTr="005B0289">
        <w:trPr>
          <w:tblHeader/>
        </w:trPr>
        <w:tc>
          <w:tcPr>
            <w:tcW w:w="3968" w:type="dxa"/>
            <w:tcBorders>
              <w:bottom w:val="single" w:sz="8" w:space="0" w:color="FFFFFF" w:themeColor="background1"/>
            </w:tcBorders>
            <w:shd w:val="clear" w:color="auto" w:fill="auto"/>
            <w:tcMar>
              <w:left w:w="57" w:type="dxa"/>
              <w:right w:w="57" w:type="dxa"/>
            </w:tcMar>
          </w:tcPr>
          <w:p w14:paraId="5477728E" w14:textId="77777777" w:rsidR="00E4023A" w:rsidRPr="00212C18" w:rsidRDefault="00E4023A" w:rsidP="005B0289">
            <w:pPr>
              <w:pStyle w:val="TableUnit"/>
              <w:jc w:val="left"/>
              <w:rPr>
                <w:lang w:bidi="fa-IR"/>
              </w:rPr>
            </w:pPr>
          </w:p>
        </w:tc>
        <w:tc>
          <w:tcPr>
            <w:tcW w:w="3969" w:type="dxa"/>
            <w:tcBorders>
              <w:bottom w:val="single" w:sz="8" w:space="0" w:color="FFFFFF" w:themeColor="background1"/>
            </w:tcBorders>
            <w:shd w:val="clear" w:color="auto" w:fill="auto"/>
            <w:tcMar>
              <w:left w:w="57" w:type="dxa"/>
              <w:right w:w="57" w:type="dxa"/>
            </w:tcMar>
          </w:tcPr>
          <w:p w14:paraId="05728416" w14:textId="77777777" w:rsidR="00E4023A" w:rsidRPr="00212C18" w:rsidRDefault="00E4023A" w:rsidP="005B0289">
            <w:pPr>
              <w:pStyle w:val="TableUnit"/>
              <w:rPr>
                <w:lang w:bidi="fa-IR"/>
              </w:rPr>
            </w:pPr>
            <w:r w:rsidRPr="00212C18">
              <w:rPr>
                <w:lang w:bidi="fa-IR"/>
              </w:rPr>
              <w:t>Per cent</w:t>
            </w:r>
          </w:p>
        </w:tc>
      </w:tr>
      <w:tr w:rsidR="00E4023A" w:rsidRPr="00212C18" w14:paraId="7B7E8B85" w14:textId="77777777" w:rsidTr="005B0289">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11F52C" w14:textId="77777777" w:rsidR="00E4023A" w:rsidRPr="00212C18" w:rsidRDefault="00E4023A" w:rsidP="005B0289">
            <w:pPr>
              <w:pStyle w:val="TableDataEntries"/>
              <w:jc w:val="left"/>
              <w:rPr>
                <w:lang w:bidi="fa-IR"/>
              </w:rPr>
            </w:pPr>
            <w:r w:rsidRPr="00212C18">
              <w:rPr>
                <w:lang w:bidi="fa-IR"/>
              </w:rPr>
              <w:t>Expect to be able to afford to fund modifications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F768DC" w14:textId="77777777" w:rsidR="00E4023A" w:rsidRPr="00212C18" w:rsidRDefault="00E4023A" w:rsidP="005B0289">
            <w:pPr>
              <w:pStyle w:val="TableDataEntries"/>
              <w:rPr>
                <w:lang w:bidi="fa-IR"/>
              </w:rPr>
            </w:pPr>
            <w:r w:rsidRPr="00212C18">
              <w:rPr>
                <w:lang w:bidi="fa-IR"/>
              </w:rPr>
              <w:t>54.2</w:t>
            </w:r>
          </w:p>
        </w:tc>
      </w:tr>
      <w:tr w:rsidR="00E4023A" w:rsidRPr="00212C18" w14:paraId="14DC0DE3" w14:textId="77777777" w:rsidTr="005B0289">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BB7815" w14:textId="77777777" w:rsidR="00E4023A" w:rsidRPr="00212C18" w:rsidRDefault="00E4023A" w:rsidP="005B0289">
            <w:pPr>
              <w:pStyle w:val="TableDataEntries"/>
              <w:jc w:val="left"/>
              <w:rPr>
                <w:lang w:bidi="fa-IR"/>
              </w:rPr>
            </w:pPr>
            <w:r w:rsidRPr="00212C18">
              <w:rPr>
                <w:lang w:bidi="fa-IR"/>
              </w:rPr>
              <w:t>Unsure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AA6C0" w14:textId="77777777" w:rsidR="00E4023A" w:rsidRPr="00212C18" w:rsidRDefault="00E4023A" w:rsidP="005B0289">
            <w:pPr>
              <w:pStyle w:val="TableDataEntries"/>
              <w:rPr>
                <w:lang w:bidi="fa-IR"/>
              </w:rPr>
            </w:pPr>
            <w:r w:rsidRPr="00212C18">
              <w:rPr>
                <w:lang w:bidi="fa-IR"/>
              </w:rPr>
              <w:t>35.3</w:t>
            </w:r>
          </w:p>
        </w:tc>
      </w:tr>
      <w:tr w:rsidR="00E4023A" w:rsidRPr="00212C18" w14:paraId="6193B2B9" w14:textId="77777777" w:rsidTr="005B0289">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14:paraId="590D73F0" w14:textId="77777777" w:rsidR="00E4023A" w:rsidRPr="00212C18" w:rsidRDefault="00E4023A" w:rsidP="005B0289">
            <w:pPr>
              <w:pStyle w:val="TableDataEntries"/>
              <w:jc w:val="left"/>
              <w:rPr>
                <w:lang w:bidi="fa-IR"/>
              </w:rPr>
            </w:pPr>
            <w:r w:rsidRPr="00212C18">
              <w:rPr>
                <w:lang w:bidi="fa-IR"/>
              </w:rPr>
              <w:t>Expect not to be able to afford modifications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14:paraId="74259A0C" w14:textId="77777777" w:rsidR="00E4023A" w:rsidRPr="00212C18" w:rsidRDefault="00E4023A" w:rsidP="005B0289">
            <w:pPr>
              <w:pStyle w:val="TableDataEntries"/>
              <w:rPr>
                <w:lang w:bidi="fa-IR"/>
              </w:rPr>
            </w:pPr>
            <w:r w:rsidRPr="00212C18">
              <w:rPr>
                <w:lang w:bidi="fa-IR"/>
              </w:rPr>
              <w:t>10.5</w:t>
            </w:r>
          </w:p>
        </w:tc>
      </w:tr>
    </w:tbl>
    <w:p w14:paraId="7A3C407D" w14:textId="77777777" w:rsidR="00E4023A" w:rsidRDefault="00E4023A" w:rsidP="00E4023A">
      <w:pPr>
        <w:pStyle w:val="Source"/>
        <w:rPr>
          <w:lang w:bidi="fa-IR"/>
        </w:rPr>
      </w:pPr>
      <w:r w:rsidRPr="002474D4">
        <w:rPr>
          <w:lang w:bidi="fa-IR"/>
        </w:rPr>
        <w:t>Source:</w:t>
      </w:r>
      <w:r w:rsidRPr="00A47589">
        <w:rPr>
          <w:lang w:bidi="fa-IR"/>
        </w:rPr>
        <w:t xml:space="preserve"> Judd </w:t>
      </w:r>
      <w:r w:rsidRPr="002474D4">
        <w:rPr>
          <w:lang w:bidi="fa-IR"/>
        </w:rPr>
        <w:t>et al</w:t>
      </w:r>
      <w:r w:rsidRPr="00A47589">
        <w:rPr>
          <w:lang w:bidi="fa-IR"/>
        </w:rPr>
        <w:t xml:space="preserve"> 2010 (for AHURI), p</w:t>
      </w:r>
      <w:r w:rsidR="00FD2EC3">
        <w:rPr>
          <w:lang w:bidi="fa-IR"/>
        </w:rPr>
        <w:t>.</w:t>
      </w:r>
      <w:r w:rsidRPr="00A47589">
        <w:rPr>
          <w:lang w:bidi="fa-IR"/>
        </w:rPr>
        <w:t>142</w:t>
      </w:r>
      <w:r>
        <w:rPr>
          <w:lang w:bidi="fa-IR"/>
        </w:rPr>
        <w:t>.</w:t>
      </w:r>
    </w:p>
    <w:p w14:paraId="74830114" w14:textId="77777777" w:rsidR="00E4023A" w:rsidRDefault="00E4023A" w:rsidP="00E4023A">
      <w:pPr>
        <w:pStyle w:val="BodyText"/>
        <w:rPr>
          <w:lang w:eastAsia="en-US" w:bidi="fa-IR"/>
        </w:rPr>
      </w:pPr>
      <w:r>
        <w:rPr>
          <w:lang w:eastAsia="en-US" w:bidi="fa-IR"/>
        </w:rPr>
        <w:t>On the other hand, not all home modification costs can be avoided through designing dwellings that are consistent with universal design principles. Modifications such as the installation of grab rails, home automation and telemonitoring systems may still be required for people who acquire disability while living in a dwelling that complies with LHDG standards.</w:t>
      </w:r>
    </w:p>
    <w:p w14:paraId="60CD5E44" w14:textId="02F7ACFD" w:rsidR="00E4023A" w:rsidRPr="00F11742" w:rsidRDefault="007D3927" w:rsidP="00E4023A">
      <w:pPr>
        <w:pStyle w:val="BodyText"/>
      </w:pPr>
      <w:r w:rsidRPr="005F68DE">
        <w:rPr>
          <w:lang w:eastAsia="en-US" w:bidi="fa-IR"/>
        </w:rPr>
        <w:t xml:space="preserve">It is </w:t>
      </w:r>
      <w:r w:rsidR="00E4023A" w:rsidRPr="005F68DE">
        <w:rPr>
          <w:lang w:eastAsia="en-US" w:bidi="fa-IR"/>
        </w:rPr>
        <w:t>estimate</w:t>
      </w:r>
      <w:r w:rsidRPr="005F68DE">
        <w:rPr>
          <w:lang w:eastAsia="en-US" w:bidi="fa-IR"/>
        </w:rPr>
        <w:t>d</w:t>
      </w:r>
      <w:r w:rsidR="00E4023A" w:rsidRPr="00F11742">
        <w:t xml:space="preserve"> that the weighted</w:t>
      </w:r>
      <w:r w:rsidR="00E4023A" w:rsidRPr="00F11742">
        <w:noBreakHyphen/>
        <w:t>average cost of modifications that could be avoided if dwelling designs were consistent with universal design principles is around $</w:t>
      </w:r>
      <w:r w:rsidR="0082607B" w:rsidRPr="005F68DE">
        <w:rPr>
          <w:lang w:eastAsia="en-US" w:bidi="fa-IR"/>
        </w:rPr>
        <w:t>2</w:t>
      </w:r>
      <w:r w:rsidR="00BE47D2">
        <w:rPr>
          <w:lang w:eastAsia="en-US" w:bidi="fa-IR"/>
        </w:rPr>
        <w:t>2</w:t>
      </w:r>
      <w:r w:rsidR="0082607B" w:rsidRPr="005F68DE">
        <w:rPr>
          <w:lang w:eastAsia="en-US" w:bidi="fa-IR"/>
        </w:rPr>
        <w:t> </w:t>
      </w:r>
      <w:r w:rsidR="00BE47D2">
        <w:rPr>
          <w:lang w:eastAsia="en-US" w:bidi="fa-IR"/>
        </w:rPr>
        <w:t>899</w:t>
      </w:r>
      <w:r w:rsidR="00E4023A" w:rsidRPr="00F11742">
        <w:t xml:space="preserve"> per dwelling (table </w:t>
      </w:r>
      <w:r w:rsidR="00587754">
        <w:t>3.32</w:t>
      </w:r>
      <w:r w:rsidR="00E4023A" w:rsidRPr="00F11742">
        <w:t>). This is based on the estimated cost of retro</w:t>
      </w:r>
      <w:r w:rsidR="00E4023A" w:rsidRPr="00F11742">
        <w:noBreakHyphen/>
        <w:t xml:space="preserve">fitting accessible design features </w:t>
      </w:r>
      <w:r w:rsidR="0082607B" w:rsidRPr="005F68DE">
        <w:rPr>
          <w:lang w:eastAsia="en-US" w:bidi="fa-IR"/>
        </w:rPr>
        <w:t>in line with requirements for Options 1</w:t>
      </w:r>
      <w:r w:rsidR="000B577C">
        <w:rPr>
          <w:lang w:eastAsia="en-US" w:bidi="fa-IR"/>
        </w:rPr>
        <w:t xml:space="preserve"> (Silver standard)</w:t>
      </w:r>
      <w:r w:rsidR="0082607B" w:rsidRPr="005F68DE">
        <w:rPr>
          <w:lang w:eastAsia="en-US" w:bidi="fa-IR"/>
        </w:rPr>
        <w:t xml:space="preserve"> and 2</w:t>
      </w:r>
      <w:r w:rsidR="00E4023A" w:rsidRPr="00F11742">
        <w:t xml:space="preserve"> </w:t>
      </w:r>
      <w:r w:rsidR="000B577C">
        <w:t xml:space="preserve">(Gold standard) </w:t>
      </w:r>
      <w:r w:rsidR="00E4023A" w:rsidRPr="00F11742">
        <w:t>for both Class 1a (separate houses and townhouses) and Class 2 dwellings (apartments) prepared by quantity surveyors DCWC;</w:t>
      </w:r>
      <w:r w:rsidR="0082607B" w:rsidRPr="005F68DE">
        <w:rPr>
          <w:rStyle w:val="FootnoteReference"/>
          <w:lang w:eastAsia="en-US" w:bidi="fa-IR"/>
        </w:rPr>
        <w:footnoteReference w:id="127"/>
      </w:r>
      <w:r w:rsidR="00E4023A" w:rsidRPr="00F11742">
        <w:t xml:space="preserve"> and information from the SDAC on the types of modifications that people with </w:t>
      </w:r>
      <w:r w:rsidR="00D870C0" w:rsidRPr="00F11742">
        <w:t>disabilit</w:t>
      </w:r>
      <w:r w:rsidR="00D870C0">
        <w:t>y</w:t>
      </w:r>
      <w:r w:rsidR="00D870C0" w:rsidRPr="00F11742">
        <w:t xml:space="preserve"> </w:t>
      </w:r>
      <w:r w:rsidR="00E4023A" w:rsidRPr="00F11742">
        <w:t>have made to their homes (see appendix C for further information). Th</w:t>
      </w:r>
      <w:r w:rsidR="00EE6E77">
        <w:t>e</w:t>
      </w:r>
      <w:r w:rsidR="00E4023A" w:rsidRPr="00F11742">
        <w:t xml:space="preserve"> estimate </w:t>
      </w:r>
      <w:r w:rsidR="00EE6E77">
        <w:t xml:space="preserve">for Option 1 (Silver) aligns with </w:t>
      </w:r>
      <w:r w:rsidR="00E4023A" w:rsidRPr="00F11742">
        <w:t>the estimated retrofitting cost of $19 400 as reported in Young People In Nursing Homes National Alliance’s housing policy discussion paper.</w:t>
      </w:r>
      <w:r w:rsidR="00E4023A" w:rsidRPr="00F11742">
        <w:rPr>
          <w:rStyle w:val="FootnoteReference"/>
        </w:rPr>
        <w:footnoteReference w:id="128"/>
      </w:r>
      <w:r w:rsidR="00E4023A" w:rsidRPr="00F11742">
        <w:t xml:space="preserve"> </w:t>
      </w:r>
    </w:p>
    <w:p w14:paraId="41A6363D" w14:textId="1ACAF325" w:rsidR="00E4023A" w:rsidRPr="00F11742" w:rsidRDefault="00142D49" w:rsidP="00E4023A">
      <w:pPr>
        <w:pStyle w:val="Caption"/>
      </w:pPr>
      <w:bookmarkStart w:id="245" w:name="_Toc44598507"/>
      <w:bookmarkStart w:id="246" w:name="_Toc44695879"/>
      <w:bookmarkStart w:id="247" w:name="_Toc57643612"/>
      <w:bookmarkStart w:id="248" w:name="_Toc70505531"/>
      <w:r>
        <w:t>3.32</w:t>
      </w:r>
      <w:r>
        <w:tab/>
      </w:r>
      <w:r w:rsidR="00E4023A" w:rsidRPr="00F11742">
        <w:t xml:space="preserve">Weighted average cost of </w:t>
      </w:r>
      <w:r w:rsidR="000A1018">
        <w:t xml:space="preserve">avoided </w:t>
      </w:r>
      <w:r w:rsidR="00E4023A" w:rsidRPr="00F11742">
        <w:t>modifications per dwelling</w:t>
      </w:r>
      <w:bookmarkEnd w:id="245"/>
      <w:bookmarkEnd w:id="246"/>
      <w:bookmarkEnd w:id="247"/>
      <w:bookmarkEnd w:id="248"/>
    </w:p>
    <w:tbl>
      <w:tblPr>
        <w:tblW w:w="0" w:type="auto"/>
        <w:tblLayout w:type="fixed"/>
        <w:tblLook w:val="0000" w:firstRow="0" w:lastRow="0" w:firstColumn="0" w:lastColumn="0" w:noHBand="0" w:noVBand="0"/>
        <w:tblCaption w:val="Table 3.32: Weighted average cost of avoided modifications per dwelling"/>
        <w:tblDescription w:val="This table lists the weighted average cost of modifications that could be avoided if dwelling designs were consistent with universal design priciples. A percentage and a dollar cost is given for each category. The categories are  Class 1a (separate houses and townhouses) and Class 2 (apartments). Each of these is divided into Silver and Gold levels. The weighted average cost is $22,899."/>
      </w:tblPr>
      <w:tblGrid>
        <w:gridCol w:w="3519"/>
        <w:gridCol w:w="2209"/>
        <w:gridCol w:w="2209"/>
      </w:tblGrid>
      <w:tr w:rsidR="00E4023A" w:rsidRPr="008473CF" w14:paraId="6D29CD38" w14:textId="77777777" w:rsidTr="005B0289">
        <w:trPr>
          <w:trHeight w:val="230"/>
          <w:tblHeader/>
        </w:trPr>
        <w:tc>
          <w:tcPr>
            <w:tcW w:w="3519" w:type="dxa"/>
            <w:shd w:val="clear" w:color="auto" w:fill="6F6652"/>
            <w:tcMar>
              <w:left w:w="57" w:type="dxa"/>
              <w:right w:w="57" w:type="dxa"/>
            </w:tcMar>
          </w:tcPr>
          <w:p w14:paraId="207B8C57" w14:textId="77777777" w:rsidR="00E4023A" w:rsidRPr="00F11742" w:rsidRDefault="002367DA" w:rsidP="005B0289">
            <w:pPr>
              <w:pStyle w:val="TableDataColumnHeading"/>
              <w:jc w:val="left"/>
              <w:rPr>
                <w:lang w:val="en-GB"/>
              </w:rPr>
            </w:pPr>
            <w:r>
              <w:rPr>
                <w:lang w:val="en-GB"/>
              </w:rPr>
              <w:t>Building type</w:t>
            </w:r>
          </w:p>
        </w:tc>
        <w:tc>
          <w:tcPr>
            <w:tcW w:w="2209" w:type="dxa"/>
            <w:shd w:val="clear" w:color="auto" w:fill="6F6652"/>
            <w:tcMar>
              <w:left w:w="57" w:type="dxa"/>
              <w:right w:w="57" w:type="dxa"/>
            </w:tcMar>
          </w:tcPr>
          <w:p w14:paraId="3EC3B8B4" w14:textId="77777777" w:rsidR="00E4023A" w:rsidRPr="00F11742" w:rsidRDefault="00E4023A" w:rsidP="005B0289">
            <w:pPr>
              <w:pStyle w:val="TableDataColumnHeading"/>
              <w:rPr>
                <w:lang w:val="en-GB"/>
              </w:rPr>
            </w:pPr>
            <w:r w:rsidRPr="00F11742">
              <w:rPr>
                <w:lang w:val="en-GB"/>
              </w:rPr>
              <w:t>Weighting</w:t>
            </w:r>
          </w:p>
        </w:tc>
        <w:tc>
          <w:tcPr>
            <w:tcW w:w="2209" w:type="dxa"/>
            <w:shd w:val="clear" w:color="auto" w:fill="6F6652"/>
            <w:tcMar>
              <w:left w:w="57" w:type="dxa"/>
              <w:right w:w="57" w:type="dxa"/>
            </w:tcMar>
          </w:tcPr>
          <w:p w14:paraId="759195B9" w14:textId="77777777" w:rsidR="00E4023A" w:rsidRPr="00F11742" w:rsidRDefault="00E4023A" w:rsidP="005B0289">
            <w:pPr>
              <w:pStyle w:val="TableDataColumnHeading"/>
              <w:rPr>
                <w:lang w:val="en-GB"/>
              </w:rPr>
            </w:pPr>
            <w:r w:rsidRPr="00F11742">
              <w:rPr>
                <w:lang w:val="en-GB"/>
              </w:rPr>
              <w:t>Cost</w:t>
            </w:r>
          </w:p>
        </w:tc>
      </w:tr>
      <w:tr w:rsidR="00E4023A" w:rsidRPr="008473CF" w14:paraId="53016671" w14:textId="77777777" w:rsidTr="005B0289">
        <w:trPr>
          <w:trHeight w:val="230"/>
          <w:tblHeader/>
        </w:trPr>
        <w:tc>
          <w:tcPr>
            <w:tcW w:w="3519" w:type="dxa"/>
            <w:tcBorders>
              <w:bottom w:val="single" w:sz="8" w:space="0" w:color="FFFFFF" w:themeColor="background1"/>
            </w:tcBorders>
            <w:shd w:val="clear" w:color="auto" w:fill="auto"/>
            <w:tcMar>
              <w:left w:w="57" w:type="dxa"/>
              <w:right w:w="57" w:type="dxa"/>
            </w:tcMar>
          </w:tcPr>
          <w:p w14:paraId="77B2D6A6" w14:textId="77777777" w:rsidR="00E4023A" w:rsidRPr="00F11742" w:rsidRDefault="00E4023A" w:rsidP="005B0289">
            <w:pPr>
              <w:pStyle w:val="TableUnit"/>
              <w:jc w:val="left"/>
              <w:rPr>
                <w:lang w:val="en-GB"/>
              </w:rPr>
            </w:pPr>
          </w:p>
        </w:tc>
        <w:tc>
          <w:tcPr>
            <w:tcW w:w="2209" w:type="dxa"/>
            <w:tcBorders>
              <w:bottom w:val="single" w:sz="8" w:space="0" w:color="FFFFFF" w:themeColor="background1"/>
            </w:tcBorders>
            <w:shd w:val="clear" w:color="auto" w:fill="auto"/>
            <w:tcMar>
              <w:left w:w="57" w:type="dxa"/>
              <w:right w:w="57" w:type="dxa"/>
            </w:tcMar>
          </w:tcPr>
          <w:p w14:paraId="22E1A182" w14:textId="77777777" w:rsidR="00E4023A" w:rsidRPr="00F11742" w:rsidRDefault="00E4023A" w:rsidP="005B0289">
            <w:pPr>
              <w:pStyle w:val="TableUnit"/>
              <w:rPr>
                <w:lang w:val="en-GB"/>
              </w:rPr>
            </w:pPr>
            <w:r w:rsidRPr="00F11742">
              <w:rPr>
                <w:lang w:val="en-GB"/>
              </w:rPr>
              <w:t>Per cent</w:t>
            </w:r>
          </w:p>
        </w:tc>
        <w:tc>
          <w:tcPr>
            <w:tcW w:w="2209" w:type="dxa"/>
            <w:tcBorders>
              <w:bottom w:val="single" w:sz="8" w:space="0" w:color="FFFFFF" w:themeColor="background1"/>
            </w:tcBorders>
            <w:shd w:val="clear" w:color="auto" w:fill="auto"/>
            <w:tcMar>
              <w:left w:w="57" w:type="dxa"/>
              <w:right w:w="57" w:type="dxa"/>
            </w:tcMar>
          </w:tcPr>
          <w:p w14:paraId="44FDADCD" w14:textId="77777777" w:rsidR="00E4023A" w:rsidRPr="00F11742" w:rsidRDefault="00E4023A" w:rsidP="005B0289">
            <w:pPr>
              <w:pStyle w:val="TableUnit"/>
              <w:rPr>
                <w:lang w:val="en-GB"/>
              </w:rPr>
            </w:pPr>
            <w:r w:rsidRPr="00F11742">
              <w:rPr>
                <w:lang w:val="en-GB"/>
              </w:rPr>
              <w:t>$</w:t>
            </w:r>
          </w:p>
        </w:tc>
      </w:tr>
      <w:tr w:rsidR="00EE6E77" w:rsidRPr="008473CF" w14:paraId="59D36C06" w14:textId="77777777" w:rsidTr="00B9695D">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3D623" w14:textId="77777777" w:rsidR="00EE6E77" w:rsidRPr="00F11742" w:rsidRDefault="00EE6E77" w:rsidP="00EE6E77">
            <w:pPr>
              <w:pStyle w:val="TableDataEntries"/>
              <w:jc w:val="left"/>
              <w:rPr>
                <w:lang w:val="en-GB"/>
              </w:rPr>
            </w:pPr>
            <w:r w:rsidRPr="00F11742">
              <w:rPr>
                <w:lang w:val="en-GB"/>
              </w:rPr>
              <w:t>Class 1a - Silver level</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FAFBCB" w14:textId="77777777" w:rsidR="00EE6E77" w:rsidRPr="00F11742" w:rsidRDefault="00EE6E77" w:rsidP="00EE6E77">
            <w:pPr>
              <w:pStyle w:val="TableDataEntries"/>
              <w:rPr>
                <w:lang w:val="en-GB"/>
              </w:rPr>
            </w:pPr>
            <w:r w:rsidRPr="00F11742">
              <w:rPr>
                <w:lang w:val="en-GB"/>
              </w:rPr>
              <w:t>83.5</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9A76FB" w14:textId="77777777" w:rsidR="00EE6E77" w:rsidRPr="00EE6E77" w:rsidRDefault="00EE6E77" w:rsidP="00EE6E77">
            <w:pPr>
              <w:pStyle w:val="TableDataEntries"/>
              <w:rPr>
                <w:szCs w:val="16"/>
                <w:lang w:val="en-GB"/>
              </w:rPr>
            </w:pPr>
            <w:r w:rsidRPr="00EE6E77">
              <w:rPr>
                <w:szCs w:val="16"/>
              </w:rPr>
              <w:t>18 821</w:t>
            </w:r>
          </w:p>
        </w:tc>
      </w:tr>
      <w:tr w:rsidR="00EE6E77" w:rsidRPr="008473CF" w14:paraId="2A4D0949" w14:textId="77777777" w:rsidTr="00B9695D">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4114D" w14:textId="77777777" w:rsidR="00EE6E77" w:rsidRPr="00F11742" w:rsidRDefault="00EE6E77" w:rsidP="00EE6E77">
            <w:pPr>
              <w:pStyle w:val="TableDataEntries"/>
              <w:jc w:val="left"/>
              <w:rPr>
                <w:lang w:val="en-GB"/>
              </w:rPr>
            </w:pPr>
            <w:r w:rsidRPr="00F11742">
              <w:rPr>
                <w:lang w:val="en-GB"/>
              </w:rPr>
              <w:t>Class 1a - Gold level</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878C3" w14:textId="77777777" w:rsidR="00EE6E77" w:rsidRPr="00F11742" w:rsidRDefault="00EE6E77" w:rsidP="00EE6E77">
            <w:pPr>
              <w:pStyle w:val="TableDataEntries"/>
              <w:rPr>
                <w:lang w:val="en-GB"/>
              </w:rPr>
            </w:pPr>
            <w:r w:rsidRPr="00F11742">
              <w:rPr>
                <w:lang w:val="en-GB"/>
              </w:rPr>
              <w:t>12.6</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BD96BF" w14:textId="77777777" w:rsidR="00EE6E77" w:rsidRPr="00EE6E77" w:rsidRDefault="00EE6E77" w:rsidP="00EE6E77">
            <w:pPr>
              <w:pStyle w:val="TableDataEntries"/>
              <w:rPr>
                <w:szCs w:val="16"/>
                <w:lang w:val="en-GB"/>
              </w:rPr>
            </w:pPr>
            <w:r w:rsidRPr="00EE6E77">
              <w:rPr>
                <w:szCs w:val="16"/>
              </w:rPr>
              <w:t>49 706</w:t>
            </w:r>
          </w:p>
        </w:tc>
      </w:tr>
      <w:tr w:rsidR="00EE6E77" w:rsidRPr="008473CF" w14:paraId="524D3AFA" w14:textId="77777777" w:rsidTr="00B9695D">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69FE93" w14:textId="77777777" w:rsidR="00EE6E77" w:rsidRPr="00F11742" w:rsidRDefault="00EE6E77" w:rsidP="00EE6E77">
            <w:pPr>
              <w:pStyle w:val="TableDataEntries"/>
              <w:jc w:val="left"/>
              <w:rPr>
                <w:lang w:val="en-GB"/>
              </w:rPr>
            </w:pPr>
            <w:r w:rsidRPr="00F11742">
              <w:rPr>
                <w:lang w:val="en-GB"/>
              </w:rPr>
              <w:t>Class 2 - Silver level</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582B10" w14:textId="77777777" w:rsidR="00EE6E77" w:rsidRPr="00F11742" w:rsidRDefault="00EE6E77" w:rsidP="00EE6E77">
            <w:pPr>
              <w:pStyle w:val="TableDataEntries"/>
              <w:rPr>
                <w:lang w:val="en-GB"/>
              </w:rPr>
            </w:pPr>
            <w:r w:rsidRPr="00F11742">
              <w:rPr>
                <w:lang w:val="en-GB"/>
              </w:rPr>
              <w:t>3.0</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78E099" w14:textId="77777777" w:rsidR="00EE6E77" w:rsidRPr="00EE6E77" w:rsidRDefault="00EE6E77" w:rsidP="00EE6E77">
            <w:pPr>
              <w:pStyle w:val="TableDataEntries"/>
              <w:rPr>
                <w:szCs w:val="16"/>
                <w:lang w:val="en-GB"/>
              </w:rPr>
            </w:pPr>
            <w:r w:rsidRPr="00EE6E77">
              <w:rPr>
                <w:szCs w:val="16"/>
              </w:rPr>
              <w:t>20 260</w:t>
            </w:r>
          </w:p>
        </w:tc>
      </w:tr>
      <w:tr w:rsidR="00EE6E77" w:rsidRPr="008473CF" w14:paraId="61AF44EB" w14:textId="77777777" w:rsidTr="00B9695D">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C6A26" w14:textId="77777777" w:rsidR="00EE6E77" w:rsidRPr="00F11742" w:rsidRDefault="00EE6E77" w:rsidP="00EE6E77">
            <w:pPr>
              <w:pStyle w:val="TableDataEntries"/>
              <w:jc w:val="left"/>
              <w:rPr>
                <w:lang w:val="en-GB"/>
              </w:rPr>
            </w:pPr>
            <w:r w:rsidRPr="00F11742">
              <w:rPr>
                <w:lang w:val="en-GB"/>
              </w:rPr>
              <w:t>Class 2 - Gold level</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E13222" w14:textId="77777777" w:rsidR="00EE6E77" w:rsidRPr="00F11742" w:rsidRDefault="00EE6E77" w:rsidP="00EE6E77">
            <w:pPr>
              <w:pStyle w:val="TableDataEntries"/>
              <w:rPr>
                <w:lang w:val="en-GB"/>
              </w:rPr>
            </w:pPr>
            <w:r w:rsidRPr="00F11742">
              <w:rPr>
                <w:lang w:val="en-GB"/>
              </w:rPr>
              <w:t>0.9</w:t>
            </w:r>
          </w:p>
        </w:tc>
        <w:tc>
          <w:tcPr>
            <w:tcW w:w="2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4D25C9" w14:textId="77777777" w:rsidR="00EE6E77" w:rsidRPr="00EE6E77" w:rsidRDefault="00EE6E77" w:rsidP="00EE6E77">
            <w:pPr>
              <w:pStyle w:val="TableDataEntries"/>
              <w:rPr>
                <w:szCs w:val="16"/>
                <w:lang w:val="en-GB"/>
              </w:rPr>
            </w:pPr>
            <w:r w:rsidRPr="00EE6E77">
              <w:rPr>
                <w:szCs w:val="16"/>
              </w:rPr>
              <w:t>36 292</w:t>
            </w:r>
          </w:p>
        </w:tc>
      </w:tr>
      <w:tr w:rsidR="00E4023A" w:rsidRPr="008473CF" w14:paraId="79E27E77" w14:textId="77777777" w:rsidTr="005B0289">
        <w:trPr>
          <w:trHeight w:val="230"/>
        </w:trPr>
        <w:tc>
          <w:tcPr>
            <w:tcW w:w="3519" w:type="dxa"/>
            <w:tcBorders>
              <w:top w:val="single" w:sz="8" w:space="0" w:color="FFFFFF" w:themeColor="background1"/>
              <w:bottom w:val="single" w:sz="4" w:space="0" w:color="6F6652" w:themeColor="accent5"/>
            </w:tcBorders>
            <w:shd w:val="clear" w:color="auto" w:fill="C2DADB" w:themeFill="accent6" w:themeFillTint="99"/>
            <w:tcMar>
              <w:left w:w="57" w:type="dxa"/>
              <w:right w:w="57" w:type="dxa"/>
            </w:tcMar>
          </w:tcPr>
          <w:p w14:paraId="1BF3CE5B" w14:textId="77777777" w:rsidR="00E4023A" w:rsidRPr="00F11742" w:rsidRDefault="00E4023A" w:rsidP="005B0289">
            <w:pPr>
              <w:pStyle w:val="TableDataEntries"/>
              <w:jc w:val="left"/>
              <w:rPr>
                <w:rFonts w:ascii="Franklin Gothic Demi" w:hAnsi="Franklin Gothic Demi"/>
                <w:lang w:val="en-GB"/>
              </w:rPr>
            </w:pPr>
            <w:r w:rsidRPr="00F11742">
              <w:rPr>
                <w:rFonts w:ascii="Franklin Gothic Demi" w:hAnsi="Franklin Gothic Demi"/>
                <w:lang w:val="en-GB"/>
              </w:rPr>
              <w:t>Weighted average</w:t>
            </w:r>
          </w:p>
        </w:tc>
        <w:tc>
          <w:tcPr>
            <w:tcW w:w="2209" w:type="dxa"/>
            <w:tcBorders>
              <w:top w:val="single" w:sz="8" w:space="0" w:color="FFFFFF" w:themeColor="background1"/>
              <w:bottom w:val="single" w:sz="4" w:space="0" w:color="6F6652" w:themeColor="accent5"/>
            </w:tcBorders>
            <w:shd w:val="clear" w:color="auto" w:fill="C2DADB" w:themeFill="accent6" w:themeFillTint="99"/>
            <w:tcMar>
              <w:left w:w="57" w:type="dxa"/>
              <w:right w:w="57" w:type="dxa"/>
            </w:tcMar>
          </w:tcPr>
          <w:p w14:paraId="73402A82" w14:textId="77777777" w:rsidR="00E4023A" w:rsidRPr="00F11742" w:rsidRDefault="00E4023A" w:rsidP="005B0289">
            <w:pPr>
              <w:pStyle w:val="TableDataEntries"/>
              <w:rPr>
                <w:rFonts w:ascii="Franklin Gothic Demi" w:hAnsi="Franklin Gothic Demi"/>
                <w:lang w:val="en-GB"/>
              </w:rPr>
            </w:pPr>
          </w:p>
        </w:tc>
        <w:tc>
          <w:tcPr>
            <w:tcW w:w="2209" w:type="dxa"/>
            <w:tcBorders>
              <w:top w:val="single" w:sz="8" w:space="0" w:color="FFFFFF" w:themeColor="background1"/>
              <w:bottom w:val="single" w:sz="4" w:space="0" w:color="6F6652" w:themeColor="accent5"/>
            </w:tcBorders>
            <w:shd w:val="clear" w:color="auto" w:fill="C2DADB" w:themeFill="accent6" w:themeFillTint="99"/>
            <w:tcMar>
              <w:left w:w="57" w:type="dxa"/>
              <w:right w:w="57" w:type="dxa"/>
            </w:tcMar>
          </w:tcPr>
          <w:p w14:paraId="7FABB8EE" w14:textId="77777777" w:rsidR="00E4023A" w:rsidRPr="00F11742" w:rsidRDefault="001F5C7F" w:rsidP="005B0289">
            <w:pPr>
              <w:pStyle w:val="TableDataEntries"/>
              <w:rPr>
                <w:rFonts w:ascii="Franklin Gothic Demi" w:hAnsi="Franklin Gothic Demi"/>
                <w:lang w:val="en-GB"/>
              </w:rPr>
            </w:pPr>
            <w:r w:rsidRPr="005F68DE">
              <w:rPr>
                <w:rFonts w:ascii="Franklin Gothic Demi" w:hAnsi="Franklin Gothic Demi"/>
                <w:lang w:val="en-GB"/>
              </w:rPr>
              <w:t>2</w:t>
            </w:r>
            <w:r w:rsidR="00EE6E77">
              <w:rPr>
                <w:rFonts w:ascii="Franklin Gothic Demi" w:hAnsi="Franklin Gothic Demi"/>
                <w:lang w:val="en-GB"/>
              </w:rPr>
              <w:t>2</w:t>
            </w:r>
            <w:r w:rsidRPr="005F68DE">
              <w:rPr>
                <w:rFonts w:ascii="Franklin Gothic Demi" w:hAnsi="Franklin Gothic Demi"/>
                <w:lang w:val="en-GB"/>
              </w:rPr>
              <w:t xml:space="preserve"> </w:t>
            </w:r>
            <w:r w:rsidR="00EE6E77">
              <w:rPr>
                <w:rFonts w:ascii="Franklin Gothic Demi" w:hAnsi="Franklin Gothic Demi"/>
                <w:lang w:val="en-GB"/>
              </w:rPr>
              <w:t>899</w:t>
            </w:r>
          </w:p>
        </w:tc>
      </w:tr>
    </w:tbl>
    <w:p w14:paraId="011A8CC0" w14:textId="1DCC0AA8" w:rsidR="00E4023A" w:rsidRPr="002474D4" w:rsidRDefault="00E4023A" w:rsidP="00E4023A">
      <w:pPr>
        <w:pStyle w:val="Source"/>
        <w:rPr>
          <w:lang w:bidi="fa-IR"/>
        </w:rPr>
      </w:pPr>
      <w:r w:rsidRPr="002474D4">
        <w:rPr>
          <w:lang w:bidi="fa-IR"/>
        </w:rPr>
        <w:t xml:space="preserve">Source: CIE based on estimates prepared by DCWC, </w:t>
      </w:r>
      <w:r w:rsidR="00EE6E77" w:rsidRPr="002474D4">
        <w:rPr>
          <w:lang w:bidi="fa-IR"/>
        </w:rPr>
        <w:t xml:space="preserve">ABS </w:t>
      </w:r>
      <w:r w:rsidRPr="002474D4">
        <w:rPr>
          <w:lang w:bidi="fa-IR"/>
        </w:rPr>
        <w:t xml:space="preserve">Survey of Disabilities, Ageing and Carers, 2018, TableBuilder (see </w:t>
      </w:r>
      <w:r w:rsidR="00DC7B75" w:rsidRPr="002474D4">
        <w:rPr>
          <w:lang w:bidi="fa-IR"/>
        </w:rPr>
        <w:t>a</w:t>
      </w:r>
      <w:r w:rsidRPr="002474D4">
        <w:rPr>
          <w:lang w:bidi="fa-IR"/>
        </w:rPr>
        <w:t xml:space="preserve">ppendix </w:t>
      </w:r>
      <w:r w:rsidR="00187C19" w:rsidRPr="002474D4">
        <w:rPr>
          <w:lang w:bidi="fa-IR"/>
        </w:rPr>
        <w:fldChar w:fldCharType="begin"/>
      </w:r>
      <w:r w:rsidR="00187C19" w:rsidRPr="002474D4">
        <w:rPr>
          <w:lang w:bidi="fa-IR"/>
        </w:rPr>
        <w:instrText xml:space="preserve"> REF _Ref55130506 \n \h </w:instrText>
      </w:r>
      <w:r w:rsidR="00717BD9" w:rsidRPr="002474D4">
        <w:rPr>
          <w:lang w:bidi="fa-IR"/>
        </w:rPr>
        <w:instrText xml:space="preserve"> \* MERGEFORMAT </w:instrText>
      </w:r>
      <w:r w:rsidR="00187C19" w:rsidRPr="002474D4">
        <w:rPr>
          <w:lang w:bidi="fa-IR"/>
        </w:rPr>
      </w:r>
      <w:r w:rsidR="00187C19" w:rsidRPr="002474D4">
        <w:rPr>
          <w:lang w:bidi="fa-IR"/>
        </w:rPr>
        <w:fldChar w:fldCharType="separate"/>
      </w:r>
      <w:r w:rsidR="000F445C">
        <w:rPr>
          <w:lang w:bidi="fa-IR"/>
        </w:rPr>
        <w:t>D</w:t>
      </w:r>
      <w:r w:rsidR="00187C19" w:rsidRPr="002474D4">
        <w:rPr>
          <w:lang w:bidi="fa-IR"/>
        </w:rPr>
        <w:fldChar w:fldCharType="end"/>
      </w:r>
      <w:r w:rsidRPr="002474D4">
        <w:rPr>
          <w:lang w:bidi="fa-IR"/>
        </w:rPr>
        <w:t xml:space="preserve"> for details).</w:t>
      </w:r>
    </w:p>
    <w:p w14:paraId="72965C6B" w14:textId="151D4DE3" w:rsidR="00E4023A" w:rsidRPr="00F11742" w:rsidRDefault="00E4023A" w:rsidP="00E4023A">
      <w:pPr>
        <w:pStyle w:val="BodyText"/>
      </w:pPr>
      <w:r w:rsidRPr="00F11742">
        <w:lastRenderedPageBreak/>
        <w:t xml:space="preserve">Comparing the number of modified dwellings reported in the 2018 and 2015 SDAC (and adjusting for deaths) suggests that around 22 000 dwellings are modified to meet the needs of people with </w:t>
      </w:r>
      <w:r w:rsidR="00D870C0" w:rsidRPr="00F11742">
        <w:t>disabilit</w:t>
      </w:r>
      <w:r w:rsidR="00D870C0">
        <w:t>y</w:t>
      </w:r>
      <w:r w:rsidR="00D870C0" w:rsidRPr="00F11742">
        <w:t xml:space="preserve"> </w:t>
      </w:r>
      <w:r w:rsidRPr="00F11742">
        <w:t xml:space="preserve">per year (see appendix </w:t>
      </w:r>
      <w:r w:rsidR="00C83317" w:rsidRPr="00F11742">
        <w:fldChar w:fldCharType="begin"/>
      </w:r>
      <w:r w:rsidR="00C83317" w:rsidRPr="00F11742">
        <w:instrText xml:space="preserve"> REF _Ref55130506 \n \h  \* MERGEFORMAT </w:instrText>
      </w:r>
      <w:r w:rsidR="00C83317" w:rsidRPr="00F11742">
        <w:fldChar w:fldCharType="separate"/>
      </w:r>
      <w:r w:rsidR="000F445C">
        <w:t>D</w:t>
      </w:r>
      <w:r w:rsidR="00C83317" w:rsidRPr="00F11742">
        <w:fldChar w:fldCharType="end"/>
      </w:r>
      <w:r w:rsidRPr="00F11742">
        <w:t xml:space="preserve"> for further details).</w:t>
      </w:r>
    </w:p>
    <w:p w14:paraId="0D645755" w14:textId="77777777" w:rsidR="00E4023A" w:rsidRPr="00F11742" w:rsidRDefault="00E4023A" w:rsidP="00442A2D">
      <w:pPr>
        <w:pStyle w:val="KeyPoint"/>
        <w:numPr>
          <w:ilvl w:val="0"/>
          <w:numId w:val="11"/>
        </w:numPr>
        <w:rPr>
          <w:lang w:bidi="fa-IR"/>
        </w:rPr>
      </w:pPr>
      <w:r w:rsidRPr="00F11742">
        <w:rPr>
          <w:lang w:bidi="fa-IR"/>
        </w:rPr>
        <w:t xml:space="preserve">Based on the above information, </w:t>
      </w:r>
      <w:r w:rsidR="000611E1" w:rsidRPr="005F68DE">
        <w:rPr>
          <w:lang w:bidi="fa-IR"/>
        </w:rPr>
        <w:t xml:space="preserve">it is </w:t>
      </w:r>
      <w:r w:rsidRPr="005F68DE">
        <w:rPr>
          <w:lang w:bidi="fa-IR"/>
        </w:rPr>
        <w:t>estimate</w:t>
      </w:r>
      <w:r w:rsidR="000611E1" w:rsidRPr="005F68DE">
        <w:rPr>
          <w:lang w:bidi="fa-IR"/>
        </w:rPr>
        <w:t>d</w:t>
      </w:r>
      <w:r w:rsidRPr="00F11742">
        <w:rPr>
          <w:lang w:bidi="fa-IR"/>
        </w:rPr>
        <w:t xml:space="preserve"> that the annual cost of home modifications that could be avoided if dwelling designs were consistent with universal design principles could be around $</w:t>
      </w:r>
      <w:r w:rsidR="00EE6E77">
        <w:rPr>
          <w:lang w:bidi="fa-IR"/>
        </w:rPr>
        <w:t>5</w:t>
      </w:r>
      <w:r w:rsidRPr="00F11742">
        <w:rPr>
          <w:lang w:bidi="fa-IR"/>
        </w:rPr>
        <w:t>00 million (i.e. around 22 000 additional home modifications at a weighted average cost of around $</w:t>
      </w:r>
      <w:r w:rsidR="00EF51B9" w:rsidRPr="005F68DE">
        <w:rPr>
          <w:lang w:bidi="fa-IR"/>
        </w:rPr>
        <w:t>2</w:t>
      </w:r>
      <w:r w:rsidR="00EE6E77">
        <w:rPr>
          <w:lang w:bidi="fa-IR"/>
        </w:rPr>
        <w:t>2</w:t>
      </w:r>
      <w:r w:rsidR="00EF51B9" w:rsidRPr="005F68DE">
        <w:rPr>
          <w:lang w:bidi="fa-IR"/>
        </w:rPr>
        <w:t> </w:t>
      </w:r>
      <w:r w:rsidR="00EE6E77">
        <w:rPr>
          <w:lang w:bidi="fa-IR"/>
        </w:rPr>
        <w:t>899</w:t>
      </w:r>
      <w:r w:rsidRPr="00F11742">
        <w:rPr>
          <w:lang w:bidi="fa-IR"/>
        </w:rPr>
        <w:t xml:space="preserve"> per dwelling).</w:t>
      </w:r>
    </w:p>
    <w:p w14:paraId="5D770A74" w14:textId="77777777" w:rsidR="00E4023A" w:rsidRDefault="00E4023A" w:rsidP="00E4023A">
      <w:pPr>
        <w:pStyle w:val="Heading3"/>
        <w:numPr>
          <w:ilvl w:val="2"/>
          <w:numId w:val="5"/>
        </w:numPr>
      </w:pPr>
      <w:r>
        <w:t>Moving house</w:t>
      </w:r>
    </w:p>
    <w:p w14:paraId="3AD8F548" w14:textId="77777777" w:rsidR="00E4023A" w:rsidRDefault="002011D6" w:rsidP="00E4023A">
      <w:pPr>
        <w:pStyle w:val="BodyText"/>
        <w:rPr>
          <w:lang w:bidi="fa-IR"/>
        </w:rPr>
      </w:pPr>
      <w:r>
        <w:rPr>
          <w:lang w:bidi="fa-IR"/>
        </w:rPr>
        <w:t>Qualitative</w:t>
      </w:r>
      <w:r w:rsidR="00E4023A">
        <w:rPr>
          <w:lang w:bidi="fa-IR"/>
        </w:rPr>
        <w:t xml:space="preserve"> evidence suggests that accessible housing can be difficult to find, due to a lack of availability. Moving house may not be an optimal outcome for many.</w:t>
      </w:r>
    </w:p>
    <w:p w14:paraId="3046AFA3" w14:textId="77777777" w:rsidR="00E4023A" w:rsidRDefault="00E4023A" w:rsidP="00E4023A">
      <w:pPr>
        <w:pStyle w:val="ListBullet"/>
        <w:numPr>
          <w:ilvl w:val="0"/>
          <w:numId w:val="16"/>
        </w:numPr>
        <w:rPr>
          <w:lang w:bidi="fa-IR"/>
        </w:rPr>
      </w:pPr>
      <w:r>
        <w:rPr>
          <w:lang w:bidi="fa-IR"/>
        </w:rPr>
        <w:t>Moving house can be costly and stressful, particularly for older people.</w:t>
      </w:r>
    </w:p>
    <w:p w14:paraId="22CCC9F2" w14:textId="77777777" w:rsidR="00E4023A" w:rsidRDefault="00E4023A" w:rsidP="00E4023A">
      <w:pPr>
        <w:pStyle w:val="ListBullet"/>
        <w:numPr>
          <w:ilvl w:val="0"/>
          <w:numId w:val="16"/>
        </w:numPr>
        <w:rPr>
          <w:lang w:bidi="fa-IR"/>
        </w:rPr>
      </w:pPr>
      <w:r>
        <w:rPr>
          <w:lang w:bidi="fa-IR"/>
        </w:rPr>
        <w:t>Many people may have preferred to stay in their previous residence if it ha</w:t>
      </w:r>
      <w:r w:rsidR="00325292">
        <w:rPr>
          <w:lang w:bidi="fa-IR"/>
        </w:rPr>
        <w:t>d</w:t>
      </w:r>
      <w:r>
        <w:rPr>
          <w:lang w:bidi="fa-IR"/>
        </w:rPr>
        <w:t xml:space="preserve"> met their changing accessibility needs.</w:t>
      </w:r>
    </w:p>
    <w:p w14:paraId="256C1891" w14:textId="77777777" w:rsidR="00E4023A" w:rsidRDefault="00E4023A" w:rsidP="00E4023A">
      <w:pPr>
        <w:pStyle w:val="ListBullet"/>
        <w:numPr>
          <w:ilvl w:val="0"/>
          <w:numId w:val="16"/>
        </w:numPr>
        <w:rPr>
          <w:lang w:bidi="fa-IR"/>
        </w:rPr>
      </w:pPr>
      <w:r>
        <w:rPr>
          <w:lang w:bidi="fa-IR"/>
        </w:rPr>
        <w:t>A lack of accessible housing may have forced some people with a mobility</w:t>
      </w:r>
      <w:r>
        <w:rPr>
          <w:lang w:bidi="fa-IR"/>
        </w:rPr>
        <w:noBreakHyphen/>
        <w:t>related disability (and in many cases their families) to move to a less</w:t>
      </w:r>
      <w:r>
        <w:rPr>
          <w:lang w:bidi="fa-IR"/>
        </w:rPr>
        <w:noBreakHyphen/>
        <w:t>preferred location, away from family, friends, schools and employment opportunities.</w:t>
      </w:r>
    </w:p>
    <w:p w14:paraId="3EF72960" w14:textId="6EA85497" w:rsidR="002011D6" w:rsidRDefault="002011D6" w:rsidP="00E4023A">
      <w:pPr>
        <w:pStyle w:val="BodyText"/>
        <w:rPr>
          <w:lang w:bidi="fa-IR"/>
        </w:rPr>
      </w:pPr>
      <w:r>
        <w:rPr>
          <w:lang w:bidi="fa-IR"/>
        </w:rPr>
        <w:t xml:space="preserve">Box </w:t>
      </w:r>
      <w:r w:rsidR="00587754">
        <w:rPr>
          <w:lang w:bidi="fa-IR"/>
        </w:rPr>
        <w:t xml:space="preserve">3.33 </w:t>
      </w:r>
      <w:r w:rsidR="00D951B7">
        <w:rPr>
          <w:lang w:bidi="fa-IR"/>
        </w:rPr>
        <w:t xml:space="preserve">provides </w:t>
      </w:r>
      <w:r w:rsidR="00AB5805">
        <w:rPr>
          <w:lang w:bidi="fa-IR"/>
        </w:rPr>
        <w:t>the</w:t>
      </w:r>
      <w:r w:rsidR="00D951B7">
        <w:rPr>
          <w:lang w:bidi="fa-IR"/>
        </w:rPr>
        <w:t xml:space="preserve"> lived experience of an </w:t>
      </w:r>
      <w:r w:rsidR="000B577C">
        <w:rPr>
          <w:lang w:bidi="fa-IR"/>
        </w:rPr>
        <w:t>elderly</w:t>
      </w:r>
      <w:r w:rsidR="00D951B7">
        <w:rPr>
          <w:lang w:bidi="fa-IR"/>
        </w:rPr>
        <w:t xml:space="preserve"> couple who ha</w:t>
      </w:r>
      <w:r w:rsidR="000B577C">
        <w:rPr>
          <w:lang w:bidi="fa-IR"/>
        </w:rPr>
        <w:t>d</w:t>
      </w:r>
      <w:r w:rsidR="00D951B7">
        <w:rPr>
          <w:lang w:bidi="fa-IR"/>
        </w:rPr>
        <w:t xml:space="preserve"> to move house multiple times due to accessibility consideration</w:t>
      </w:r>
      <w:r w:rsidR="000B577C">
        <w:rPr>
          <w:lang w:bidi="fa-IR"/>
        </w:rPr>
        <w:t>s</w:t>
      </w:r>
      <w:r w:rsidR="00D951B7">
        <w:rPr>
          <w:lang w:bidi="fa-IR"/>
        </w:rPr>
        <w:t>.</w:t>
      </w:r>
    </w:p>
    <w:p w14:paraId="2AFB1248" w14:textId="77777777" w:rsidR="002011D6" w:rsidRDefault="002011D6" w:rsidP="004F34B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3: Lived experience – moving home due to inaccessibility"/>
        <w:tblDescription w:val="A case study of an elderly couple who had to move house multiple times due to accessibility considerations. The case study details a move from a townhouse to a two-bedroom home in a retirement village, following a fall and the consequent need to avoid steps. A few years later the wife required extra mobility assistance and developed dementia, and moved to the on-site nursing home. A few years after that, the husband moved into the same facility.&#10;Each relocation is stressful - physically, emotionally and financially."/>
      </w:tblPr>
      <w:tblGrid>
        <w:gridCol w:w="7938"/>
      </w:tblGrid>
      <w:tr w:rsidR="002011D6" w:rsidRPr="00E05C8C" w14:paraId="7AC5EB14" w14:textId="77777777" w:rsidTr="00442A2D">
        <w:trPr>
          <w:tblHeader/>
        </w:trPr>
        <w:tc>
          <w:tcPr>
            <w:tcW w:w="7938" w:type="dxa"/>
            <w:tcBorders>
              <w:top w:val="nil"/>
              <w:left w:val="nil"/>
              <w:bottom w:val="nil"/>
              <w:right w:val="nil"/>
            </w:tcBorders>
            <w:shd w:val="clear" w:color="auto" w:fill="C6BFAB" w:themeFill="accent3"/>
          </w:tcPr>
          <w:p w14:paraId="7CF915CA" w14:textId="145B3A6B" w:rsidR="002011D6" w:rsidRPr="00E05C8C" w:rsidRDefault="00142D49" w:rsidP="002011D6">
            <w:pPr>
              <w:pStyle w:val="Caption"/>
              <w:numPr>
                <w:ilvl w:val="0"/>
                <w:numId w:val="13"/>
              </w:numPr>
              <w:spacing w:before="120" w:after="100"/>
            </w:pPr>
            <w:bookmarkStart w:id="249" w:name="_Toc57643613"/>
            <w:bookmarkStart w:id="250" w:name="_Toc70505532"/>
            <w:r>
              <w:t>3.33</w:t>
            </w:r>
            <w:r w:rsidR="002011D6" w:rsidRPr="00E05C8C">
              <w:tab/>
            </w:r>
            <w:r w:rsidR="004B4749">
              <w:t>Lived</w:t>
            </w:r>
            <w:r w:rsidR="002011D6">
              <w:t xml:space="preserve"> experience – moving home due to inaccessibility</w:t>
            </w:r>
            <w:bookmarkEnd w:id="249"/>
            <w:bookmarkEnd w:id="250"/>
          </w:p>
        </w:tc>
      </w:tr>
      <w:tr w:rsidR="00F76823" w14:paraId="26E10809" w14:textId="77777777" w:rsidTr="00442A2D">
        <w:tblPrEx>
          <w:shd w:val="clear" w:color="6F6652" w:fill="F1EFEA"/>
        </w:tblPrEx>
        <w:tc>
          <w:tcPr>
            <w:tcW w:w="7938" w:type="dxa"/>
            <w:tcBorders>
              <w:top w:val="nil"/>
              <w:left w:val="nil"/>
              <w:bottom w:val="nil"/>
              <w:right w:val="nil"/>
            </w:tcBorders>
            <w:shd w:val="clear" w:color="auto" w:fill="E9E8E5" w:themeFill="background2"/>
          </w:tcPr>
          <w:p w14:paraId="15D8527B" w14:textId="77777777" w:rsidR="002011D6" w:rsidRPr="00BF2F67" w:rsidRDefault="004F34B5" w:rsidP="004F34B5">
            <w:pPr>
              <w:pStyle w:val="BodyText"/>
            </w:pPr>
            <w:r w:rsidRPr="004F34B5">
              <w:t>Angie (88 years old) and John (90 years old) are a married couple who exemplify through their story how housing journeys could be improved if Option 2 of the RIS is adopted and options for increased accessible housing are available in Australia. Without such options, Angie and John were forced to relocate homes many times to try to meet their changing needs over later adulthood, during their married life. With each relocation, growing financial and emotional stress was encountered and living environments became more restricted, negatively impacting participation.</w:t>
            </w:r>
          </w:p>
        </w:tc>
      </w:tr>
      <w:tr w:rsidR="00F76823" w14:paraId="2A7BEC29" w14:textId="77777777" w:rsidTr="00442A2D">
        <w:tblPrEx>
          <w:shd w:val="clear" w:color="6F6652" w:fill="F1EFEA"/>
        </w:tblPrEx>
        <w:tc>
          <w:tcPr>
            <w:tcW w:w="7938" w:type="dxa"/>
            <w:tcBorders>
              <w:top w:val="nil"/>
              <w:left w:val="nil"/>
              <w:bottom w:val="nil"/>
              <w:right w:val="nil"/>
            </w:tcBorders>
            <w:shd w:val="clear" w:color="auto" w:fill="E9E8E5" w:themeFill="background2"/>
          </w:tcPr>
          <w:p w14:paraId="28B11D65" w14:textId="0C26A4E4" w:rsidR="00DB7694" w:rsidRPr="00CC5C24" w:rsidRDefault="00DB7694" w:rsidP="00CC5C24">
            <w:pPr>
              <w:pStyle w:val="BodyText"/>
              <w:spacing w:before="240"/>
              <w:rPr>
                <w:rFonts w:ascii="Franklin Gothic Demi" w:hAnsi="Franklin Gothic Demi"/>
                <w:color w:val="FF0000"/>
              </w:rPr>
            </w:pPr>
            <w:r w:rsidRPr="00CC5C24">
              <w:rPr>
                <w:rFonts w:ascii="Franklin Gothic Demi" w:hAnsi="Franklin Gothic Demi"/>
                <w:color w:val="FF0000"/>
              </w:rPr>
              <w:t>Third relocation</w:t>
            </w:r>
          </w:p>
          <w:p w14:paraId="2DC16BD5" w14:textId="77777777" w:rsidR="00DB7694" w:rsidRDefault="00DB7694" w:rsidP="00482E69">
            <w:pPr>
              <w:pStyle w:val="BodyText"/>
            </w:pPr>
            <w:r w:rsidRPr="00482E69">
              <w:t>Things changed when Angie had a fall and fractured her hip after 6 years of living in their townhouse, and this led to further medical complications. John wanted to stay in their house in Mornington, but after Angie’s fall, her care needs increased and Angie needed a fully accessible home environment with stepless shower and grab rails for toilet transfers.</w:t>
            </w:r>
          </w:p>
          <w:p w14:paraId="7052906F" w14:textId="77777777" w:rsidR="00DB7694" w:rsidRPr="00482E69" w:rsidRDefault="00DB7694" w:rsidP="00482E69">
            <w:pPr>
              <w:pStyle w:val="BodyText"/>
            </w:pPr>
            <w:r w:rsidRPr="00482E69">
              <w:t xml:space="preserve">Therefore, they moved to a retirement village in the area. At this stage, John was 82 years old and Angie was 80 years old. John and Angie bought a self-contained unit in the retirement village, which had two bedrooms. In this retirement village, they had access to a fully accessible home environment with stepless entry point and shower recess. There was a small patch of garden at the back. The decision to move to the </w:t>
            </w:r>
            <w:r w:rsidRPr="00482E69">
              <w:lastRenderedPageBreak/>
              <w:t>retirement village was because of the accessible housing offered, the support available on site and the opportunity in their later years to be offered the option to age in place.</w:t>
            </w:r>
          </w:p>
        </w:tc>
      </w:tr>
      <w:tr w:rsidR="00F76823" w14:paraId="7D8DA2EE" w14:textId="77777777" w:rsidTr="001F486D">
        <w:tblPrEx>
          <w:shd w:val="clear" w:color="6F6652" w:fill="F1EFEA"/>
        </w:tblPrEx>
        <w:tc>
          <w:tcPr>
            <w:tcW w:w="7938" w:type="dxa"/>
            <w:tcBorders>
              <w:top w:val="nil"/>
              <w:left w:val="nil"/>
              <w:bottom w:val="nil"/>
              <w:right w:val="nil"/>
            </w:tcBorders>
            <w:shd w:val="clear" w:color="auto" w:fill="E9E8E5" w:themeFill="background2"/>
          </w:tcPr>
          <w:p w14:paraId="6F1FA1DB" w14:textId="77777777" w:rsidR="00DB7694" w:rsidRDefault="00DB7694" w:rsidP="001F486D">
            <w:pPr>
              <w:pStyle w:val="BoxHeading1"/>
            </w:pPr>
            <w:r>
              <w:lastRenderedPageBreak/>
              <w:t>Fourth relocation</w:t>
            </w:r>
          </w:p>
          <w:p w14:paraId="2B913AE8" w14:textId="77777777" w:rsidR="00DB7694" w:rsidRPr="00482E69" w:rsidRDefault="00DB7694" w:rsidP="00482E69">
            <w:pPr>
              <w:pStyle w:val="BodyText"/>
            </w:pPr>
            <w:r w:rsidRPr="00482E69">
              <w:t>After a couple of years, Angie started deteriorating. She was diagnosed with dementia, was requiring hoist transferring and her equipment and care needs became too much for John to manage. Angie then moved into the on-site nursing home approximately four years ago, and John moved into the same facility two months ago.</w:t>
            </w:r>
          </w:p>
        </w:tc>
      </w:tr>
      <w:tr w:rsidR="00F76823" w14:paraId="6C3653D8" w14:textId="77777777" w:rsidTr="001F486D">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3DB07DB2" w14:textId="77777777" w:rsidR="00DB7694" w:rsidRDefault="00DB7694" w:rsidP="001F486D">
            <w:pPr>
              <w:pStyle w:val="BoxHeading1"/>
            </w:pPr>
            <w:r>
              <w:t>Every relocation is a stressful event</w:t>
            </w:r>
          </w:p>
          <w:p w14:paraId="36D2EB9C" w14:textId="77777777" w:rsidR="00DB7694" w:rsidRDefault="00DB7694" w:rsidP="00482E69">
            <w:pPr>
              <w:pStyle w:val="BodyText"/>
            </w:pPr>
            <w:r w:rsidRPr="00482E69">
              <w:t>John and Angie were still quite young and fit when they retired. However, due to both acute health events as well as aging over time, multiple relocations have had a significant financial and emotional toll on both them and their family. Each relocation was stressful in terms of having to make important design decisions, deal with real estate agents and plan the delivery of support and access to assistive technology required. Each relocation also involved grieving the loss of a familiar home and community, with its associated emotional connections.</w:t>
            </w:r>
          </w:p>
          <w:p w14:paraId="54A58042" w14:textId="77777777" w:rsidR="00DB7694" w:rsidRPr="001F486D" w:rsidRDefault="00DB7694" w:rsidP="001F486D">
            <w:pPr>
              <w:pStyle w:val="BodyText"/>
              <w:spacing w:before="0" w:after="120"/>
              <w:rPr>
                <w:rFonts w:ascii="Franklin Gothic Book" w:hAnsi="Franklin Gothic Book"/>
                <w:i/>
                <w:iCs/>
                <w:sz w:val="14"/>
                <w:szCs w:val="14"/>
              </w:rPr>
            </w:pPr>
            <w:r w:rsidRPr="001F486D">
              <w:rPr>
                <w:rFonts w:ascii="Franklin Gothic Book" w:hAnsi="Franklin Gothic Book"/>
                <w:i/>
                <w:iCs/>
                <w:sz w:val="14"/>
                <w:szCs w:val="14"/>
              </w:rPr>
              <w:t>Source: Associate Professor Libby Callaway for ARATA Submission (p.10-12)</w:t>
            </w:r>
            <w:r w:rsidRPr="001F486D">
              <w:rPr>
                <w:rStyle w:val="FootnoteReference"/>
                <w:rFonts w:ascii="Franklin Gothic Book" w:hAnsi="Franklin Gothic Book"/>
                <w:sz w:val="14"/>
                <w:szCs w:val="14"/>
              </w:rPr>
              <w:footnoteReference w:id="129"/>
            </w:r>
          </w:p>
        </w:tc>
      </w:tr>
    </w:tbl>
    <w:p w14:paraId="7B3B6693" w14:textId="77777777" w:rsidR="0039719E" w:rsidRPr="00391104" w:rsidRDefault="00B11675" w:rsidP="00A257AB">
      <w:pPr>
        <w:pStyle w:val="KeyPoint"/>
        <w:numPr>
          <w:ilvl w:val="0"/>
          <w:numId w:val="11"/>
        </w:numPr>
        <w:rPr>
          <w:lang w:bidi="fa-IR"/>
        </w:rPr>
      </w:pPr>
      <w:r>
        <w:rPr>
          <w:lang w:bidi="fa-IR"/>
        </w:rPr>
        <w:t>It is</w:t>
      </w:r>
      <w:r w:rsidRPr="00675411">
        <w:rPr>
          <w:lang w:bidi="fa-IR"/>
        </w:rPr>
        <w:t xml:space="preserve"> </w:t>
      </w:r>
      <w:r w:rsidR="00E4023A" w:rsidRPr="00675411">
        <w:rPr>
          <w:lang w:bidi="fa-IR"/>
        </w:rPr>
        <w:t>estimate</w:t>
      </w:r>
      <w:r>
        <w:rPr>
          <w:lang w:bidi="fa-IR"/>
        </w:rPr>
        <w:t>d</w:t>
      </w:r>
      <w:r w:rsidR="00E4023A" w:rsidRPr="00675411">
        <w:rPr>
          <w:lang w:bidi="fa-IR"/>
        </w:rPr>
        <w:t xml:space="preserve"> that the annual cost of additional moves due to a lack of accessible housing could </w:t>
      </w:r>
      <w:r w:rsidR="0039719E" w:rsidRPr="00391104">
        <w:rPr>
          <w:lang w:bidi="fa-IR"/>
        </w:rPr>
        <w:t xml:space="preserve">range </w:t>
      </w:r>
      <w:r w:rsidR="00E4023A" w:rsidRPr="00391104">
        <w:rPr>
          <w:lang w:bidi="fa-IR"/>
        </w:rPr>
        <w:t>between around $</w:t>
      </w:r>
      <w:r w:rsidR="0039719E" w:rsidRPr="00391104">
        <w:rPr>
          <w:lang w:bidi="fa-IR"/>
        </w:rPr>
        <w:t>81</w:t>
      </w:r>
      <w:r w:rsidR="00E4023A" w:rsidRPr="00391104">
        <w:rPr>
          <w:lang w:bidi="fa-IR"/>
        </w:rPr>
        <w:t>.</w:t>
      </w:r>
      <w:r w:rsidR="0039719E" w:rsidRPr="00391104">
        <w:rPr>
          <w:lang w:bidi="fa-IR"/>
        </w:rPr>
        <w:t>5 </w:t>
      </w:r>
      <w:r w:rsidR="00E4023A" w:rsidRPr="00391104">
        <w:rPr>
          <w:lang w:bidi="fa-IR"/>
        </w:rPr>
        <w:t>million and $</w:t>
      </w:r>
      <w:r w:rsidR="0039719E" w:rsidRPr="00391104">
        <w:rPr>
          <w:lang w:bidi="fa-IR"/>
        </w:rPr>
        <w:t>242.3</w:t>
      </w:r>
      <w:r w:rsidR="00E4023A" w:rsidRPr="00391104">
        <w:rPr>
          <w:lang w:bidi="fa-IR"/>
        </w:rPr>
        <w:t xml:space="preserve"> million per year. </w:t>
      </w:r>
    </w:p>
    <w:p w14:paraId="30DAFED4" w14:textId="77777777" w:rsidR="0039719E" w:rsidRPr="0076374E" w:rsidRDefault="00B11675" w:rsidP="00A257AB">
      <w:pPr>
        <w:pStyle w:val="KeyPoint"/>
        <w:numPr>
          <w:ilvl w:val="0"/>
          <w:numId w:val="11"/>
        </w:numPr>
        <w:rPr>
          <w:lang w:bidi="fa-IR"/>
        </w:rPr>
      </w:pPr>
      <w:r>
        <w:rPr>
          <w:lang w:bidi="fa-IR"/>
        </w:rPr>
        <w:t>T</w:t>
      </w:r>
      <w:r w:rsidR="0039719E" w:rsidRPr="00675411">
        <w:rPr>
          <w:lang w:bidi="fa-IR"/>
        </w:rPr>
        <w:t xml:space="preserve">he midpoint of this range </w:t>
      </w:r>
      <w:r w:rsidRPr="00675411">
        <w:rPr>
          <w:lang w:bidi="fa-IR"/>
        </w:rPr>
        <w:t>–</w:t>
      </w:r>
      <w:r w:rsidR="0039719E" w:rsidRPr="00675411">
        <w:rPr>
          <w:lang w:bidi="fa-IR"/>
        </w:rPr>
        <w:t xml:space="preserve"> $161.9 million per year – </w:t>
      </w:r>
      <w:r>
        <w:rPr>
          <w:lang w:bidi="fa-IR"/>
        </w:rPr>
        <w:t>is used</w:t>
      </w:r>
      <w:r w:rsidRPr="00675411">
        <w:rPr>
          <w:lang w:bidi="fa-IR"/>
        </w:rPr>
        <w:t xml:space="preserve"> </w:t>
      </w:r>
      <w:r w:rsidR="0039719E" w:rsidRPr="00675411">
        <w:rPr>
          <w:lang w:bidi="fa-IR"/>
        </w:rPr>
        <w:t>as the central case estimate.</w:t>
      </w:r>
    </w:p>
    <w:p w14:paraId="5C6ED45E" w14:textId="5CC6C385" w:rsidR="0039719E" w:rsidRDefault="0039719E" w:rsidP="0039719E">
      <w:pPr>
        <w:pStyle w:val="BodyText"/>
        <w:rPr>
          <w:lang w:bidi="fa-IR"/>
        </w:rPr>
      </w:pPr>
      <w:r>
        <w:rPr>
          <w:lang w:bidi="fa-IR"/>
        </w:rPr>
        <w:t>The lower bound estimate is based on the number of people with limited mobility that moved as a result of their condition or age for reasons directly related to the accessibility of their previous dwelling (‘safer environment’ or ‘to a dwelling more suitable for condition</w:t>
      </w:r>
      <w:r w:rsidR="00B30E6E">
        <w:rPr>
          <w:lang w:bidi="fa-IR"/>
        </w:rPr>
        <w:t>’</w:t>
      </w:r>
      <w:r>
        <w:rPr>
          <w:lang w:bidi="fa-IR"/>
        </w:rPr>
        <w:t xml:space="preserve"> (</w:t>
      </w:r>
      <w:r w:rsidR="006A4DFD">
        <w:rPr>
          <w:lang w:bidi="fa-IR"/>
        </w:rPr>
        <w:t xml:space="preserve">top of </w:t>
      </w:r>
      <w:r>
        <w:rPr>
          <w:lang w:bidi="fa-IR"/>
        </w:rPr>
        <w:t>table </w:t>
      </w:r>
      <w:r w:rsidR="00587754">
        <w:rPr>
          <w:lang w:bidi="fa-IR"/>
        </w:rPr>
        <w:t>3.34</w:t>
      </w:r>
      <w:r>
        <w:rPr>
          <w:lang w:bidi="fa-IR"/>
        </w:rPr>
        <w:t xml:space="preserve">). </w:t>
      </w:r>
    </w:p>
    <w:p w14:paraId="22D613AF" w14:textId="77777777" w:rsidR="006A4DFD" w:rsidRDefault="006A4DFD" w:rsidP="006A4DFD">
      <w:pPr>
        <w:pStyle w:val="ListBullet"/>
        <w:rPr>
          <w:lang w:bidi="fa-IR"/>
        </w:rPr>
      </w:pPr>
      <w:r>
        <w:rPr>
          <w:lang w:bidi="fa-IR"/>
        </w:rPr>
        <w:t>To estimate the number of additional moves per year as a result of inaccessible housing:</w:t>
      </w:r>
    </w:p>
    <w:p w14:paraId="09BDEBE1" w14:textId="77777777" w:rsidR="006A4DFD" w:rsidRDefault="006A4DFD" w:rsidP="006A4DFD">
      <w:pPr>
        <w:pStyle w:val="ListBullet2"/>
        <w:rPr>
          <w:lang w:bidi="fa-IR"/>
        </w:rPr>
      </w:pPr>
      <w:r>
        <w:rPr>
          <w:lang w:bidi="fa-IR"/>
        </w:rPr>
        <w:t>people who were reported as having moved more than once as a result of their age or condition are assumed to have moved on average 2.5 times</w:t>
      </w:r>
    </w:p>
    <w:p w14:paraId="560EDF45" w14:textId="77777777" w:rsidR="006A4DFD" w:rsidRDefault="006A4DFD" w:rsidP="006A4DFD">
      <w:pPr>
        <w:pStyle w:val="ListBullet2"/>
        <w:rPr>
          <w:lang w:bidi="fa-IR"/>
        </w:rPr>
      </w:pPr>
      <w:r>
        <w:rPr>
          <w:lang w:bidi="fa-IR"/>
        </w:rPr>
        <w:t>an annual estimate was obtained by dividing the total number of additional moves by the average length of time since the accident happened or their main condition occurred, around 16.6 years.</w:t>
      </w:r>
    </w:p>
    <w:p w14:paraId="13982D51" w14:textId="77777777" w:rsidR="006A4DFD" w:rsidRDefault="006A4DFD" w:rsidP="006A4DFD">
      <w:pPr>
        <w:pStyle w:val="ListBullet"/>
        <w:rPr>
          <w:lang w:bidi="fa-IR"/>
        </w:rPr>
      </w:pPr>
      <w:r>
        <w:rPr>
          <w:lang w:bidi="fa-IR"/>
        </w:rPr>
        <w:t>The cost of each additional move is estimated at:</w:t>
      </w:r>
    </w:p>
    <w:p w14:paraId="500F2855" w14:textId="77777777" w:rsidR="006A4DFD" w:rsidRDefault="006A4DFD" w:rsidP="006A4DFD">
      <w:pPr>
        <w:pStyle w:val="ListBullet2"/>
        <w:rPr>
          <w:lang w:bidi="fa-IR"/>
        </w:rPr>
      </w:pPr>
      <w:r>
        <w:rPr>
          <w:lang w:bidi="fa-IR"/>
        </w:rPr>
        <w:t>around $28 449 for owner</w:t>
      </w:r>
      <w:r>
        <w:rPr>
          <w:lang w:bidi="fa-IR"/>
        </w:rPr>
        <w:noBreakHyphen/>
        <w:t>occupiers, where moving home is likely to involve selling the previous house and buying a new one, which incurs significant costs (</w:t>
      </w:r>
      <w:r w:rsidR="001F0C33">
        <w:rPr>
          <w:lang w:bidi="fa-IR"/>
        </w:rPr>
        <w:t xml:space="preserve">the </w:t>
      </w:r>
      <w:r>
        <w:rPr>
          <w:lang w:bidi="fa-IR"/>
        </w:rPr>
        <w:t>estimates include agent’s fees, marketing</w:t>
      </w:r>
      <w:r w:rsidR="00F01326">
        <w:rPr>
          <w:lang w:bidi="fa-IR"/>
        </w:rPr>
        <w:t>,</w:t>
      </w:r>
      <w:r>
        <w:rPr>
          <w:lang w:bidi="fa-IR"/>
        </w:rPr>
        <w:t xml:space="preserve"> conveyancing, auctioneers</w:t>
      </w:r>
      <w:r w:rsidR="000B577C">
        <w:rPr>
          <w:lang w:bidi="fa-IR"/>
        </w:rPr>
        <w:t>’</w:t>
      </w:r>
      <w:r>
        <w:rPr>
          <w:lang w:bidi="fa-IR"/>
        </w:rPr>
        <w:t xml:space="preserve"> fees and the cost of removalists).</w:t>
      </w:r>
    </w:p>
    <w:p w14:paraId="708B2FA6" w14:textId="77777777" w:rsidR="006A4DFD" w:rsidRDefault="006A4DFD" w:rsidP="006A4DFD">
      <w:pPr>
        <w:pStyle w:val="ListBullet2"/>
        <w:rPr>
          <w:lang w:bidi="fa-IR"/>
        </w:rPr>
      </w:pPr>
      <w:r>
        <w:rPr>
          <w:lang w:bidi="fa-IR"/>
        </w:rPr>
        <w:lastRenderedPageBreak/>
        <w:t>around $2</w:t>
      </w:r>
      <w:r w:rsidR="00C21694">
        <w:rPr>
          <w:lang w:bidi="fa-IR"/>
        </w:rPr>
        <w:t> </w:t>
      </w:r>
      <w:r>
        <w:rPr>
          <w:lang w:bidi="fa-IR"/>
        </w:rPr>
        <w:t>500 for renters based on the cost of removalists (renters would avoid the costs associated with buying and selling a home).</w:t>
      </w:r>
      <w:r w:rsidR="00C21694" w:rsidRPr="00C21694">
        <w:rPr>
          <w:rStyle w:val="FootnoteReference"/>
          <w:lang w:bidi="fa-IR"/>
        </w:rPr>
        <w:t xml:space="preserve"> </w:t>
      </w:r>
      <w:r w:rsidR="00C21694">
        <w:rPr>
          <w:rStyle w:val="FootnoteReference"/>
          <w:lang w:bidi="fa-IR"/>
        </w:rPr>
        <w:footnoteReference w:id="130"/>
      </w:r>
    </w:p>
    <w:p w14:paraId="26AFED4A" w14:textId="3072DDAE" w:rsidR="006A4DFD" w:rsidRDefault="006A4DFD" w:rsidP="006A4DFD">
      <w:pPr>
        <w:pStyle w:val="BodyText"/>
        <w:rPr>
          <w:lang w:bidi="fa-IR"/>
        </w:rPr>
      </w:pPr>
      <w:r>
        <w:rPr>
          <w:lang w:bidi="fa-IR"/>
        </w:rPr>
        <w:t>The upper bound estimate is based on the same assumption and also includes people with limited mobility that moved as a result of their condition or age for reasons possibly related to the accessibility of their previous dwelling (‘due to own age or condition’, ‘to improve own health’ and ‘to live with family or friends’) (bottom of table </w:t>
      </w:r>
      <w:r w:rsidR="00587754">
        <w:rPr>
          <w:lang w:bidi="fa-IR"/>
        </w:rPr>
        <w:t>3.34</w:t>
      </w:r>
      <w:r>
        <w:rPr>
          <w:lang w:bidi="fa-IR"/>
        </w:rPr>
        <w:t>).</w:t>
      </w:r>
    </w:p>
    <w:p w14:paraId="462EFEA2" w14:textId="45813266" w:rsidR="00E4023A" w:rsidRDefault="00142D49" w:rsidP="00E4023A">
      <w:pPr>
        <w:pStyle w:val="Caption"/>
      </w:pPr>
      <w:bookmarkStart w:id="251" w:name="_Toc44598508"/>
      <w:bookmarkStart w:id="252" w:name="_Toc44695880"/>
      <w:bookmarkStart w:id="253" w:name="_Toc57643614"/>
      <w:bookmarkStart w:id="254" w:name="_Toc70505533"/>
      <w:r>
        <w:t>3.34</w:t>
      </w:r>
      <w:r w:rsidR="00E4023A" w:rsidRPr="00695C93">
        <w:tab/>
      </w:r>
      <w:r w:rsidR="00E4023A">
        <w:t>Estimated cost of additional moves due to inaccessible housing</w:t>
      </w:r>
      <w:bookmarkEnd w:id="251"/>
      <w:bookmarkEnd w:id="252"/>
      <w:bookmarkEnd w:id="253"/>
      <w:bookmarkEnd w:id="254"/>
    </w:p>
    <w:tbl>
      <w:tblPr>
        <w:tblW w:w="0" w:type="auto"/>
        <w:tblLayout w:type="fixed"/>
        <w:tblLook w:val="0000" w:firstRow="0" w:lastRow="0" w:firstColumn="0" w:lastColumn="0" w:noHBand="0" w:noVBand="0"/>
        <w:tblCaption w:val="Table 3.34: Estimated cost of additional moves due to inaccessible housing"/>
        <w:tblDescription w:val="This table lists the estimated costs of additional moves due to inaccessible housing. Owner-occupiers have greater costs, including fees for selling their old home and buying a new one, as well as removal costs (cost per move $28,449), whereas renters do not have the costs associated with buying and selling (cost per move $2,500)."/>
      </w:tblPr>
      <w:tblGrid>
        <w:gridCol w:w="3559"/>
        <w:gridCol w:w="1459"/>
        <w:gridCol w:w="1459"/>
        <w:gridCol w:w="1459"/>
      </w:tblGrid>
      <w:tr w:rsidR="00E4023A" w14:paraId="1BAB2320" w14:textId="77777777" w:rsidTr="005B0289">
        <w:trPr>
          <w:trHeight w:val="691"/>
        </w:trPr>
        <w:tc>
          <w:tcPr>
            <w:tcW w:w="3559" w:type="dxa"/>
            <w:shd w:val="clear" w:color="auto" w:fill="6F6652"/>
            <w:tcMar>
              <w:left w:w="57" w:type="dxa"/>
              <w:right w:w="57" w:type="dxa"/>
            </w:tcMar>
          </w:tcPr>
          <w:p w14:paraId="13EB6306" w14:textId="77777777" w:rsidR="00E4023A" w:rsidRDefault="00F06DF8" w:rsidP="005B0289">
            <w:pPr>
              <w:pStyle w:val="TableDataColumnHeading"/>
              <w:jc w:val="left"/>
              <w:rPr>
                <w:lang w:val="en-GB"/>
              </w:rPr>
            </w:pPr>
            <w:r>
              <w:rPr>
                <w:lang w:val="en-GB"/>
              </w:rPr>
              <w:t>People</w:t>
            </w:r>
          </w:p>
        </w:tc>
        <w:tc>
          <w:tcPr>
            <w:tcW w:w="1459" w:type="dxa"/>
            <w:shd w:val="clear" w:color="auto" w:fill="6F6652"/>
            <w:tcMar>
              <w:left w:w="57" w:type="dxa"/>
              <w:right w:w="57" w:type="dxa"/>
            </w:tcMar>
          </w:tcPr>
          <w:p w14:paraId="48428C4F" w14:textId="77777777" w:rsidR="00E4023A" w:rsidRDefault="00E4023A" w:rsidP="005B0289">
            <w:pPr>
              <w:pStyle w:val="TableDataColumnHeading"/>
              <w:rPr>
                <w:lang w:val="en-GB"/>
              </w:rPr>
            </w:pPr>
            <w:r>
              <w:rPr>
                <w:lang w:val="en-GB"/>
              </w:rPr>
              <w:t xml:space="preserve">Number of </w:t>
            </w:r>
            <w:r w:rsidR="00534273">
              <w:rPr>
                <w:lang w:val="en-GB"/>
              </w:rPr>
              <w:t xml:space="preserve">additional </w:t>
            </w:r>
            <w:r>
              <w:rPr>
                <w:lang w:val="en-GB"/>
              </w:rPr>
              <w:t>moves</w:t>
            </w:r>
          </w:p>
        </w:tc>
        <w:tc>
          <w:tcPr>
            <w:tcW w:w="1459" w:type="dxa"/>
            <w:shd w:val="clear" w:color="auto" w:fill="6F6652"/>
            <w:tcMar>
              <w:left w:w="57" w:type="dxa"/>
              <w:right w:w="57" w:type="dxa"/>
            </w:tcMar>
          </w:tcPr>
          <w:p w14:paraId="3C0D9634" w14:textId="77777777" w:rsidR="00E4023A" w:rsidRDefault="00534273" w:rsidP="005B0289">
            <w:pPr>
              <w:pStyle w:val="TableDataColumnHeading"/>
              <w:rPr>
                <w:lang w:val="en-GB"/>
              </w:rPr>
            </w:pPr>
            <w:r>
              <w:rPr>
                <w:lang w:val="en-GB"/>
              </w:rPr>
              <w:t>Cost</w:t>
            </w:r>
            <w:r w:rsidR="00E4023A">
              <w:rPr>
                <w:lang w:val="en-GB"/>
              </w:rPr>
              <w:t xml:space="preserve"> per </w:t>
            </w:r>
            <w:r>
              <w:rPr>
                <w:lang w:val="en-GB"/>
              </w:rPr>
              <w:t>move</w:t>
            </w:r>
          </w:p>
        </w:tc>
        <w:tc>
          <w:tcPr>
            <w:tcW w:w="1459" w:type="dxa"/>
            <w:shd w:val="clear" w:color="auto" w:fill="6F6652"/>
            <w:tcMar>
              <w:left w:w="57" w:type="dxa"/>
              <w:right w:w="57" w:type="dxa"/>
            </w:tcMar>
          </w:tcPr>
          <w:p w14:paraId="70482B1E" w14:textId="77777777" w:rsidR="00E4023A" w:rsidRDefault="00534273" w:rsidP="005B0289">
            <w:pPr>
              <w:pStyle w:val="TableDataColumnHeading"/>
              <w:rPr>
                <w:lang w:val="en-GB"/>
              </w:rPr>
            </w:pPr>
            <w:r>
              <w:rPr>
                <w:lang w:val="en-GB"/>
              </w:rPr>
              <w:t xml:space="preserve">Annual </w:t>
            </w:r>
            <w:r w:rsidR="00E4023A">
              <w:rPr>
                <w:lang w:val="en-GB"/>
              </w:rPr>
              <w:t>cost</w:t>
            </w:r>
          </w:p>
        </w:tc>
      </w:tr>
      <w:tr w:rsidR="00E4023A" w14:paraId="34931C8C" w14:textId="77777777" w:rsidTr="005B0289">
        <w:trPr>
          <w:trHeight w:val="230"/>
        </w:trPr>
        <w:tc>
          <w:tcPr>
            <w:tcW w:w="3559" w:type="dxa"/>
            <w:tcBorders>
              <w:bottom w:val="single" w:sz="8" w:space="0" w:color="FFFFFF" w:themeColor="background1"/>
            </w:tcBorders>
            <w:shd w:val="clear" w:color="auto" w:fill="auto"/>
            <w:tcMar>
              <w:left w:w="57" w:type="dxa"/>
              <w:right w:w="57" w:type="dxa"/>
            </w:tcMar>
          </w:tcPr>
          <w:p w14:paraId="0F6F349B" w14:textId="77777777" w:rsidR="00E4023A" w:rsidRDefault="00E4023A" w:rsidP="005B0289">
            <w:pPr>
              <w:pStyle w:val="TableUnit"/>
              <w:jc w:val="left"/>
              <w:rPr>
                <w:lang w:val="en-GB"/>
              </w:rPr>
            </w:pPr>
          </w:p>
        </w:tc>
        <w:tc>
          <w:tcPr>
            <w:tcW w:w="1459" w:type="dxa"/>
            <w:tcBorders>
              <w:bottom w:val="single" w:sz="8" w:space="0" w:color="FFFFFF" w:themeColor="background1"/>
            </w:tcBorders>
            <w:shd w:val="clear" w:color="auto" w:fill="auto"/>
            <w:tcMar>
              <w:left w:w="57" w:type="dxa"/>
              <w:right w:w="57" w:type="dxa"/>
            </w:tcMar>
          </w:tcPr>
          <w:p w14:paraId="3841D7B4" w14:textId="77777777" w:rsidR="00E4023A" w:rsidRDefault="00E4023A" w:rsidP="005B0289">
            <w:pPr>
              <w:pStyle w:val="TableUnit"/>
              <w:rPr>
                <w:lang w:val="en-GB"/>
              </w:rPr>
            </w:pPr>
            <w:r>
              <w:rPr>
                <w:lang w:val="en-GB"/>
              </w:rPr>
              <w:t>'000</w:t>
            </w:r>
            <w:r w:rsidR="00534273">
              <w:rPr>
                <w:lang w:val="en-GB"/>
              </w:rPr>
              <w:t xml:space="preserve"> per year</w:t>
            </w:r>
          </w:p>
        </w:tc>
        <w:tc>
          <w:tcPr>
            <w:tcW w:w="1459" w:type="dxa"/>
            <w:tcBorders>
              <w:bottom w:val="single" w:sz="8" w:space="0" w:color="FFFFFF" w:themeColor="background1"/>
            </w:tcBorders>
            <w:shd w:val="clear" w:color="auto" w:fill="auto"/>
            <w:tcMar>
              <w:left w:w="57" w:type="dxa"/>
              <w:right w:w="57" w:type="dxa"/>
            </w:tcMar>
          </w:tcPr>
          <w:p w14:paraId="50FCF379" w14:textId="77777777" w:rsidR="00E4023A" w:rsidRDefault="00534273" w:rsidP="005B0289">
            <w:pPr>
              <w:pStyle w:val="TableUnit"/>
              <w:rPr>
                <w:lang w:val="en-GB"/>
              </w:rPr>
            </w:pPr>
            <w:r>
              <w:rPr>
                <w:lang w:val="en-GB"/>
              </w:rPr>
              <w:t>$</w:t>
            </w:r>
          </w:p>
        </w:tc>
        <w:tc>
          <w:tcPr>
            <w:tcW w:w="1459" w:type="dxa"/>
            <w:tcBorders>
              <w:bottom w:val="single" w:sz="8" w:space="0" w:color="FFFFFF" w:themeColor="background1"/>
            </w:tcBorders>
            <w:shd w:val="clear" w:color="auto" w:fill="auto"/>
            <w:tcMar>
              <w:left w:w="57" w:type="dxa"/>
              <w:right w:w="57" w:type="dxa"/>
            </w:tcMar>
          </w:tcPr>
          <w:p w14:paraId="1315560E" w14:textId="77777777" w:rsidR="00E4023A" w:rsidRDefault="00E4023A" w:rsidP="005B0289">
            <w:pPr>
              <w:pStyle w:val="TableUnit"/>
              <w:rPr>
                <w:lang w:val="en-GB"/>
              </w:rPr>
            </w:pPr>
            <w:r>
              <w:rPr>
                <w:lang w:val="en-GB"/>
              </w:rPr>
              <w:t>$ million</w:t>
            </w:r>
          </w:p>
        </w:tc>
      </w:tr>
      <w:tr w:rsidR="00534273" w14:paraId="22FD35DD" w14:textId="77777777" w:rsidTr="005B0289">
        <w:trPr>
          <w:trHeight w:val="230"/>
        </w:trPr>
        <w:tc>
          <w:tcPr>
            <w:tcW w:w="3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BAE8F3" w14:textId="77777777" w:rsidR="00534273" w:rsidRDefault="00534273" w:rsidP="00052C34">
            <w:pPr>
              <w:pStyle w:val="TableDataEntries"/>
              <w:jc w:val="left"/>
              <w:rPr>
                <w:lang w:val="en-GB"/>
              </w:rPr>
            </w:pPr>
            <w:r>
              <w:rPr>
                <w:lang w:val="en-GB"/>
              </w:rPr>
              <w:t>Owner occupier</w:t>
            </w:r>
            <w:r w:rsidR="00052C34">
              <w:rPr>
                <w:lang w:val="en-GB"/>
              </w:rPr>
              <w:t xml:space="preserve"> - lower bound</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876DB2" w14:textId="77777777" w:rsidR="00534273" w:rsidRDefault="00534273" w:rsidP="005B0289">
            <w:pPr>
              <w:pStyle w:val="TableDataEntries"/>
              <w:rPr>
                <w:lang w:val="en-GB"/>
              </w:rPr>
            </w:pPr>
            <w:r>
              <w:rPr>
                <w:lang w:val="en-GB"/>
              </w:rPr>
              <w:t>2.5</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882114" w14:textId="77777777" w:rsidR="00534273" w:rsidRDefault="00534273" w:rsidP="005B0289">
            <w:pPr>
              <w:pStyle w:val="TableDataEntries"/>
              <w:rPr>
                <w:lang w:val="en-GB"/>
              </w:rPr>
            </w:pPr>
            <w:r>
              <w:rPr>
                <w:lang w:val="en-GB"/>
              </w:rPr>
              <w:t>28 449</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9C6D3" w14:textId="77777777" w:rsidR="00534273" w:rsidRDefault="00534273" w:rsidP="005B0289">
            <w:pPr>
              <w:pStyle w:val="TableDataEntries"/>
              <w:rPr>
                <w:lang w:val="en-GB"/>
              </w:rPr>
            </w:pPr>
            <w:r>
              <w:rPr>
                <w:lang w:val="en-GB"/>
              </w:rPr>
              <w:t>71.84</w:t>
            </w:r>
          </w:p>
        </w:tc>
      </w:tr>
      <w:tr w:rsidR="00534273" w14:paraId="759CC15F" w14:textId="77777777" w:rsidTr="008B4609">
        <w:trPr>
          <w:trHeight w:val="230"/>
        </w:trPr>
        <w:tc>
          <w:tcPr>
            <w:tcW w:w="3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083560" w14:textId="77777777" w:rsidR="00534273" w:rsidRDefault="00534273" w:rsidP="005B0289">
            <w:pPr>
              <w:pStyle w:val="TableDataEntries"/>
              <w:jc w:val="left"/>
              <w:rPr>
                <w:lang w:val="en-GB"/>
              </w:rPr>
            </w:pPr>
            <w:r>
              <w:rPr>
                <w:lang w:val="en-GB"/>
              </w:rPr>
              <w:t>Renter</w:t>
            </w:r>
            <w:r w:rsidR="00052C34">
              <w:rPr>
                <w:lang w:val="en-GB"/>
              </w:rPr>
              <w:t>- lower bound</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F498C3" w14:textId="77777777" w:rsidR="00534273" w:rsidRDefault="00534273" w:rsidP="005B0289">
            <w:pPr>
              <w:pStyle w:val="TableDataEntries"/>
              <w:rPr>
                <w:lang w:val="en-GB"/>
              </w:rPr>
            </w:pPr>
            <w:r>
              <w:rPr>
                <w:lang w:val="en-GB"/>
              </w:rPr>
              <w:t>3.9</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955878" w14:textId="77777777" w:rsidR="00534273" w:rsidRDefault="00534273" w:rsidP="005B0289">
            <w:pPr>
              <w:pStyle w:val="TableDataEntries"/>
              <w:rPr>
                <w:lang w:val="en-GB"/>
              </w:rPr>
            </w:pPr>
            <w:r>
              <w:rPr>
                <w:lang w:val="en-GB"/>
              </w:rPr>
              <w:t>2 500</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6FAF16" w14:textId="77777777" w:rsidR="00534273" w:rsidRDefault="00534273" w:rsidP="005B0289">
            <w:pPr>
              <w:pStyle w:val="TableDataEntries"/>
              <w:rPr>
                <w:lang w:val="en-GB"/>
              </w:rPr>
            </w:pPr>
            <w:r>
              <w:rPr>
                <w:lang w:val="en-GB"/>
              </w:rPr>
              <w:t>9.67</w:t>
            </w:r>
          </w:p>
        </w:tc>
      </w:tr>
      <w:tr w:rsidR="008B4609" w:rsidRPr="008B4609" w14:paraId="40ADE004" w14:textId="77777777" w:rsidTr="008B4609">
        <w:trPr>
          <w:trHeight w:val="230"/>
        </w:trPr>
        <w:tc>
          <w:tcPr>
            <w:tcW w:w="35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9B35D50" w14:textId="77777777" w:rsidR="00534273" w:rsidRPr="008B4609" w:rsidRDefault="00534273" w:rsidP="005B0289">
            <w:pPr>
              <w:pStyle w:val="TableDataEntries"/>
              <w:jc w:val="left"/>
              <w:rPr>
                <w:rFonts w:ascii="Franklin Gothic Demi" w:hAnsi="Franklin Gothic Demi"/>
                <w:lang w:val="en-GB"/>
              </w:rPr>
            </w:pPr>
            <w:r w:rsidRPr="008B4609">
              <w:rPr>
                <w:rFonts w:ascii="Franklin Gothic Demi" w:hAnsi="Franklin Gothic Demi"/>
                <w:lang w:val="en-GB"/>
              </w:rPr>
              <w:t>Total</w:t>
            </w:r>
            <w:r>
              <w:rPr>
                <w:rFonts w:ascii="Franklin Gothic Demi" w:hAnsi="Franklin Gothic Demi"/>
                <w:lang w:val="en-GB"/>
              </w:rPr>
              <w:t xml:space="preserve"> – lower bound</w:t>
            </w:r>
          </w:p>
        </w:tc>
        <w:tc>
          <w:tcPr>
            <w:tcW w:w="14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10F8D06" w14:textId="77777777" w:rsidR="00534273" w:rsidRPr="008B4609" w:rsidRDefault="00534273" w:rsidP="005B0289">
            <w:pPr>
              <w:pStyle w:val="TableDataEntries"/>
              <w:rPr>
                <w:rFonts w:ascii="Franklin Gothic Demi" w:hAnsi="Franklin Gothic Demi"/>
                <w:lang w:val="en-GB"/>
              </w:rPr>
            </w:pPr>
            <w:r>
              <w:rPr>
                <w:rFonts w:ascii="Franklin Gothic Demi" w:hAnsi="Franklin Gothic Demi"/>
                <w:lang w:val="en-GB"/>
              </w:rPr>
              <w:t>6.4</w:t>
            </w:r>
          </w:p>
        </w:tc>
        <w:tc>
          <w:tcPr>
            <w:tcW w:w="14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CA1D32F" w14:textId="77777777" w:rsidR="00534273" w:rsidRPr="008B4609" w:rsidRDefault="00534273" w:rsidP="005B0289">
            <w:pPr>
              <w:pStyle w:val="TableDataEntries"/>
              <w:rPr>
                <w:rFonts w:ascii="Franklin Gothic Demi" w:hAnsi="Franklin Gothic Demi"/>
                <w:lang w:val="en-GB"/>
              </w:rPr>
            </w:pPr>
          </w:p>
        </w:tc>
        <w:tc>
          <w:tcPr>
            <w:tcW w:w="14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72F67CD" w14:textId="77777777" w:rsidR="00534273" w:rsidRPr="008B4609" w:rsidRDefault="00534273" w:rsidP="005B0289">
            <w:pPr>
              <w:pStyle w:val="TableDataEntries"/>
              <w:rPr>
                <w:rFonts w:ascii="Franklin Gothic Demi" w:hAnsi="Franklin Gothic Demi"/>
                <w:lang w:val="en-GB"/>
              </w:rPr>
            </w:pPr>
            <w:r>
              <w:rPr>
                <w:rFonts w:ascii="Franklin Gothic Demi" w:hAnsi="Franklin Gothic Demi"/>
                <w:lang w:val="en-GB"/>
              </w:rPr>
              <w:t>81.51</w:t>
            </w:r>
          </w:p>
        </w:tc>
      </w:tr>
      <w:tr w:rsidR="00534273" w14:paraId="6CA607A5" w14:textId="77777777" w:rsidTr="005B0289">
        <w:trPr>
          <w:trHeight w:val="230"/>
        </w:trPr>
        <w:tc>
          <w:tcPr>
            <w:tcW w:w="3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77CA4C" w14:textId="77777777" w:rsidR="00534273" w:rsidRDefault="00534273" w:rsidP="00052C34">
            <w:pPr>
              <w:pStyle w:val="TableDataEntries"/>
              <w:jc w:val="left"/>
              <w:rPr>
                <w:lang w:val="en-GB"/>
              </w:rPr>
            </w:pPr>
            <w:r>
              <w:rPr>
                <w:lang w:val="en-GB"/>
              </w:rPr>
              <w:t>Owner occupier</w:t>
            </w:r>
            <w:r w:rsidR="00052C34">
              <w:rPr>
                <w:lang w:val="en-GB"/>
              </w:rPr>
              <w:t xml:space="preserve"> - upper bound</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98C570" w14:textId="77777777" w:rsidR="00534273" w:rsidRDefault="00534273" w:rsidP="00534273">
            <w:pPr>
              <w:pStyle w:val="TableDataEntries"/>
              <w:rPr>
                <w:lang w:val="en-GB"/>
              </w:rPr>
            </w:pPr>
            <w:r>
              <w:rPr>
                <w:lang w:val="en-GB"/>
              </w:rPr>
              <w:t>7.7</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DB2EE3" w14:textId="77777777" w:rsidR="00534273" w:rsidRDefault="00534273" w:rsidP="00534273">
            <w:pPr>
              <w:pStyle w:val="TableDataEntries"/>
              <w:rPr>
                <w:lang w:val="en-GB"/>
              </w:rPr>
            </w:pPr>
            <w:r>
              <w:rPr>
                <w:lang w:val="en-GB"/>
              </w:rPr>
              <w:t>28 449</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A25BBC" w14:textId="77777777" w:rsidR="00534273" w:rsidRDefault="00534273" w:rsidP="00534273">
            <w:pPr>
              <w:pStyle w:val="TableDataEntries"/>
              <w:rPr>
                <w:lang w:val="en-GB"/>
              </w:rPr>
            </w:pPr>
            <w:r>
              <w:rPr>
                <w:lang w:val="en-GB"/>
              </w:rPr>
              <w:t>218.36</w:t>
            </w:r>
          </w:p>
        </w:tc>
      </w:tr>
      <w:tr w:rsidR="00534273" w14:paraId="4A1ECFBA" w14:textId="77777777" w:rsidTr="008B4609">
        <w:trPr>
          <w:trHeight w:val="230"/>
        </w:trPr>
        <w:tc>
          <w:tcPr>
            <w:tcW w:w="3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8048AB" w14:textId="77777777" w:rsidR="00534273" w:rsidRDefault="00534273" w:rsidP="00534273">
            <w:pPr>
              <w:pStyle w:val="TableDataEntries"/>
              <w:jc w:val="left"/>
              <w:rPr>
                <w:lang w:val="en-GB"/>
              </w:rPr>
            </w:pPr>
            <w:r>
              <w:rPr>
                <w:lang w:val="en-GB"/>
              </w:rPr>
              <w:t>Renter</w:t>
            </w:r>
            <w:r w:rsidR="00052C34">
              <w:rPr>
                <w:lang w:val="en-GB"/>
              </w:rPr>
              <w:t xml:space="preserve"> - upper bound</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708830" w14:textId="77777777" w:rsidR="00534273" w:rsidRDefault="00534273" w:rsidP="00534273">
            <w:pPr>
              <w:pStyle w:val="TableDataEntries"/>
              <w:rPr>
                <w:lang w:val="en-GB"/>
              </w:rPr>
            </w:pPr>
            <w:r>
              <w:rPr>
                <w:lang w:val="en-GB"/>
              </w:rPr>
              <w:t>9.6</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255886" w14:textId="77777777" w:rsidR="00534273" w:rsidRDefault="00534273" w:rsidP="00534273">
            <w:pPr>
              <w:pStyle w:val="TableDataEntries"/>
              <w:rPr>
                <w:lang w:val="en-GB"/>
              </w:rPr>
            </w:pPr>
            <w:r>
              <w:rPr>
                <w:lang w:val="en-GB"/>
              </w:rPr>
              <w:t>2 500</w:t>
            </w:r>
          </w:p>
        </w:tc>
        <w:tc>
          <w:tcPr>
            <w:tcW w:w="14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C20AA2" w14:textId="77777777" w:rsidR="00534273" w:rsidRDefault="00534273" w:rsidP="00534273">
            <w:pPr>
              <w:pStyle w:val="TableDataEntries"/>
              <w:rPr>
                <w:lang w:val="en-GB"/>
              </w:rPr>
            </w:pPr>
            <w:r>
              <w:rPr>
                <w:lang w:val="en-GB"/>
              </w:rPr>
              <w:t>23.95</w:t>
            </w:r>
          </w:p>
        </w:tc>
      </w:tr>
      <w:tr w:rsidR="008B4609" w:rsidRPr="008B4609" w14:paraId="0D9FA898" w14:textId="77777777" w:rsidTr="005331B4">
        <w:trPr>
          <w:trHeight w:val="230"/>
        </w:trPr>
        <w:tc>
          <w:tcPr>
            <w:tcW w:w="355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B13FB79" w14:textId="77777777" w:rsidR="00534273" w:rsidRPr="005331B4" w:rsidRDefault="00534273" w:rsidP="00534273">
            <w:pPr>
              <w:pStyle w:val="TableDataEntries"/>
              <w:jc w:val="left"/>
              <w:rPr>
                <w:rFonts w:ascii="Franklin Gothic Demi" w:hAnsi="Franklin Gothic Demi"/>
                <w:lang w:val="en-GB"/>
              </w:rPr>
            </w:pPr>
            <w:r w:rsidRPr="008B4609">
              <w:rPr>
                <w:rFonts w:ascii="Franklin Gothic Demi" w:hAnsi="Franklin Gothic Demi"/>
                <w:lang w:val="en-GB"/>
              </w:rPr>
              <w:t>Total</w:t>
            </w:r>
            <w:r>
              <w:rPr>
                <w:rFonts w:ascii="Franklin Gothic Demi" w:hAnsi="Franklin Gothic Demi"/>
                <w:lang w:val="en-GB"/>
              </w:rPr>
              <w:t xml:space="preserve"> – upper</w:t>
            </w:r>
            <w:r w:rsidRPr="005331B4">
              <w:rPr>
                <w:rFonts w:ascii="Franklin Gothic Demi" w:hAnsi="Franklin Gothic Demi"/>
                <w:lang w:val="en-GB"/>
              </w:rPr>
              <w:t xml:space="preserve"> bound</w:t>
            </w:r>
          </w:p>
        </w:tc>
        <w:tc>
          <w:tcPr>
            <w:tcW w:w="145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8A30FD2" w14:textId="77777777" w:rsidR="00534273" w:rsidRPr="005331B4" w:rsidRDefault="00534273" w:rsidP="00534273">
            <w:pPr>
              <w:pStyle w:val="TableDataEntries"/>
              <w:rPr>
                <w:rFonts w:ascii="Franklin Gothic Demi" w:hAnsi="Franklin Gothic Demi"/>
                <w:lang w:val="en-GB"/>
              </w:rPr>
            </w:pPr>
            <w:r>
              <w:rPr>
                <w:rFonts w:ascii="Franklin Gothic Demi" w:hAnsi="Franklin Gothic Demi"/>
                <w:lang w:val="en-GB"/>
              </w:rPr>
              <w:t>17</w:t>
            </w:r>
            <w:r w:rsidRPr="005331B4">
              <w:rPr>
                <w:rFonts w:ascii="Franklin Gothic Demi" w:hAnsi="Franklin Gothic Demi"/>
                <w:lang w:val="en-GB"/>
              </w:rPr>
              <w:t>.3</w:t>
            </w:r>
          </w:p>
        </w:tc>
        <w:tc>
          <w:tcPr>
            <w:tcW w:w="145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2A2D456" w14:textId="77777777" w:rsidR="00534273" w:rsidRPr="005331B4" w:rsidRDefault="00534273" w:rsidP="00534273">
            <w:pPr>
              <w:pStyle w:val="TableDataEntries"/>
              <w:rPr>
                <w:rFonts w:ascii="Franklin Gothic Demi" w:hAnsi="Franklin Gothic Demi"/>
                <w:lang w:val="en-GB"/>
              </w:rPr>
            </w:pPr>
          </w:p>
        </w:tc>
        <w:tc>
          <w:tcPr>
            <w:tcW w:w="145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BB8DA68" w14:textId="77777777" w:rsidR="00534273" w:rsidRPr="005331B4" w:rsidRDefault="00534273" w:rsidP="00534273">
            <w:pPr>
              <w:pStyle w:val="TableDataEntries"/>
              <w:rPr>
                <w:rFonts w:ascii="Franklin Gothic Demi" w:hAnsi="Franklin Gothic Demi"/>
                <w:lang w:val="en-GB"/>
              </w:rPr>
            </w:pPr>
            <w:r>
              <w:rPr>
                <w:rFonts w:ascii="Franklin Gothic Demi" w:hAnsi="Franklin Gothic Demi"/>
                <w:lang w:val="en-GB"/>
              </w:rPr>
              <w:t>242.31</w:t>
            </w:r>
          </w:p>
        </w:tc>
      </w:tr>
    </w:tbl>
    <w:p w14:paraId="41137668" w14:textId="77777777" w:rsidR="00E4023A" w:rsidRDefault="00E4023A" w:rsidP="00E4023A">
      <w:pPr>
        <w:pStyle w:val="Source"/>
        <w:rPr>
          <w:lang w:bidi="fa-IR"/>
        </w:rPr>
      </w:pPr>
      <w:r w:rsidRPr="002474D4">
        <w:rPr>
          <w:lang w:bidi="fa-IR"/>
        </w:rPr>
        <w:t>Source:</w:t>
      </w:r>
      <w:r>
        <w:rPr>
          <w:lang w:bidi="fa-IR"/>
        </w:rPr>
        <w:t xml:space="preserve"> CIE estimates (see appendix D for further details).</w:t>
      </w:r>
    </w:p>
    <w:p w14:paraId="22B24D8C" w14:textId="11F76D31" w:rsidR="00E4023A" w:rsidRDefault="00E4023A" w:rsidP="00E4023A">
      <w:pPr>
        <w:pStyle w:val="BodyText"/>
        <w:rPr>
          <w:lang w:bidi="fa-IR"/>
        </w:rPr>
      </w:pPr>
      <w:r>
        <w:rPr>
          <w:lang w:bidi="fa-IR"/>
        </w:rPr>
        <w:t xml:space="preserve">Further details on the basis for these assumptions is provided in appendix </w:t>
      </w:r>
      <w:r w:rsidR="005F5D00">
        <w:rPr>
          <w:lang w:bidi="fa-IR"/>
        </w:rPr>
        <w:fldChar w:fldCharType="begin"/>
      </w:r>
      <w:r w:rsidR="005F5D00">
        <w:rPr>
          <w:lang w:bidi="fa-IR"/>
        </w:rPr>
        <w:instrText xml:space="preserve"> REF _Ref56248783 \n \h </w:instrText>
      </w:r>
      <w:r w:rsidR="005F5D00">
        <w:rPr>
          <w:lang w:bidi="fa-IR"/>
        </w:rPr>
      </w:r>
      <w:r w:rsidR="005F5D00">
        <w:rPr>
          <w:lang w:bidi="fa-IR"/>
        </w:rPr>
        <w:fldChar w:fldCharType="separate"/>
      </w:r>
      <w:r w:rsidR="000F445C">
        <w:rPr>
          <w:lang w:bidi="fa-IR"/>
        </w:rPr>
        <w:t>E</w:t>
      </w:r>
      <w:r w:rsidR="005F5D00">
        <w:rPr>
          <w:lang w:bidi="fa-IR"/>
        </w:rPr>
        <w:fldChar w:fldCharType="end"/>
      </w:r>
      <w:r>
        <w:rPr>
          <w:lang w:bidi="fa-IR"/>
        </w:rPr>
        <w:t>.</w:t>
      </w:r>
    </w:p>
    <w:p w14:paraId="2D55BE90" w14:textId="77777777" w:rsidR="0039719E" w:rsidRDefault="0039719E" w:rsidP="0039719E">
      <w:pPr>
        <w:pStyle w:val="BodyText"/>
        <w:rPr>
          <w:lang w:bidi="fa-IR"/>
        </w:rPr>
      </w:pPr>
      <w:r>
        <w:rPr>
          <w:lang w:bidi="fa-IR"/>
        </w:rPr>
        <w:t>This estimate includes only the financial costs associated with moving home. Due to a lack of available information that would allow quantification, this estimate does not include:</w:t>
      </w:r>
    </w:p>
    <w:p w14:paraId="4D7C77D3" w14:textId="77777777" w:rsidR="0039719E" w:rsidRDefault="0039719E" w:rsidP="0039719E">
      <w:pPr>
        <w:pStyle w:val="ListBullet"/>
        <w:rPr>
          <w:lang w:bidi="fa-IR"/>
        </w:rPr>
      </w:pPr>
      <w:r>
        <w:rPr>
          <w:lang w:bidi="fa-IR"/>
        </w:rPr>
        <w:t>search costs</w:t>
      </w:r>
    </w:p>
    <w:p w14:paraId="3B0DA781" w14:textId="77777777" w:rsidR="0039719E" w:rsidRDefault="0039719E" w:rsidP="0039719E">
      <w:pPr>
        <w:pStyle w:val="ListBullet"/>
        <w:rPr>
          <w:lang w:bidi="fa-IR"/>
        </w:rPr>
      </w:pPr>
      <w:r>
        <w:rPr>
          <w:lang w:bidi="fa-IR"/>
        </w:rPr>
        <w:t>the stress and anxiety associated with moving home</w:t>
      </w:r>
    </w:p>
    <w:p w14:paraId="15DFCF24" w14:textId="77777777" w:rsidR="0039719E" w:rsidRDefault="0039719E" w:rsidP="008B4609">
      <w:pPr>
        <w:pStyle w:val="ListBullet"/>
        <w:rPr>
          <w:lang w:bidi="fa-IR"/>
        </w:rPr>
      </w:pPr>
      <w:r>
        <w:rPr>
          <w:lang w:bidi="fa-IR"/>
        </w:rPr>
        <w:t>the possibility that some people are forced to move to a less preferred address.</w:t>
      </w:r>
    </w:p>
    <w:p w14:paraId="461A524C" w14:textId="77777777" w:rsidR="00E4023A" w:rsidRDefault="00E4023A" w:rsidP="00E4023A">
      <w:pPr>
        <w:pStyle w:val="Heading3"/>
        <w:numPr>
          <w:ilvl w:val="2"/>
          <w:numId w:val="5"/>
        </w:numPr>
        <w:spacing w:before="360"/>
        <w:rPr>
          <w:lang w:bidi="fa-IR"/>
        </w:rPr>
      </w:pPr>
      <w:r>
        <w:rPr>
          <w:lang w:bidi="fa-IR"/>
        </w:rPr>
        <w:t>Longer stays in hospital or transition care</w:t>
      </w:r>
    </w:p>
    <w:p w14:paraId="7AD40C9D" w14:textId="3ED0BEC8" w:rsidR="00E4023A" w:rsidRDefault="00E4023A" w:rsidP="00E4023A">
      <w:pPr>
        <w:pStyle w:val="BodyText"/>
        <w:rPr>
          <w:lang w:bidi="fa-IR"/>
        </w:rPr>
      </w:pPr>
      <w:r>
        <w:rPr>
          <w:lang w:bidi="fa-IR"/>
        </w:rPr>
        <w:t xml:space="preserve">In addition to potentially increasing hospital admissions (through </w:t>
      </w:r>
      <w:r w:rsidR="00B616C1">
        <w:rPr>
          <w:lang w:bidi="fa-IR"/>
        </w:rPr>
        <w:t>increas</w:t>
      </w:r>
      <w:r>
        <w:rPr>
          <w:lang w:bidi="fa-IR"/>
        </w:rPr>
        <w:t>ed falls), a large share of the housing stock without accessibility features could increase the length of stays in hospitals or transition care. In some cases, it is not possible to discharge someone from hospital unless they are discharged to a safe environment</w:t>
      </w:r>
      <w:r w:rsidR="00302DCC">
        <w:rPr>
          <w:lang w:bidi="fa-IR"/>
        </w:rPr>
        <w:t xml:space="preserve"> (see box </w:t>
      </w:r>
      <w:r w:rsidR="00587754">
        <w:rPr>
          <w:lang w:bidi="fa-IR"/>
        </w:rPr>
        <w:t>3.35</w:t>
      </w:r>
      <w:r w:rsidR="00142D49">
        <w:rPr>
          <w:lang w:bidi="fa-IR"/>
        </w:rPr>
        <w:t>)</w:t>
      </w:r>
      <w:r w:rsidR="00302DCC">
        <w:rPr>
          <w:lang w:bidi="fa-IR"/>
        </w:rPr>
        <w:t xml:space="preserve"> for lived experiences)</w:t>
      </w:r>
      <w:r>
        <w:rPr>
          <w:lang w:bidi="fa-IR"/>
        </w:rPr>
        <w:t>.</w:t>
      </w:r>
    </w:p>
    <w:p w14:paraId="33F4EF87" w14:textId="77777777" w:rsidR="00302DCC" w:rsidRDefault="00302DCC" w:rsidP="006A5117">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5: Lived experience – delayed discharge due to inaccessible home"/>
        <w:tblDescription w:val="A case study of a person who uses a wheelchair, who needs to stay in hospital for at least an extra week following surgery because his home doesn't have the required space to allow safe transfers while protecting the surgery site."/>
      </w:tblPr>
      <w:tblGrid>
        <w:gridCol w:w="7938"/>
      </w:tblGrid>
      <w:tr w:rsidR="00302DCC" w:rsidRPr="00E05C8C" w14:paraId="4D80B6B5" w14:textId="77777777" w:rsidTr="001F486D">
        <w:trPr>
          <w:cantSplit/>
        </w:trPr>
        <w:tc>
          <w:tcPr>
            <w:tcW w:w="7938" w:type="dxa"/>
            <w:tcBorders>
              <w:top w:val="nil"/>
              <w:left w:val="nil"/>
              <w:bottom w:val="nil"/>
              <w:right w:val="nil"/>
            </w:tcBorders>
            <w:shd w:val="clear" w:color="auto" w:fill="C6BFAB" w:themeFill="accent3"/>
          </w:tcPr>
          <w:p w14:paraId="5695D7B2" w14:textId="7BB9455C" w:rsidR="00302DCC" w:rsidRPr="00E05C8C" w:rsidRDefault="00142D49" w:rsidP="00302DCC">
            <w:pPr>
              <w:pStyle w:val="Caption"/>
              <w:numPr>
                <w:ilvl w:val="0"/>
                <w:numId w:val="13"/>
              </w:numPr>
              <w:spacing w:before="120" w:after="100"/>
            </w:pPr>
            <w:bookmarkStart w:id="255" w:name="_Toc57643615"/>
            <w:bookmarkStart w:id="256" w:name="_Toc70505534"/>
            <w:r>
              <w:t>3.35</w:t>
            </w:r>
            <w:r w:rsidR="00302DCC" w:rsidRPr="00E05C8C">
              <w:tab/>
            </w:r>
            <w:r w:rsidR="00284B21">
              <w:t>Lived</w:t>
            </w:r>
            <w:r w:rsidR="00302DCC">
              <w:t xml:space="preserve"> experience – delayed discharge due to inaccessible home</w:t>
            </w:r>
            <w:bookmarkEnd w:id="255"/>
            <w:bookmarkEnd w:id="256"/>
          </w:p>
        </w:tc>
      </w:tr>
      <w:tr w:rsidR="00302DCC" w14:paraId="268CD481" w14:textId="77777777" w:rsidTr="001F486D">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5DEE1EEF" w14:textId="77777777" w:rsidR="00302DCC" w:rsidRDefault="00302DCC" w:rsidP="00FF2A58">
            <w:pPr>
              <w:pStyle w:val="BodyText"/>
              <w:spacing w:before="80"/>
            </w:pPr>
            <w:r w:rsidRPr="00302DCC">
              <w:t>But it’s not enough. A good friend of mine is going into hospital in 10 days for a hernia operation. I understand this is straightforward keyhole surgery, and usually only requires day admission or one night in hospital. However, precautions must be taken for at least a week following surgery, to avoid exertion that might disrupt the site. Because my friend has a spinal cord injury, uses a wheelchair, and doesn’t have a home that meets the Gold level standards, he will have to spend that extra week in hospital. His home, a modified Queenslander, is just too difficult to get around and he relies on his exceptional transferring ability to use the small spaces and angles to negotiate e.g. toilet and bathroom. I had hoped that I might be able to offer my place for a week, but it also doesn’t have the requisite space that a Gold level home would have to allow safe transfers while protecting the site of the surgery.</w:t>
            </w:r>
          </w:p>
          <w:p w14:paraId="1325A738" w14:textId="77777777" w:rsidR="00302DCC" w:rsidRPr="001F486D" w:rsidRDefault="00302DCC" w:rsidP="001F486D">
            <w:pPr>
              <w:pStyle w:val="BodyText"/>
              <w:spacing w:before="0" w:after="120"/>
              <w:rPr>
                <w:rFonts w:ascii="Franklin Gothic Book" w:hAnsi="Franklin Gothic Book"/>
                <w:i/>
                <w:iCs/>
                <w:sz w:val="14"/>
                <w:szCs w:val="14"/>
              </w:rPr>
            </w:pPr>
            <w:r w:rsidRPr="001F486D">
              <w:rPr>
                <w:rFonts w:ascii="Franklin Gothic Book" w:hAnsi="Franklin Gothic Book"/>
                <w:i/>
                <w:iCs/>
                <w:sz w:val="14"/>
                <w:szCs w:val="14"/>
              </w:rPr>
              <w:t xml:space="preserve">Source: </w:t>
            </w:r>
            <w:r w:rsidRPr="00FF2A58">
              <w:rPr>
                <w:rFonts w:ascii="Franklin Gothic Book" w:hAnsi="Franklin Gothic Book"/>
                <w:sz w:val="14"/>
                <w:szCs w:val="14"/>
              </w:rPr>
              <w:t>Anonymous Response 699935736</w:t>
            </w:r>
            <w:r w:rsidRPr="001F486D">
              <w:rPr>
                <w:rStyle w:val="FootnoteReference"/>
                <w:rFonts w:ascii="Franklin Gothic Book" w:hAnsi="Franklin Gothic Book"/>
                <w:sz w:val="14"/>
                <w:szCs w:val="14"/>
              </w:rPr>
              <w:footnoteReference w:id="131"/>
            </w:r>
          </w:p>
        </w:tc>
      </w:tr>
    </w:tbl>
    <w:p w14:paraId="03C12572" w14:textId="77777777" w:rsidR="00E4023A" w:rsidRDefault="00E4023A" w:rsidP="00E4023A">
      <w:pPr>
        <w:pStyle w:val="BodyText"/>
        <w:rPr>
          <w:lang w:bidi="fa-IR"/>
        </w:rPr>
      </w:pPr>
      <w:r>
        <w:rPr>
          <w:lang w:bidi="fa-IR"/>
        </w:rPr>
        <w:t>Several studies note that not having a suitable home to return to can be a key issue causing delays and completing successful rehabilitation and return to independence.</w:t>
      </w:r>
      <w:r>
        <w:rPr>
          <w:rStyle w:val="FootnoteReference"/>
          <w:lang w:bidi="fa-IR"/>
        </w:rPr>
        <w:footnoteReference w:id="132"/>
      </w:r>
      <w:r>
        <w:rPr>
          <w:lang w:bidi="fa-IR"/>
        </w:rPr>
        <w:t xml:space="preserve"> This could apply to anyone with mobility limitation following a stay in hospital (including temporary or short</w:t>
      </w:r>
      <w:r>
        <w:rPr>
          <w:lang w:bidi="fa-IR"/>
        </w:rPr>
        <w:noBreakHyphen/>
        <w:t>term mobility limitation following hospital treatment), not just those with longer</w:t>
      </w:r>
      <w:r>
        <w:rPr>
          <w:lang w:bidi="fa-IR"/>
        </w:rPr>
        <w:noBreakHyphen/>
        <w:t>term disability.</w:t>
      </w:r>
    </w:p>
    <w:p w14:paraId="23C62BF5" w14:textId="655AF4AE" w:rsidR="00E4023A" w:rsidRDefault="007077E1" w:rsidP="00E4023A">
      <w:pPr>
        <w:pStyle w:val="BodyText"/>
        <w:rPr>
          <w:lang w:bidi="fa-IR"/>
        </w:rPr>
      </w:pPr>
      <w:r>
        <w:rPr>
          <w:lang w:bidi="fa-IR"/>
        </w:rPr>
        <w:t>It is</w:t>
      </w:r>
      <w:r w:rsidRPr="00552E0B">
        <w:rPr>
          <w:lang w:bidi="fa-IR"/>
        </w:rPr>
        <w:t xml:space="preserve"> </w:t>
      </w:r>
      <w:r w:rsidR="00E4023A" w:rsidRPr="00552E0B">
        <w:rPr>
          <w:lang w:bidi="fa-IR"/>
        </w:rPr>
        <w:t>estimate</w:t>
      </w:r>
      <w:r>
        <w:rPr>
          <w:lang w:bidi="fa-IR"/>
        </w:rPr>
        <w:t>d</w:t>
      </w:r>
      <w:r w:rsidR="00E4023A" w:rsidRPr="00552E0B">
        <w:rPr>
          <w:lang w:bidi="fa-IR"/>
        </w:rPr>
        <w:t xml:space="preserve"> that the annual cost of delayed discharge from hospitals and transition care as a result of a lack of accessible housing could be around $234.6 million (table </w:t>
      </w:r>
      <w:r w:rsidR="00587754">
        <w:rPr>
          <w:lang w:bidi="fa-IR"/>
        </w:rPr>
        <w:t>3.36</w:t>
      </w:r>
      <w:r w:rsidR="00E4023A" w:rsidRPr="00552E0B">
        <w:rPr>
          <w:lang w:bidi="fa-IR"/>
        </w:rPr>
        <w:t>).</w:t>
      </w:r>
      <w:r w:rsidR="00E4023A">
        <w:rPr>
          <w:lang w:bidi="fa-IR"/>
        </w:rPr>
        <w:t xml:space="preserve"> This is based on:</w:t>
      </w:r>
    </w:p>
    <w:p w14:paraId="0491098F" w14:textId="77777777" w:rsidR="00E4023A" w:rsidRDefault="00E4023A" w:rsidP="00E4023A">
      <w:pPr>
        <w:pStyle w:val="ListBullet"/>
        <w:numPr>
          <w:ilvl w:val="0"/>
          <w:numId w:val="16"/>
        </w:numPr>
        <w:rPr>
          <w:lang w:bidi="fa-IR"/>
        </w:rPr>
      </w:pPr>
      <w:r w:rsidRPr="00D130F6">
        <w:rPr>
          <w:lang w:bidi="fa-IR"/>
        </w:rPr>
        <w:t>inferences drawn from a small number</w:t>
      </w:r>
      <w:r>
        <w:rPr>
          <w:lang w:bidi="fa-IR"/>
        </w:rPr>
        <w:t xml:space="preserve"> of Australian studies on the extent and cause of delayed discharge from different types of hospital care</w:t>
      </w:r>
    </w:p>
    <w:p w14:paraId="4B28653A" w14:textId="77777777" w:rsidR="00E4023A" w:rsidRDefault="00E4023A" w:rsidP="00E4023A">
      <w:pPr>
        <w:pStyle w:val="ListBullet"/>
        <w:numPr>
          <w:ilvl w:val="0"/>
          <w:numId w:val="16"/>
        </w:numPr>
        <w:rPr>
          <w:lang w:bidi="fa-IR"/>
        </w:rPr>
      </w:pPr>
      <w:r>
        <w:rPr>
          <w:lang w:bidi="fa-IR"/>
        </w:rPr>
        <w:t>estimates of the cost per day of different types of care.</w:t>
      </w:r>
    </w:p>
    <w:p w14:paraId="67C03756" w14:textId="0823226A" w:rsidR="00E4023A" w:rsidRDefault="00E4023A" w:rsidP="00E4023A">
      <w:pPr>
        <w:pStyle w:val="BodyText"/>
        <w:rPr>
          <w:lang w:bidi="fa-IR"/>
        </w:rPr>
      </w:pPr>
      <w:r>
        <w:rPr>
          <w:lang w:bidi="fa-IR"/>
        </w:rPr>
        <w:t>Further details of the approach are provided in appendix</w:t>
      </w:r>
      <w:r w:rsidR="00C83317">
        <w:rPr>
          <w:lang w:bidi="fa-IR"/>
        </w:rPr>
        <w:t xml:space="preserve"> </w:t>
      </w:r>
      <w:r w:rsidR="00C83317">
        <w:rPr>
          <w:lang w:bidi="fa-IR"/>
        </w:rPr>
        <w:fldChar w:fldCharType="begin"/>
      </w:r>
      <w:r w:rsidR="00C83317">
        <w:rPr>
          <w:lang w:bidi="fa-IR"/>
        </w:rPr>
        <w:instrText xml:space="preserve"> REF _Ref55130465 \n \h </w:instrText>
      </w:r>
      <w:r w:rsidR="00C83317">
        <w:rPr>
          <w:lang w:bidi="fa-IR"/>
        </w:rPr>
      </w:r>
      <w:r w:rsidR="00C83317">
        <w:rPr>
          <w:lang w:bidi="fa-IR"/>
        </w:rPr>
        <w:fldChar w:fldCharType="separate"/>
      </w:r>
      <w:r w:rsidR="000F445C">
        <w:rPr>
          <w:lang w:bidi="fa-IR"/>
        </w:rPr>
        <w:t>F</w:t>
      </w:r>
      <w:r w:rsidR="00C83317">
        <w:rPr>
          <w:lang w:bidi="fa-IR"/>
        </w:rPr>
        <w:fldChar w:fldCharType="end"/>
      </w:r>
      <w:r>
        <w:rPr>
          <w:lang w:bidi="fa-IR"/>
        </w:rPr>
        <w:t>.</w:t>
      </w:r>
    </w:p>
    <w:p w14:paraId="5417D334" w14:textId="208BE7A7" w:rsidR="00E4023A" w:rsidRDefault="00142D49" w:rsidP="00E4023A">
      <w:pPr>
        <w:pStyle w:val="Caption"/>
        <w:spacing w:before="240"/>
      </w:pPr>
      <w:bookmarkStart w:id="257" w:name="_Toc45654140"/>
      <w:bookmarkStart w:id="258" w:name="_Toc32321813"/>
      <w:bookmarkStart w:id="259" w:name="_Toc44598509"/>
      <w:bookmarkStart w:id="260" w:name="_Toc44695881"/>
      <w:bookmarkStart w:id="261" w:name="_Toc57643616"/>
      <w:bookmarkStart w:id="262" w:name="_Toc70505535"/>
      <w:r>
        <w:t>3.36</w:t>
      </w:r>
      <w:r w:rsidR="00E4023A" w:rsidRPr="00695C93">
        <w:tab/>
      </w:r>
      <w:r w:rsidR="00E4023A">
        <w:t>Estimated cost of delayed discharge from hospital or transition care</w:t>
      </w:r>
      <w:bookmarkEnd w:id="257"/>
      <w:bookmarkEnd w:id="258"/>
      <w:bookmarkEnd w:id="259"/>
      <w:bookmarkEnd w:id="260"/>
      <w:bookmarkEnd w:id="261"/>
      <w:bookmarkEnd w:id="262"/>
    </w:p>
    <w:tbl>
      <w:tblPr>
        <w:tblW w:w="7939" w:type="dxa"/>
        <w:tblLayout w:type="fixed"/>
        <w:tblLook w:val="0000" w:firstRow="0" w:lastRow="0" w:firstColumn="0" w:lastColumn="0" w:noHBand="0" w:noVBand="0"/>
        <w:tblCaption w:val="Table 3.36: Estimated cost of delayed discharge from hospital or transition care"/>
        <w:tblDescription w:val="This table lists different types of hospital and transition care, and the number of admissions, number of patient days, cost per day and total cost for each type. The fifth column is the percentage share due to lack of accessible housing (6.7% for each type of care except maintenance care, which is 1.8%). The sixth column lists the estimated cost due to lack of accessible housing, which ranges from $5,500,000 to $163,200,000 across the types of care. The estimated total cost of delayed discharge due to lack of accessible housing for all types of care is $234,600,000."/>
      </w:tblPr>
      <w:tblGrid>
        <w:gridCol w:w="2790"/>
        <w:gridCol w:w="1038"/>
        <w:gridCol w:w="649"/>
        <w:gridCol w:w="843"/>
        <w:gridCol w:w="776"/>
        <w:gridCol w:w="993"/>
        <w:gridCol w:w="850"/>
      </w:tblGrid>
      <w:tr w:rsidR="00E4023A" w14:paraId="51F41451" w14:textId="77777777" w:rsidTr="00D10891">
        <w:trPr>
          <w:trHeight w:val="1152"/>
          <w:tblHeader/>
        </w:trPr>
        <w:tc>
          <w:tcPr>
            <w:tcW w:w="2790" w:type="dxa"/>
            <w:shd w:val="clear" w:color="auto" w:fill="6F6652"/>
            <w:tcMar>
              <w:left w:w="57" w:type="dxa"/>
              <w:right w:w="57" w:type="dxa"/>
            </w:tcMar>
          </w:tcPr>
          <w:p w14:paraId="310E607C" w14:textId="77777777" w:rsidR="00E4023A" w:rsidRDefault="001B0DF7" w:rsidP="005B0289">
            <w:pPr>
              <w:pStyle w:val="TableDataColumnHeading"/>
              <w:jc w:val="left"/>
              <w:rPr>
                <w:lang w:val="en-GB"/>
              </w:rPr>
            </w:pPr>
            <w:r>
              <w:rPr>
                <w:lang w:val="en-GB"/>
              </w:rPr>
              <w:t>Type of cost</w:t>
            </w:r>
          </w:p>
        </w:tc>
        <w:tc>
          <w:tcPr>
            <w:tcW w:w="1038" w:type="dxa"/>
            <w:shd w:val="clear" w:color="auto" w:fill="6F6652"/>
            <w:tcMar>
              <w:left w:w="57" w:type="dxa"/>
              <w:right w:w="57" w:type="dxa"/>
            </w:tcMar>
          </w:tcPr>
          <w:p w14:paraId="0F9852C9" w14:textId="77777777" w:rsidR="00E4023A" w:rsidRDefault="00E4023A" w:rsidP="005B0289">
            <w:pPr>
              <w:pStyle w:val="TableDataColumnHeading"/>
              <w:rPr>
                <w:lang w:val="en-GB"/>
              </w:rPr>
            </w:pPr>
            <w:r>
              <w:rPr>
                <w:lang w:val="en-GB"/>
              </w:rPr>
              <w:t>Admissions</w:t>
            </w:r>
          </w:p>
        </w:tc>
        <w:tc>
          <w:tcPr>
            <w:tcW w:w="649" w:type="dxa"/>
            <w:shd w:val="clear" w:color="auto" w:fill="6F6652"/>
            <w:tcMar>
              <w:left w:w="57" w:type="dxa"/>
              <w:right w:w="57" w:type="dxa"/>
            </w:tcMar>
          </w:tcPr>
          <w:p w14:paraId="61ACA569" w14:textId="77777777" w:rsidR="00E4023A" w:rsidRDefault="00E4023A" w:rsidP="005B0289">
            <w:pPr>
              <w:pStyle w:val="TableDataColumnHeading"/>
              <w:rPr>
                <w:lang w:val="en-GB"/>
              </w:rPr>
            </w:pPr>
            <w:r>
              <w:rPr>
                <w:lang w:val="en-GB"/>
              </w:rPr>
              <w:t>Patient days</w:t>
            </w:r>
          </w:p>
        </w:tc>
        <w:tc>
          <w:tcPr>
            <w:tcW w:w="843" w:type="dxa"/>
            <w:shd w:val="clear" w:color="auto" w:fill="6F6652"/>
            <w:tcMar>
              <w:left w:w="57" w:type="dxa"/>
              <w:right w:w="57" w:type="dxa"/>
            </w:tcMar>
          </w:tcPr>
          <w:p w14:paraId="3752966B" w14:textId="77777777" w:rsidR="00E4023A" w:rsidRDefault="00E4023A" w:rsidP="005B0289">
            <w:pPr>
              <w:pStyle w:val="TableDataColumnHeading"/>
              <w:rPr>
                <w:lang w:val="en-GB"/>
              </w:rPr>
            </w:pPr>
            <w:r>
              <w:rPr>
                <w:lang w:val="en-GB"/>
              </w:rPr>
              <w:t>Cost per day</w:t>
            </w:r>
          </w:p>
        </w:tc>
        <w:tc>
          <w:tcPr>
            <w:tcW w:w="776" w:type="dxa"/>
            <w:shd w:val="clear" w:color="auto" w:fill="6F6652"/>
            <w:tcMar>
              <w:left w:w="57" w:type="dxa"/>
              <w:right w:w="57" w:type="dxa"/>
            </w:tcMar>
          </w:tcPr>
          <w:p w14:paraId="76616893" w14:textId="77777777" w:rsidR="00E4023A" w:rsidRDefault="00E4023A" w:rsidP="005B0289">
            <w:pPr>
              <w:pStyle w:val="TableDataColumnHeading"/>
              <w:rPr>
                <w:lang w:val="en-GB"/>
              </w:rPr>
            </w:pPr>
            <w:r>
              <w:rPr>
                <w:lang w:val="en-GB"/>
              </w:rPr>
              <w:t>Total cost</w:t>
            </w:r>
          </w:p>
        </w:tc>
        <w:tc>
          <w:tcPr>
            <w:tcW w:w="993" w:type="dxa"/>
            <w:shd w:val="clear" w:color="auto" w:fill="6F6652"/>
            <w:tcMar>
              <w:left w:w="57" w:type="dxa"/>
              <w:right w:w="57" w:type="dxa"/>
            </w:tcMar>
          </w:tcPr>
          <w:p w14:paraId="11F5CA37" w14:textId="77777777" w:rsidR="00E4023A" w:rsidRDefault="00E4023A" w:rsidP="005B0289">
            <w:pPr>
              <w:pStyle w:val="TableDataColumnHeading"/>
              <w:rPr>
                <w:lang w:val="en-GB"/>
              </w:rPr>
            </w:pPr>
            <w:r>
              <w:rPr>
                <w:lang w:val="en-GB"/>
              </w:rPr>
              <w:t>Share due to lack of accessible housing</w:t>
            </w:r>
          </w:p>
        </w:tc>
        <w:tc>
          <w:tcPr>
            <w:tcW w:w="850" w:type="dxa"/>
            <w:shd w:val="clear" w:color="auto" w:fill="6F6652"/>
            <w:tcMar>
              <w:left w:w="57" w:type="dxa"/>
              <w:right w:w="57" w:type="dxa"/>
            </w:tcMar>
          </w:tcPr>
          <w:p w14:paraId="1D5B485F" w14:textId="77777777" w:rsidR="00E4023A" w:rsidRDefault="00E4023A" w:rsidP="005B0289">
            <w:pPr>
              <w:pStyle w:val="TableDataColumnHeading"/>
              <w:rPr>
                <w:lang w:val="en-GB"/>
              </w:rPr>
            </w:pPr>
            <w:r>
              <w:rPr>
                <w:lang w:val="en-GB"/>
              </w:rPr>
              <w:t>Estimated cost due to lack of accessible housing</w:t>
            </w:r>
          </w:p>
        </w:tc>
      </w:tr>
      <w:tr w:rsidR="00E4023A" w14:paraId="3CF85672" w14:textId="77777777" w:rsidTr="00D10891">
        <w:trPr>
          <w:trHeight w:val="230"/>
          <w:tblHeader/>
        </w:trPr>
        <w:tc>
          <w:tcPr>
            <w:tcW w:w="2790" w:type="dxa"/>
            <w:tcBorders>
              <w:bottom w:val="single" w:sz="8" w:space="0" w:color="FFFFFF" w:themeColor="background1"/>
            </w:tcBorders>
            <w:shd w:val="clear" w:color="auto" w:fill="auto"/>
            <w:tcMar>
              <w:left w:w="57" w:type="dxa"/>
              <w:right w:w="57" w:type="dxa"/>
            </w:tcMar>
          </w:tcPr>
          <w:p w14:paraId="1BBC3CEC" w14:textId="77777777" w:rsidR="00E4023A" w:rsidRDefault="00E4023A" w:rsidP="005B0289">
            <w:pPr>
              <w:pStyle w:val="TableUnit"/>
              <w:jc w:val="left"/>
              <w:rPr>
                <w:lang w:val="en-GB"/>
              </w:rPr>
            </w:pPr>
          </w:p>
        </w:tc>
        <w:tc>
          <w:tcPr>
            <w:tcW w:w="1038" w:type="dxa"/>
            <w:tcBorders>
              <w:bottom w:val="single" w:sz="8" w:space="0" w:color="FFFFFF" w:themeColor="background1"/>
            </w:tcBorders>
            <w:shd w:val="clear" w:color="auto" w:fill="auto"/>
            <w:tcMar>
              <w:left w:w="57" w:type="dxa"/>
              <w:right w:w="57" w:type="dxa"/>
            </w:tcMar>
          </w:tcPr>
          <w:p w14:paraId="1F79E6E1" w14:textId="77777777" w:rsidR="00E4023A" w:rsidRDefault="00E4023A" w:rsidP="005B0289">
            <w:pPr>
              <w:pStyle w:val="TableUnit"/>
              <w:rPr>
                <w:lang w:val="en-GB"/>
              </w:rPr>
            </w:pPr>
            <w:r>
              <w:rPr>
                <w:lang w:val="en-GB"/>
              </w:rPr>
              <w:t>No.</w:t>
            </w:r>
          </w:p>
        </w:tc>
        <w:tc>
          <w:tcPr>
            <w:tcW w:w="649" w:type="dxa"/>
            <w:tcBorders>
              <w:bottom w:val="single" w:sz="8" w:space="0" w:color="FFFFFF" w:themeColor="background1"/>
            </w:tcBorders>
            <w:shd w:val="clear" w:color="auto" w:fill="auto"/>
            <w:tcMar>
              <w:left w:w="57" w:type="dxa"/>
              <w:right w:w="57" w:type="dxa"/>
            </w:tcMar>
          </w:tcPr>
          <w:p w14:paraId="229B019C" w14:textId="77777777" w:rsidR="00E4023A" w:rsidRDefault="007C6201" w:rsidP="005B0289">
            <w:pPr>
              <w:pStyle w:val="TableUnit"/>
              <w:rPr>
                <w:lang w:val="en-GB"/>
              </w:rPr>
            </w:pPr>
            <w:r>
              <w:rPr>
                <w:lang w:val="en-GB"/>
              </w:rPr>
              <w:t>‘000</w:t>
            </w:r>
          </w:p>
        </w:tc>
        <w:tc>
          <w:tcPr>
            <w:tcW w:w="843" w:type="dxa"/>
            <w:tcBorders>
              <w:bottom w:val="single" w:sz="8" w:space="0" w:color="FFFFFF" w:themeColor="background1"/>
            </w:tcBorders>
            <w:shd w:val="clear" w:color="auto" w:fill="auto"/>
            <w:tcMar>
              <w:left w:w="57" w:type="dxa"/>
              <w:right w:w="57" w:type="dxa"/>
            </w:tcMar>
          </w:tcPr>
          <w:p w14:paraId="2F99762B" w14:textId="77777777" w:rsidR="00E4023A" w:rsidRDefault="00E4023A" w:rsidP="005B0289">
            <w:pPr>
              <w:pStyle w:val="TableUnit"/>
              <w:rPr>
                <w:lang w:val="en-GB"/>
              </w:rPr>
            </w:pPr>
            <w:r>
              <w:rPr>
                <w:lang w:val="en-GB"/>
              </w:rPr>
              <w:t>$</w:t>
            </w:r>
          </w:p>
        </w:tc>
        <w:tc>
          <w:tcPr>
            <w:tcW w:w="776" w:type="dxa"/>
            <w:tcBorders>
              <w:bottom w:val="single" w:sz="8" w:space="0" w:color="FFFFFF" w:themeColor="background1"/>
            </w:tcBorders>
            <w:shd w:val="clear" w:color="auto" w:fill="auto"/>
            <w:tcMar>
              <w:left w:w="57" w:type="dxa"/>
              <w:right w:w="57" w:type="dxa"/>
            </w:tcMar>
          </w:tcPr>
          <w:p w14:paraId="2D5727D0" w14:textId="77777777" w:rsidR="00E4023A" w:rsidRDefault="00E4023A" w:rsidP="005B0289">
            <w:pPr>
              <w:pStyle w:val="TableUnit"/>
              <w:rPr>
                <w:lang w:val="en-GB"/>
              </w:rPr>
            </w:pPr>
            <w:r>
              <w:rPr>
                <w:lang w:val="en-GB"/>
              </w:rPr>
              <w:t>$ million</w:t>
            </w:r>
          </w:p>
        </w:tc>
        <w:tc>
          <w:tcPr>
            <w:tcW w:w="993" w:type="dxa"/>
            <w:tcBorders>
              <w:bottom w:val="single" w:sz="8" w:space="0" w:color="FFFFFF" w:themeColor="background1"/>
            </w:tcBorders>
            <w:shd w:val="clear" w:color="auto" w:fill="auto"/>
            <w:tcMar>
              <w:left w:w="57" w:type="dxa"/>
              <w:right w:w="57" w:type="dxa"/>
            </w:tcMar>
          </w:tcPr>
          <w:p w14:paraId="039F2863" w14:textId="77777777" w:rsidR="00E4023A" w:rsidRDefault="00E4023A" w:rsidP="005B0289">
            <w:pPr>
              <w:pStyle w:val="TableUnit"/>
              <w:rPr>
                <w:lang w:val="en-GB"/>
              </w:rPr>
            </w:pPr>
            <w:r>
              <w:rPr>
                <w:lang w:val="en-GB"/>
              </w:rPr>
              <w:t>Per cent</w:t>
            </w:r>
          </w:p>
        </w:tc>
        <w:tc>
          <w:tcPr>
            <w:tcW w:w="850" w:type="dxa"/>
            <w:tcBorders>
              <w:bottom w:val="single" w:sz="8" w:space="0" w:color="FFFFFF" w:themeColor="background1"/>
            </w:tcBorders>
            <w:shd w:val="clear" w:color="auto" w:fill="auto"/>
            <w:tcMar>
              <w:left w:w="57" w:type="dxa"/>
              <w:right w:w="57" w:type="dxa"/>
            </w:tcMar>
          </w:tcPr>
          <w:p w14:paraId="0BDD1EEE" w14:textId="77777777" w:rsidR="00E4023A" w:rsidRDefault="00E4023A" w:rsidP="005B0289">
            <w:pPr>
              <w:pStyle w:val="TableUnit"/>
              <w:rPr>
                <w:lang w:val="en-GB"/>
              </w:rPr>
            </w:pPr>
            <w:r>
              <w:rPr>
                <w:lang w:val="en-GB"/>
              </w:rPr>
              <w:t>$ million</w:t>
            </w:r>
          </w:p>
        </w:tc>
      </w:tr>
      <w:tr w:rsidR="00E4023A" w14:paraId="6F91B66C" w14:textId="77777777" w:rsidTr="00D10891">
        <w:trPr>
          <w:trHeight w:val="230"/>
        </w:trPr>
        <w:tc>
          <w:tcPr>
            <w:tcW w:w="27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191FEB" w14:textId="77777777" w:rsidR="00E4023A" w:rsidRDefault="00E4023A" w:rsidP="005B0289">
            <w:pPr>
              <w:pStyle w:val="TableDataEntries"/>
              <w:jc w:val="left"/>
              <w:rPr>
                <w:lang w:val="en-GB"/>
              </w:rPr>
            </w:pPr>
            <w:r>
              <w:rPr>
                <w:lang w:val="en-GB"/>
              </w:rPr>
              <w:t>Rehabilitation care</w:t>
            </w:r>
          </w:p>
        </w:tc>
        <w:tc>
          <w:tcPr>
            <w:tcW w:w="10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EA3F4E" w14:textId="77777777" w:rsidR="00E4023A" w:rsidRDefault="00E4023A" w:rsidP="005B0289">
            <w:pPr>
              <w:pStyle w:val="TableDataEntries"/>
              <w:rPr>
                <w:lang w:val="en-GB"/>
              </w:rPr>
            </w:pPr>
            <w:r>
              <w:rPr>
                <w:lang w:val="en-GB"/>
              </w:rPr>
              <w:t xml:space="preserve"> 93 751 </w:t>
            </w:r>
            <w:r w:rsidRPr="003B6F2D">
              <w:rPr>
                <w:rStyle w:val="NoteLabel"/>
              </w:rPr>
              <w:t>a</w:t>
            </w:r>
          </w:p>
        </w:tc>
        <w:tc>
          <w:tcPr>
            <w:tcW w:w="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8B715E" w14:textId="77777777" w:rsidR="00E4023A" w:rsidRPr="00013F7D" w:rsidRDefault="00E4023A" w:rsidP="005B0289">
            <w:pPr>
              <w:pStyle w:val="TableDataEntries"/>
            </w:pPr>
            <w:r w:rsidRPr="00013F7D">
              <w:t xml:space="preserve"> 2 754</w:t>
            </w:r>
            <w:r>
              <w:t xml:space="preserve"> </w:t>
            </w:r>
            <w:r>
              <w:rPr>
                <w:rStyle w:val="NoteLabel"/>
              </w:rPr>
              <w:t>b</w:t>
            </w:r>
          </w:p>
        </w:tc>
        <w:tc>
          <w:tcPr>
            <w:tcW w:w="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8921C7" w14:textId="77777777" w:rsidR="00E4023A" w:rsidRDefault="00E4023A" w:rsidP="005B0289">
            <w:pPr>
              <w:pStyle w:val="TableDataEntries"/>
              <w:rPr>
                <w:lang w:val="en-GB"/>
              </w:rPr>
            </w:pPr>
            <w:r>
              <w:rPr>
                <w:lang w:val="en-GB"/>
              </w:rPr>
              <w:t xml:space="preserve">  890 </w:t>
            </w:r>
            <w:r>
              <w:rPr>
                <w:rStyle w:val="NoteLabel"/>
              </w:rPr>
              <w:t>c</w:t>
            </w:r>
          </w:p>
        </w:tc>
        <w:tc>
          <w:tcPr>
            <w:tcW w:w="7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E1A816" w14:textId="77777777" w:rsidR="00E4023A" w:rsidRDefault="00E4023A" w:rsidP="005B0289">
            <w:pPr>
              <w:pStyle w:val="TableDataEntries"/>
              <w:rPr>
                <w:lang w:val="en-GB"/>
              </w:rPr>
            </w:pPr>
            <w:r>
              <w:rPr>
                <w:lang w:val="en-GB"/>
              </w:rPr>
              <w:t>2 451.7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FA10D6" w14:textId="77777777" w:rsidR="00E4023A" w:rsidRDefault="00E4023A" w:rsidP="005B0289">
            <w:pPr>
              <w:pStyle w:val="TableDataEntries"/>
              <w:rPr>
                <w:lang w:val="en-GB"/>
              </w:rPr>
            </w:pPr>
            <w:r>
              <w:rPr>
                <w:lang w:val="en-GB"/>
              </w:rPr>
              <w:t xml:space="preserve"> 6.7 </w:t>
            </w:r>
            <w:r>
              <w:rPr>
                <w:rStyle w:val="NoteLabel"/>
              </w:rPr>
              <w:t>f</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64A819" w14:textId="77777777" w:rsidR="00E4023A" w:rsidRDefault="00E4023A" w:rsidP="005B0289">
            <w:pPr>
              <w:pStyle w:val="TableDataEntries"/>
              <w:rPr>
                <w:lang w:val="en-GB"/>
              </w:rPr>
            </w:pPr>
            <w:r>
              <w:rPr>
                <w:lang w:val="en-GB"/>
              </w:rPr>
              <w:t xml:space="preserve"> 163.2</w:t>
            </w:r>
          </w:p>
        </w:tc>
      </w:tr>
      <w:tr w:rsidR="00E4023A" w14:paraId="49AE78FA" w14:textId="77777777" w:rsidTr="00D10891">
        <w:trPr>
          <w:trHeight w:val="230"/>
        </w:trPr>
        <w:tc>
          <w:tcPr>
            <w:tcW w:w="27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104A4A" w14:textId="77777777" w:rsidR="00E4023A" w:rsidRDefault="00E4023A" w:rsidP="005B0289">
            <w:pPr>
              <w:pStyle w:val="TableDataEntries"/>
              <w:jc w:val="left"/>
              <w:rPr>
                <w:lang w:val="en-GB"/>
              </w:rPr>
            </w:pPr>
            <w:r>
              <w:rPr>
                <w:lang w:val="en-GB"/>
              </w:rPr>
              <w:t>Geriatric evaluation and management</w:t>
            </w:r>
          </w:p>
        </w:tc>
        <w:tc>
          <w:tcPr>
            <w:tcW w:w="10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FED8DE" w14:textId="77777777" w:rsidR="00E4023A" w:rsidRDefault="00E4023A" w:rsidP="005B0289">
            <w:pPr>
              <w:pStyle w:val="TableDataEntries"/>
              <w:rPr>
                <w:lang w:val="en-GB"/>
              </w:rPr>
            </w:pPr>
            <w:r>
              <w:rPr>
                <w:lang w:val="en-GB"/>
              </w:rPr>
              <w:t xml:space="preserve"> 36 676 </w:t>
            </w:r>
            <w:r w:rsidRPr="003B6F2D">
              <w:rPr>
                <w:rStyle w:val="NoteLabel"/>
              </w:rPr>
              <w:t>a</w:t>
            </w:r>
          </w:p>
        </w:tc>
        <w:tc>
          <w:tcPr>
            <w:tcW w:w="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D28A47" w14:textId="77777777" w:rsidR="00E4023A" w:rsidRPr="00013F7D" w:rsidRDefault="00E4023A" w:rsidP="005B0289">
            <w:pPr>
              <w:pStyle w:val="TableDataEntries"/>
            </w:pPr>
            <w:r w:rsidRPr="00013F7D">
              <w:t xml:space="preserve">  643</w:t>
            </w:r>
            <w:r>
              <w:t xml:space="preserve"> </w:t>
            </w:r>
            <w:r>
              <w:rPr>
                <w:rStyle w:val="NoteLabel"/>
              </w:rPr>
              <w:t>b</w:t>
            </w:r>
          </w:p>
        </w:tc>
        <w:tc>
          <w:tcPr>
            <w:tcW w:w="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0F8029" w14:textId="77777777" w:rsidR="00E4023A" w:rsidRDefault="00E4023A" w:rsidP="005B0289">
            <w:pPr>
              <w:pStyle w:val="TableDataEntries"/>
              <w:rPr>
                <w:lang w:val="en-GB"/>
              </w:rPr>
            </w:pPr>
            <w:r>
              <w:rPr>
                <w:lang w:val="en-GB"/>
              </w:rPr>
              <w:t xml:space="preserve">  878 </w:t>
            </w:r>
            <w:r>
              <w:rPr>
                <w:rStyle w:val="NoteLabel"/>
              </w:rPr>
              <w:t>c</w:t>
            </w:r>
          </w:p>
        </w:tc>
        <w:tc>
          <w:tcPr>
            <w:tcW w:w="7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B491D8" w14:textId="77777777" w:rsidR="00E4023A" w:rsidRDefault="00E4023A" w:rsidP="005B0289">
            <w:pPr>
              <w:pStyle w:val="TableDataEntries"/>
              <w:rPr>
                <w:lang w:val="en-GB"/>
              </w:rPr>
            </w:pPr>
            <w:r>
              <w:rPr>
                <w:lang w:val="en-GB"/>
              </w:rPr>
              <w:t xml:space="preserve"> 565.0</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4BC2FE" w14:textId="77777777" w:rsidR="00E4023A" w:rsidRDefault="00E4023A" w:rsidP="005B0289">
            <w:pPr>
              <w:pStyle w:val="TableDataEntries"/>
              <w:rPr>
                <w:lang w:val="en-GB"/>
              </w:rPr>
            </w:pPr>
            <w:r>
              <w:rPr>
                <w:lang w:val="en-GB"/>
              </w:rPr>
              <w:t xml:space="preserve"> 6.7 </w:t>
            </w:r>
            <w:r>
              <w:rPr>
                <w:rStyle w:val="NoteLabel"/>
              </w:rPr>
              <w:t>f</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84549B" w14:textId="77777777" w:rsidR="00E4023A" w:rsidRDefault="00E4023A" w:rsidP="005B0289">
            <w:pPr>
              <w:pStyle w:val="TableDataEntries"/>
              <w:rPr>
                <w:lang w:val="en-GB"/>
              </w:rPr>
            </w:pPr>
            <w:r>
              <w:rPr>
                <w:lang w:val="en-GB"/>
              </w:rPr>
              <w:t xml:space="preserve"> 37.6</w:t>
            </w:r>
          </w:p>
        </w:tc>
      </w:tr>
      <w:tr w:rsidR="00E4023A" w14:paraId="658E61B2" w14:textId="77777777" w:rsidTr="00D10891">
        <w:trPr>
          <w:trHeight w:val="230"/>
        </w:trPr>
        <w:tc>
          <w:tcPr>
            <w:tcW w:w="27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3F147" w14:textId="77777777" w:rsidR="00E4023A" w:rsidRDefault="00E4023A" w:rsidP="005B0289">
            <w:pPr>
              <w:pStyle w:val="TableDataEntries"/>
              <w:jc w:val="left"/>
              <w:rPr>
                <w:lang w:val="en-GB"/>
              </w:rPr>
            </w:pPr>
            <w:r>
              <w:rPr>
                <w:lang w:val="en-GB"/>
              </w:rPr>
              <w:t>Psychogeriatric care</w:t>
            </w:r>
          </w:p>
        </w:tc>
        <w:tc>
          <w:tcPr>
            <w:tcW w:w="10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2BFE32" w14:textId="77777777" w:rsidR="00E4023A" w:rsidRPr="00F10190" w:rsidRDefault="00E4023A" w:rsidP="005B0289">
            <w:pPr>
              <w:pStyle w:val="TableDataEntries"/>
            </w:pPr>
            <w:r w:rsidRPr="00F10190">
              <w:t xml:space="preserve"> 1 332</w:t>
            </w:r>
          </w:p>
        </w:tc>
        <w:tc>
          <w:tcPr>
            <w:tcW w:w="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C38FFF" w14:textId="77777777" w:rsidR="00E4023A" w:rsidRPr="00F10190" w:rsidRDefault="00E4023A" w:rsidP="005B0289">
            <w:pPr>
              <w:pStyle w:val="TableDataEntries"/>
            </w:pPr>
            <w:r w:rsidRPr="00F10190">
              <w:t xml:space="preserve">  84</w:t>
            </w:r>
          </w:p>
        </w:tc>
        <w:tc>
          <w:tcPr>
            <w:tcW w:w="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77D638" w14:textId="77777777" w:rsidR="00E4023A" w:rsidRPr="00F10190" w:rsidRDefault="00E4023A" w:rsidP="005B0289">
            <w:pPr>
              <w:pStyle w:val="TableDataEntries"/>
            </w:pPr>
            <w:r w:rsidRPr="00F10190">
              <w:t xml:space="preserve">  983</w:t>
            </w:r>
          </w:p>
        </w:tc>
        <w:tc>
          <w:tcPr>
            <w:tcW w:w="7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61FF1B" w14:textId="77777777" w:rsidR="00E4023A" w:rsidRPr="00F10190" w:rsidRDefault="00E4023A" w:rsidP="005B0289">
            <w:pPr>
              <w:pStyle w:val="TableDataEntries"/>
            </w:pPr>
            <w:r w:rsidRPr="00F10190">
              <w:t xml:space="preserve"> 82.8</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848F2B" w14:textId="77777777" w:rsidR="00E4023A" w:rsidRPr="00F10190" w:rsidRDefault="00E4023A" w:rsidP="005B0289">
            <w:pPr>
              <w:pStyle w:val="TableDataEntries"/>
            </w:pPr>
            <w:r w:rsidRPr="00F10190">
              <w:t xml:space="preserve"> 6.7</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752EB9" w14:textId="77777777" w:rsidR="00E4023A" w:rsidRPr="00F10190" w:rsidRDefault="00E4023A" w:rsidP="005B0289">
            <w:pPr>
              <w:pStyle w:val="TableDataEntries"/>
            </w:pPr>
            <w:r w:rsidRPr="00F10190">
              <w:t xml:space="preserve"> 5.5</w:t>
            </w:r>
          </w:p>
        </w:tc>
      </w:tr>
      <w:tr w:rsidR="00E4023A" w14:paraId="02B82876" w14:textId="77777777" w:rsidTr="00D10891">
        <w:trPr>
          <w:trHeight w:val="230"/>
        </w:trPr>
        <w:tc>
          <w:tcPr>
            <w:tcW w:w="27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6D87C" w14:textId="77777777" w:rsidR="00E4023A" w:rsidRDefault="00E4023A" w:rsidP="005B0289">
            <w:pPr>
              <w:pStyle w:val="TableDataEntries"/>
              <w:jc w:val="left"/>
              <w:rPr>
                <w:lang w:val="en-GB"/>
              </w:rPr>
            </w:pPr>
            <w:r>
              <w:rPr>
                <w:lang w:val="en-GB"/>
              </w:rPr>
              <w:lastRenderedPageBreak/>
              <w:t>Maintenance care</w:t>
            </w:r>
          </w:p>
        </w:tc>
        <w:tc>
          <w:tcPr>
            <w:tcW w:w="10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EBD954" w14:textId="77777777" w:rsidR="00E4023A" w:rsidRDefault="00E4023A" w:rsidP="005B0289">
            <w:pPr>
              <w:pStyle w:val="TableDataEntries"/>
              <w:rPr>
                <w:lang w:val="en-GB"/>
              </w:rPr>
            </w:pPr>
            <w:r>
              <w:rPr>
                <w:lang w:val="en-GB"/>
              </w:rPr>
              <w:t xml:space="preserve"> 28 108 </w:t>
            </w:r>
            <w:r w:rsidRPr="003B6F2D">
              <w:rPr>
                <w:rStyle w:val="NoteLabel"/>
              </w:rPr>
              <w:t>a</w:t>
            </w:r>
          </w:p>
        </w:tc>
        <w:tc>
          <w:tcPr>
            <w:tcW w:w="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FD1B8B" w14:textId="77777777" w:rsidR="00E4023A" w:rsidRPr="00013F7D" w:rsidRDefault="00E4023A" w:rsidP="005B0289">
            <w:pPr>
              <w:pStyle w:val="TableDataEntries"/>
            </w:pPr>
            <w:r w:rsidRPr="00013F7D">
              <w:t xml:space="preserve">  553</w:t>
            </w:r>
            <w:r>
              <w:t xml:space="preserve"> </w:t>
            </w:r>
            <w:r>
              <w:rPr>
                <w:rStyle w:val="NoteLabel"/>
              </w:rPr>
              <w:t>b</w:t>
            </w:r>
          </w:p>
        </w:tc>
        <w:tc>
          <w:tcPr>
            <w:tcW w:w="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168DE6" w14:textId="77777777" w:rsidR="00E4023A" w:rsidRDefault="00E4023A" w:rsidP="005B0289">
            <w:pPr>
              <w:pStyle w:val="TableDataEntries"/>
              <w:rPr>
                <w:lang w:val="en-GB"/>
              </w:rPr>
            </w:pPr>
            <w:r>
              <w:rPr>
                <w:lang w:val="en-GB"/>
              </w:rPr>
              <w:t xml:space="preserve"> 1 055 </w:t>
            </w:r>
            <w:r>
              <w:rPr>
                <w:rStyle w:val="NoteLabel"/>
              </w:rPr>
              <w:t>c</w:t>
            </w:r>
          </w:p>
        </w:tc>
        <w:tc>
          <w:tcPr>
            <w:tcW w:w="7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4E6156" w14:textId="77777777" w:rsidR="00E4023A" w:rsidRDefault="00E4023A" w:rsidP="005B0289">
            <w:pPr>
              <w:pStyle w:val="TableDataEntries"/>
              <w:rPr>
                <w:lang w:val="en-GB"/>
              </w:rPr>
            </w:pPr>
            <w:r>
              <w:rPr>
                <w:lang w:val="en-GB"/>
              </w:rPr>
              <w:t xml:space="preserve"> 583.2</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F8DD3B" w14:textId="77777777" w:rsidR="00E4023A" w:rsidRDefault="00E4023A" w:rsidP="005B0289">
            <w:pPr>
              <w:pStyle w:val="TableDataEntries"/>
              <w:rPr>
                <w:lang w:val="en-GB"/>
              </w:rPr>
            </w:pPr>
            <w:r>
              <w:rPr>
                <w:lang w:val="en-GB"/>
              </w:rPr>
              <w:t xml:space="preserve"> 1.8 </w:t>
            </w:r>
            <w:r>
              <w:rPr>
                <w:rStyle w:val="NoteLabel"/>
              </w:rPr>
              <w:t>g</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4C1B18" w14:textId="77777777" w:rsidR="00E4023A" w:rsidRDefault="00E4023A" w:rsidP="005B0289">
            <w:pPr>
              <w:pStyle w:val="TableDataEntries"/>
              <w:rPr>
                <w:lang w:val="en-GB"/>
              </w:rPr>
            </w:pPr>
            <w:r>
              <w:rPr>
                <w:lang w:val="en-GB"/>
              </w:rPr>
              <w:t xml:space="preserve"> 10.5</w:t>
            </w:r>
          </w:p>
        </w:tc>
      </w:tr>
      <w:tr w:rsidR="00E4023A" w14:paraId="502E3B43" w14:textId="77777777" w:rsidTr="00D10891">
        <w:trPr>
          <w:trHeight w:val="230"/>
        </w:trPr>
        <w:tc>
          <w:tcPr>
            <w:tcW w:w="27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F4E7F2" w14:textId="77777777" w:rsidR="00E4023A" w:rsidRDefault="00E4023A" w:rsidP="005B0289">
            <w:pPr>
              <w:pStyle w:val="TableDataEntries"/>
              <w:jc w:val="left"/>
              <w:rPr>
                <w:lang w:val="en-GB"/>
              </w:rPr>
            </w:pPr>
            <w:r>
              <w:rPr>
                <w:lang w:val="en-GB"/>
              </w:rPr>
              <w:t>Transition care</w:t>
            </w:r>
          </w:p>
        </w:tc>
        <w:tc>
          <w:tcPr>
            <w:tcW w:w="10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731627" w14:textId="77777777" w:rsidR="00E4023A" w:rsidRDefault="00E4023A" w:rsidP="005B0289">
            <w:pPr>
              <w:pStyle w:val="TableDataEntries"/>
              <w:rPr>
                <w:lang w:val="en-GB"/>
              </w:rPr>
            </w:pPr>
            <w:r>
              <w:rPr>
                <w:lang w:val="en-GB"/>
              </w:rPr>
              <w:t xml:space="preserve"> 24 028 </w:t>
            </w:r>
            <w:r>
              <w:rPr>
                <w:rStyle w:val="NoteLabel"/>
              </w:rPr>
              <w:t>d</w:t>
            </w:r>
          </w:p>
        </w:tc>
        <w:tc>
          <w:tcPr>
            <w:tcW w:w="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25BBB2" w14:textId="77777777" w:rsidR="00E4023A" w:rsidRPr="00013F7D" w:rsidRDefault="00E4023A" w:rsidP="005B0289">
            <w:pPr>
              <w:pStyle w:val="TableDataEntries"/>
            </w:pPr>
            <w:r w:rsidRPr="00013F7D">
              <w:t xml:space="preserve"> 1 302</w:t>
            </w:r>
            <w:r>
              <w:t xml:space="preserve"> </w:t>
            </w:r>
            <w:r>
              <w:rPr>
                <w:rStyle w:val="NoteLabel"/>
              </w:rPr>
              <w:t>d</w:t>
            </w:r>
          </w:p>
        </w:tc>
        <w:tc>
          <w:tcPr>
            <w:tcW w:w="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9E7A39" w14:textId="77777777" w:rsidR="00E4023A" w:rsidRDefault="00E4023A" w:rsidP="005B0289">
            <w:pPr>
              <w:pStyle w:val="TableDataEntries"/>
              <w:rPr>
                <w:lang w:val="en-GB"/>
              </w:rPr>
            </w:pPr>
            <w:r>
              <w:rPr>
                <w:lang w:val="en-GB"/>
              </w:rPr>
              <w:t xml:space="preserve">  205 </w:t>
            </w:r>
            <w:r>
              <w:rPr>
                <w:rStyle w:val="NoteLabel"/>
              </w:rPr>
              <w:t>e</w:t>
            </w:r>
          </w:p>
        </w:tc>
        <w:tc>
          <w:tcPr>
            <w:tcW w:w="7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C3BF64" w14:textId="77777777" w:rsidR="00E4023A" w:rsidRDefault="00E4023A" w:rsidP="005B0289">
            <w:pPr>
              <w:pStyle w:val="TableDataEntries"/>
              <w:rPr>
                <w:lang w:val="en-GB"/>
              </w:rPr>
            </w:pPr>
            <w:r>
              <w:rPr>
                <w:lang w:val="en-GB"/>
              </w:rPr>
              <w:t xml:space="preserve"> 266.7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921B45" w14:textId="77777777" w:rsidR="00E4023A" w:rsidRDefault="00E4023A" w:rsidP="005B0289">
            <w:pPr>
              <w:pStyle w:val="TableDataEntries"/>
              <w:rPr>
                <w:lang w:val="en-GB"/>
              </w:rPr>
            </w:pPr>
            <w:r>
              <w:rPr>
                <w:lang w:val="en-GB"/>
              </w:rPr>
              <w:t xml:space="preserve"> 6.7 </w:t>
            </w:r>
            <w:r>
              <w:rPr>
                <w:rStyle w:val="NoteLabel"/>
              </w:rPr>
              <w:t>f</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2D0BE5" w14:textId="77777777" w:rsidR="00E4023A" w:rsidRDefault="00E4023A" w:rsidP="005B0289">
            <w:pPr>
              <w:pStyle w:val="TableDataEntries"/>
              <w:rPr>
                <w:lang w:val="en-GB"/>
              </w:rPr>
            </w:pPr>
            <w:r>
              <w:rPr>
                <w:lang w:val="en-GB"/>
              </w:rPr>
              <w:t>17.8</w:t>
            </w:r>
          </w:p>
        </w:tc>
      </w:tr>
      <w:tr w:rsidR="00E4023A" w:rsidRPr="00AA15C1" w14:paraId="1878ED40" w14:textId="77777777" w:rsidTr="00D10891">
        <w:trPr>
          <w:trHeight w:val="230"/>
        </w:trPr>
        <w:tc>
          <w:tcPr>
            <w:tcW w:w="279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8A468E9" w14:textId="77777777" w:rsidR="00E4023A" w:rsidRPr="00AA15C1" w:rsidRDefault="00E4023A" w:rsidP="005B0289">
            <w:pPr>
              <w:pStyle w:val="TableDataEntries"/>
              <w:jc w:val="left"/>
              <w:rPr>
                <w:rFonts w:ascii="Franklin Gothic Demi" w:hAnsi="Franklin Gothic Demi"/>
                <w:lang w:val="en-GB"/>
              </w:rPr>
            </w:pPr>
            <w:r w:rsidRPr="00AA15C1">
              <w:rPr>
                <w:rFonts w:ascii="Franklin Gothic Demi" w:hAnsi="Franklin Gothic Demi"/>
                <w:lang w:val="en-GB"/>
              </w:rPr>
              <w:t>Total</w:t>
            </w:r>
          </w:p>
        </w:tc>
        <w:tc>
          <w:tcPr>
            <w:tcW w:w="103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65977E0" w14:textId="77777777" w:rsidR="00E4023A" w:rsidRPr="00AA15C1" w:rsidRDefault="00E4023A" w:rsidP="005B0289">
            <w:pPr>
              <w:pStyle w:val="TableDataEntries"/>
              <w:rPr>
                <w:rFonts w:ascii="Franklin Gothic Demi" w:hAnsi="Franklin Gothic Demi"/>
                <w:lang w:val="en-GB"/>
              </w:rPr>
            </w:pPr>
            <w:r w:rsidRPr="00AA15C1">
              <w:rPr>
                <w:rFonts w:ascii="Franklin Gothic Demi" w:hAnsi="Franklin Gothic Demi"/>
                <w:lang w:val="en-GB"/>
              </w:rPr>
              <w:t xml:space="preserve"> 159 867</w:t>
            </w:r>
          </w:p>
        </w:tc>
        <w:tc>
          <w:tcPr>
            <w:tcW w:w="64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158C648" w14:textId="77777777" w:rsidR="00E4023A" w:rsidRPr="00AA15C1" w:rsidRDefault="00E4023A" w:rsidP="005B0289">
            <w:pPr>
              <w:pStyle w:val="TableDataEntries"/>
              <w:rPr>
                <w:rFonts w:ascii="Franklin Gothic Demi" w:hAnsi="Franklin Gothic Demi"/>
              </w:rPr>
            </w:pPr>
            <w:r w:rsidRPr="00AA15C1">
              <w:rPr>
                <w:rFonts w:ascii="Franklin Gothic Demi" w:hAnsi="Franklin Gothic Demi"/>
              </w:rPr>
              <w:t>5 337</w:t>
            </w:r>
          </w:p>
        </w:tc>
        <w:tc>
          <w:tcPr>
            <w:tcW w:w="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5BBA661" w14:textId="77777777" w:rsidR="00E4023A" w:rsidRPr="00AA15C1" w:rsidRDefault="00E4023A" w:rsidP="005B0289">
            <w:pPr>
              <w:pStyle w:val="TableDataEntries"/>
              <w:rPr>
                <w:rFonts w:ascii="Franklin Gothic Demi" w:hAnsi="Franklin Gothic Demi"/>
                <w:lang w:val="en-GB"/>
              </w:rPr>
            </w:pPr>
          </w:p>
        </w:tc>
        <w:tc>
          <w:tcPr>
            <w:tcW w:w="77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AEA9222" w14:textId="77777777" w:rsidR="00E4023A" w:rsidRPr="00AA15C1" w:rsidRDefault="00E4023A" w:rsidP="005B0289">
            <w:pPr>
              <w:pStyle w:val="TableDataEntries"/>
              <w:rPr>
                <w:rFonts w:ascii="Franklin Gothic Demi" w:hAnsi="Franklin Gothic Demi"/>
                <w:lang w:val="en-GB"/>
              </w:rPr>
            </w:pPr>
            <w:r w:rsidRPr="00AA15C1">
              <w:rPr>
                <w:rFonts w:ascii="Franklin Gothic Demi" w:hAnsi="Franklin Gothic Demi"/>
                <w:lang w:val="en-GB"/>
              </w:rPr>
              <w:t>3 949.5</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3F4F35A" w14:textId="77777777" w:rsidR="00E4023A" w:rsidRPr="00AA15C1" w:rsidRDefault="00E4023A" w:rsidP="005B0289">
            <w:pPr>
              <w:pStyle w:val="TableDataEntries"/>
              <w:rPr>
                <w:rFonts w:ascii="Franklin Gothic Demi" w:hAnsi="Franklin Gothic Demi"/>
                <w:lang w:val="en-GB"/>
              </w:rPr>
            </w:pPr>
          </w:p>
        </w:tc>
        <w:tc>
          <w:tcPr>
            <w:tcW w:w="85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72884BB" w14:textId="77777777" w:rsidR="00E4023A" w:rsidRPr="00AA15C1" w:rsidRDefault="00E4023A" w:rsidP="005B0289">
            <w:pPr>
              <w:pStyle w:val="TableDataEntries"/>
              <w:rPr>
                <w:rFonts w:ascii="Franklin Gothic Demi" w:hAnsi="Franklin Gothic Demi"/>
                <w:lang w:val="en-GB"/>
              </w:rPr>
            </w:pPr>
            <w:r w:rsidRPr="00AA15C1">
              <w:rPr>
                <w:rFonts w:ascii="Franklin Gothic Demi" w:hAnsi="Franklin Gothic Demi"/>
                <w:lang w:val="en-GB"/>
              </w:rPr>
              <w:t>234.6</w:t>
            </w:r>
          </w:p>
        </w:tc>
      </w:tr>
    </w:tbl>
    <w:p w14:paraId="723278A1" w14:textId="77777777" w:rsidR="00E4023A" w:rsidRDefault="00E4023A" w:rsidP="00E4023A">
      <w:pPr>
        <w:pStyle w:val="Note"/>
      </w:pPr>
      <w:r w:rsidRPr="00E4232C">
        <w:rPr>
          <w:rStyle w:val="NoteLabel"/>
        </w:rPr>
        <w:t>a</w:t>
      </w:r>
      <w:r>
        <w:t xml:space="preserve"> AIHW, Australian Hospital Statistics, </w:t>
      </w:r>
      <w:r w:rsidRPr="00F75A6F">
        <w:t>2017</w:t>
      </w:r>
      <w:r w:rsidRPr="00F75A6F">
        <w:noBreakHyphen/>
        <w:t xml:space="preserve">18, Table 4.5. </w:t>
      </w:r>
      <w:r w:rsidRPr="00F75A6F">
        <w:rPr>
          <w:rStyle w:val="NoteLabel"/>
        </w:rPr>
        <w:t>b</w:t>
      </w:r>
      <w:r w:rsidRPr="00F75A6F">
        <w:t xml:space="preserve"> AIHW, Australian Hospital Statistics, 201</w:t>
      </w:r>
      <w:r w:rsidR="00F75A6F" w:rsidRPr="00F75A6F">
        <w:t>7-</w:t>
      </w:r>
      <w:r w:rsidRPr="00F75A6F">
        <w:t>18</w:t>
      </w:r>
      <w:r>
        <w:t xml:space="preserve">, Table S4.3. </w:t>
      </w:r>
      <w:r w:rsidRPr="00893144">
        <w:rPr>
          <w:rStyle w:val="NoteLabel"/>
        </w:rPr>
        <w:t>c</w:t>
      </w:r>
      <w:r>
        <w:t xml:space="preserve"> Centre for Health Service Development, Development of the National Subacute and Non-acute Patient Classification Version 4, Final Report, April </w:t>
      </w:r>
    </w:p>
    <w:p w14:paraId="154AA42A" w14:textId="77777777" w:rsidR="00E4023A" w:rsidRPr="00E4232C" w:rsidRDefault="00E4023A" w:rsidP="002474D4">
      <w:pPr>
        <w:pStyle w:val="Source"/>
        <w:rPr>
          <w:lang w:bidi="fa-IR"/>
        </w:rPr>
      </w:pPr>
      <w:r>
        <w:rPr>
          <w:lang w:bidi="fa-IR"/>
        </w:rPr>
        <w:t>2015, pp. 39</w:t>
      </w:r>
      <w:r>
        <w:rPr>
          <w:lang w:bidi="fa-IR"/>
        </w:rPr>
        <w:noBreakHyphen/>
        <w:t xml:space="preserve">49. Data was inflated to 2019 dollars using the national CPI. </w:t>
      </w:r>
      <w:r w:rsidRPr="002474D4">
        <w:rPr>
          <w:lang w:bidi="fa-IR"/>
        </w:rPr>
        <w:t>d</w:t>
      </w:r>
      <w:r>
        <w:rPr>
          <w:lang w:bidi="fa-IR"/>
        </w:rPr>
        <w:t xml:space="preserve"> AIHW Aged Care Data Snapshot. </w:t>
      </w:r>
      <w:r w:rsidRPr="002474D4">
        <w:rPr>
          <w:lang w:bidi="fa-IR"/>
        </w:rPr>
        <w:t>e</w:t>
      </w:r>
      <w:r>
        <w:rPr>
          <w:lang w:bidi="fa-IR"/>
        </w:rPr>
        <w:t xml:space="preserve"> Calculated as the total expenditure on Transition Care divided by the number of patient days. </w:t>
      </w:r>
      <w:r w:rsidRPr="002474D4">
        <w:rPr>
          <w:lang w:bidi="fa-IR"/>
        </w:rPr>
        <w:t>f</w:t>
      </w:r>
      <w:r>
        <w:rPr>
          <w:lang w:bidi="fa-IR"/>
        </w:rPr>
        <w:t xml:space="preserve"> Based on New et. al. (2013). </w:t>
      </w:r>
      <w:r w:rsidRPr="002474D4">
        <w:rPr>
          <w:lang w:bidi="fa-IR"/>
        </w:rPr>
        <w:t>g</w:t>
      </w:r>
      <w:r>
        <w:rPr>
          <w:lang w:bidi="fa-IR"/>
        </w:rPr>
        <w:t xml:space="preserve"> Based on Salonga</w:t>
      </w:r>
      <w:r>
        <w:rPr>
          <w:lang w:bidi="fa-IR"/>
        </w:rPr>
        <w:noBreakHyphen/>
        <w:t>Reyes and Scott (2017).</w:t>
      </w:r>
    </w:p>
    <w:p w14:paraId="6B88937B" w14:textId="77777777" w:rsidR="00E4023A" w:rsidRDefault="00E4023A" w:rsidP="00E4023A">
      <w:pPr>
        <w:pStyle w:val="Source"/>
        <w:rPr>
          <w:lang w:bidi="fa-IR"/>
        </w:rPr>
      </w:pPr>
      <w:r w:rsidRPr="002474D4">
        <w:rPr>
          <w:lang w:bidi="fa-IR"/>
        </w:rPr>
        <w:t>Source:</w:t>
      </w:r>
      <w:r>
        <w:rPr>
          <w:lang w:bidi="fa-IR"/>
        </w:rPr>
        <w:t xml:space="preserve"> Australian Institute of Health and Welfare, Australian Hospital Statistics, 2017</w:t>
      </w:r>
      <w:r>
        <w:rPr>
          <w:lang w:bidi="fa-IR"/>
        </w:rPr>
        <w:noBreakHyphen/>
        <w:t>18; Australian Institute of Health and Welfare, Aged Care Data Snapshot 2018</w:t>
      </w:r>
      <w:r>
        <w:rPr>
          <w:lang w:bidi="fa-IR"/>
        </w:rPr>
        <w:noBreakHyphen/>
        <w:t xml:space="preserve">19; Centre for Health Service Development, Development of the National Subacute and Non-acute Patient Classification Version 4, Final Report, April 2015; New, P.W. Jolley, D.J. Cameron, P.A. Olver, J.H. and Stoelwinder, J.U. </w:t>
      </w:r>
      <w:r w:rsidRPr="002474D4">
        <w:rPr>
          <w:lang w:bidi="fa-IR"/>
        </w:rPr>
        <w:t>2013, A prospective multicenter study to discharge from inpatient rehabilitations, Medical Journal of Australia, 198 (2), pp. 104</w:t>
      </w:r>
      <w:r w:rsidRPr="002474D4">
        <w:rPr>
          <w:lang w:bidi="fa-IR"/>
        </w:rPr>
        <w:noBreakHyphen/>
        <w:t>108; Salonga</w:t>
      </w:r>
      <w:r w:rsidRPr="002474D4">
        <w:rPr>
          <w:lang w:bidi="fa-IR"/>
        </w:rPr>
        <w:noBreakHyphen/>
        <w:t>Reyes, A. Scott, I.A. 2017, Stranded: causes and effects of discharge delays involving non</w:t>
      </w:r>
      <w:r w:rsidRPr="002474D4">
        <w:rPr>
          <w:lang w:bidi="fa-IR"/>
        </w:rPr>
        <w:noBreakHyphen/>
        <w:t>acute in</w:t>
      </w:r>
      <w:r w:rsidRPr="002474D4">
        <w:rPr>
          <w:lang w:bidi="fa-IR"/>
        </w:rPr>
        <w:noBreakHyphen/>
        <w:t>patients requiring maintenance care in a tertiary hospital general medicine service, Australian Health Review, 41, CSIRO Publishing, pp. 54</w:t>
      </w:r>
      <w:r w:rsidRPr="002474D4">
        <w:rPr>
          <w:lang w:bidi="fa-IR"/>
        </w:rPr>
        <w:noBreakHyphen/>
        <w:t>62; CIE.</w:t>
      </w:r>
    </w:p>
    <w:p w14:paraId="718EC6AC" w14:textId="77777777" w:rsidR="00E4023A" w:rsidRDefault="00BF6148" w:rsidP="00E4023A">
      <w:pPr>
        <w:pStyle w:val="Heading3"/>
        <w:numPr>
          <w:ilvl w:val="2"/>
          <w:numId w:val="5"/>
        </w:numPr>
        <w:rPr>
          <w:lang w:bidi="fa-IR"/>
        </w:rPr>
      </w:pPr>
      <w:bookmarkStart w:id="263" w:name="_Ref56093864"/>
      <w:r>
        <w:rPr>
          <w:lang w:bidi="fa-IR"/>
        </w:rPr>
        <w:t>Inability to visit family and friends in inaccessible housing</w:t>
      </w:r>
      <w:bookmarkEnd w:id="263"/>
    </w:p>
    <w:p w14:paraId="0D68B165" w14:textId="77777777" w:rsidR="00943E98" w:rsidRDefault="00943E98" w:rsidP="00943E98">
      <w:pPr>
        <w:pStyle w:val="BodyText"/>
        <w:rPr>
          <w:lang w:bidi="fa-IR"/>
        </w:rPr>
      </w:pPr>
      <w:bookmarkStart w:id="264" w:name="_Hlk56178699"/>
      <w:r>
        <w:rPr>
          <w:lang w:bidi="fa-IR"/>
        </w:rPr>
        <w:t xml:space="preserve">Inaccessible housing does not just affect the people who live in the dwelling, it also affects the ability of family members and friends with limited mobility </w:t>
      </w:r>
      <w:r w:rsidR="00B616C1">
        <w:rPr>
          <w:lang w:bidi="fa-IR"/>
        </w:rPr>
        <w:t>to visit</w:t>
      </w:r>
      <w:r>
        <w:rPr>
          <w:lang w:bidi="fa-IR"/>
        </w:rPr>
        <w:t>.</w:t>
      </w:r>
    </w:p>
    <w:p w14:paraId="046A1B61" w14:textId="77777777" w:rsidR="00943E98" w:rsidRDefault="00943E98" w:rsidP="0048044D">
      <w:pPr>
        <w:pStyle w:val="ListBullet"/>
        <w:numPr>
          <w:ilvl w:val="0"/>
          <w:numId w:val="0"/>
        </w:numPr>
        <w:rPr>
          <w:lang w:bidi="fa-IR"/>
        </w:rPr>
      </w:pPr>
      <w:r>
        <w:rPr>
          <w:lang w:bidi="fa-IR"/>
        </w:rPr>
        <w:t>Around two</w:t>
      </w:r>
      <w:r>
        <w:rPr>
          <w:lang w:bidi="fa-IR"/>
        </w:rPr>
        <w:noBreakHyphen/>
        <w:t>thirds of respondents to the MDI survey with low support needs agreed that they cannot visit friends and relatives whose homes are inaccessible</w:t>
      </w:r>
      <w:r w:rsidR="00E23890">
        <w:rPr>
          <w:lang w:bidi="fa-IR"/>
        </w:rPr>
        <w:t>.</w:t>
      </w:r>
    </w:p>
    <w:p w14:paraId="75A907BD" w14:textId="20E6F6BF" w:rsidR="00943E98" w:rsidRDefault="00943E98" w:rsidP="00943E98">
      <w:pPr>
        <w:pStyle w:val="ListBullet"/>
        <w:rPr>
          <w:lang w:bidi="fa-IR"/>
        </w:rPr>
      </w:pPr>
      <w:r>
        <w:rPr>
          <w:lang w:bidi="fa-IR"/>
        </w:rPr>
        <w:t>Around 80 per cent of respondents with high support needs also agreed that they cannot visit friends and relatives whose homes are inaccessible (table </w:t>
      </w:r>
      <w:r w:rsidR="00587754">
        <w:rPr>
          <w:lang w:bidi="fa-IR"/>
        </w:rPr>
        <w:t>3.37</w:t>
      </w:r>
      <w:r>
        <w:rPr>
          <w:lang w:bidi="fa-IR"/>
        </w:rPr>
        <w:t>).</w:t>
      </w:r>
    </w:p>
    <w:p w14:paraId="709AE401" w14:textId="70A33198" w:rsidR="00943E98" w:rsidRDefault="00142D49" w:rsidP="00943E98">
      <w:pPr>
        <w:pStyle w:val="Caption"/>
      </w:pPr>
      <w:bookmarkStart w:id="265" w:name="_Toc57643617"/>
      <w:bookmarkStart w:id="266" w:name="_Toc70505536"/>
      <w:r>
        <w:t>3.37</w:t>
      </w:r>
      <w:r w:rsidR="00943E98" w:rsidRPr="00695C93">
        <w:tab/>
      </w:r>
      <w:r w:rsidR="00943E98">
        <w:t>Inability to visit friends and relatives whose homes are inaccessible</w:t>
      </w:r>
      <w:bookmarkEnd w:id="265"/>
      <w:bookmarkEnd w:id="266"/>
    </w:p>
    <w:p w14:paraId="0129EE6E" w14:textId="77777777" w:rsidR="0048044D" w:rsidRPr="0048044D" w:rsidRDefault="0048044D" w:rsidP="0048044D">
      <w:pPr>
        <w:pStyle w:val="Subtitlebox"/>
      </w:pPr>
      <w:r w:rsidRPr="00B84CB7">
        <w:rPr>
          <w:noProof/>
        </w:rPr>
        <w:drawing>
          <wp:inline distT="0" distB="0" distL="0" distR="0" wp14:anchorId="50943159" wp14:editId="60360C74">
            <wp:extent cx="5035550" cy="2432050"/>
            <wp:effectExtent l="76200" t="76200" r="69850" b="82550"/>
            <wp:docPr id="18" name="Picture 18" descr="This chart shows the responses to the question 'To what extent do you agree or disagree with the statement &quot;I can't visit friends and relatives whose homes are inaccessible&quot;?'. Over 50% of respondents with high support needs strongly agreed with this statement. If you add those who somewhat agree, the total reached about 80% of respondents. The figures were lower for those with low support needs - about 30% strongly agreed, and over 35% somewhat agreed." title="Chart 3.37: Inability to visit friends and relatives whose homes are in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76200">
                      <a:solidFill>
                        <a:schemeClr val="bg2"/>
                      </a:solidFill>
                    </a:ln>
                  </pic:spPr>
                </pic:pic>
              </a:graphicData>
            </a:graphic>
          </wp:inline>
        </w:drawing>
      </w:r>
    </w:p>
    <w:p w14:paraId="40ACB360" w14:textId="77777777" w:rsidR="00943E98" w:rsidRPr="00A97BEC" w:rsidRDefault="00943E98" w:rsidP="002474D4">
      <w:pPr>
        <w:pStyle w:val="Source"/>
        <w:rPr>
          <w:lang w:bidi="fa-IR"/>
        </w:rPr>
      </w:pPr>
      <w:r w:rsidRPr="002474D4">
        <w:rPr>
          <w:lang w:bidi="fa-IR"/>
        </w:rPr>
        <w:t>Note: Q: To what extent do you agree or disagree with the statement “I can’t visit friends and relatives whose homes are inaccessible.</w:t>
      </w:r>
    </w:p>
    <w:p w14:paraId="3C6A334E" w14:textId="77777777" w:rsidR="00943E98" w:rsidRDefault="00943E98" w:rsidP="00943E98">
      <w:pPr>
        <w:pStyle w:val="Source"/>
        <w:rPr>
          <w:lang w:bidi="fa-IR"/>
        </w:rPr>
      </w:pPr>
      <w:r w:rsidRPr="002474D4">
        <w:rPr>
          <w:lang w:bidi="fa-IR"/>
        </w:rPr>
        <w:t>Data source:</w:t>
      </w:r>
      <w:r>
        <w:rPr>
          <w:lang w:bidi="fa-IR"/>
        </w:rPr>
        <w:t xml:space="preserve"> </w:t>
      </w:r>
      <w:r w:rsidR="00B3197F">
        <w:rPr>
          <w:lang w:bidi="fa-IR"/>
        </w:rPr>
        <w:t xml:space="preserve">Wiesel, I. </w:t>
      </w:r>
      <w:r w:rsidR="00B3197F" w:rsidRPr="002474D4">
        <w:rPr>
          <w:lang w:bidi="fa-IR"/>
        </w:rPr>
        <w:t>Lived experience and social, health and economic impacts of inaccessible housing</w:t>
      </w:r>
      <w:r w:rsidR="00B3197F">
        <w:rPr>
          <w:lang w:bidi="fa-IR"/>
        </w:rPr>
        <w:t>, prepared for the Melbourne Disability Institute, University of Melbourne and the Summer Foundation, 18 August 2020, as Appendix 2 of the submission by Melbourne Disability Institute (MDI) and Summer Foundation.</w:t>
      </w:r>
      <w:r>
        <w:rPr>
          <w:lang w:bidi="fa-IR"/>
        </w:rPr>
        <w:t xml:space="preserve"> p. 28.</w:t>
      </w:r>
    </w:p>
    <w:bookmarkEnd w:id="264"/>
    <w:p w14:paraId="513F1CF0" w14:textId="370740F3" w:rsidR="00943E98" w:rsidRDefault="00943E98" w:rsidP="00E4023A">
      <w:pPr>
        <w:pStyle w:val="BodyText"/>
        <w:rPr>
          <w:lang w:bidi="fa-IR"/>
        </w:rPr>
      </w:pPr>
      <w:r>
        <w:rPr>
          <w:lang w:bidi="fa-IR"/>
        </w:rPr>
        <w:lastRenderedPageBreak/>
        <w:t>Submissions provided extensive qualitative evidence of people with limited mobility being unable to visit friends and family (box </w:t>
      </w:r>
      <w:r w:rsidR="00587754">
        <w:rPr>
          <w:lang w:bidi="fa-IR"/>
        </w:rPr>
        <w:t>3.38</w:t>
      </w:r>
      <w:r>
        <w:rPr>
          <w:lang w:bidi="fa-IR"/>
        </w:rPr>
        <w:t>). In many cases this led to social exclusion, with flow</w:t>
      </w:r>
      <w:r>
        <w:rPr>
          <w:lang w:bidi="fa-IR"/>
        </w:rPr>
        <w:noBreakHyphen/>
        <w:t>on impacts on mental health and general quality of life.</w:t>
      </w:r>
    </w:p>
    <w:p w14:paraId="7D4608B6" w14:textId="77777777" w:rsidR="00EC1329" w:rsidRDefault="00EC1329" w:rsidP="00466E7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8: Lived experience – inability to visit family and friends"/>
        <w:tblDescription w:val="Examples of submissions from people who are unable to visit family and friends in their homes because of inaccessible entrances, space, and toilets, and the consequences for social lives, friendships and mental health."/>
      </w:tblPr>
      <w:tblGrid>
        <w:gridCol w:w="7938"/>
      </w:tblGrid>
      <w:tr w:rsidR="00EC1329" w:rsidRPr="00E05C8C" w14:paraId="7BB7E976" w14:textId="77777777" w:rsidTr="00142D49">
        <w:tc>
          <w:tcPr>
            <w:tcW w:w="7938" w:type="dxa"/>
            <w:tcBorders>
              <w:top w:val="nil"/>
              <w:left w:val="nil"/>
              <w:bottom w:val="nil"/>
              <w:right w:val="nil"/>
            </w:tcBorders>
            <w:shd w:val="clear" w:color="auto" w:fill="C6BFAB" w:themeFill="accent3"/>
          </w:tcPr>
          <w:p w14:paraId="02C9330B" w14:textId="21B7AFD5" w:rsidR="00EC1329" w:rsidRPr="00E05C8C" w:rsidRDefault="00142D49" w:rsidP="00EC1329">
            <w:pPr>
              <w:pStyle w:val="Caption"/>
              <w:numPr>
                <w:ilvl w:val="0"/>
                <w:numId w:val="13"/>
              </w:numPr>
              <w:spacing w:before="120" w:after="100"/>
            </w:pPr>
            <w:bookmarkStart w:id="267" w:name="_Toc57643618"/>
            <w:bookmarkStart w:id="268" w:name="_Toc70505537"/>
            <w:r>
              <w:t>3.38</w:t>
            </w:r>
            <w:r w:rsidR="00EC1329" w:rsidRPr="00E05C8C">
              <w:tab/>
            </w:r>
            <w:r w:rsidR="00A71CB4">
              <w:t>Lived</w:t>
            </w:r>
            <w:r w:rsidR="00EC1329">
              <w:t xml:space="preserve"> experience – </w:t>
            </w:r>
            <w:r w:rsidR="00F17B8A">
              <w:t>inability to visit family and friends</w:t>
            </w:r>
            <w:bookmarkEnd w:id="267"/>
            <w:bookmarkEnd w:id="268"/>
          </w:p>
        </w:tc>
      </w:tr>
      <w:tr w:rsidR="00EC1329" w14:paraId="087F9B17" w14:textId="77777777" w:rsidTr="00D226DD">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5984441C" w14:textId="77777777" w:rsidR="00943E98" w:rsidRDefault="00943E98" w:rsidP="00142D49">
            <w:pPr>
              <w:pStyle w:val="ListBullet"/>
              <w:spacing w:before="120"/>
            </w:pPr>
            <w:r>
              <w:t>The submission from the Queensland Disability Network included a personal story from a member, Wendy.</w:t>
            </w:r>
            <w:r>
              <w:rPr>
                <w:rStyle w:val="FootnoteReference"/>
              </w:rPr>
              <w:footnoteReference w:id="133"/>
            </w:r>
          </w:p>
          <w:p w14:paraId="4235DAD6" w14:textId="77777777" w:rsidR="00943E98" w:rsidRDefault="00943E98" w:rsidP="00142D49">
            <w:pPr>
              <w:pStyle w:val="ListBullet2"/>
              <w:spacing w:before="80"/>
            </w:pPr>
            <w:r>
              <w:t>Wendy is a wheelchair user who has limited capacity to visit her family because their homes do not have the accessibility features to support a visit from a wheelchair user. She is unable to access the house and is restricted to the garden and the veranda. She is unable to access the bathroom, limiting the duration of visits.</w:t>
            </w:r>
          </w:p>
          <w:p w14:paraId="27191677" w14:textId="77777777" w:rsidR="002F400A" w:rsidRPr="0074523E" w:rsidRDefault="00943E98" w:rsidP="00142D49">
            <w:pPr>
              <w:pStyle w:val="ListBullet2"/>
              <w:spacing w:before="80"/>
            </w:pPr>
            <w:r>
              <w:t>Wendy is also a member of a book club, but has trouble accessing the homes of many of the members.</w:t>
            </w:r>
          </w:p>
        </w:tc>
      </w:tr>
      <w:tr w:rsidR="007E2754" w14:paraId="13A8EFD6" w14:textId="77777777" w:rsidTr="00D226DD">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226D7C40" w14:textId="77777777" w:rsidR="00943E98" w:rsidRDefault="00943E98" w:rsidP="00142D49">
            <w:pPr>
              <w:pStyle w:val="ListBullet"/>
              <w:spacing w:before="120"/>
            </w:pPr>
            <w:r>
              <w:t>Another submission reported:</w:t>
            </w:r>
            <w:r>
              <w:rPr>
                <w:rStyle w:val="FootnoteReference"/>
              </w:rPr>
              <w:footnoteReference w:id="134"/>
            </w:r>
          </w:p>
          <w:p w14:paraId="5D44743F" w14:textId="77777777" w:rsidR="00943E98" w:rsidRDefault="00943E98" w:rsidP="00142D49">
            <w:pPr>
              <w:pStyle w:val="ListBullet2"/>
              <w:spacing w:before="80"/>
            </w:pPr>
            <w:r>
              <w:t>being unable to visit newborn nieces and nephews due to difficulties negotiating stairs</w:t>
            </w:r>
            <w:r w:rsidR="00D16A50">
              <w:t>.</w:t>
            </w:r>
          </w:p>
          <w:p w14:paraId="262C7C4A" w14:textId="77777777" w:rsidR="007E2754" w:rsidRPr="007E2754" w:rsidRDefault="00943E98" w:rsidP="00142D49">
            <w:pPr>
              <w:pStyle w:val="ListBullet2"/>
              <w:spacing w:before="80"/>
            </w:pPr>
            <w:r>
              <w:t>missing invites from friends because she is unable to access their homes.</w:t>
            </w:r>
          </w:p>
        </w:tc>
      </w:tr>
      <w:tr w:rsidR="00943E98" w14:paraId="02885D45" w14:textId="77777777" w:rsidTr="001F486D">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5305AD1F" w14:textId="77777777" w:rsidR="00943E98" w:rsidRDefault="00943E98" w:rsidP="00142D49">
            <w:pPr>
              <w:pStyle w:val="ListBullet"/>
              <w:spacing w:before="120"/>
            </w:pPr>
            <w:r>
              <w:t>Several of the personal stories highlighted in the Summer Foundation and MDI submission also highlight being unable to visit the homes of family and friends as an issue.</w:t>
            </w:r>
          </w:p>
          <w:p w14:paraId="1BCF69F0" w14:textId="77777777" w:rsidR="00943E98" w:rsidRDefault="00943E98" w:rsidP="00142D49">
            <w:pPr>
              <w:pStyle w:val="ListBullet2"/>
              <w:spacing w:before="80"/>
            </w:pPr>
            <w:r>
              <w:t>‘Kelly’ was born with spina bifida and has severe scoliosis. She uses a manual wheelchair as she is unable to stand or walk. Access barriers significantly restrict her from spending time with family and friends. She is unable to visit her friends at their inaccessible homes without assistance to be able to move around and use the toilet.</w:t>
            </w:r>
            <w:r>
              <w:rPr>
                <w:rStyle w:val="FootnoteReference"/>
              </w:rPr>
              <w:footnoteReference w:id="135"/>
            </w:r>
          </w:p>
          <w:p w14:paraId="7F1FD056" w14:textId="77777777" w:rsidR="00943E98" w:rsidRPr="007E2754" w:rsidRDefault="00943E98" w:rsidP="00142D49">
            <w:pPr>
              <w:pStyle w:val="ListBullet2"/>
              <w:spacing w:before="80" w:after="240"/>
              <w:rPr>
                <w:i/>
                <w:iCs/>
              </w:rPr>
            </w:pPr>
            <w:r>
              <w:t>‘Edna’ has muscular dystrophy, which has progressed to the point where she is unable to stand and walk. Edna reports not being able to go to her friends’ place because she could not use the toilet or get in the door.</w:t>
            </w:r>
            <w:r>
              <w:rPr>
                <w:rStyle w:val="FootnoteReference"/>
              </w:rPr>
              <w:footnoteReference w:id="136"/>
            </w:r>
          </w:p>
        </w:tc>
      </w:tr>
      <w:tr w:rsidR="00142D49" w:rsidRPr="00E05C8C" w14:paraId="36707100" w14:textId="77777777" w:rsidTr="001E5038">
        <w:trPr>
          <w:tblHeader/>
        </w:trPr>
        <w:tc>
          <w:tcPr>
            <w:tcW w:w="7938" w:type="dxa"/>
            <w:tcBorders>
              <w:top w:val="nil"/>
              <w:left w:val="nil"/>
              <w:bottom w:val="nil"/>
              <w:right w:val="nil"/>
            </w:tcBorders>
            <w:shd w:val="clear" w:color="auto" w:fill="C6BFAB" w:themeFill="accent3"/>
          </w:tcPr>
          <w:p w14:paraId="04366940" w14:textId="0EC0D045" w:rsidR="00142D49" w:rsidRPr="00142D49" w:rsidRDefault="00142D49" w:rsidP="00142D49">
            <w:pPr>
              <w:pStyle w:val="BodyText"/>
              <w:spacing w:before="120" w:after="100"/>
              <w:rPr>
                <w:rFonts w:ascii="Franklin Gothic Demi" w:hAnsi="Franklin Gothic Demi"/>
              </w:rPr>
            </w:pPr>
            <w:r>
              <w:rPr>
                <w:rFonts w:ascii="Franklin Gothic Demi" w:hAnsi="Franklin Gothic Demi"/>
              </w:rPr>
              <w:lastRenderedPageBreak/>
              <w:t>3.38</w:t>
            </w:r>
            <w:r w:rsidRPr="00142D49">
              <w:rPr>
                <w:rFonts w:ascii="Franklin Gothic Demi" w:hAnsi="Franklin Gothic Demi"/>
              </w:rPr>
              <w:tab/>
              <w:t>Lived experience – inability to visit family and friends</w:t>
            </w:r>
          </w:p>
        </w:tc>
      </w:tr>
      <w:tr w:rsidR="007E2754" w14:paraId="081931D2" w14:textId="77777777" w:rsidTr="001F486D">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4" w:space="0" w:color="9B917E" w:themeColor="accent4"/>
            </w:tcBorders>
            <w:shd w:val="clear" w:color="auto" w:fill="E9E8E5" w:themeFill="background2"/>
          </w:tcPr>
          <w:p w14:paraId="446ED471" w14:textId="77777777" w:rsidR="00943E98" w:rsidRDefault="00943E98" w:rsidP="00943E98">
            <w:pPr>
              <w:pStyle w:val="ListBullet"/>
            </w:pPr>
            <w:r>
              <w:t>Other selected comments in relation to difficulties experienced in visiting friends and relatives included the following.</w:t>
            </w:r>
            <w:r>
              <w:rPr>
                <w:rStyle w:val="FootnoteReference"/>
              </w:rPr>
              <w:footnoteReference w:id="137"/>
            </w:r>
          </w:p>
          <w:p w14:paraId="6AD8CB9E" w14:textId="77777777" w:rsidR="00943E98" w:rsidRDefault="00943E98" w:rsidP="00943E98">
            <w:pPr>
              <w:pStyle w:val="Quote"/>
            </w:pPr>
            <w:r>
              <w:t>“I’m unable to enter any of the homes of friends or families. The only way I can engage with my 92 year-old mother is either by phone or by meeting her at a café somewhere”</w:t>
            </w:r>
          </w:p>
          <w:p w14:paraId="1A0851B4" w14:textId="77777777" w:rsidR="00943E98" w:rsidRDefault="00943E98" w:rsidP="00943E98">
            <w:pPr>
              <w:pStyle w:val="Quote"/>
            </w:pPr>
            <w:r>
              <w:t xml:space="preserve">“Very simple: the only people I can visit are other physically disabled people who live in accessible homes. This means I can’t visit family and friends who stop inviting me to their homes (pre COVID) and often ends up in lack of inclusion in most activities outside the home. If I’m out of sight, I’m out of mind.” </w:t>
            </w:r>
          </w:p>
          <w:p w14:paraId="4C33300B" w14:textId="77777777" w:rsidR="00943E98" w:rsidRDefault="00943E98" w:rsidP="00943E98">
            <w:pPr>
              <w:pStyle w:val="Quote"/>
            </w:pPr>
            <w:r>
              <w:t>“I cannot visit anyone that is in an inaccessibl</w:t>
            </w:r>
            <w:r w:rsidR="0025095F">
              <w:t>e</w:t>
            </w:r>
            <w:r>
              <w:t xml:space="preserve"> house. I miss out on being with family and friends and they meet without me or we all do not get together. My social and family life is significantly impaired by lack of accessible buildings every day.”</w:t>
            </w:r>
          </w:p>
          <w:p w14:paraId="62C7050A" w14:textId="77777777" w:rsidR="000112CF" w:rsidRPr="000112CF" w:rsidRDefault="0020445B" w:rsidP="001F486D">
            <w:pPr>
              <w:pStyle w:val="Quote"/>
              <w:spacing w:after="120"/>
              <w:rPr>
                <w:i/>
                <w:iCs/>
              </w:rPr>
            </w:pPr>
            <w:r>
              <w:t>“</w:t>
            </w:r>
            <w:r w:rsidR="00943E98">
              <w:t>It has a profound effect on friendships in particular as my family make the effort to see me despite their homes being inaccessible. I have lost touch with friends due to their houses being inaccessible — I have had to turn down invitations due to inaccessibility, and the embarrassment of their houses not being accessible means I do not get invited any more.</w:t>
            </w:r>
            <w:r>
              <w:t>”</w:t>
            </w:r>
          </w:p>
        </w:tc>
      </w:tr>
    </w:tbl>
    <w:p w14:paraId="4998E8F4" w14:textId="77777777" w:rsidR="00943E98" w:rsidRDefault="00943E98" w:rsidP="00943E98">
      <w:pPr>
        <w:pStyle w:val="BodyText"/>
        <w:rPr>
          <w:lang w:bidi="fa-IR"/>
        </w:rPr>
      </w:pPr>
      <w:r>
        <w:rPr>
          <w:lang w:bidi="fa-IR"/>
        </w:rPr>
        <w:t xml:space="preserve">There is a growing body of evidence showing that social isolation and loneliness can have tangible impacts on both mental and physical health. According to </w:t>
      </w:r>
      <w:r w:rsidR="00B616C1">
        <w:rPr>
          <w:lang w:bidi="fa-IR"/>
        </w:rPr>
        <w:t>AIHW</w:t>
      </w:r>
      <w:r>
        <w:rPr>
          <w:lang w:bidi="fa-IR"/>
        </w:rPr>
        <w:t>, social isolation and loneliness are distinctly different but related concepts.</w:t>
      </w:r>
    </w:p>
    <w:p w14:paraId="0A2DC42B" w14:textId="77777777" w:rsidR="00943E98" w:rsidRDefault="00943E98" w:rsidP="00943E98">
      <w:pPr>
        <w:pStyle w:val="ListBullet"/>
        <w:rPr>
          <w:lang w:bidi="fa-IR"/>
        </w:rPr>
      </w:pPr>
      <w:r>
        <w:rPr>
          <w:lang w:bidi="fa-IR"/>
        </w:rPr>
        <w:t>Social isolation is where an individual has minimal contact with others.</w:t>
      </w:r>
    </w:p>
    <w:p w14:paraId="18CB4BD6" w14:textId="77777777" w:rsidR="00943E98" w:rsidRDefault="00943E98" w:rsidP="00943E98">
      <w:pPr>
        <w:pStyle w:val="ListBullet"/>
        <w:rPr>
          <w:lang w:bidi="fa-IR"/>
        </w:rPr>
      </w:pPr>
      <w:r>
        <w:rPr>
          <w:lang w:bidi="fa-IR"/>
        </w:rPr>
        <w:t>Loneliness is a subjective state of negative feelings about having a lower level of social contact than desired.</w:t>
      </w:r>
      <w:r>
        <w:rPr>
          <w:rStyle w:val="FootnoteReference"/>
          <w:lang w:bidi="fa-IR"/>
        </w:rPr>
        <w:footnoteReference w:id="138"/>
      </w:r>
    </w:p>
    <w:p w14:paraId="4A291CA5" w14:textId="77777777" w:rsidR="00943E98" w:rsidRDefault="00943E98" w:rsidP="00943E98">
      <w:pPr>
        <w:pStyle w:val="BodyText"/>
        <w:rPr>
          <w:lang w:bidi="fa-IR"/>
        </w:rPr>
      </w:pPr>
      <w:r>
        <w:rPr>
          <w:lang w:bidi="fa-IR"/>
        </w:rPr>
        <w:t>According to a 2018 survey by the Australian Psychological Society and Swinburne University of Technology, around 25 per cent of Australians are lonely.</w:t>
      </w:r>
      <w:r>
        <w:rPr>
          <w:rStyle w:val="FootnoteReference"/>
          <w:lang w:bidi="fa-IR"/>
        </w:rPr>
        <w:footnoteReference w:id="139"/>
      </w:r>
      <w:r>
        <w:rPr>
          <w:lang w:bidi="fa-IR"/>
        </w:rPr>
        <w:t xml:space="preserve"> Loneliness is a growing concern globally, because of its reported impact on health and wellbeing. Various international studies have estimated that loneliness can impose significant health</w:t>
      </w:r>
      <w:r>
        <w:rPr>
          <w:lang w:bidi="fa-IR"/>
        </w:rPr>
        <w:noBreakHyphen/>
        <w:t>related costs on the community. Although social isolation can lead to loneliness, the AIHW notes that the two concepts do not necessarily co</w:t>
      </w:r>
      <w:r>
        <w:rPr>
          <w:lang w:bidi="fa-IR"/>
        </w:rPr>
        <w:noBreakHyphen/>
        <w:t>exist.</w:t>
      </w:r>
      <w:r>
        <w:rPr>
          <w:rStyle w:val="FootnoteReference"/>
          <w:lang w:bidi="fa-IR"/>
        </w:rPr>
        <w:footnoteReference w:id="140"/>
      </w:r>
    </w:p>
    <w:p w14:paraId="263CBFDB" w14:textId="77777777" w:rsidR="00943E98" w:rsidRDefault="00943E98" w:rsidP="00943E98">
      <w:pPr>
        <w:pStyle w:val="BodyText"/>
        <w:rPr>
          <w:lang w:bidi="fa-IR"/>
        </w:rPr>
      </w:pPr>
      <w:r>
        <w:rPr>
          <w:lang w:bidi="fa-IR"/>
        </w:rPr>
        <w:t>Inaccessible housing may be contributing to social isolation and loneliness among people with limited mobility by preventing them from participating in family gatherings or other social occasions. Based on the evidence provided in submissions, access issues at the homes of family and friends include an inability to access the dwelling or use the toilet with dignity.</w:t>
      </w:r>
    </w:p>
    <w:p w14:paraId="03990D34" w14:textId="77777777" w:rsidR="00943E98" w:rsidRDefault="00943E98" w:rsidP="000B79E9">
      <w:pPr>
        <w:pStyle w:val="KeyPoint"/>
        <w:numPr>
          <w:ilvl w:val="0"/>
          <w:numId w:val="11"/>
        </w:numPr>
        <w:rPr>
          <w:lang w:bidi="fa-IR"/>
        </w:rPr>
      </w:pPr>
      <w:r>
        <w:rPr>
          <w:lang w:bidi="fa-IR"/>
        </w:rPr>
        <w:lastRenderedPageBreak/>
        <w:t xml:space="preserve">Based on the limited information available, </w:t>
      </w:r>
      <w:r w:rsidR="007077E1">
        <w:rPr>
          <w:lang w:bidi="fa-IR"/>
        </w:rPr>
        <w:t xml:space="preserve">it is </w:t>
      </w:r>
      <w:r>
        <w:rPr>
          <w:lang w:bidi="fa-IR"/>
        </w:rPr>
        <w:t>estimate</w:t>
      </w:r>
      <w:r w:rsidR="007077E1">
        <w:rPr>
          <w:lang w:bidi="fa-IR"/>
        </w:rPr>
        <w:t>d</w:t>
      </w:r>
      <w:r>
        <w:rPr>
          <w:lang w:bidi="fa-IR"/>
        </w:rPr>
        <w:t xml:space="preserve"> that an additional 85 800 people with limited mobility may be experiencing loneliness as a result of an inability to visit family and friends due to access issues.</w:t>
      </w:r>
    </w:p>
    <w:p w14:paraId="219C32CC" w14:textId="77777777" w:rsidR="00943E98" w:rsidRDefault="00943E98" w:rsidP="000B79E9">
      <w:pPr>
        <w:pStyle w:val="KeyPoint"/>
        <w:numPr>
          <w:ilvl w:val="0"/>
          <w:numId w:val="11"/>
        </w:numPr>
        <w:rPr>
          <w:lang w:bidi="fa-IR"/>
        </w:rPr>
      </w:pPr>
      <w:r>
        <w:rPr>
          <w:lang w:bidi="fa-IR"/>
        </w:rPr>
        <w:t>Estimates of the health</w:t>
      </w:r>
      <w:r>
        <w:rPr>
          <w:lang w:bidi="fa-IR"/>
        </w:rPr>
        <w:noBreakHyphen/>
        <w:t>related costs of loneliness range from around $417 to around $1</w:t>
      </w:r>
      <w:r w:rsidR="00415254">
        <w:rPr>
          <w:lang w:bidi="fa-IR"/>
        </w:rPr>
        <w:t> </w:t>
      </w:r>
      <w:r>
        <w:rPr>
          <w:lang w:bidi="fa-IR"/>
        </w:rPr>
        <w:t>471 per year (with a midpoint of around $944 per year).</w:t>
      </w:r>
    </w:p>
    <w:p w14:paraId="00558AB7" w14:textId="77777777" w:rsidR="00943E98" w:rsidRDefault="00943E98" w:rsidP="000B79E9">
      <w:pPr>
        <w:pStyle w:val="KeyPoint"/>
        <w:numPr>
          <w:ilvl w:val="0"/>
          <w:numId w:val="11"/>
        </w:numPr>
        <w:rPr>
          <w:lang w:bidi="fa-IR"/>
        </w:rPr>
      </w:pPr>
      <w:r>
        <w:rPr>
          <w:lang w:bidi="fa-IR"/>
        </w:rPr>
        <w:t>This suggests the cost to the community of loneliness related to an inability to visit family and friends due to inaccessible housing could range between $35.73 million per year and $126.12 million per year, with a midpoint of around $80.93 million per year.</w:t>
      </w:r>
    </w:p>
    <w:p w14:paraId="6CB73058" w14:textId="61C78638" w:rsidR="00E4023A" w:rsidRDefault="00E4023A" w:rsidP="00E4023A">
      <w:pPr>
        <w:pStyle w:val="BodyText"/>
        <w:rPr>
          <w:lang w:bidi="fa-IR"/>
        </w:rPr>
      </w:pPr>
      <w:r>
        <w:rPr>
          <w:lang w:bidi="fa-IR"/>
        </w:rPr>
        <w:t xml:space="preserve">Details on </w:t>
      </w:r>
      <w:r w:rsidR="00F650A8">
        <w:rPr>
          <w:lang w:bidi="fa-IR"/>
        </w:rPr>
        <w:t>the</w:t>
      </w:r>
      <w:r>
        <w:rPr>
          <w:lang w:bidi="fa-IR"/>
        </w:rPr>
        <w:t xml:space="preserve"> approach </w:t>
      </w:r>
      <w:r w:rsidR="009533E3">
        <w:rPr>
          <w:lang w:bidi="fa-IR"/>
        </w:rPr>
        <w:t xml:space="preserve">used </w:t>
      </w:r>
      <w:r>
        <w:rPr>
          <w:lang w:bidi="fa-IR"/>
        </w:rPr>
        <w:t>to estimat</w:t>
      </w:r>
      <w:r w:rsidR="009533E3">
        <w:rPr>
          <w:lang w:bidi="fa-IR"/>
        </w:rPr>
        <w:t>e</w:t>
      </w:r>
      <w:r>
        <w:rPr>
          <w:lang w:bidi="fa-IR"/>
        </w:rPr>
        <w:t xml:space="preserve"> these costs are outlined </w:t>
      </w:r>
      <w:r w:rsidRPr="00C83317">
        <w:rPr>
          <w:lang w:bidi="fa-IR"/>
        </w:rPr>
        <w:t>in appendix</w:t>
      </w:r>
      <w:r w:rsidR="00C83317" w:rsidRPr="00C83317">
        <w:rPr>
          <w:lang w:bidi="fa-IR"/>
        </w:rPr>
        <w:t> </w:t>
      </w:r>
      <w:r w:rsidR="00C83317" w:rsidRPr="00C83317">
        <w:rPr>
          <w:lang w:bidi="fa-IR"/>
        </w:rPr>
        <w:fldChar w:fldCharType="begin"/>
      </w:r>
      <w:r w:rsidR="00C83317" w:rsidRPr="00C83317">
        <w:rPr>
          <w:lang w:bidi="fa-IR"/>
        </w:rPr>
        <w:instrText xml:space="preserve"> REF _Ref55130419 \n \h </w:instrText>
      </w:r>
      <w:r w:rsidR="00C83317">
        <w:rPr>
          <w:lang w:bidi="fa-IR"/>
        </w:rPr>
        <w:instrText xml:space="preserve"> \* MERGEFORMAT </w:instrText>
      </w:r>
      <w:r w:rsidR="00C83317" w:rsidRPr="00C83317">
        <w:rPr>
          <w:lang w:bidi="fa-IR"/>
        </w:rPr>
      </w:r>
      <w:r w:rsidR="00C83317" w:rsidRPr="00C83317">
        <w:rPr>
          <w:lang w:bidi="fa-IR"/>
        </w:rPr>
        <w:fldChar w:fldCharType="separate"/>
      </w:r>
      <w:r w:rsidR="000F445C">
        <w:rPr>
          <w:lang w:bidi="fa-IR"/>
        </w:rPr>
        <w:t>G</w:t>
      </w:r>
      <w:r w:rsidR="00C83317" w:rsidRPr="00C83317">
        <w:rPr>
          <w:lang w:bidi="fa-IR"/>
        </w:rPr>
        <w:fldChar w:fldCharType="end"/>
      </w:r>
      <w:r>
        <w:rPr>
          <w:lang w:bidi="fa-IR"/>
        </w:rPr>
        <w:t>.</w:t>
      </w:r>
    </w:p>
    <w:p w14:paraId="4AC6A412" w14:textId="77777777" w:rsidR="00E4023A" w:rsidRPr="00C700B7" w:rsidRDefault="00E4023A" w:rsidP="00E4023A">
      <w:pPr>
        <w:pStyle w:val="Heading3"/>
        <w:numPr>
          <w:ilvl w:val="2"/>
          <w:numId w:val="5"/>
        </w:numPr>
        <w:rPr>
          <w:lang w:bidi="fa-IR"/>
        </w:rPr>
      </w:pPr>
      <w:r w:rsidRPr="00C700B7">
        <w:rPr>
          <w:lang w:bidi="fa-IR"/>
        </w:rPr>
        <w:t>Premature or inappropriate entry into residential aged care or other institutional care</w:t>
      </w:r>
    </w:p>
    <w:p w14:paraId="41911165" w14:textId="77777777" w:rsidR="00867A84" w:rsidRDefault="00867A84" w:rsidP="00867A84">
      <w:pPr>
        <w:pStyle w:val="BodyText"/>
        <w:rPr>
          <w:lang w:bidi="fa-IR"/>
        </w:rPr>
      </w:pPr>
      <w:r>
        <w:rPr>
          <w:lang w:bidi="fa-IR"/>
        </w:rPr>
        <w:t>Housing lacking key accessibility features can contribute to premature or inappropriate entry into residential aged care (also referred to as a nursing home) or other institutional care. Although residential aged care is an appropriate form of care for many older Australians (particularly those with high care needs), inappropriate or premature entry in</w:t>
      </w:r>
      <w:r w:rsidR="009533E3">
        <w:rPr>
          <w:lang w:bidi="fa-IR"/>
        </w:rPr>
        <w:t>to</w:t>
      </w:r>
      <w:r>
        <w:rPr>
          <w:lang w:bidi="fa-IR"/>
        </w:rPr>
        <w:t xml:space="preserve"> residential aged care would be a sub</w:t>
      </w:r>
      <w:r>
        <w:rPr>
          <w:lang w:bidi="fa-IR"/>
        </w:rPr>
        <w:noBreakHyphen/>
        <w:t>optimal outcome from multiple perspectives.</w:t>
      </w:r>
    </w:p>
    <w:p w14:paraId="755514C6" w14:textId="77777777" w:rsidR="008A5C96" w:rsidRDefault="008A5C96" w:rsidP="008A5C96">
      <w:pPr>
        <w:pStyle w:val="ListBullet"/>
        <w:numPr>
          <w:ilvl w:val="0"/>
          <w:numId w:val="16"/>
        </w:numPr>
        <w:rPr>
          <w:lang w:bidi="fa-IR"/>
        </w:rPr>
      </w:pPr>
      <w:r>
        <w:rPr>
          <w:lang w:bidi="fa-IR"/>
        </w:rPr>
        <w:t>Residential aged care is costly, relative to home</w:t>
      </w:r>
      <w:r>
        <w:rPr>
          <w:lang w:bidi="fa-IR"/>
        </w:rPr>
        <w:noBreakHyphen/>
        <w:t>based care.</w:t>
      </w:r>
    </w:p>
    <w:p w14:paraId="5C0ADBE6" w14:textId="15453CFF" w:rsidR="008A5C96" w:rsidRDefault="00867A84" w:rsidP="008A5C96">
      <w:pPr>
        <w:pStyle w:val="ListBullet"/>
        <w:numPr>
          <w:ilvl w:val="0"/>
          <w:numId w:val="16"/>
        </w:numPr>
        <w:rPr>
          <w:lang w:bidi="fa-IR"/>
        </w:rPr>
      </w:pPr>
      <w:r>
        <w:rPr>
          <w:lang w:bidi="fa-IR"/>
        </w:rPr>
        <w:t>As emphasised in a number of submissions, most Australians would prefer to remain at home for as long as possible, rather than enter residential aged care</w:t>
      </w:r>
      <w:r>
        <w:rPr>
          <w:rStyle w:val="FootnoteReference"/>
          <w:lang w:bidi="fa-IR"/>
        </w:rPr>
        <w:footnoteReference w:id="141"/>
      </w:r>
      <w:r>
        <w:rPr>
          <w:lang w:bidi="fa-IR"/>
        </w:rPr>
        <w:t xml:space="preserve"> </w:t>
      </w:r>
      <w:r w:rsidR="008A5C96">
        <w:rPr>
          <w:lang w:bidi="fa-IR"/>
        </w:rPr>
        <w:t xml:space="preserve">(i.e. ‘ageing in place’ — see </w:t>
      </w:r>
      <w:r w:rsidR="007E4850">
        <w:rPr>
          <w:lang w:bidi="fa-IR"/>
        </w:rPr>
        <w:t xml:space="preserve">box </w:t>
      </w:r>
      <w:r w:rsidR="0066514C">
        <w:rPr>
          <w:lang w:bidi="fa-IR"/>
        </w:rPr>
        <w:t xml:space="preserve">3.39 </w:t>
      </w:r>
      <w:r w:rsidR="008A5C96">
        <w:rPr>
          <w:lang w:bidi="fa-IR"/>
        </w:rPr>
        <w:t>for details).</w:t>
      </w:r>
      <w:r>
        <w:rPr>
          <w:lang w:bidi="fa-IR"/>
        </w:rPr>
        <w:t xml:space="preserve"> This is supported by research by the AHURI, which found that between 78 and 81 per cent of older Australians aged over 55 want to live in their own home as they age.</w:t>
      </w:r>
      <w:r>
        <w:rPr>
          <w:rStyle w:val="FootnoteReference"/>
          <w:lang w:bidi="fa-IR"/>
        </w:rPr>
        <w:footnoteReference w:id="142"/>
      </w:r>
    </w:p>
    <w:p w14:paraId="27A2FD05" w14:textId="77777777" w:rsidR="00554FDC" w:rsidRDefault="00554FDC" w:rsidP="00554FDC">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39: Ageing in place and inappropriate entry into residential aged care"/>
        <w:tblDescription w:val="An explanation of the term 'ageing in place'. It means that as people get older, they can remain living in their home, even when the impacts of old age affect their mobility and mental ability. It doesn not necessarily mean they will continue living in the same dwelling throughout their retirement, but rather that they can avoid living in residential aged care."/>
      </w:tblPr>
      <w:tblGrid>
        <w:gridCol w:w="7938"/>
      </w:tblGrid>
      <w:tr w:rsidR="00554FDC" w:rsidRPr="00E05C8C" w14:paraId="25CE4F69" w14:textId="77777777" w:rsidTr="00142D49">
        <w:trPr>
          <w:cantSplit/>
        </w:trPr>
        <w:tc>
          <w:tcPr>
            <w:tcW w:w="7938" w:type="dxa"/>
            <w:tcBorders>
              <w:top w:val="nil"/>
              <w:left w:val="nil"/>
              <w:bottom w:val="nil"/>
              <w:right w:val="nil"/>
            </w:tcBorders>
            <w:shd w:val="clear" w:color="auto" w:fill="C6BFAB" w:themeFill="accent3"/>
          </w:tcPr>
          <w:p w14:paraId="32D162F6" w14:textId="0233F956" w:rsidR="00554FDC" w:rsidRPr="00E05C8C" w:rsidRDefault="00142D49" w:rsidP="00554FDC">
            <w:pPr>
              <w:pStyle w:val="Caption"/>
              <w:numPr>
                <w:ilvl w:val="0"/>
                <w:numId w:val="13"/>
              </w:numPr>
              <w:spacing w:before="120" w:after="100"/>
            </w:pPr>
            <w:bookmarkStart w:id="269" w:name="_Toc57643619"/>
            <w:bookmarkStart w:id="270" w:name="_Toc70505538"/>
            <w:r>
              <w:t>3.39</w:t>
            </w:r>
            <w:r w:rsidR="00554FDC" w:rsidRPr="00E05C8C">
              <w:tab/>
            </w:r>
            <w:r w:rsidR="008A5C96">
              <w:t>Ageing in place and i</w:t>
            </w:r>
            <w:r w:rsidR="00554FDC">
              <w:t>nappropriate entry into residential aged care</w:t>
            </w:r>
            <w:bookmarkEnd w:id="269"/>
            <w:bookmarkEnd w:id="270"/>
          </w:p>
        </w:tc>
      </w:tr>
      <w:tr w:rsidR="00554FDC" w14:paraId="1A7F9CFC" w14:textId="77777777" w:rsidTr="00142D49">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76C93307" w14:textId="77777777" w:rsidR="006B557D" w:rsidRDefault="006B557D" w:rsidP="006B557D">
            <w:pPr>
              <w:pStyle w:val="BodyText"/>
            </w:pPr>
            <w:r>
              <w:t>According to the Australian Housing and Urban Research Institute (AHURI),</w:t>
            </w:r>
            <w:r>
              <w:rPr>
                <w:rStyle w:val="FootnoteReference"/>
              </w:rPr>
              <w:footnoteReference w:id="143"/>
            </w:r>
            <w:r>
              <w:t xml:space="preserve"> a</w:t>
            </w:r>
            <w:r w:rsidRPr="00A322EF">
              <w:t>geing in place means that as people get older they can remain living in their home rather than entering residential aged care, even when the impacts of old age (e.g. the increasing risk of illness or disability) affect their mobility and mental ability.</w:t>
            </w:r>
          </w:p>
          <w:p w14:paraId="5E2DB4D8" w14:textId="42F45A21" w:rsidR="00EC5FEA" w:rsidRPr="00EC5FEA" w:rsidRDefault="006B557D" w:rsidP="00142D49">
            <w:pPr>
              <w:pStyle w:val="BodyText"/>
              <w:rPr>
                <w:i/>
                <w:iCs/>
              </w:rPr>
            </w:pPr>
            <w:r>
              <w:t xml:space="preserve">Under AHURI’s definition, the key element of ageing in place is avoiding living in residential aged care. It does not necessarily </w:t>
            </w:r>
            <w:r w:rsidRPr="00A322EF">
              <w:t xml:space="preserve">mean </w:t>
            </w:r>
            <w:r>
              <w:t>that older people</w:t>
            </w:r>
            <w:r w:rsidRPr="00A322EF">
              <w:t xml:space="preserve"> will continue living in the same dwelling throughout their retirement.</w:t>
            </w:r>
          </w:p>
        </w:tc>
      </w:tr>
      <w:tr w:rsidR="00142D49" w:rsidRPr="00142D49" w14:paraId="79862554" w14:textId="77777777" w:rsidTr="001E5038">
        <w:trPr>
          <w:cantSplit/>
        </w:trPr>
        <w:tc>
          <w:tcPr>
            <w:tcW w:w="7938" w:type="dxa"/>
            <w:tcBorders>
              <w:top w:val="nil"/>
              <w:left w:val="nil"/>
              <w:bottom w:val="nil"/>
              <w:right w:val="nil"/>
            </w:tcBorders>
            <w:shd w:val="clear" w:color="auto" w:fill="C6BFAB" w:themeFill="accent3"/>
          </w:tcPr>
          <w:p w14:paraId="58561590" w14:textId="77777777" w:rsidR="00142D49" w:rsidRPr="00142D49" w:rsidRDefault="00142D49" w:rsidP="00142D49">
            <w:pPr>
              <w:pStyle w:val="BodyText"/>
              <w:spacing w:before="120" w:after="100"/>
              <w:rPr>
                <w:rFonts w:ascii="Franklin Gothic Demi" w:hAnsi="Franklin Gothic Demi"/>
              </w:rPr>
            </w:pPr>
            <w:r w:rsidRPr="00142D49">
              <w:rPr>
                <w:rFonts w:ascii="Franklin Gothic Demi" w:hAnsi="Franklin Gothic Demi"/>
              </w:rPr>
              <w:lastRenderedPageBreak/>
              <w:t>3.39</w:t>
            </w:r>
            <w:r w:rsidRPr="00142D49">
              <w:rPr>
                <w:rFonts w:ascii="Franklin Gothic Demi" w:hAnsi="Franklin Gothic Demi"/>
              </w:rPr>
              <w:tab/>
              <w:t>Ageing in place and inappropriate entry into residential aged care</w:t>
            </w:r>
          </w:p>
        </w:tc>
      </w:tr>
      <w:tr w:rsidR="00142D49" w14:paraId="1408697B" w14:textId="77777777" w:rsidTr="001F486D">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4" w:space="0" w:color="9B917E" w:themeColor="accent4"/>
            </w:tcBorders>
            <w:shd w:val="clear" w:color="auto" w:fill="E9E8E5" w:themeFill="background2"/>
          </w:tcPr>
          <w:p w14:paraId="229A49A8" w14:textId="5DEF2626" w:rsidR="00142D49" w:rsidRDefault="00142D49" w:rsidP="006B557D">
            <w:pPr>
              <w:pStyle w:val="BodyText"/>
            </w:pPr>
            <w:r w:rsidRPr="00A322EF">
              <w:t>Ageing in place requires a degree of independent living ability for the older person (</w:t>
            </w:r>
            <w:r>
              <w:t>including</w:t>
            </w:r>
            <w:r w:rsidRPr="00A322EF">
              <w:t xml:space="preserve"> both adequate levels of mental and physical ability)</w:t>
            </w:r>
            <w:r>
              <w:t xml:space="preserve">. However, remaining in the community has the advantage of </w:t>
            </w:r>
            <w:r w:rsidRPr="00A322EF">
              <w:t>giv</w:t>
            </w:r>
            <w:r>
              <w:t>ing</w:t>
            </w:r>
            <w:r w:rsidRPr="00A322EF">
              <w:t xml:space="preserve"> </w:t>
            </w:r>
            <w:r>
              <w:t>older people</w:t>
            </w:r>
            <w:r w:rsidRPr="00A322EF">
              <w:t xml:space="preserve"> control over their living space and how they live, as well as ongoing connection to the community that they are used to.</w:t>
            </w:r>
          </w:p>
        </w:tc>
      </w:tr>
    </w:tbl>
    <w:p w14:paraId="2CB63335" w14:textId="77777777" w:rsidR="006149B7" w:rsidRDefault="00977447" w:rsidP="00977447">
      <w:pPr>
        <w:pStyle w:val="BodyText"/>
        <w:rPr>
          <w:lang w:bidi="fa-IR"/>
        </w:rPr>
      </w:pPr>
      <w:r>
        <w:rPr>
          <w:lang w:bidi="fa-IR"/>
        </w:rPr>
        <w:t xml:space="preserve">Evidence from the MDI survey suggests that being forced into a nursing home is a concern of many people with </w:t>
      </w:r>
      <w:r w:rsidR="00D870C0">
        <w:rPr>
          <w:lang w:bidi="fa-IR"/>
        </w:rPr>
        <w:t xml:space="preserve">disability </w:t>
      </w:r>
      <w:r>
        <w:rPr>
          <w:lang w:bidi="fa-IR"/>
        </w:rPr>
        <w:t>(chart 3.</w:t>
      </w:r>
      <w:r w:rsidR="00833931">
        <w:rPr>
          <w:lang w:bidi="fa-IR"/>
        </w:rPr>
        <w:t>40</w:t>
      </w:r>
      <w:r>
        <w:rPr>
          <w:lang w:bidi="fa-IR"/>
        </w:rPr>
        <w:t xml:space="preserve">). </w:t>
      </w:r>
      <w:r w:rsidR="00982EEB">
        <w:rPr>
          <w:lang w:bidi="fa-IR"/>
        </w:rPr>
        <w:t>A significantly greater proportion of people living in inaccessible housing are concerned about being forced into a nursing home, compared with those living in accessible housing.</w:t>
      </w:r>
      <w:r w:rsidR="0045605B">
        <w:rPr>
          <w:lang w:bidi="fa-IR"/>
        </w:rPr>
        <w:t xml:space="preserve"> Box 3.41</w:t>
      </w:r>
      <w:r w:rsidR="00223A4A">
        <w:rPr>
          <w:lang w:bidi="fa-IR"/>
        </w:rPr>
        <w:t xml:space="preserve"> </w:t>
      </w:r>
      <w:r w:rsidR="00B30698">
        <w:rPr>
          <w:lang w:bidi="fa-IR"/>
        </w:rPr>
        <w:t xml:space="preserve">provides the lived experience of Michelle’s </w:t>
      </w:r>
      <w:r w:rsidR="0043594C">
        <w:rPr>
          <w:lang w:bidi="fa-IR"/>
        </w:rPr>
        <w:t>entry into residential aged care.</w:t>
      </w:r>
    </w:p>
    <w:p w14:paraId="64D752EA" w14:textId="6F3C82A8" w:rsidR="00977447" w:rsidRDefault="00142D49" w:rsidP="00142D49">
      <w:pPr>
        <w:pStyle w:val="Caption"/>
        <w:spacing w:before="480"/>
      </w:pPr>
      <w:bookmarkStart w:id="271" w:name="_Toc57643620"/>
      <w:bookmarkStart w:id="272" w:name="_Toc70505539"/>
      <w:r>
        <w:t>3.40</w:t>
      </w:r>
      <w:r w:rsidR="00977447" w:rsidRPr="00695C93">
        <w:tab/>
      </w:r>
      <w:r w:rsidR="00977447">
        <w:t>Survey respondents concerned about being forced into residential aged care</w:t>
      </w:r>
      <w:bookmarkEnd w:id="271"/>
      <w:bookmarkEnd w:id="272"/>
    </w:p>
    <w:p w14:paraId="3394D2F8" w14:textId="77777777" w:rsidR="001F486D" w:rsidRDefault="001F486D" w:rsidP="001F486D">
      <w:pPr>
        <w:pStyle w:val="Subtitlebox"/>
      </w:pPr>
      <w:r w:rsidRPr="00B45FA5">
        <w:rPr>
          <w:noProof/>
        </w:rPr>
        <w:drawing>
          <wp:inline distT="0" distB="0" distL="0" distR="0" wp14:anchorId="1488B847" wp14:editId="5C12321D">
            <wp:extent cx="5039995" cy="2431109"/>
            <wp:effectExtent l="76200" t="76200" r="84455" b="83820"/>
            <wp:docPr id="28" name="Picture 28" descr="This graph illustrates the percentage of survey respondents concerned about being forced into a nursing home. This concern is greater for those who live in an inaccessible home - about 45% of those with low support needs are concerned, and nearly 60% of those with high support needs. Those in accessible homes are less concerned (under 30%)." title="Chart 3.40: Survey respondents concerned about being forced into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2431109"/>
                    </a:xfrm>
                    <a:prstGeom prst="rect">
                      <a:avLst/>
                    </a:prstGeom>
                    <a:noFill/>
                    <a:ln w="76200">
                      <a:solidFill>
                        <a:schemeClr val="bg2"/>
                      </a:solidFill>
                    </a:ln>
                  </pic:spPr>
                </pic:pic>
              </a:graphicData>
            </a:graphic>
          </wp:inline>
        </w:drawing>
      </w:r>
    </w:p>
    <w:p w14:paraId="6F6E4683" w14:textId="77777777" w:rsidR="00977447" w:rsidRPr="00A97BEC" w:rsidRDefault="00977447" w:rsidP="00142D49">
      <w:pPr>
        <w:pStyle w:val="Source"/>
        <w:spacing w:before="120"/>
        <w:rPr>
          <w:lang w:bidi="fa-IR"/>
        </w:rPr>
      </w:pPr>
      <w:r w:rsidRPr="002474D4">
        <w:rPr>
          <w:lang w:bidi="fa-IR"/>
        </w:rPr>
        <w:t>Note: Q: How concerned are you about being forced to move to a nursing home because of difficulty getting around your home?</w:t>
      </w:r>
    </w:p>
    <w:p w14:paraId="7494084C" w14:textId="77777777" w:rsidR="00977447" w:rsidRDefault="00B3197F" w:rsidP="00142D49">
      <w:pPr>
        <w:pStyle w:val="Source"/>
        <w:spacing w:after="600"/>
        <w:rPr>
          <w:lang w:bidi="fa-IR"/>
        </w:rPr>
      </w:pPr>
      <w:r w:rsidRPr="002474D4">
        <w:rPr>
          <w:lang w:bidi="fa-IR"/>
        </w:rPr>
        <w:t>Data source:</w:t>
      </w:r>
      <w:r>
        <w:rPr>
          <w:lang w:bidi="fa-IR"/>
        </w:rPr>
        <w:t xml:space="preserve"> Wiesel, I. </w:t>
      </w:r>
      <w:r w:rsidRPr="002474D4">
        <w:rPr>
          <w:lang w:bidi="fa-IR"/>
        </w:rPr>
        <w:t>Lived experience and social, health and economic impacts of inaccessible housing</w:t>
      </w:r>
      <w:r>
        <w:rPr>
          <w:lang w:bidi="fa-IR"/>
        </w:rPr>
        <w:t>, prepared for the Melbourne Disability Institute, University of Melbourne and the Summer Foundation, 18 August 2020, as Appendix 2 of the submission by Melbourne Disability Institute (MDI) and Summer Foundation. p.</w:t>
      </w:r>
      <w:r w:rsidR="00977447">
        <w:rPr>
          <w:lang w:bidi="fa-IR"/>
        </w:rPr>
        <w:t>37.</w:t>
      </w: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41: Lived experience — inappropriate entry into residential aged care"/>
        <w:tblDescription w:val="Case study of a young woman who was forced to stay in residential aged care for 16 months because there was no available alternative following a stay in rehabilitation care. She had learnt to walk again in rehabilitation, but lost the ability in residential aged care, and had to relearn it when she was eventually brought home."/>
      </w:tblPr>
      <w:tblGrid>
        <w:gridCol w:w="7938"/>
      </w:tblGrid>
      <w:tr w:rsidR="00852572" w:rsidRPr="00E05C8C" w14:paraId="59B45523" w14:textId="77777777" w:rsidTr="00142D49">
        <w:trPr>
          <w:cantSplit/>
        </w:trPr>
        <w:tc>
          <w:tcPr>
            <w:tcW w:w="7938" w:type="dxa"/>
            <w:tcBorders>
              <w:top w:val="nil"/>
              <w:left w:val="nil"/>
              <w:bottom w:val="nil"/>
              <w:right w:val="nil"/>
            </w:tcBorders>
            <w:shd w:val="clear" w:color="auto" w:fill="C6BFAB" w:themeFill="accent3"/>
          </w:tcPr>
          <w:p w14:paraId="6E0F3D6C" w14:textId="21FD2120" w:rsidR="00852572" w:rsidRPr="00E05C8C" w:rsidRDefault="00142D49" w:rsidP="00852572">
            <w:pPr>
              <w:pStyle w:val="Caption"/>
              <w:numPr>
                <w:ilvl w:val="0"/>
                <w:numId w:val="13"/>
              </w:numPr>
              <w:spacing w:before="120" w:after="100"/>
            </w:pPr>
            <w:bookmarkStart w:id="273" w:name="_Toc57643621"/>
            <w:bookmarkStart w:id="274" w:name="_Toc70505540"/>
            <w:r>
              <w:t>3.41</w:t>
            </w:r>
            <w:r w:rsidR="00852572" w:rsidRPr="00E05C8C">
              <w:tab/>
            </w:r>
            <w:r w:rsidR="00284B21">
              <w:t xml:space="preserve">Lived </w:t>
            </w:r>
            <w:r w:rsidR="00852572">
              <w:t>experience — inappropriate entry into residential aged care</w:t>
            </w:r>
            <w:bookmarkEnd w:id="273"/>
            <w:bookmarkEnd w:id="274"/>
          </w:p>
        </w:tc>
      </w:tr>
      <w:tr w:rsidR="00852572" w14:paraId="7D4316E7" w14:textId="77777777" w:rsidTr="00837E27">
        <w:tblPrEx>
          <w:tblBorders>
            <w:top w:val="none" w:sz="0" w:space="0" w:color="auto"/>
            <w:left w:val="none" w:sz="0" w:space="0" w:color="auto"/>
            <w:bottom w:val="none" w:sz="0" w:space="0" w:color="auto"/>
            <w:right w:val="none" w:sz="0" w:space="0" w:color="auto"/>
          </w:tblBorders>
          <w:shd w:val="clear" w:color="6F6652" w:fill="F1EFEA"/>
        </w:tblPrEx>
        <w:trPr>
          <w:cantSplit/>
          <w:trHeight w:val="862"/>
        </w:trPr>
        <w:tc>
          <w:tcPr>
            <w:tcW w:w="7938" w:type="dxa"/>
            <w:shd w:val="clear" w:color="auto" w:fill="E9E8E5" w:themeFill="background2"/>
          </w:tcPr>
          <w:p w14:paraId="7633181F" w14:textId="77777777" w:rsidR="00852572" w:rsidRDefault="00852572" w:rsidP="00142D49">
            <w:pPr>
              <w:pStyle w:val="BodyText"/>
              <w:spacing w:line="320" w:lineRule="atLeast"/>
            </w:pPr>
            <w:r>
              <w:t>Michelle was just 19 when she had a severe asthma attack that resulted in an Acquired Brain Injury.</w:t>
            </w:r>
          </w:p>
          <w:p w14:paraId="2131597F" w14:textId="77777777" w:rsidR="00837E27" w:rsidRPr="00BF2F67" w:rsidRDefault="00837E27" w:rsidP="00142D49">
            <w:pPr>
              <w:pStyle w:val="BodyText"/>
              <w:spacing w:after="360" w:line="320" w:lineRule="atLeast"/>
            </w:pPr>
            <w:r>
              <w:t>Ann said Michelle had learnt to walk when she was in rehab but had lost the ability in RAC</w:t>
            </w:r>
            <w:r w:rsidR="00B616C1">
              <w:t xml:space="preserve"> (Residential Aged Care)</w:t>
            </w:r>
            <w:r>
              <w:t>. “A shorter stay in RAC would have helped Michelle’s recovery because the main progress she made was when she got home.”</w:t>
            </w:r>
          </w:p>
        </w:tc>
      </w:tr>
      <w:tr w:rsidR="00142D49" w:rsidRPr="00E05C8C" w14:paraId="35AA8EDB" w14:textId="77777777" w:rsidTr="001E5038">
        <w:trPr>
          <w:cantSplit/>
        </w:trPr>
        <w:tc>
          <w:tcPr>
            <w:tcW w:w="7938" w:type="dxa"/>
            <w:tcBorders>
              <w:top w:val="nil"/>
              <w:left w:val="nil"/>
              <w:bottom w:val="nil"/>
              <w:right w:val="nil"/>
            </w:tcBorders>
            <w:shd w:val="clear" w:color="auto" w:fill="C6BFAB" w:themeFill="accent3"/>
          </w:tcPr>
          <w:p w14:paraId="44CADDC4" w14:textId="77777777" w:rsidR="00142D49" w:rsidRPr="00E05C8C" w:rsidRDefault="00142D49" w:rsidP="00142D49">
            <w:pPr>
              <w:pStyle w:val="BodyText"/>
              <w:spacing w:before="120" w:after="100"/>
            </w:pPr>
            <w:r w:rsidRPr="00142D49">
              <w:rPr>
                <w:rFonts w:ascii="Franklin Gothic Demi" w:hAnsi="Franklin Gothic Demi"/>
              </w:rPr>
              <w:lastRenderedPageBreak/>
              <w:t>3.41</w:t>
            </w:r>
            <w:r w:rsidRPr="00142D49">
              <w:rPr>
                <w:rFonts w:ascii="Franklin Gothic Demi" w:hAnsi="Franklin Gothic Demi"/>
              </w:rPr>
              <w:tab/>
              <w:t>Lived experience — inappropriate entry into residential aged care</w:t>
            </w:r>
          </w:p>
        </w:tc>
      </w:tr>
      <w:tr w:rsidR="00852572" w14:paraId="033788A8" w14:textId="77777777" w:rsidTr="001F486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635"/>
        </w:trPr>
        <w:tc>
          <w:tcPr>
            <w:tcW w:w="7938" w:type="dxa"/>
            <w:tcBorders>
              <w:bottom w:val="single" w:sz="6" w:space="0" w:color="9B917E" w:themeColor="accent4"/>
            </w:tcBorders>
            <w:shd w:val="clear" w:color="auto" w:fill="E9E8E5" w:themeFill="background2"/>
          </w:tcPr>
          <w:p w14:paraId="11D29DD9" w14:textId="77777777" w:rsidR="00852572" w:rsidRDefault="00852572" w:rsidP="00852572">
            <w:pPr>
              <w:pStyle w:val="BodyText"/>
            </w:pPr>
            <w:r>
              <w:t xml:space="preserve">“Having Michelle home earlier would have had a big impact on her life,” Michelle’s mother Ann said.  </w:t>
            </w:r>
          </w:p>
          <w:p w14:paraId="57FE401C" w14:textId="77777777" w:rsidR="004F2248" w:rsidRDefault="00852572" w:rsidP="001F486D">
            <w:pPr>
              <w:spacing w:after="120"/>
            </w:pPr>
            <w:r>
              <w:t>“Sixteen months was wasted on an environment [RAC] that didn’t speak to Michelle. She should have been in rehab longer and then home. We were always going to bring her home no matter what, we just didn’t know it would take 2 years.”</w:t>
            </w:r>
          </w:p>
          <w:p w14:paraId="4FEE4771" w14:textId="77777777" w:rsidR="004F2248" w:rsidRPr="001F486D" w:rsidRDefault="004F2248" w:rsidP="004F2248">
            <w:pPr>
              <w:spacing w:before="140"/>
              <w:rPr>
                <w:rFonts w:ascii="Franklin Gothic Book" w:hAnsi="Franklin Gothic Book"/>
                <w:sz w:val="14"/>
                <w:szCs w:val="14"/>
              </w:rPr>
            </w:pPr>
            <w:r w:rsidRPr="001F486D">
              <w:rPr>
                <w:rFonts w:ascii="Franklin Gothic Book" w:hAnsi="Franklin Gothic Book"/>
                <w:i/>
                <w:iCs/>
                <w:sz w:val="14"/>
                <w:szCs w:val="14"/>
              </w:rPr>
              <w:t>Source: Michelle’s personal story in Amelia Condi for Summer Foundation Response</w:t>
            </w:r>
            <w:r w:rsidRPr="001F486D">
              <w:rPr>
                <w:rStyle w:val="FootnoteReference"/>
                <w:rFonts w:ascii="Franklin Gothic Book" w:hAnsi="Franklin Gothic Book"/>
                <w:sz w:val="14"/>
                <w:szCs w:val="14"/>
              </w:rPr>
              <w:footnoteReference w:id="144"/>
            </w:r>
          </w:p>
        </w:tc>
      </w:tr>
    </w:tbl>
    <w:p w14:paraId="048236E7" w14:textId="77777777" w:rsidR="00852572" w:rsidRDefault="00852572" w:rsidP="001F486D">
      <w:pPr>
        <w:pStyle w:val="BodyText"/>
        <w:spacing w:before="240"/>
        <w:rPr>
          <w:lang w:bidi="fa-IR"/>
        </w:rPr>
      </w:pPr>
      <w:r>
        <w:rPr>
          <w:lang w:bidi="fa-IR"/>
        </w:rPr>
        <w:t>Recent trends in aged care include the following:</w:t>
      </w:r>
    </w:p>
    <w:p w14:paraId="1280F34C" w14:textId="77777777" w:rsidR="00852572" w:rsidRDefault="00852572" w:rsidP="00852572">
      <w:pPr>
        <w:pStyle w:val="ListBullet"/>
        <w:numPr>
          <w:ilvl w:val="0"/>
          <w:numId w:val="16"/>
        </w:numPr>
        <w:rPr>
          <w:lang w:bidi="fa-IR"/>
        </w:rPr>
      </w:pPr>
      <w:r>
        <w:rPr>
          <w:lang w:bidi="fa-IR"/>
        </w:rPr>
        <w:t>All entrants into government</w:t>
      </w:r>
      <w:r>
        <w:rPr>
          <w:lang w:bidi="fa-IR"/>
        </w:rPr>
        <w:noBreakHyphen/>
        <w:t>funded aged care places undergo an assessment of the most appropriate long</w:t>
      </w:r>
      <w:r>
        <w:rPr>
          <w:lang w:bidi="fa-IR"/>
        </w:rPr>
        <w:noBreakHyphen/>
        <w:t>term care option before entry in</w:t>
      </w:r>
      <w:r w:rsidR="003B4AF1">
        <w:rPr>
          <w:lang w:bidi="fa-IR"/>
        </w:rPr>
        <w:t>to</w:t>
      </w:r>
      <w:r>
        <w:rPr>
          <w:lang w:bidi="fa-IR"/>
        </w:rPr>
        <w:t xml:space="preserve"> residential aged care.</w:t>
      </w:r>
    </w:p>
    <w:p w14:paraId="780257A1" w14:textId="77777777" w:rsidR="00852572" w:rsidRDefault="00852572" w:rsidP="00852572">
      <w:pPr>
        <w:pStyle w:val="ListBullet"/>
        <w:numPr>
          <w:ilvl w:val="0"/>
          <w:numId w:val="16"/>
        </w:numPr>
        <w:rPr>
          <w:lang w:bidi="fa-IR"/>
        </w:rPr>
      </w:pPr>
      <w:r>
        <w:rPr>
          <w:lang w:bidi="fa-IR"/>
        </w:rPr>
        <w:t>There has been a policy shift towards supporting older Australians to remain at home, rather than entering residential aged care.</w:t>
      </w:r>
    </w:p>
    <w:p w14:paraId="0CE8B2D1" w14:textId="77777777" w:rsidR="00852572" w:rsidRDefault="00852572" w:rsidP="00852572">
      <w:pPr>
        <w:pStyle w:val="ListBullet"/>
        <w:numPr>
          <w:ilvl w:val="0"/>
          <w:numId w:val="16"/>
        </w:numPr>
        <w:rPr>
          <w:lang w:bidi="fa-IR"/>
        </w:rPr>
      </w:pPr>
      <w:r>
        <w:rPr>
          <w:lang w:bidi="fa-IR"/>
        </w:rPr>
        <w:t>This is reflected in a declining share of people over the age of 70 in residential aged care.</w:t>
      </w:r>
    </w:p>
    <w:p w14:paraId="5620A669" w14:textId="77777777" w:rsidR="00852572" w:rsidRDefault="00852572" w:rsidP="00852572">
      <w:pPr>
        <w:pStyle w:val="BodyText"/>
        <w:rPr>
          <w:lang w:bidi="fa-IR"/>
        </w:rPr>
      </w:pPr>
      <w:r>
        <w:rPr>
          <w:lang w:bidi="fa-IR"/>
        </w:rPr>
        <w:t>These developments suggest it is becoming less likely that someone would be inappropriately or prematurely admitted to residential aged care.</w:t>
      </w:r>
    </w:p>
    <w:p w14:paraId="3D9CE39C" w14:textId="20823077" w:rsidR="00852572" w:rsidRPr="00852572" w:rsidRDefault="00852572" w:rsidP="00852572">
      <w:pPr>
        <w:pStyle w:val="BodyText"/>
        <w:rPr>
          <w:lang w:eastAsia="en-US"/>
        </w:rPr>
      </w:pPr>
      <w:r>
        <w:rPr>
          <w:lang w:bidi="fa-IR"/>
        </w:rPr>
        <w:t xml:space="preserve">Nevertheless, </w:t>
      </w:r>
      <w:r w:rsidR="007077E1">
        <w:rPr>
          <w:lang w:bidi="fa-IR"/>
        </w:rPr>
        <w:t xml:space="preserve">it is </w:t>
      </w:r>
      <w:r>
        <w:rPr>
          <w:lang w:bidi="fa-IR"/>
        </w:rPr>
        <w:t>estimate</w:t>
      </w:r>
      <w:r w:rsidR="007077E1">
        <w:rPr>
          <w:lang w:bidi="fa-IR"/>
        </w:rPr>
        <w:t>d</w:t>
      </w:r>
      <w:r>
        <w:rPr>
          <w:lang w:bidi="fa-IR"/>
        </w:rPr>
        <w:t xml:space="preserve"> that the costs associated with inappropriate or premature entry into residential aged care could range between around $120 million and $268 million per year, with a central case estimate of around $185 million per year (table </w:t>
      </w:r>
      <w:r w:rsidR="0066514C">
        <w:rPr>
          <w:lang w:bidi="fa-IR"/>
        </w:rPr>
        <w:t>3.42</w:t>
      </w:r>
      <w:r>
        <w:rPr>
          <w:lang w:bidi="fa-IR"/>
        </w:rPr>
        <w:t>). This is based on the following assumptions.</w:t>
      </w:r>
    </w:p>
    <w:p w14:paraId="46D4ACDE" w14:textId="77777777" w:rsidR="00977447" w:rsidRDefault="00977447" w:rsidP="00977447">
      <w:pPr>
        <w:pStyle w:val="ListBullet"/>
        <w:numPr>
          <w:ilvl w:val="0"/>
          <w:numId w:val="16"/>
        </w:numPr>
        <w:rPr>
          <w:lang w:bidi="fa-IR"/>
        </w:rPr>
      </w:pPr>
      <w:r>
        <w:rPr>
          <w:lang w:bidi="fa-IR"/>
        </w:rPr>
        <w:t>Based on SDAC data and modelling of the extent to which various factors affect the probability of being in residential aged care,</w:t>
      </w:r>
      <w:r>
        <w:rPr>
          <w:rStyle w:val="FootnoteReference"/>
          <w:lang w:bidi="fa-IR"/>
        </w:rPr>
        <w:footnoteReference w:id="145"/>
      </w:r>
      <w:r>
        <w:rPr>
          <w:lang w:bidi="fa-IR"/>
        </w:rPr>
        <w:t xml:space="preserve"> </w:t>
      </w:r>
      <w:r w:rsidR="007077E1">
        <w:rPr>
          <w:lang w:bidi="fa-IR"/>
        </w:rPr>
        <w:t xml:space="preserve">it is </w:t>
      </w:r>
      <w:r>
        <w:rPr>
          <w:lang w:bidi="fa-IR"/>
        </w:rPr>
        <w:t>estimate</w:t>
      </w:r>
      <w:r w:rsidR="007077E1">
        <w:rPr>
          <w:lang w:bidi="fa-IR"/>
        </w:rPr>
        <w:t>d</w:t>
      </w:r>
      <w:r>
        <w:rPr>
          <w:lang w:bidi="fa-IR"/>
        </w:rPr>
        <w:t xml:space="preserve"> that there may be between 2</w:t>
      </w:r>
      <w:r w:rsidR="00982EEB">
        <w:rPr>
          <w:lang w:bidi="fa-IR"/>
        </w:rPr>
        <w:t> </w:t>
      </w:r>
      <w:r>
        <w:rPr>
          <w:lang w:bidi="fa-IR"/>
        </w:rPr>
        <w:t>660 and 6</w:t>
      </w:r>
      <w:r w:rsidR="00982EEB">
        <w:rPr>
          <w:lang w:bidi="fa-IR"/>
        </w:rPr>
        <w:t> </w:t>
      </w:r>
      <w:r>
        <w:rPr>
          <w:lang w:bidi="fa-IR"/>
        </w:rPr>
        <w:t>023 additional people in residential aged care due to a lack of accessible housing, with a central case estimate of 4</w:t>
      </w:r>
      <w:r w:rsidR="00982EEB">
        <w:rPr>
          <w:lang w:bidi="fa-IR"/>
        </w:rPr>
        <w:t> </w:t>
      </w:r>
      <w:r>
        <w:rPr>
          <w:lang w:bidi="fa-IR"/>
        </w:rPr>
        <w:t>140.</w:t>
      </w:r>
    </w:p>
    <w:p w14:paraId="67F88847" w14:textId="77777777" w:rsidR="00977447" w:rsidRDefault="007077E1" w:rsidP="00977447">
      <w:pPr>
        <w:pStyle w:val="ListBullet"/>
        <w:numPr>
          <w:ilvl w:val="0"/>
          <w:numId w:val="16"/>
        </w:numPr>
        <w:rPr>
          <w:lang w:bidi="fa-IR"/>
        </w:rPr>
      </w:pPr>
      <w:r>
        <w:rPr>
          <w:lang w:bidi="fa-IR"/>
        </w:rPr>
        <w:t xml:space="preserve">It is </w:t>
      </w:r>
      <w:r w:rsidR="00977447">
        <w:rPr>
          <w:lang w:bidi="fa-IR"/>
        </w:rPr>
        <w:t>estimate</w:t>
      </w:r>
      <w:r>
        <w:rPr>
          <w:lang w:bidi="fa-IR"/>
        </w:rPr>
        <w:t>d</w:t>
      </w:r>
      <w:r w:rsidR="00977447">
        <w:rPr>
          <w:lang w:bidi="fa-IR"/>
        </w:rPr>
        <w:t xml:space="preserve"> that the additional cost of aged care (relative to remaining in the home) could be </w:t>
      </w:r>
      <w:r w:rsidR="00977447" w:rsidRPr="00E41EBA">
        <w:rPr>
          <w:lang w:bidi="fa-IR"/>
        </w:rPr>
        <w:t>around $3</w:t>
      </w:r>
      <w:r w:rsidR="00982EEB">
        <w:rPr>
          <w:lang w:bidi="fa-IR"/>
        </w:rPr>
        <w:t>3</w:t>
      </w:r>
      <w:r w:rsidR="00977447" w:rsidRPr="00E41EBA">
        <w:rPr>
          <w:lang w:bidi="fa-IR"/>
        </w:rPr>
        <w:t> </w:t>
      </w:r>
      <w:r w:rsidR="00982EEB">
        <w:rPr>
          <w:lang w:bidi="fa-IR"/>
        </w:rPr>
        <w:t>645</w:t>
      </w:r>
      <w:r w:rsidR="00977447" w:rsidRPr="00E41EBA">
        <w:rPr>
          <w:lang w:bidi="fa-IR"/>
        </w:rPr>
        <w:t xml:space="preserve"> per year.</w:t>
      </w:r>
    </w:p>
    <w:p w14:paraId="4490FE82" w14:textId="77777777" w:rsidR="00977447" w:rsidRDefault="00C238B0" w:rsidP="00977447">
      <w:pPr>
        <w:pStyle w:val="ListBullet"/>
        <w:numPr>
          <w:ilvl w:val="0"/>
          <w:numId w:val="16"/>
        </w:numPr>
        <w:rPr>
          <w:lang w:bidi="fa-IR"/>
        </w:rPr>
      </w:pPr>
      <w:r>
        <w:rPr>
          <w:lang w:bidi="fa-IR"/>
        </w:rPr>
        <w:t xml:space="preserve">The Royal Commission </w:t>
      </w:r>
      <w:r w:rsidR="00021F8B">
        <w:rPr>
          <w:lang w:bidi="fa-IR"/>
        </w:rPr>
        <w:t xml:space="preserve">into Aged Care Quality and Safety </w:t>
      </w:r>
      <w:r>
        <w:rPr>
          <w:lang w:bidi="fa-IR"/>
        </w:rPr>
        <w:t>recently released a report suggesting that the average willingness to pay to avoid entering residential aged care was around $184 per week or around $9</w:t>
      </w:r>
      <w:r w:rsidR="00B616C1">
        <w:rPr>
          <w:lang w:bidi="fa-IR"/>
        </w:rPr>
        <w:t> </w:t>
      </w:r>
      <w:r>
        <w:rPr>
          <w:lang w:bidi="fa-IR"/>
        </w:rPr>
        <w:t>568 per year.</w:t>
      </w:r>
      <w:r w:rsidR="000D53F1">
        <w:rPr>
          <w:rStyle w:val="FootnoteReference"/>
          <w:lang w:bidi="fa-IR"/>
        </w:rPr>
        <w:footnoteReference w:id="146"/>
      </w:r>
      <w:r>
        <w:rPr>
          <w:lang w:bidi="fa-IR"/>
        </w:rPr>
        <w:t xml:space="preserve"> This is a more direct measure of the loss of wellbeing associated with inappropriate or premature entry into residential aged care than the approach used in the Consultation RIS</w:t>
      </w:r>
      <w:r w:rsidR="00977447">
        <w:rPr>
          <w:lang w:bidi="fa-IR"/>
        </w:rPr>
        <w:t>.</w:t>
      </w:r>
    </w:p>
    <w:p w14:paraId="354165EE" w14:textId="77777777" w:rsidR="0022260E" w:rsidRDefault="0022260E" w:rsidP="00E4023A">
      <w:pPr>
        <w:pStyle w:val="BodyText"/>
        <w:rPr>
          <w:lang w:bidi="fa-IR"/>
        </w:rPr>
      </w:pPr>
      <w:r>
        <w:rPr>
          <w:lang w:bidi="fa-IR"/>
        </w:rPr>
        <w:br w:type="page"/>
      </w:r>
    </w:p>
    <w:p w14:paraId="09809E97" w14:textId="2BD11C7B" w:rsidR="00E4023A" w:rsidRDefault="00E4023A" w:rsidP="00E4023A">
      <w:pPr>
        <w:pStyle w:val="BodyText"/>
        <w:rPr>
          <w:lang w:bidi="fa-IR"/>
        </w:rPr>
      </w:pPr>
      <w:r>
        <w:rPr>
          <w:lang w:bidi="fa-IR"/>
        </w:rPr>
        <w:lastRenderedPageBreak/>
        <w:t xml:space="preserve">Details on </w:t>
      </w:r>
      <w:r w:rsidR="009F5140">
        <w:rPr>
          <w:lang w:bidi="fa-IR"/>
        </w:rPr>
        <w:t xml:space="preserve">the </w:t>
      </w:r>
      <w:r>
        <w:rPr>
          <w:lang w:bidi="fa-IR"/>
        </w:rPr>
        <w:t>approach to estimating these costs are provided in the appendix </w:t>
      </w:r>
      <w:r w:rsidR="00C83317">
        <w:rPr>
          <w:lang w:bidi="fa-IR"/>
        </w:rPr>
        <w:fldChar w:fldCharType="begin"/>
      </w:r>
      <w:r w:rsidR="00C83317">
        <w:rPr>
          <w:lang w:bidi="fa-IR"/>
        </w:rPr>
        <w:instrText xml:space="preserve"> REF _Ref55130384 \n \h </w:instrText>
      </w:r>
      <w:r w:rsidR="00C83317">
        <w:rPr>
          <w:lang w:bidi="fa-IR"/>
        </w:rPr>
      </w:r>
      <w:r w:rsidR="00C83317">
        <w:rPr>
          <w:lang w:bidi="fa-IR"/>
        </w:rPr>
        <w:fldChar w:fldCharType="separate"/>
      </w:r>
      <w:r w:rsidR="000F445C">
        <w:rPr>
          <w:lang w:bidi="fa-IR"/>
        </w:rPr>
        <w:t>H</w:t>
      </w:r>
      <w:r w:rsidR="00C83317">
        <w:rPr>
          <w:lang w:bidi="fa-IR"/>
        </w:rPr>
        <w:fldChar w:fldCharType="end"/>
      </w:r>
      <w:r>
        <w:rPr>
          <w:lang w:bidi="fa-IR"/>
        </w:rPr>
        <w:t>.</w:t>
      </w:r>
    </w:p>
    <w:p w14:paraId="2650C6C5" w14:textId="1C41C8D9" w:rsidR="00E4023A" w:rsidRDefault="0022260E" w:rsidP="00E4023A">
      <w:pPr>
        <w:pStyle w:val="Caption"/>
      </w:pPr>
      <w:bookmarkStart w:id="275" w:name="_Toc45654142"/>
      <w:bookmarkStart w:id="276" w:name="_Toc70505541"/>
      <w:r>
        <w:t>3.42</w:t>
      </w:r>
      <w:bookmarkStart w:id="277" w:name="_Toc44598511"/>
      <w:bookmarkStart w:id="278" w:name="_Toc44695883"/>
      <w:bookmarkStart w:id="279" w:name="_Toc57643622"/>
      <w:r w:rsidR="00E4023A" w:rsidRPr="00695C93">
        <w:tab/>
      </w:r>
      <w:r w:rsidR="00E4023A">
        <w:t>Estimate costs of inappropriate or premature entry into aged care</w:t>
      </w:r>
      <w:bookmarkEnd w:id="275"/>
      <w:bookmarkEnd w:id="276"/>
      <w:bookmarkEnd w:id="277"/>
      <w:bookmarkEnd w:id="278"/>
      <w:bookmarkEnd w:id="279"/>
    </w:p>
    <w:tbl>
      <w:tblPr>
        <w:tblW w:w="7936" w:type="dxa"/>
        <w:tblLayout w:type="fixed"/>
        <w:tblLook w:val="0000" w:firstRow="0" w:lastRow="0" w:firstColumn="0" w:lastColumn="0" w:noHBand="0" w:noVBand="0"/>
        <w:tblCaption w:val="Table 3.42: Estimate costs of inappropriate or premature entry into aged care"/>
        <w:tblDescription w:val="This table contains the estimated costs for people who have been inappropriately or prematurely put into aged care. It ranges from a low estimate of $119,560,000 to a high estimate of $267,860,000."/>
      </w:tblPr>
      <w:tblGrid>
        <w:gridCol w:w="3328"/>
        <w:gridCol w:w="1536"/>
        <w:gridCol w:w="1536"/>
        <w:gridCol w:w="1536"/>
      </w:tblGrid>
      <w:tr w:rsidR="00E4023A" w:rsidRPr="008222CC" w14:paraId="4C04442A" w14:textId="77777777" w:rsidTr="005B0289">
        <w:trPr>
          <w:trHeight w:val="230"/>
        </w:trPr>
        <w:tc>
          <w:tcPr>
            <w:tcW w:w="3328" w:type="dxa"/>
            <w:shd w:val="clear" w:color="auto" w:fill="6F6652"/>
            <w:tcMar>
              <w:left w:w="57" w:type="dxa"/>
              <w:right w:w="57" w:type="dxa"/>
            </w:tcMar>
          </w:tcPr>
          <w:p w14:paraId="03E64B16" w14:textId="77777777" w:rsidR="00E4023A" w:rsidRPr="008222CC" w:rsidRDefault="003B4AF1" w:rsidP="005B0289">
            <w:pPr>
              <w:pStyle w:val="TableDataColumnHeading"/>
              <w:jc w:val="left"/>
              <w:rPr>
                <w:lang w:val="en-GB"/>
              </w:rPr>
            </w:pPr>
            <w:r>
              <w:rPr>
                <w:lang w:val="en-GB"/>
              </w:rPr>
              <w:t>Cost</w:t>
            </w:r>
          </w:p>
        </w:tc>
        <w:tc>
          <w:tcPr>
            <w:tcW w:w="1536" w:type="dxa"/>
            <w:shd w:val="clear" w:color="auto" w:fill="6F6652"/>
            <w:tcMar>
              <w:left w:w="57" w:type="dxa"/>
              <w:right w:w="57" w:type="dxa"/>
            </w:tcMar>
          </w:tcPr>
          <w:p w14:paraId="34DB4477" w14:textId="77777777" w:rsidR="00E4023A" w:rsidRPr="008222CC" w:rsidRDefault="00E4023A" w:rsidP="005B0289">
            <w:pPr>
              <w:pStyle w:val="TableDataColumnHeading"/>
              <w:rPr>
                <w:lang w:val="en-GB"/>
              </w:rPr>
            </w:pPr>
            <w:r w:rsidRPr="008222CC">
              <w:rPr>
                <w:lang w:val="en-GB"/>
              </w:rPr>
              <w:t>Low estimate</w:t>
            </w:r>
          </w:p>
        </w:tc>
        <w:tc>
          <w:tcPr>
            <w:tcW w:w="1536" w:type="dxa"/>
            <w:shd w:val="clear" w:color="auto" w:fill="6F6652"/>
            <w:tcMar>
              <w:left w:w="57" w:type="dxa"/>
              <w:right w:w="57" w:type="dxa"/>
            </w:tcMar>
          </w:tcPr>
          <w:p w14:paraId="5ADE48EB" w14:textId="77777777" w:rsidR="00E4023A" w:rsidRPr="008222CC" w:rsidRDefault="00E4023A" w:rsidP="005B0289">
            <w:pPr>
              <w:pStyle w:val="TableDataColumnHeading"/>
              <w:rPr>
                <w:lang w:val="en-GB"/>
              </w:rPr>
            </w:pPr>
            <w:r w:rsidRPr="008222CC">
              <w:rPr>
                <w:lang w:val="en-GB"/>
              </w:rPr>
              <w:t>Central case</w:t>
            </w:r>
          </w:p>
        </w:tc>
        <w:tc>
          <w:tcPr>
            <w:tcW w:w="1536" w:type="dxa"/>
            <w:shd w:val="clear" w:color="auto" w:fill="6F6652"/>
            <w:tcMar>
              <w:left w:w="57" w:type="dxa"/>
              <w:right w:w="57" w:type="dxa"/>
            </w:tcMar>
          </w:tcPr>
          <w:p w14:paraId="1CA04859" w14:textId="77777777" w:rsidR="00E4023A" w:rsidRPr="008222CC" w:rsidRDefault="00E4023A" w:rsidP="005B0289">
            <w:pPr>
              <w:pStyle w:val="TableDataColumnHeading"/>
              <w:rPr>
                <w:lang w:val="en-GB"/>
              </w:rPr>
            </w:pPr>
            <w:r w:rsidRPr="008222CC">
              <w:rPr>
                <w:lang w:val="en-GB"/>
              </w:rPr>
              <w:t>High estimate</w:t>
            </w:r>
          </w:p>
        </w:tc>
      </w:tr>
      <w:tr w:rsidR="00E4023A" w14:paraId="05621DBA" w14:textId="77777777" w:rsidTr="005B0289">
        <w:trPr>
          <w:trHeight w:val="230"/>
        </w:trPr>
        <w:tc>
          <w:tcPr>
            <w:tcW w:w="3328" w:type="dxa"/>
            <w:tcBorders>
              <w:bottom w:val="single" w:sz="8" w:space="0" w:color="FFFFFF" w:themeColor="background1"/>
            </w:tcBorders>
            <w:shd w:val="clear" w:color="auto" w:fill="auto"/>
            <w:tcMar>
              <w:left w:w="57" w:type="dxa"/>
              <w:right w:w="57" w:type="dxa"/>
            </w:tcMar>
          </w:tcPr>
          <w:p w14:paraId="5AB7E42F" w14:textId="77777777" w:rsidR="00E4023A" w:rsidRDefault="00E4023A" w:rsidP="005B0289">
            <w:pPr>
              <w:pStyle w:val="TableUnit"/>
              <w:jc w:val="left"/>
              <w:rPr>
                <w:lang w:val="en-GB"/>
              </w:rPr>
            </w:pPr>
          </w:p>
        </w:tc>
        <w:tc>
          <w:tcPr>
            <w:tcW w:w="1536" w:type="dxa"/>
            <w:tcBorders>
              <w:bottom w:val="single" w:sz="8" w:space="0" w:color="FFFFFF" w:themeColor="background1"/>
            </w:tcBorders>
            <w:shd w:val="clear" w:color="auto" w:fill="auto"/>
            <w:tcMar>
              <w:left w:w="57" w:type="dxa"/>
              <w:right w:w="57" w:type="dxa"/>
            </w:tcMar>
          </w:tcPr>
          <w:p w14:paraId="5BB9D29D" w14:textId="77777777" w:rsidR="00E4023A" w:rsidRDefault="00E4023A" w:rsidP="005B0289">
            <w:pPr>
              <w:pStyle w:val="TableUnit"/>
              <w:rPr>
                <w:lang w:val="en-GB"/>
              </w:rPr>
            </w:pPr>
            <w:r>
              <w:rPr>
                <w:lang w:val="en-GB"/>
              </w:rPr>
              <w:t>$ million</w:t>
            </w:r>
          </w:p>
        </w:tc>
        <w:tc>
          <w:tcPr>
            <w:tcW w:w="1536" w:type="dxa"/>
            <w:tcBorders>
              <w:bottom w:val="single" w:sz="8" w:space="0" w:color="FFFFFF" w:themeColor="background1"/>
            </w:tcBorders>
            <w:shd w:val="clear" w:color="auto" w:fill="auto"/>
            <w:tcMar>
              <w:left w:w="57" w:type="dxa"/>
              <w:right w:w="57" w:type="dxa"/>
            </w:tcMar>
          </w:tcPr>
          <w:p w14:paraId="02D1AE53" w14:textId="77777777" w:rsidR="00E4023A" w:rsidRDefault="00E4023A" w:rsidP="005B0289">
            <w:pPr>
              <w:pStyle w:val="TableUnit"/>
              <w:rPr>
                <w:lang w:val="en-GB"/>
              </w:rPr>
            </w:pPr>
            <w:r>
              <w:rPr>
                <w:lang w:val="en-GB"/>
              </w:rPr>
              <w:t>$ million</w:t>
            </w:r>
          </w:p>
        </w:tc>
        <w:tc>
          <w:tcPr>
            <w:tcW w:w="1536" w:type="dxa"/>
            <w:tcBorders>
              <w:bottom w:val="single" w:sz="8" w:space="0" w:color="FFFFFF" w:themeColor="background1"/>
            </w:tcBorders>
            <w:shd w:val="clear" w:color="auto" w:fill="auto"/>
            <w:tcMar>
              <w:left w:w="57" w:type="dxa"/>
              <w:right w:w="57" w:type="dxa"/>
            </w:tcMar>
          </w:tcPr>
          <w:p w14:paraId="41195F19" w14:textId="77777777" w:rsidR="00E4023A" w:rsidRDefault="00E4023A" w:rsidP="005B0289">
            <w:pPr>
              <w:pStyle w:val="TableUnit"/>
              <w:rPr>
                <w:lang w:val="en-GB"/>
              </w:rPr>
            </w:pPr>
            <w:r>
              <w:rPr>
                <w:lang w:val="en-GB"/>
              </w:rPr>
              <w:t>$ million</w:t>
            </w:r>
          </w:p>
        </w:tc>
      </w:tr>
      <w:tr w:rsidR="00E4023A" w14:paraId="0891AA87" w14:textId="77777777" w:rsidTr="005B0289">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1B124F" w14:textId="77777777" w:rsidR="00E4023A" w:rsidRDefault="00E4023A" w:rsidP="005B0289">
            <w:pPr>
              <w:pStyle w:val="TableDataEntries"/>
              <w:jc w:val="left"/>
              <w:rPr>
                <w:lang w:val="en-GB"/>
              </w:rPr>
            </w:pPr>
            <w:r>
              <w:rPr>
                <w:lang w:val="en-GB"/>
              </w:rPr>
              <w:t>Additional resource costs</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9A1AD8" w14:textId="77777777" w:rsidR="00E4023A" w:rsidRDefault="00E4023A" w:rsidP="005B0289">
            <w:pPr>
              <w:pStyle w:val="TableDataEntries"/>
              <w:rPr>
                <w:lang w:val="en-GB"/>
              </w:rPr>
            </w:pPr>
            <w:r>
              <w:rPr>
                <w:lang w:val="en-GB"/>
              </w:rPr>
              <w:t xml:space="preserve"> 9</w:t>
            </w:r>
            <w:r w:rsidR="00C238B0">
              <w:rPr>
                <w:lang w:val="en-GB"/>
              </w:rPr>
              <w:t>3</w:t>
            </w:r>
            <w:r>
              <w:rPr>
                <w:lang w:val="en-GB"/>
              </w:rPr>
              <w:t>.</w:t>
            </w:r>
            <w:r w:rsidR="00C238B0">
              <w:rPr>
                <w:lang w:val="en-GB"/>
              </w:rPr>
              <w:t>09</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04A883" w14:textId="77777777" w:rsidR="00E4023A" w:rsidRDefault="00E4023A" w:rsidP="005B0289">
            <w:pPr>
              <w:pStyle w:val="TableDataEntries"/>
              <w:rPr>
                <w:lang w:val="en-GB"/>
              </w:rPr>
            </w:pPr>
            <w:r>
              <w:rPr>
                <w:lang w:val="en-GB"/>
              </w:rPr>
              <w:t xml:space="preserve"> 143.</w:t>
            </w:r>
            <w:r w:rsidR="00C238B0">
              <w:rPr>
                <w:lang w:val="en-GB"/>
              </w:rPr>
              <w:t>89</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C16D7A" w14:textId="77777777" w:rsidR="00E4023A" w:rsidRDefault="00C238B0" w:rsidP="005B0289">
            <w:pPr>
              <w:pStyle w:val="TableDataEntries"/>
              <w:rPr>
                <w:lang w:val="en-GB"/>
              </w:rPr>
            </w:pPr>
            <w:r>
              <w:rPr>
                <w:lang w:val="en-GB"/>
              </w:rPr>
              <w:t>208.55</w:t>
            </w:r>
          </w:p>
        </w:tc>
      </w:tr>
      <w:tr w:rsidR="00E4023A" w14:paraId="27EE107A" w14:textId="77777777" w:rsidTr="005B0289">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47C247" w14:textId="77777777" w:rsidR="00E4023A" w:rsidRDefault="00E4023A" w:rsidP="005B0289">
            <w:pPr>
              <w:pStyle w:val="TableDataEntries"/>
              <w:jc w:val="left"/>
              <w:rPr>
                <w:lang w:val="en-GB"/>
              </w:rPr>
            </w:pPr>
            <w:r>
              <w:rPr>
                <w:lang w:val="en-GB"/>
              </w:rPr>
              <w:t>Loss of individual's welfare</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F4F156" w14:textId="77777777" w:rsidR="00E4023A" w:rsidRDefault="00E4023A" w:rsidP="005B0289">
            <w:pPr>
              <w:pStyle w:val="TableDataEntries"/>
              <w:rPr>
                <w:lang w:val="en-GB"/>
              </w:rPr>
            </w:pPr>
            <w:r>
              <w:rPr>
                <w:lang w:val="en-GB"/>
              </w:rPr>
              <w:t xml:space="preserve">  </w:t>
            </w:r>
            <w:r w:rsidR="00C238B0">
              <w:rPr>
                <w:lang w:val="en-GB"/>
              </w:rPr>
              <w:t>26.47</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DB5E63" w14:textId="77777777" w:rsidR="00E4023A" w:rsidRDefault="00C238B0" w:rsidP="005B0289">
            <w:pPr>
              <w:pStyle w:val="TableDataEntries"/>
              <w:rPr>
                <w:lang w:val="en-GB"/>
              </w:rPr>
            </w:pPr>
            <w:r>
              <w:rPr>
                <w:lang w:val="en-GB"/>
              </w:rPr>
              <w:t>40.92</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C0D667" w14:textId="77777777" w:rsidR="00E4023A" w:rsidRDefault="00E4023A" w:rsidP="005B0289">
            <w:pPr>
              <w:pStyle w:val="TableDataEntries"/>
              <w:rPr>
                <w:lang w:val="en-GB"/>
              </w:rPr>
            </w:pPr>
            <w:r>
              <w:rPr>
                <w:lang w:val="en-GB"/>
              </w:rPr>
              <w:t xml:space="preserve"> </w:t>
            </w:r>
            <w:r w:rsidR="00C238B0">
              <w:rPr>
                <w:lang w:val="en-GB"/>
              </w:rPr>
              <w:t>59.31</w:t>
            </w:r>
          </w:p>
        </w:tc>
      </w:tr>
      <w:tr w:rsidR="00E4023A" w:rsidRPr="005F4D37" w14:paraId="1C0B4A9A" w14:textId="77777777" w:rsidTr="005B0289">
        <w:trPr>
          <w:trHeight w:val="230"/>
        </w:trPr>
        <w:tc>
          <w:tcPr>
            <w:tcW w:w="332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2FAD0BD" w14:textId="77777777" w:rsidR="00E4023A" w:rsidRPr="005F4D37" w:rsidRDefault="00E4023A" w:rsidP="005B0289">
            <w:pPr>
              <w:pStyle w:val="TableDataEntries"/>
              <w:jc w:val="left"/>
              <w:rPr>
                <w:rFonts w:ascii="Franklin Gothic Demi" w:hAnsi="Franklin Gothic Demi"/>
                <w:lang w:val="en-GB"/>
              </w:rPr>
            </w:pPr>
            <w:r w:rsidRPr="005F4D37">
              <w:rPr>
                <w:rFonts w:ascii="Franklin Gothic Demi" w:hAnsi="Franklin Gothic Demi"/>
                <w:lang w:val="en-GB"/>
              </w:rPr>
              <w:t>Total cost</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B26DA40" w14:textId="77777777" w:rsidR="00E4023A" w:rsidRPr="005F4D37" w:rsidRDefault="00E4023A" w:rsidP="005B0289">
            <w:pPr>
              <w:pStyle w:val="TableDataEntries"/>
              <w:rPr>
                <w:rFonts w:ascii="Franklin Gothic Demi" w:hAnsi="Franklin Gothic Demi"/>
                <w:lang w:val="en-GB"/>
              </w:rPr>
            </w:pPr>
            <w:r w:rsidRPr="005F4D37">
              <w:rPr>
                <w:rFonts w:ascii="Franklin Gothic Demi" w:hAnsi="Franklin Gothic Demi"/>
                <w:lang w:val="en-GB"/>
              </w:rPr>
              <w:t xml:space="preserve"> 1</w:t>
            </w:r>
            <w:r w:rsidR="00C238B0">
              <w:rPr>
                <w:rFonts w:ascii="Franklin Gothic Demi" w:hAnsi="Franklin Gothic Demi"/>
                <w:lang w:val="en-GB"/>
              </w:rPr>
              <w:t>19.56</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C8F78D4" w14:textId="77777777" w:rsidR="00E4023A" w:rsidRPr="005F4D37" w:rsidRDefault="00C238B0" w:rsidP="005B0289">
            <w:pPr>
              <w:pStyle w:val="TableDataEntries"/>
              <w:rPr>
                <w:rFonts w:ascii="Franklin Gothic Demi" w:hAnsi="Franklin Gothic Demi"/>
                <w:lang w:val="en-GB"/>
              </w:rPr>
            </w:pPr>
            <w:r>
              <w:rPr>
                <w:rFonts w:ascii="Franklin Gothic Demi" w:hAnsi="Franklin Gothic Demi"/>
                <w:lang w:val="en-GB"/>
              </w:rPr>
              <w:t>184.81</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71B43F7" w14:textId="77777777" w:rsidR="00E4023A" w:rsidRPr="005F4D37" w:rsidRDefault="00C238B0" w:rsidP="005B0289">
            <w:pPr>
              <w:pStyle w:val="TableDataEntries"/>
              <w:rPr>
                <w:rFonts w:ascii="Franklin Gothic Demi" w:hAnsi="Franklin Gothic Demi"/>
                <w:lang w:val="en-GB"/>
              </w:rPr>
            </w:pPr>
            <w:r>
              <w:rPr>
                <w:rFonts w:ascii="Franklin Gothic Demi" w:hAnsi="Franklin Gothic Demi"/>
                <w:lang w:val="en-GB"/>
              </w:rPr>
              <w:t>267.86</w:t>
            </w:r>
          </w:p>
        </w:tc>
      </w:tr>
    </w:tbl>
    <w:p w14:paraId="7839B0B0" w14:textId="46A18F02" w:rsidR="00E4023A" w:rsidRDefault="00E4023A" w:rsidP="00E4023A">
      <w:pPr>
        <w:pStyle w:val="Source"/>
        <w:rPr>
          <w:lang w:bidi="fa-IR"/>
        </w:rPr>
      </w:pPr>
      <w:r w:rsidRPr="002474D4">
        <w:rPr>
          <w:lang w:bidi="fa-IR"/>
        </w:rPr>
        <w:t>Source:</w:t>
      </w:r>
      <w:r>
        <w:rPr>
          <w:lang w:bidi="fa-IR"/>
        </w:rPr>
        <w:t xml:space="preserve"> CIE estimates (see appendix </w:t>
      </w:r>
      <w:r w:rsidR="00C238B0">
        <w:rPr>
          <w:lang w:bidi="fa-IR"/>
        </w:rPr>
        <w:fldChar w:fldCharType="begin"/>
      </w:r>
      <w:r w:rsidR="00C238B0">
        <w:rPr>
          <w:lang w:bidi="fa-IR"/>
        </w:rPr>
        <w:instrText xml:space="preserve"> REF _Ref55130384 \n \h </w:instrText>
      </w:r>
      <w:r w:rsidR="002474D4">
        <w:rPr>
          <w:lang w:bidi="fa-IR"/>
        </w:rPr>
        <w:instrText xml:space="preserve"> \* MERGEFORMAT </w:instrText>
      </w:r>
      <w:r w:rsidR="00C238B0">
        <w:rPr>
          <w:lang w:bidi="fa-IR"/>
        </w:rPr>
      </w:r>
      <w:r w:rsidR="00C238B0">
        <w:rPr>
          <w:lang w:bidi="fa-IR"/>
        </w:rPr>
        <w:fldChar w:fldCharType="separate"/>
      </w:r>
      <w:r w:rsidR="000F445C">
        <w:rPr>
          <w:lang w:bidi="fa-IR"/>
        </w:rPr>
        <w:t>H</w:t>
      </w:r>
      <w:r w:rsidR="00C238B0">
        <w:rPr>
          <w:lang w:bidi="fa-IR"/>
        </w:rPr>
        <w:fldChar w:fldCharType="end"/>
      </w:r>
      <w:r>
        <w:rPr>
          <w:lang w:bidi="fa-IR"/>
        </w:rPr>
        <w:t xml:space="preserve"> for details).</w:t>
      </w:r>
    </w:p>
    <w:p w14:paraId="583C395C" w14:textId="77777777" w:rsidR="00E137EB" w:rsidRDefault="00E137EB" w:rsidP="0022260E">
      <w:pPr>
        <w:pStyle w:val="Heading3"/>
        <w:spacing w:before="480"/>
        <w:rPr>
          <w:lang w:eastAsia="en-US" w:bidi="fa-IR"/>
        </w:rPr>
      </w:pPr>
      <w:bookmarkStart w:id="280" w:name="_Ref64926584"/>
      <w:r>
        <w:rPr>
          <w:lang w:eastAsia="en-US" w:bidi="fa-IR"/>
        </w:rPr>
        <w:t>Short-term injuries</w:t>
      </w:r>
      <w:bookmarkEnd w:id="280"/>
    </w:p>
    <w:p w14:paraId="19716E25" w14:textId="77777777" w:rsidR="00E137EB" w:rsidRDefault="00E137EB" w:rsidP="00E137EB">
      <w:pPr>
        <w:pStyle w:val="BodyText"/>
      </w:pPr>
      <w:r>
        <w:t>Some available evidence suggests that no-step dwelling access and wider spaces, which are offered by accessible homes, are likely to create benefits for some people with short-term injuries, for example:</w:t>
      </w:r>
    </w:p>
    <w:p w14:paraId="2F9B2E40" w14:textId="77777777" w:rsidR="00E137EB" w:rsidRDefault="00E137EB" w:rsidP="00E137EB">
      <w:pPr>
        <w:pStyle w:val="ListBullet"/>
      </w:pPr>
      <w:r>
        <w:t>Level access is preferred for people with a</w:t>
      </w:r>
      <w:r w:rsidR="00900120">
        <w:t xml:space="preserve"> temporary mobility </w:t>
      </w:r>
      <w:r w:rsidR="000D1D4F">
        <w:t>limitation</w:t>
      </w:r>
      <w:r w:rsidR="00900120">
        <w:t xml:space="preserve"> such as a</w:t>
      </w:r>
      <w:r>
        <w:t xml:space="preserve"> broken leg as recommended techniques for walking up stairs </w:t>
      </w:r>
      <w:r w:rsidR="00FF0DF6">
        <w:t>are</w:t>
      </w:r>
      <w:r>
        <w:t xml:space="preserve"> very inconvenient.</w:t>
      </w:r>
      <w:r>
        <w:rPr>
          <w:rStyle w:val="FootnoteReference"/>
        </w:rPr>
        <w:footnoteReference w:id="147"/>
      </w:r>
    </w:p>
    <w:p w14:paraId="6F4A188D" w14:textId="77777777" w:rsidR="00E137EB" w:rsidRDefault="00E137EB" w:rsidP="00E137EB">
      <w:pPr>
        <w:pStyle w:val="ListBullet"/>
      </w:pPr>
      <w:r>
        <w:t xml:space="preserve">The width of the toilet </w:t>
      </w:r>
      <w:r w:rsidR="00900120">
        <w:t>that is required broadly</w:t>
      </w:r>
      <w:r>
        <w:t xml:space="preserve"> aligns with the width of ambulatory toilet </w:t>
      </w:r>
      <w:r w:rsidR="00900120">
        <w:t>specifications</w:t>
      </w:r>
      <w:r>
        <w:t>.</w:t>
      </w:r>
      <w:r>
        <w:rPr>
          <w:rStyle w:val="FootnoteReference"/>
        </w:rPr>
        <w:footnoteReference w:id="148"/>
      </w:r>
    </w:p>
    <w:p w14:paraId="089CC81F" w14:textId="77777777" w:rsidR="005D3CB0" w:rsidRDefault="00FF0DF6" w:rsidP="00E137EB">
      <w:pPr>
        <w:pStyle w:val="ListNumber"/>
        <w:numPr>
          <w:ilvl w:val="0"/>
          <w:numId w:val="0"/>
        </w:numPr>
      </w:pPr>
      <w:r>
        <w:t>P</w:t>
      </w:r>
      <w:r w:rsidR="005D3CB0">
        <w:t>ersonal examples related to temporary injuries from public submission</w:t>
      </w:r>
      <w:r w:rsidR="008044E5">
        <w:t>s</w:t>
      </w:r>
      <w:r w:rsidR="005D3CB0">
        <w:t xml:space="preserve"> are presented in box</w:t>
      </w:r>
      <w:r w:rsidR="00822635">
        <w:t xml:space="preserve"> 3.4</w:t>
      </w:r>
      <w:r w:rsidR="00833931">
        <w:t>3</w:t>
      </w:r>
      <w:r w:rsidR="00E31EBD">
        <w:t>.</w:t>
      </w:r>
    </w:p>
    <w:p w14:paraId="01B5FA26" w14:textId="77777777" w:rsidR="005D3CB0" w:rsidRDefault="005D3CB0" w:rsidP="0022260E">
      <w:pPr>
        <w:pStyle w:val="Invisiblepara"/>
        <w:spacing w:before="480"/>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43: Lived experience – short term injury"/>
        <w:tblDescription w:val="Case study of a person with a temporary knee injury who was able to manage without assistance because of a stair handrail and grabrails in the shower, installed by the previous owner. Other family members with temporary injuries have also benefitted from the bathroom modifcations from time to time. Accessibility features are for everyone."/>
      </w:tblPr>
      <w:tblGrid>
        <w:gridCol w:w="7938"/>
      </w:tblGrid>
      <w:tr w:rsidR="005D3CB0" w:rsidRPr="00E05C8C" w14:paraId="621543E4" w14:textId="77777777" w:rsidTr="0085717E">
        <w:trPr>
          <w:cantSplit/>
          <w:tblHeader/>
        </w:trPr>
        <w:tc>
          <w:tcPr>
            <w:tcW w:w="7938" w:type="dxa"/>
            <w:tcBorders>
              <w:top w:val="nil"/>
              <w:left w:val="nil"/>
              <w:bottom w:val="nil"/>
              <w:right w:val="nil"/>
            </w:tcBorders>
            <w:shd w:val="clear" w:color="auto" w:fill="C6BFAB" w:themeFill="accent3"/>
          </w:tcPr>
          <w:p w14:paraId="3D4A2FB7" w14:textId="3857F530" w:rsidR="005D3CB0" w:rsidRPr="00E05C8C" w:rsidRDefault="0022260E" w:rsidP="005D3CB0">
            <w:pPr>
              <w:pStyle w:val="Caption"/>
              <w:numPr>
                <w:ilvl w:val="0"/>
                <w:numId w:val="13"/>
              </w:numPr>
              <w:spacing w:before="120" w:after="100"/>
            </w:pPr>
            <w:bookmarkStart w:id="281" w:name="_Toc70505542"/>
            <w:r>
              <w:t>3.43</w:t>
            </w:r>
            <w:r w:rsidR="005D3CB0" w:rsidRPr="00E05C8C">
              <w:tab/>
            </w:r>
            <w:r w:rsidR="00284B21">
              <w:t>Lived</w:t>
            </w:r>
            <w:r w:rsidR="005D3CB0">
              <w:t xml:space="preserve"> experience – </w:t>
            </w:r>
            <w:r w:rsidR="00074FFE">
              <w:t>short term</w:t>
            </w:r>
            <w:r w:rsidR="005D3CB0">
              <w:t xml:space="preserve"> injury</w:t>
            </w:r>
            <w:bookmarkEnd w:id="281"/>
          </w:p>
        </w:tc>
      </w:tr>
      <w:tr w:rsidR="00F76823" w14:paraId="74256CA4" w14:textId="77777777" w:rsidTr="0085717E">
        <w:tblPrEx>
          <w:shd w:val="clear" w:color="6F6652" w:fill="F1EFEA"/>
        </w:tblPrEx>
        <w:tc>
          <w:tcPr>
            <w:tcW w:w="7938" w:type="dxa"/>
            <w:tcBorders>
              <w:top w:val="nil"/>
              <w:left w:val="nil"/>
              <w:bottom w:val="nil"/>
              <w:right w:val="nil"/>
            </w:tcBorders>
            <w:shd w:val="clear" w:color="auto" w:fill="E9E8E5" w:themeFill="background2"/>
          </w:tcPr>
          <w:p w14:paraId="64DA6C73" w14:textId="77777777" w:rsidR="005D3CB0" w:rsidRDefault="005D3CB0" w:rsidP="0022260E">
            <w:pPr>
              <w:pStyle w:val="BoxHeading1"/>
              <w:spacing w:before="120"/>
            </w:pPr>
            <w:r>
              <w:t>Own experience of temporary injury</w:t>
            </w:r>
          </w:p>
          <w:p w14:paraId="2A7F63D3" w14:textId="77777777" w:rsidR="005D3CB0" w:rsidRPr="00BF2F67" w:rsidRDefault="005D3CB0" w:rsidP="0022260E">
            <w:pPr>
              <w:pStyle w:val="BodyText"/>
              <w:spacing w:after="240"/>
            </w:pPr>
            <w:r>
              <w:t xml:space="preserve">Recently </w:t>
            </w:r>
            <w:r w:rsidRPr="005D3CB0">
              <w:t xml:space="preserve">I suffered a nasty fall that heavily bruised my left knee. Swollen and tender, it was a struggle to ascend the stairs to my unit. This was not insurmountable because the handrail alongside the stair afforded me the necessary stability for ascent and descent. The shower in the bathroom was a little more difficult though as it had a hob, necessitating careful balance and body position to swing into the shower. Somewhat fortunately the previous owner had installed two robust grabrails, both of which I used as I shifted my weight to enter the shower and wash. I’m sure if the bathroom had been designed with the shower away from the door the shower itself could have been hobless and thus easily accessible. </w:t>
            </w:r>
          </w:p>
        </w:tc>
      </w:tr>
      <w:tr w:rsidR="00F76823" w14:paraId="711764F5" w14:textId="77777777" w:rsidTr="001F486D">
        <w:tblPrEx>
          <w:shd w:val="clear" w:color="6F6652" w:fill="F1EFEA"/>
        </w:tblPrEx>
        <w:tc>
          <w:tcPr>
            <w:tcW w:w="7938" w:type="dxa"/>
            <w:tcBorders>
              <w:top w:val="nil"/>
              <w:left w:val="nil"/>
              <w:bottom w:val="nil"/>
              <w:right w:val="nil"/>
            </w:tcBorders>
            <w:shd w:val="clear" w:color="auto" w:fill="E9E8E5" w:themeFill="background2"/>
          </w:tcPr>
          <w:p w14:paraId="5AC5CB5C" w14:textId="77777777" w:rsidR="00580B03" w:rsidRPr="00580B03" w:rsidRDefault="00580B03" w:rsidP="0022260E">
            <w:pPr>
              <w:pStyle w:val="BodyText"/>
              <w:spacing w:before="240" w:after="120"/>
            </w:pPr>
            <w:r w:rsidRPr="005D3CB0">
              <w:t>My experience of temporary incapacity/loss of balance I’m sure has been replicated around the country. Able to take care of myself there was no need for carers, and I was able to continue to work from home in these times of COVID. The above demonstrate[s] that dwellings need to incorporate features for all occupants, whether fit, ill or temporar</w:t>
            </w:r>
            <w:r w:rsidR="00076100">
              <w:t>il</w:t>
            </w:r>
            <w:r w:rsidRPr="005D3CB0">
              <w:t>y incapacitated.</w:t>
            </w:r>
            <w:r>
              <w:rPr>
                <w:rStyle w:val="FootnoteReference"/>
              </w:rPr>
              <w:footnoteReference w:id="149"/>
            </w:r>
          </w:p>
        </w:tc>
      </w:tr>
      <w:tr w:rsidR="00F76823" w14:paraId="686085F3" w14:textId="77777777" w:rsidTr="001F486D">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2988F15C" w14:textId="77777777" w:rsidR="00580B03" w:rsidRDefault="00580B03" w:rsidP="001F486D">
            <w:pPr>
              <w:pStyle w:val="BoxHeading1"/>
              <w:spacing w:before="120"/>
            </w:pPr>
            <w:r>
              <w:t>Accessible features for visitors with temporary injury</w:t>
            </w:r>
          </w:p>
          <w:p w14:paraId="05A00EB2" w14:textId="77777777" w:rsidR="00580B03" w:rsidRPr="00580B03" w:rsidRDefault="00580B03" w:rsidP="001F486D">
            <w:pPr>
              <w:pStyle w:val="BodyText"/>
              <w:spacing w:after="120"/>
            </w:pPr>
            <w:r w:rsidRPr="005D3CB0">
              <w:t>I might also add that my accessible bathroom has been used by other family members over the years due to a broken achilles tendon, two broken ankles, and currently my wife is six weeks post a knee replacement and uses my shower and shower chair daily.</w:t>
            </w:r>
            <w:r>
              <w:rPr>
                <w:rStyle w:val="FootnoteReference"/>
              </w:rPr>
              <w:footnoteReference w:id="150"/>
            </w:r>
          </w:p>
        </w:tc>
      </w:tr>
    </w:tbl>
    <w:p w14:paraId="59FF9976" w14:textId="77777777" w:rsidR="002550AA" w:rsidRDefault="002550AA" w:rsidP="001F486D">
      <w:pPr>
        <w:pStyle w:val="ListNumber"/>
        <w:numPr>
          <w:ilvl w:val="0"/>
          <w:numId w:val="0"/>
        </w:numPr>
        <w:spacing w:before="120"/>
      </w:pPr>
      <w:r>
        <w:t xml:space="preserve">Some submissions </w:t>
      </w:r>
      <w:r w:rsidR="00FF0DF6">
        <w:t>suggested</w:t>
      </w:r>
      <w:r>
        <w:t xml:space="preserve"> that people with chronic conditions should be included in the estimates of the size of the problem.</w:t>
      </w:r>
      <w:r>
        <w:rPr>
          <w:rStyle w:val="FootnoteReference"/>
        </w:rPr>
        <w:footnoteReference w:id="151"/>
      </w:r>
      <w:r>
        <w:t xml:space="preserve"> </w:t>
      </w:r>
      <w:r w:rsidR="00FF0DF6">
        <w:t>P</w:t>
      </w:r>
      <w:r>
        <w:t>eople</w:t>
      </w:r>
      <w:r w:rsidR="00FF0DF6">
        <w:t xml:space="preserve"> with chronic conditions that have </w:t>
      </w:r>
      <w:r>
        <w:t xml:space="preserve">mobility needs and thus would be affected by accessible housing, should be already included in the SDAC data, </w:t>
      </w:r>
      <w:r w:rsidR="00FF0DF6">
        <w:t>so no adjustment is required to the calculation</w:t>
      </w:r>
      <w:r>
        <w:t>.</w:t>
      </w:r>
    </w:p>
    <w:p w14:paraId="3DAF2A12" w14:textId="77777777" w:rsidR="00E137EB" w:rsidRDefault="007077E1" w:rsidP="00E137EB">
      <w:pPr>
        <w:pStyle w:val="ListNumber"/>
        <w:numPr>
          <w:ilvl w:val="0"/>
          <w:numId w:val="0"/>
        </w:numPr>
      </w:pPr>
      <w:r>
        <w:t xml:space="preserve">It is </w:t>
      </w:r>
      <w:r w:rsidR="00E137EB">
        <w:t>estimate</w:t>
      </w:r>
      <w:r>
        <w:t>d</w:t>
      </w:r>
      <w:r w:rsidR="00E137EB">
        <w:t xml:space="preserve"> that if sufferers of certain temporary injuries were to reside in homes with accessibility features, this would create benefits worth around $24 million each year, relative to the counterfactual where they do not reside in these homes. </w:t>
      </w:r>
    </w:p>
    <w:p w14:paraId="03EDC517" w14:textId="77777777" w:rsidR="00E137EB" w:rsidRDefault="003177BD" w:rsidP="00E137EB">
      <w:pPr>
        <w:pStyle w:val="Heading4"/>
        <w:numPr>
          <w:ilvl w:val="0"/>
          <w:numId w:val="0"/>
        </w:numPr>
      </w:pPr>
      <w:r>
        <w:t>Impact</w:t>
      </w:r>
      <w:r w:rsidR="00E137EB">
        <w:t>s already included</w:t>
      </w:r>
    </w:p>
    <w:p w14:paraId="53AEC0F2" w14:textId="77777777" w:rsidR="00E137EB" w:rsidRDefault="00E137EB" w:rsidP="00E137EB">
      <w:pPr>
        <w:pStyle w:val="BodyText"/>
        <w:rPr>
          <w:lang w:bidi="fa-IR"/>
        </w:rPr>
      </w:pPr>
      <w:r>
        <w:rPr>
          <w:lang w:bidi="fa-IR"/>
        </w:rPr>
        <w:t xml:space="preserve">Much of the analysis in the RIS is based on the ABS SDAC survey. For the purposes of SDAC, disability is defined as any limitation, restriction or impairment which restricts </w:t>
      </w:r>
      <w:r>
        <w:rPr>
          <w:lang w:bidi="fa-IR"/>
        </w:rPr>
        <w:lastRenderedPageBreak/>
        <w:t>everyday activity and has lasted, or is likely to last, for at least six months.</w:t>
      </w:r>
      <w:r>
        <w:rPr>
          <w:rStyle w:val="FootnoteReference"/>
          <w:lang w:bidi="fa-IR"/>
        </w:rPr>
        <w:footnoteReference w:id="152"/>
      </w:r>
      <w:r>
        <w:rPr>
          <w:lang w:bidi="fa-IR"/>
        </w:rPr>
        <w:t xml:space="preserve"> As such, the analysis based on SDAC data:</w:t>
      </w:r>
    </w:p>
    <w:p w14:paraId="722CE997" w14:textId="77777777" w:rsidR="00E137EB" w:rsidRDefault="00E137EB" w:rsidP="00E137EB">
      <w:pPr>
        <w:pStyle w:val="ListBullet"/>
        <w:rPr>
          <w:lang w:bidi="fa-IR"/>
        </w:rPr>
      </w:pPr>
      <w:r>
        <w:rPr>
          <w:lang w:bidi="fa-IR"/>
        </w:rPr>
        <w:t>captures temporary disabilities that last (or are likely to last) for more than 6 months</w:t>
      </w:r>
    </w:p>
    <w:p w14:paraId="400A325A" w14:textId="77777777" w:rsidR="00E137EB" w:rsidRDefault="00E137EB" w:rsidP="00E137EB">
      <w:pPr>
        <w:pStyle w:val="ListBullet"/>
        <w:rPr>
          <w:lang w:bidi="fa-IR"/>
        </w:rPr>
      </w:pPr>
      <w:r>
        <w:rPr>
          <w:lang w:bidi="fa-IR"/>
        </w:rPr>
        <w:t>does not capture temporary disabilities that last (or are likely to last) for less than 6 months.</w:t>
      </w:r>
    </w:p>
    <w:p w14:paraId="623A8122" w14:textId="77777777" w:rsidR="00E137EB" w:rsidRDefault="00FF0DF6" w:rsidP="00E137EB">
      <w:pPr>
        <w:pStyle w:val="BodyText"/>
        <w:rPr>
          <w:lang w:bidi="fa-IR"/>
        </w:rPr>
      </w:pPr>
      <w:r>
        <w:rPr>
          <w:lang w:bidi="fa-IR"/>
        </w:rPr>
        <w:t xml:space="preserve">Because </w:t>
      </w:r>
      <w:r w:rsidR="00E137EB">
        <w:rPr>
          <w:lang w:bidi="fa-IR"/>
        </w:rPr>
        <w:t xml:space="preserve">not all of the analysis is based on SDAC data, the current methodology will capture some benefits for people with temporary disability. In particular, the estimates of additional time spent in hospital (longer stays in hospital) should </w:t>
      </w:r>
      <w:r w:rsidR="006025FB">
        <w:rPr>
          <w:lang w:bidi="fa-IR"/>
        </w:rPr>
        <w:t xml:space="preserve">already </w:t>
      </w:r>
      <w:r w:rsidR="00E137EB">
        <w:rPr>
          <w:lang w:bidi="fa-IR"/>
        </w:rPr>
        <w:t>capture the impacts on those with disability that last for less than 6 months.</w:t>
      </w:r>
    </w:p>
    <w:p w14:paraId="7978D867" w14:textId="77777777" w:rsidR="00E137EB" w:rsidRDefault="00E137EB" w:rsidP="00E137EB">
      <w:pPr>
        <w:pStyle w:val="BodyText"/>
        <w:rPr>
          <w:lang w:bidi="fa-IR"/>
        </w:rPr>
      </w:pPr>
      <w:r>
        <w:rPr>
          <w:lang w:bidi="fa-IR"/>
        </w:rPr>
        <w:t xml:space="preserve">Furthermore, not all of the categories that make up the size of the problem are relevant for people with disability that last for less than 6 months. For example, it is less likely that people would move house or make a major home modification for temporary disability. </w:t>
      </w:r>
    </w:p>
    <w:p w14:paraId="2C12EC91" w14:textId="77777777" w:rsidR="00E137EB" w:rsidRDefault="00636756" w:rsidP="00E137EB">
      <w:pPr>
        <w:pStyle w:val="BodyText"/>
        <w:rPr>
          <w:lang w:bidi="fa-IR"/>
        </w:rPr>
      </w:pPr>
      <w:r>
        <w:rPr>
          <w:lang w:bidi="fa-IR"/>
        </w:rPr>
        <w:t>Therefore,</w:t>
      </w:r>
      <w:r w:rsidR="00E137EB">
        <w:rPr>
          <w:lang w:bidi="fa-IR"/>
        </w:rPr>
        <w:t xml:space="preserve"> the major benefit for people with short-term injuries </w:t>
      </w:r>
      <w:r w:rsidR="006025FB">
        <w:rPr>
          <w:lang w:bidi="fa-IR"/>
        </w:rPr>
        <w:t>would relate</w:t>
      </w:r>
      <w:r w:rsidR="00E137EB">
        <w:rPr>
          <w:lang w:bidi="fa-IR"/>
        </w:rPr>
        <w:t xml:space="preserve"> to more independence and convenience (or less inconvenience) during recovery as a result of accessible housing, which could be measured by </w:t>
      </w:r>
      <w:r w:rsidR="00CA174E">
        <w:rPr>
          <w:lang w:bidi="fa-IR"/>
        </w:rPr>
        <w:t xml:space="preserve">a </w:t>
      </w:r>
      <w:r w:rsidR="00E137EB">
        <w:rPr>
          <w:lang w:bidi="fa-IR"/>
        </w:rPr>
        <w:t>reduction in care needs and loneliness.</w:t>
      </w:r>
      <w:r w:rsidR="006025FB">
        <w:rPr>
          <w:lang w:bidi="fa-IR"/>
        </w:rPr>
        <w:t xml:space="preserve"> Given the short-term nature, other costs such as those associated with moving house and modifying </w:t>
      </w:r>
      <w:r w:rsidR="00A60476">
        <w:rPr>
          <w:lang w:bidi="fa-IR"/>
        </w:rPr>
        <w:t xml:space="preserve">a </w:t>
      </w:r>
      <w:r w:rsidR="006025FB">
        <w:rPr>
          <w:lang w:bidi="fa-IR"/>
        </w:rPr>
        <w:t>home would not be applicable.</w:t>
      </w:r>
    </w:p>
    <w:p w14:paraId="6D0A47F8" w14:textId="77777777" w:rsidR="00E137EB" w:rsidRDefault="00E137EB" w:rsidP="00E137EB">
      <w:pPr>
        <w:pStyle w:val="Heading4"/>
      </w:pPr>
      <w:bookmarkStart w:id="282" w:name="_Ref56615738"/>
      <w:r>
        <w:t xml:space="preserve">Quantifying </w:t>
      </w:r>
      <w:r w:rsidR="002516EC">
        <w:t>cost</w:t>
      </w:r>
      <w:r>
        <w:t>s to short-term injury sufferers during their recovery</w:t>
      </w:r>
      <w:bookmarkEnd w:id="282"/>
    </w:p>
    <w:p w14:paraId="3E77F85E" w14:textId="26ECCFC0" w:rsidR="00E137EB" w:rsidRDefault="00E137EB" w:rsidP="00E137EB">
      <w:pPr>
        <w:pStyle w:val="BodyText"/>
        <w:rPr>
          <w:lang w:bidi="fa-IR"/>
        </w:rPr>
      </w:pPr>
      <w:r>
        <w:rPr>
          <w:lang w:bidi="fa-IR"/>
        </w:rPr>
        <w:t>AIHW provides data on hospitalised injuries by age groups, injury types, body region injured and causes.</w:t>
      </w:r>
      <w:r>
        <w:rPr>
          <w:rStyle w:val="FootnoteReference"/>
          <w:lang w:bidi="fa-IR"/>
        </w:rPr>
        <w:footnoteReference w:id="153"/>
      </w:r>
      <w:r>
        <w:rPr>
          <w:lang w:bidi="fa-IR"/>
        </w:rPr>
        <w:t xml:space="preserve"> </w:t>
      </w:r>
      <w:r w:rsidR="004D5011">
        <w:rPr>
          <w:lang w:bidi="fa-IR"/>
        </w:rPr>
        <w:t>People with short term injuries to the hip, leg, ankle or foot which are fractures, dislocations or soft-tissue injuries are most likely to benefit from accessible housing. It is</w:t>
      </w:r>
      <w:r>
        <w:rPr>
          <w:lang w:bidi="fa-IR"/>
        </w:rPr>
        <w:t xml:space="preserve"> estimate</w:t>
      </w:r>
      <w:r w:rsidR="004D5011">
        <w:rPr>
          <w:lang w:bidi="fa-IR"/>
        </w:rPr>
        <w:t>d that</w:t>
      </w:r>
      <w:r>
        <w:rPr>
          <w:lang w:bidi="fa-IR"/>
        </w:rPr>
        <w:t xml:space="preserve"> there are around 7</w:t>
      </w:r>
      <w:r w:rsidR="00FF0DF6">
        <w:rPr>
          <w:lang w:bidi="fa-IR"/>
        </w:rPr>
        <w:t>3</w:t>
      </w:r>
      <w:r>
        <w:rPr>
          <w:lang w:bidi="fa-IR"/>
        </w:rPr>
        <w:t xml:space="preserve"> 043 </w:t>
      </w:r>
      <w:r w:rsidR="004D5011">
        <w:rPr>
          <w:lang w:bidi="fa-IR"/>
        </w:rPr>
        <w:t xml:space="preserve">people with short term </w:t>
      </w:r>
      <w:r>
        <w:rPr>
          <w:lang w:bidi="fa-IR"/>
        </w:rPr>
        <w:t xml:space="preserve">injuries requiring hospitalisation each year (see </w:t>
      </w:r>
      <w:r w:rsidR="004D5011">
        <w:rPr>
          <w:lang w:bidi="fa-IR"/>
        </w:rPr>
        <w:t>t</w:t>
      </w:r>
      <w:r>
        <w:rPr>
          <w:lang w:bidi="fa-IR"/>
        </w:rPr>
        <w:t>able</w:t>
      </w:r>
      <w:r w:rsidR="0066514C">
        <w:rPr>
          <w:lang w:bidi="fa-IR"/>
        </w:rPr>
        <w:t xml:space="preserve"> 3.44</w:t>
      </w:r>
      <w:r>
        <w:rPr>
          <w:lang w:bidi="fa-IR"/>
        </w:rPr>
        <w:t xml:space="preserve">). </w:t>
      </w:r>
    </w:p>
    <w:p w14:paraId="1B8010FB" w14:textId="11A198F4" w:rsidR="00E137EB" w:rsidRDefault="0022260E" w:rsidP="00E137EB">
      <w:pPr>
        <w:pStyle w:val="Caption"/>
      </w:pPr>
      <w:bookmarkStart w:id="283" w:name="_Toc57643624"/>
      <w:bookmarkStart w:id="284" w:name="_Toc70505543"/>
      <w:r>
        <w:t>3.44</w:t>
      </w:r>
      <w:r w:rsidR="00E137EB" w:rsidRPr="00695C93">
        <w:tab/>
      </w:r>
      <w:r w:rsidR="00E137EB">
        <w:t xml:space="preserve">Hospitalisation injuries </w:t>
      </w:r>
      <w:r w:rsidR="002516EC">
        <w:t>impacted</w:t>
      </w:r>
      <w:r w:rsidR="00E137EB">
        <w:t xml:space="preserve"> </w:t>
      </w:r>
      <w:r w:rsidR="002516EC">
        <w:t>by</w:t>
      </w:r>
      <w:r w:rsidR="00E137EB">
        <w:t xml:space="preserve"> </w:t>
      </w:r>
      <w:r w:rsidR="002516EC">
        <w:t>in</w:t>
      </w:r>
      <w:r w:rsidR="00E137EB">
        <w:t>accessible housing</w:t>
      </w:r>
      <w:bookmarkEnd w:id="283"/>
      <w:bookmarkEnd w:id="284"/>
      <w:r w:rsidR="00E137EB">
        <w:t xml:space="preserve"> </w:t>
      </w:r>
    </w:p>
    <w:tbl>
      <w:tblPr>
        <w:tblW w:w="7937" w:type="dxa"/>
        <w:tblLook w:val="04A0" w:firstRow="1" w:lastRow="0" w:firstColumn="1" w:lastColumn="0" w:noHBand="0" w:noVBand="1"/>
        <w:tblCaption w:val="Table 3.44: Hospitalisation injuries impacted by inaccessible housing "/>
        <w:tblDescription w:val="This table lists the numbers of injuries requiring hospitalisation that may benefit from accessible housing. Total number of fall injuries was 39,252, with a further 33,791 other injuries giving a total of 73,043 people."/>
      </w:tblPr>
      <w:tblGrid>
        <w:gridCol w:w="3402"/>
        <w:gridCol w:w="798"/>
        <w:gridCol w:w="1429"/>
        <w:gridCol w:w="1154"/>
        <w:gridCol w:w="1154"/>
      </w:tblGrid>
      <w:tr w:rsidR="00E137EB" w:rsidRPr="00D61639" w14:paraId="68969387" w14:textId="77777777" w:rsidTr="00496A24">
        <w:trPr>
          <w:trHeight w:val="288"/>
        </w:trPr>
        <w:tc>
          <w:tcPr>
            <w:tcW w:w="3402" w:type="dxa"/>
            <w:tcBorders>
              <w:bottom w:val="single" w:sz="8" w:space="0" w:color="FFFFFF" w:themeColor="background1"/>
            </w:tcBorders>
            <w:shd w:val="clear" w:color="auto" w:fill="6F6652"/>
            <w:noWrap/>
            <w:tcMar>
              <w:left w:w="57" w:type="dxa"/>
              <w:right w:w="57" w:type="dxa"/>
            </w:tcMar>
            <w:hideMark/>
          </w:tcPr>
          <w:p w14:paraId="1B183711" w14:textId="77777777" w:rsidR="00E137EB" w:rsidRPr="00D61639" w:rsidRDefault="00E137EB" w:rsidP="00496A24">
            <w:pPr>
              <w:pStyle w:val="TableDataColumnHeading"/>
              <w:jc w:val="left"/>
            </w:pPr>
            <w:r>
              <w:t>Cause of injury</w:t>
            </w:r>
          </w:p>
        </w:tc>
        <w:tc>
          <w:tcPr>
            <w:tcW w:w="3381" w:type="dxa"/>
            <w:gridSpan w:val="3"/>
            <w:tcBorders>
              <w:bottom w:val="single" w:sz="8" w:space="0" w:color="FFFFFF" w:themeColor="background1"/>
            </w:tcBorders>
            <w:shd w:val="clear" w:color="auto" w:fill="6F6652"/>
            <w:noWrap/>
            <w:tcMar>
              <w:left w:w="57" w:type="dxa"/>
              <w:right w:w="57" w:type="dxa"/>
            </w:tcMar>
            <w:hideMark/>
          </w:tcPr>
          <w:p w14:paraId="0B053E67" w14:textId="77777777" w:rsidR="00E137EB" w:rsidRPr="005E1D56" w:rsidRDefault="00E137EB" w:rsidP="00496A24">
            <w:pPr>
              <w:pStyle w:val="TableDataColumnHeading"/>
              <w:rPr>
                <w:i/>
                <w:iCs/>
              </w:rPr>
            </w:pPr>
            <w:r w:rsidRPr="005E1D56">
              <w:rPr>
                <w:i/>
                <w:iCs/>
              </w:rPr>
              <w:t>Injuries to hip, leg, ankle or foot, which are…</w:t>
            </w:r>
          </w:p>
        </w:tc>
        <w:tc>
          <w:tcPr>
            <w:tcW w:w="1154" w:type="dxa"/>
            <w:tcBorders>
              <w:bottom w:val="single" w:sz="8" w:space="0" w:color="FFFFFF" w:themeColor="background1"/>
            </w:tcBorders>
            <w:shd w:val="clear" w:color="auto" w:fill="6F6652"/>
            <w:noWrap/>
            <w:tcMar>
              <w:left w:w="57" w:type="dxa"/>
              <w:right w:w="57" w:type="dxa"/>
            </w:tcMar>
            <w:hideMark/>
          </w:tcPr>
          <w:p w14:paraId="6337A3DF" w14:textId="77777777" w:rsidR="00E137EB" w:rsidRPr="00D61639" w:rsidRDefault="00E137EB" w:rsidP="00496A24">
            <w:pPr>
              <w:pStyle w:val="TableDataColumnHeading"/>
            </w:pPr>
            <w:r>
              <w:t>Total injuries which may benefit</w:t>
            </w:r>
          </w:p>
        </w:tc>
      </w:tr>
      <w:tr w:rsidR="00E137EB" w:rsidRPr="005E1D56" w14:paraId="2851C18C"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73A682FF" w14:textId="77777777" w:rsidR="00E137EB" w:rsidRPr="005E1D56" w:rsidRDefault="00E137EB" w:rsidP="00496A24">
            <w:pPr>
              <w:pStyle w:val="TableUnit"/>
              <w:jc w:val="left"/>
              <w:rPr>
                <w:i/>
                <w:iCs/>
              </w:rPr>
            </w:pPr>
          </w:p>
        </w:tc>
        <w:tc>
          <w:tcPr>
            <w:tcW w:w="798"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55FC727D" w14:textId="77777777" w:rsidR="00E137EB" w:rsidRPr="005E1D56" w:rsidRDefault="00E137EB" w:rsidP="00496A24">
            <w:pPr>
              <w:pStyle w:val="TableUnit"/>
              <w:rPr>
                <w:i/>
                <w:iCs/>
              </w:rPr>
            </w:pPr>
            <w:r w:rsidRPr="005E1D56">
              <w:rPr>
                <w:i/>
                <w:iCs/>
              </w:rPr>
              <w:t>Fracture</w:t>
            </w:r>
          </w:p>
        </w:tc>
        <w:tc>
          <w:tcPr>
            <w:tcW w:w="1429"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50C0F702" w14:textId="77777777" w:rsidR="00E137EB" w:rsidRPr="005E1D56" w:rsidRDefault="00E137EB" w:rsidP="00496A24">
            <w:pPr>
              <w:pStyle w:val="TableUnit"/>
              <w:rPr>
                <w:i/>
                <w:iCs/>
              </w:rPr>
            </w:pPr>
            <w:r w:rsidRPr="005E1D56">
              <w:rPr>
                <w:i/>
                <w:iCs/>
              </w:rPr>
              <w:t>Dislocations</w:t>
            </w:r>
          </w:p>
        </w:tc>
        <w:tc>
          <w:tcPr>
            <w:tcW w:w="1154"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15D0DA27" w14:textId="77777777" w:rsidR="00E137EB" w:rsidRPr="005E1D56" w:rsidRDefault="00E137EB" w:rsidP="00496A24">
            <w:pPr>
              <w:pStyle w:val="TableUnit"/>
              <w:rPr>
                <w:i/>
                <w:iCs/>
              </w:rPr>
            </w:pPr>
            <w:r w:rsidRPr="005E1D56">
              <w:rPr>
                <w:i/>
                <w:iCs/>
              </w:rPr>
              <w:t>Soft-tissue injuries</w:t>
            </w:r>
          </w:p>
        </w:tc>
        <w:tc>
          <w:tcPr>
            <w:tcW w:w="1154"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084DB628" w14:textId="77777777" w:rsidR="00E137EB" w:rsidRPr="005E1D56" w:rsidRDefault="00E137EB" w:rsidP="00496A24">
            <w:pPr>
              <w:pStyle w:val="TableUnit"/>
              <w:rPr>
                <w:i/>
                <w:iCs/>
              </w:rPr>
            </w:pPr>
          </w:p>
        </w:tc>
      </w:tr>
      <w:tr w:rsidR="00E137EB" w:rsidRPr="00D61639" w14:paraId="617D8485"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7AE75B" w14:textId="77777777" w:rsidR="00E137EB" w:rsidRPr="00D61639" w:rsidRDefault="00E137EB" w:rsidP="00496A24">
            <w:pPr>
              <w:pStyle w:val="TableUnit"/>
              <w:jc w:val="left"/>
            </w:pPr>
            <w:r w:rsidRPr="00D61639">
              <w:t>Falls (ex</w:t>
            </w:r>
            <w:r>
              <w:t>cluding falls already included under safety benefits</w:t>
            </w:r>
            <w:r w:rsidRPr="00D61639">
              <w:t>)</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0A838B" w14:textId="77777777" w:rsidR="00E137EB" w:rsidRPr="00D61639" w:rsidRDefault="00E137EB" w:rsidP="00496A24">
            <w:pPr>
              <w:pStyle w:val="TableUnit"/>
            </w:pPr>
            <w:r w:rsidRPr="00D61639">
              <w:t>35</w:t>
            </w:r>
            <w:r>
              <w:t> </w:t>
            </w:r>
            <w:r w:rsidRPr="00D61639">
              <w:t>041</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656482" w14:textId="77777777" w:rsidR="00E137EB" w:rsidRPr="00D61639" w:rsidRDefault="00E137EB" w:rsidP="00496A24">
            <w:pPr>
              <w:pStyle w:val="TableUnit"/>
            </w:pPr>
            <w:r w:rsidRPr="00D61639">
              <w:t>1</w:t>
            </w:r>
            <w:r>
              <w:t> </w:t>
            </w:r>
            <w:r w:rsidRPr="00D61639">
              <w:t>382</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CD9031" w14:textId="77777777" w:rsidR="00E137EB" w:rsidRPr="00D61639" w:rsidRDefault="00E137EB" w:rsidP="00496A24">
            <w:pPr>
              <w:pStyle w:val="TableUnit"/>
            </w:pPr>
            <w:r w:rsidRPr="00D61639">
              <w:t>2</w:t>
            </w:r>
            <w:r>
              <w:t> </w:t>
            </w:r>
            <w:r w:rsidRPr="00D61639">
              <w:t>829</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216DC9" w14:textId="77777777" w:rsidR="00E137EB" w:rsidRPr="00D61639" w:rsidRDefault="00E137EB" w:rsidP="00496A24">
            <w:pPr>
              <w:pStyle w:val="TableUnit"/>
            </w:pPr>
            <w:r w:rsidRPr="00D61639">
              <w:t>39</w:t>
            </w:r>
            <w:r>
              <w:t> </w:t>
            </w:r>
            <w:r w:rsidRPr="00D61639">
              <w:t>252</w:t>
            </w:r>
          </w:p>
        </w:tc>
      </w:tr>
      <w:tr w:rsidR="00E137EB" w:rsidRPr="00D61639" w14:paraId="3A776B3D" w14:textId="77777777" w:rsidTr="004D5011">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51CD9E" w14:textId="77777777" w:rsidR="00E137EB" w:rsidRPr="00D61639" w:rsidRDefault="00E137EB" w:rsidP="00496A24">
            <w:pPr>
              <w:pStyle w:val="TableDataEntries"/>
              <w:jc w:val="left"/>
            </w:pPr>
            <w:r w:rsidRPr="00D61639">
              <w:t>Other</w:t>
            </w:r>
            <w:r w:rsidRPr="00E4232C">
              <w:rPr>
                <w:rStyle w:val="NoteLabel"/>
              </w:rPr>
              <w:t xml:space="preserve"> a</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49DE13" w14:textId="77777777" w:rsidR="00E137EB" w:rsidRPr="00D61639" w:rsidRDefault="00E137EB" w:rsidP="00496A24">
            <w:pPr>
              <w:pStyle w:val="TableDataEntries"/>
            </w:pPr>
            <w:r w:rsidRPr="00D61639">
              <w:t>19</w:t>
            </w:r>
            <w:r>
              <w:t> </w:t>
            </w:r>
            <w:r w:rsidRPr="00D61639">
              <w:t>986</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D930CF" w14:textId="77777777" w:rsidR="00E137EB" w:rsidRPr="00D61639" w:rsidRDefault="00E137EB" w:rsidP="00496A24">
            <w:pPr>
              <w:pStyle w:val="TableDataEntries"/>
            </w:pPr>
            <w:r w:rsidRPr="00D61639">
              <w:t>1</w:t>
            </w:r>
            <w:r>
              <w:t> </w:t>
            </w:r>
            <w:r w:rsidRPr="00D61639">
              <w:t>963</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3227A0" w14:textId="77777777" w:rsidR="00E137EB" w:rsidRPr="00D61639" w:rsidRDefault="00E137EB" w:rsidP="00496A24">
            <w:pPr>
              <w:pStyle w:val="TableDataEntries"/>
            </w:pPr>
            <w:r w:rsidRPr="00D61639">
              <w:t>11</w:t>
            </w:r>
            <w:r>
              <w:t> </w:t>
            </w:r>
            <w:r w:rsidRPr="00D61639">
              <w:t>842</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270854" w14:textId="77777777" w:rsidR="00E137EB" w:rsidRPr="00D61639" w:rsidRDefault="00E137EB" w:rsidP="00496A24">
            <w:pPr>
              <w:pStyle w:val="TableDataEntries"/>
            </w:pPr>
            <w:r w:rsidRPr="00D61639">
              <w:t>33</w:t>
            </w:r>
            <w:r>
              <w:t> </w:t>
            </w:r>
            <w:r w:rsidRPr="00D61639">
              <w:t>791</w:t>
            </w:r>
          </w:p>
        </w:tc>
      </w:tr>
      <w:tr w:rsidR="00E137EB" w:rsidRPr="004D5011" w14:paraId="355F02F6" w14:textId="77777777" w:rsidTr="004D5011">
        <w:trPr>
          <w:trHeight w:val="288"/>
        </w:trPr>
        <w:tc>
          <w:tcPr>
            <w:tcW w:w="340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259CC38" w14:textId="77777777" w:rsidR="00E137EB" w:rsidRPr="004D5011" w:rsidRDefault="00E137EB" w:rsidP="00496A24">
            <w:pPr>
              <w:pStyle w:val="TableDataEntries"/>
              <w:jc w:val="left"/>
              <w:rPr>
                <w:rFonts w:ascii="Franklin Gothic Demi" w:hAnsi="Franklin Gothic Demi"/>
              </w:rPr>
            </w:pPr>
            <w:r w:rsidRPr="004D5011">
              <w:rPr>
                <w:rFonts w:ascii="Franklin Gothic Demi" w:hAnsi="Franklin Gothic Demi"/>
              </w:rPr>
              <w:t>Total</w:t>
            </w:r>
          </w:p>
        </w:tc>
        <w:tc>
          <w:tcPr>
            <w:tcW w:w="79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9FC37A5" w14:textId="77777777" w:rsidR="00E137EB" w:rsidRPr="004D5011" w:rsidRDefault="00E137EB" w:rsidP="00496A24">
            <w:pPr>
              <w:pStyle w:val="TableDataEntries"/>
              <w:rPr>
                <w:rFonts w:ascii="Franklin Gothic Demi" w:hAnsi="Franklin Gothic Demi"/>
              </w:rPr>
            </w:pPr>
            <w:r w:rsidRPr="004D5011">
              <w:rPr>
                <w:rFonts w:ascii="Franklin Gothic Demi" w:hAnsi="Franklin Gothic Demi"/>
              </w:rPr>
              <w:t>55 027</w:t>
            </w:r>
          </w:p>
        </w:tc>
        <w:tc>
          <w:tcPr>
            <w:tcW w:w="142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BEF6A5D" w14:textId="77777777" w:rsidR="00E137EB" w:rsidRPr="004D5011" w:rsidRDefault="00E137EB" w:rsidP="00496A24">
            <w:pPr>
              <w:pStyle w:val="TableDataEntries"/>
              <w:rPr>
                <w:rFonts w:ascii="Franklin Gothic Demi" w:hAnsi="Franklin Gothic Demi"/>
              </w:rPr>
            </w:pPr>
            <w:r w:rsidRPr="004D5011">
              <w:rPr>
                <w:rFonts w:ascii="Franklin Gothic Demi" w:hAnsi="Franklin Gothic Demi"/>
              </w:rPr>
              <w:t>3 344</w:t>
            </w:r>
          </w:p>
        </w:tc>
        <w:tc>
          <w:tcPr>
            <w:tcW w:w="115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AD05F2F" w14:textId="77777777" w:rsidR="00E137EB" w:rsidRPr="004D5011" w:rsidRDefault="00E137EB" w:rsidP="00496A24">
            <w:pPr>
              <w:pStyle w:val="TableDataEntries"/>
              <w:rPr>
                <w:rFonts w:ascii="Franklin Gothic Demi" w:hAnsi="Franklin Gothic Demi"/>
              </w:rPr>
            </w:pPr>
            <w:r w:rsidRPr="004D5011">
              <w:rPr>
                <w:rFonts w:ascii="Franklin Gothic Demi" w:hAnsi="Franklin Gothic Demi"/>
              </w:rPr>
              <w:t>14 672</w:t>
            </w:r>
          </w:p>
        </w:tc>
        <w:tc>
          <w:tcPr>
            <w:tcW w:w="115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6E0490C" w14:textId="77777777" w:rsidR="00E137EB" w:rsidRPr="004D5011" w:rsidRDefault="00E137EB" w:rsidP="00496A24">
            <w:pPr>
              <w:pStyle w:val="TableDataEntries"/>
              <w:rPr>
                <w:rFonts w:ascii="Franklin Gothic Demi" w:hAnsi="Franklin Gothic Demi"/>
              </w:rPr>
            </w:pPr>
            <w:r w:rsidRPr="004D5011">
              <w:rPr>
                <w:rFonts w:ascii="Franklin Gothic Demi" w:hAnsi="Franklin Gothic Demi"/>
              </w:rPr>
              <w:t>73 043</w:t>
            </w:r>
          </w:p>
        </w:tc>
      </w:tr>
    </w:tbl>
    <w:p w14:paraId="19017AA6" w14:textId="77777777" w:rsidR="00E137EB" w:rsidRPr="00E4232C" w:rsidRDefault="00E137EB" w:rsidP="002474D4">
      <w:pPr>
        <w:pStyle w:val="Source"/>
        <w:rPr>
          <w:lang w:bidi="fa-IR"/>
        </w:rPr>
      </w:pPr>
      <w:r w:rsidRPr="00E4232C">
        <w:rPr>
          <w:rStyle w:val="NoteLabel"/>
        </w:rPr>
        <w:lastRenderedPageBreak/>
        <w:t>a</w:t>
      </w:r>
      <w:r>
        <w:t xml:space="preserve"> Other injuries included are:</w:t>
      </w:r>
      <w:r>
        <w:rPr>
          <w:lang w:bidi="fa-IR"/>
        </w:rPr>
        <w:t xml:space="preserve"> transport, exposure to inanimate mechanical forces (e.g. a work injury), exposure to animate mechanical forces (e.g. a dog bite), other unintentional injuries, intentional injuries, assault injuries, undetermined and other injuries. Excluded injury classes are: accidental drowning, accidental poisoning and thermal injuries, where not enough information is provided to estimate how many of these are relevant lower body injuries. However, the nature of these excluded injuries suggests that very few of them would result in injuries to the hip, leg, ankle or foot that are fractures, dislocations and soft-tissue injury.</w:t>
      </w:r>
    </w:p>
    <w:p w14:paraId="68CAFFA1" w14:textId="77777777" w:rsidR="00E137EB" w:rsidRPr="002474D4" w:rsidRDefault="00E137EB" w:rsidP="00E137EB">
      <w:pPr>
        <w:pStyle w:val="Source"/>
        <w:rPr>
          <w:lang w:bidi="fa-IR"/>
        </w:rPr>
      </w:pPr>
      <w:r w:rsidRPr="002474D4">
        <w:rPr>
          <w:lang w:bidi="fa-IR"/>
        </w:rPr>
        <w:t xml:space="preserve">Note: To estimate falls and other injuries that are injuries to hip, leg, ankle and foot, which are fractures, dislocations or soft-tissue injuries </w:t>
      </w:r>
      <w:r w:rsidR="00E11625" w:rsidRPr="002474D4">
        <w:rPr>
          <w:lang w:bidi="fa-IR"/>
        </w:rPr>
        <w:t xml:space="preserve">CIE </w:t>
      </w:r>
      <w:r w:rsidRPr="002474D4">
        <w:rPr>
          <w:lang w:bidi="fa-IR"/>
        </w:rPr>
        <w:t>take</w:t>
      </w:r>
      <w:r w:rsidR="00E11625" w:rsidRPr="002474D4">
        <w:rPr>
          <w:lang w:bidi="fa-IR"/>
        </w:rPr>
        <w:t>s</w:t>
      </w:r>
      <w:r w:rsidRPr="002474D4">
        <w:rPr>
          <w:lang w:bidi="fa-IR"/>
        </w:rPr>
        <w:t xml:space="preserve"> total reported injuries in each category and multiply by ratio of hip, leg, ankle injuries to the total, and then by the ratio of fracture, dislocation and soft-tissue injuries to the total, respectively.</w:t>
      </w:r>
    </w:p>
    <w:p w14:paraId="4EBDAEB6" w14:textId="77777777" w:rsidR="00E137EB" w:rsidRPr="002474D4" w:rsidRDefault="00E137EB" w:rsidP="00E137EB">
      <w:pPr>
        <w:pStyle w:val="Source"/>
        <w:rPr>
          <w:lang w:bidi="fa-IR"/>
        </w:rPr>
      </w:pPr>
      <w:r w:rsidRPr="002474D4">
        <w:rPr>
          <w:lang w:bidi="fa-IR"/>
        </w:rPr>
        <w:t>Source:</w:t>
      </w:r>
      <w:r>
        <w:rPr>
          <w:lang w:bidi="fa-IR"/>
        </w:rPr>
        <w:t xml:space="preserve"> CIE estimates based on: AIHW 2019, </w:t>
      </w:r>
      <w:r w:rsidRPr="002474D4">
        <w:rPr>
          <w:lang w:bidi="fa-IR"/>
        </w:rPr>
        <w:t xml:space="preserve">Trends in hospitalised injury, Australia, 2007-08 to 2016-17, </w:t>
      </w:r>
      <w:r>
        <w:rPr>
          <w:lang w:bidi="fa-IR"/>
        </w:rPr>
        <w:t xml:space="preserve">Injury Research and Statistics Series Number 124, </w:t>
      </w:r>
      <w:hyperlink r:id="rId40" w:tooltip="More information can be found at the website via this link" w:history="1">
        <w:r w:rsidRPr="002474D4">
          <w:rPr>
            <w:lang w:bidi="fa-IR"/>
          </w:rPr>
          <w:t>https://www.aihw.gov.au/getmedia/6cef34e2-2422-4f11-a9f3-06e336edac3f/aihw-injcat-204.pdf.aspx?inline=true</w:t>
        </w:r>
      </w:hyperlink>
    </w:p>
    <w:p w14:paraId="5DE4532F" w14:textId="77777777" w:rsidR="00E137EB" w:rsidRDefault="004D5011" w:rsidP="00E137EB">
      <w:pPr>
        <w:pStyle w:val="BodyText"/>
      </w:pPr>
      <w:r>
        <w:rPr>
          <w:lang w:eastAsia="en-US"/>
        </w:rPr>
        <w:t>According to</w:t>
      </w:r>
      <w:r w:rsidR="00E137EB">
        <w:rPr>
          <w:lang w:eastAsia="en-US"/>
        </w:rPr>
        <w:t xml:space="preserve"> the SDAC survey, only 24 per cent of </w:t>
      </w:r>
      <w:r w:rsidR="00E137EB">
        <w:t xml:space="preserve">people who use crutches, who live in unmodified homes, require assistance moving around their place of residence. Applying this percentage, </w:t>
      </w:r>
      <w:r>
        <w:t xml:space="preserve">it is </w:t>
      </w:r>
      <w:r w:rsidR="00E137EB">
        <w:t>estimate</w:t>
      </w:r>
      <w:r>
        <w:t>d that</w:t>
      </w:r>
      <w:r w:rsidR="00E137EB">
        <w:t xml:space="preserve"> there are </w:t>
      </w:r>
      <w:r w:rsidR="00E137EB">
        <w:rPr>
          <w:lang w:eastAsia="en-US"/>
        </w:rPr>
        <w:t xml:space="preserve">17 551 hospitalisation </w:t>
      </w:r>
      <w:r w:rsidR="006025FB">
        <w:rPr>
          <w:lang w:eastAsia="en-US"/>
        </w:rPr>
        <w:t xml:space="preserve">short-term </w:t>
      </w:r>
      <w:r w:rsidR="00E137EB">
        <w:rPr>
          <w:lang w:eastAsia="en-US"/>
        </w:rPr>
        <w:t xml:space="preserve">injuries each year </w:t>
      </w:r>
      <w:r w:rsidR="00E137EB">
        <w:t>wh</w:t>
      </w:r>
      <w:r w:rsidR="006025FB">
        <w:t xml:space="preserve">ere the sufferers </w:t>
      </w:r>
      <w:r w:rsidR="00E137EB">
        <w:t>would benefit</w:t>
      </w:r>
      <w:r w:rsidR="006161C1">
        <w:t xml:space="preserve"> from </w:t>
      </w:r>
      <w:r w:rsidR="00E137EB">
        <w:t xml:space="preserve">accessible </w:t>
      </w:r>
      <w:r w:rsidR="006161C1">
        <w:t>housing</w:t>
      </w:r>
      <w:r w:rsidR="00E137EB">
        <w:t>.</w:t>
      </w:r>
    </w:p>
    <w:p w14:paraId="1B580E77" w14:textId="77777777" w:rsidR="00E137EB" w:rsidRDefault="00E137EB" w:rsidP="00E137EB">
      <w:pPr>
        <w:pStyle w:val="BodyText"/>
        <w:rPr>
          <w:lang w:eastAsia="en-US"/>
        </w:rPr>
      </w:pPr>
      <w:r>
        <w:t xml:space="preserve">Further, the benefits created by accessible homes </w:t>
      </w:r>
      <w:r w:rsidR="00496A24">
        <w:t xml:space="preserve">for people with short term injuries </w:t>
      </w:r>
      <w:r>
        <w:t xml:space="preserve">will only last for a finite period. </w:t>
      </w:r>
      <w:r w:rsidR="00496A24">
        <w:t>Based on relevant data presented in table</w:t>
      </w:r>
      <w:r w:rsidR="00833931">
        <w:t> 3.45</w:t>
      </w:r>
      <w:r>
        <w:t xml:space="preserve">, </w:t>
      </w:r>
      <w:r w:rsidR="00496A24">
        <w:t>it is</w:t>
      </w:r>
      <w:r>
        <w:t xml:space="preserve"> assume</w:t>
      </w:r>
      <w:r w:rsidR="00496A24">
        <w:t>d</w:t>
      </w:r>
      <w:r>
        <w:t xml:space="preserve"> that sufferers of fractures, dislocations and s</w:t>
      </w:r>
      <w:r w:rsidR="00B86101">
        <w:t>oft</w:t>
      </w:r>
      <w:r>
        <w:t>-</w:t>
      </w:r>
      <w:r w:rsidR="00496A24">
        <w:t>tissue</w:t>
      </w:r>
      <w:r>
        <w:t xml:space="preserve"> injuries would realise benefits over 10</w:t>
      </w:r>
      <w:r>
        <w:rPr>
          <w:lang w:eastAsia="en-US"/>
        </w:rPr>
        <w:t>.5, 6 and 2.5 weeks respectively.</w:t>
      </w:r>
    </w:p>
    <w:p w14:paraId="1C2F9D49" w14:textId="5D7E5746" w:rsidR="00E137EB" w:rsidRDefault="0022260E" w:rsidP="00E137EB">
      <w:pPr>
        <w:pStyle w:val="Caption"/>
      </w:pPr>
      <w:bookmarkStart w:id="285" w:name="_Toc57643625"/>
      <w:bookmarkStart w:id="286" w:name="_Toc70505544"/>
      <w:r>
        <w:t>3.45</w:t>
      </w:r>
      <w:r w:rsidR="00E137EB" w:rsidRPr="00695C93">
        <w:tab/>
      </w:r>
      <w:r w:rsidR="00E137EB">
        <w:t xml:space="preserve">Time period over which </w:t>
      </w:r>
      <w:r w:rsidR="00755518">
        <w:t>short term injuries impacted by in</w:t>
      </w:r>
      <w:r w:rsidR="00E137EB">
        <w:t>accessible housing</w:t>
      </w:r>
      <w:bookmarkEnd w:id="285"/>
      <w:bookmarkEnd w:id="286"/>
    </w:p>
    <w:tbl>
      <w:tblPr>
        <w:tblW w:w="0" w:type="auto"/>
        <w:tblLayout w:type="fixed"/>
        <w:tblLook w:val="0000" w:firstRow="0" w:lastRow="0" w:firstColumn="0" w:lastColumn="0" w:noHBand="0" w:noVBand="0"/>
        <w:tblCaption w:val="Table 3.45: Time period over which short term injuries impacted by inaccessible housing"/>
        <w:tblDescription w:val="Fractures require 6-8 weeks (minor) and up to 3-6 months (serious fracture) to heal, with an average time of 10.5 weeks to heal.&#10;Dislocations take about 6 weeks to heal.&#10;Soft-tissue injuries take an average of 2.5 weeks to heal. &#10;Each of these injuries would benefit from accessible housing over the healing period."/>
      </w:tblPr>
      <w:tblGrid>
        <w:gridCol w:w="1418"/>
        <w:gridCol w:w="3873"/>
        <w:gridCol w:w="2646"/>
      </w:tblGrid>
      <w:tr w:rsidR="00E137EB" w14:paraId="773FB774" w14:textId="77777777" w:rsidTr="00496A24">
        <w:tc>
          <w:tcPr>
            <w:tcW w:w="1418" w:type="dxa"/>
            <w:tcBorders>
              <w:bottom w:val="single" w:sz="8" w:space="0" w:color="FFFFFF" w:themeColor="background1"/>
            </w:tcBorders>
            <w:shd w:val="clear" w:color="auto" w:fill="6F6652"/>
            <w:tcMar>
              <w:left w:w="57" w:type="dxa"/>
              <w:right w:w="57" w:type="dxa"/>
            </w:tcMar>
          </w:tcPr>
          <w:p w14:paraId="69B1B9E1" w14:textId="77777777" w:rsidR="00E137EB" w:rsidRDefault="00076100" w:rsidP="00496A24">
            <w:pPr>
              <w:pStyle w:val="TableTextColumnHeading"/>
            </w:pPr>
            <w:r>
              <w:t>Injury</w:t>
            </w:r>
          </w:p>
        </w:tc>
        <w:tc>
          <w:tcPr>
            <w:tcW w:w="3873" w:type="dxa"/>
            <w:tcBorders>
              <w:bottom w:val="single" w:sz="8" w:space="0" w:color="FFFFFF" w:themeColor="background1"/>
            </w:tcBorders>
            <w:shd w:val="clear" w:color="auto" w:fill="6F6652"/>
            <w:tcMar>
              <w:left w:w="57" w:type="dxa"/>
              <w:right w:w="57" w:type="dxa"/>
            </w:tcMar>
          </w:tcPr>
          <w:p w14:paraId="6234EE10" w14:textId="77777777" w:rsidR="00E137EB" w:rsidRDefault="00E137EB" w:rsidP="00496A24">
            <w:pPr>
              <w:pStyle w:val="TableTextColumnHeading"/>
            </w:pPr>
            <w:r>
              <w:t>Relevant data</w:t>
            </w:r>
          </w:p>
        </w:tc>
        <w:tc>
          <w:tcPr>
            <w:tcW w:w="2646" w:type="dxa"/>
            <w:tcBorders>
              <w:bottom w:val="single" w:sz="8" w:space="0" w:color="FFFFFF" w:themeColor="background1"/>
            </w:tcBorders>
            <w:shd w:val="clear" w:color="auto" w:fill="6F6652"/>
            <w:tcMar>
              <w:left w:w="57" w:type="dxa"/>
              <w:right w:w="57" w:type="dxa"/>
            </w:tcMar>
          </w:tcPr>
          <w:p w14:paraId="239DC949" w14:textId="77777777" w:rsidR="00E137EB" w:rsidRDefault="00E137EB" w:rsidP="00496A24">
            <w:pPr>
              <w:pStyle w:val="TableTextColumnHeading"/>
            </w:pPr>
            <w:r>
              <w:t>Final assumption</w:t>
            </w:r>
          </w:p>
        </w:tc>
      </w:tr>
      <w:tr w:rsidR="00E137EB" w14:paraId="381D6E3A" w14:textId="77777777" w:rsidTr="00496A24">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6DD759" w14:textId="77777777" w:rsidR="00E137EB" w:rsidRDefault="00E137EB" w:rsidP="00496A24">
            <w:pPr>
              <w:pStyle w:val="TableTextEntries"/>
            </w:pPr>
            <w:r>
              <w:t>Fracture</w:t>
            </w:r>
          </w:p>
        </w:tc>
        <w:tc>
          <w:tcPr>
            <w:tcW w:w="38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EB5510" w14:textId="77777777" w:rsidR="00E137EB" w:rsidRDefault="00E137EB" w:rsidP="00496A24">
            <w:pPr>
              <w:pStyle w:val="TableListBullet"/>
            </w:pPr>
            <w:r>
              <w:t xml:space="preserve">NHS discussion: </w:t>
            </w:r>
            <w:r>
              <w:rPr>
                <w:lang w:bidi="fa-IR"/>
              </w:rPr>
              <w:t>It takes around 6 to 8 weeks for a minor fracture to heal. For serious ones, such as a tibia-fibula fracture, it takes about 3 to 6 months</w:t>
            </w:r>
          </w:p>
          <w:p w14:paraId="212B1796" w14:textId="77777777" w:rsidR="00E137EB" w:rsidRDefault="00E137EB" w:rsidP="00496A24">
            <w:pPr>
              <w:pStyle w:val="TableListBullet"/>
            </w:pPr>
            <w:r>
              <w:rPr>
                <w:lang w:bidi="fa-IR"/>
              </w:rPr>
              <w:t>Workers Compensation statistics: workers are off work for 8 weeks on average after a fracture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34A7FE" w14:textId="77777777" w:rsidR="00E137EB" w:rsidRDefault="00E137EB" w:rsidP="00496A24">
            <w:pPr>
              <w:pStyle w:val="TableTextEntries"/>
            </w:pPr>
            <w:r>
              <w:t>10.5 weeks (average of 8 weeks and 3 months), or 0.2 years</w:t>
            </w:r>
          </w:p>
        </w:tc>
      </w:tr>
      <w:tr w:rsidR="00E137EB" w14:paraId="518515F0" w14:textId="77777777" w:rsidTr="00496A24">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1A6E53" w14:textId="77777777" w:rsidR="00E137EB" w:rsidRDefault="00E137EB" w:rsidP="00496A24">
            <w:pPr>
              <w:pStyle w:val="TableTextEntries"/>
            </w:pPr>
            <w:r>
              <w:t>Dislocation</w:t>
            </w:r>
          </w:p>
        </w:tc>
        <w:tc>
          <w:tcPr>
            <w:tcW w:w="38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075C63" w14:textId="77777777" w:rsidR="00E137EB" w:rsidRDefault="00E137EB" w:rsidP="00496A24">
            <w:pPr>
              <w:pStyle w:val="TableTextEntries"/>
            </w:pPr>
            <w:r>
              <w:t xml:space="preserve">NHS discussion: it </w:t>
            </w:r>
            <w:r>
              <w:rPr>
                <w:lang w:bidi="fa-IR"/>
              </w:rPr>
              <w:t>takes about 6 weeks to heal from a dislocated kneecap</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7033EF" w14:textId="77777777" w:rsidR="00E137EB" w:rsidRDefault="00E137EB" w:rsidP="00496A24">
            <w:pPr>
              <w:pStyle w:val="TableTextEntries"/>
            </w:pPr>
            <w:r>
              <w:t>6 weeks, or 0.12 years</w:t>
            </w:r>
          </w:p>
        </w:tc>
      </w:tr>
      <w:tr w:rsidR="00E137EB" w14:paraId="2AD8D9D5" w14:textId="77777777" w:rsidTr="00496A24">
        <w:tc>
          <w:tcPr>
            <w:tcW w:w="1418" w:type="dxa"/>
            <w:tcBorders>
              <w:top w:val="single" w:sz="8" w:space="0" w:color="FFFFFF" w:themeColor="background1"/>
              <w:bottom w:val="single" w:sz="6" w:space="0" w:color="6F6652"/>
            </w:tcBorders>
            <w:shd w:val="clear" w:color="auto" w:fill="E9E8E5" w:themeFill="background2"/>
            <w:tcMar>
              <w:left w:w="57" w:type="dxa"/>
              <w:right w:w="57" w:type="dxa"/>
            </w:tcMar>
          </w:tcPr>
          <w:p w14:paraId="79A78847" w14:textId="77777777" w:rsidR="00E137EB" w:rsidRDefault="00E137EB" w:rsidP="00496A24">
            <w:pPr>
              <w:pStyle w:val="TableTextEntries"/>
            </w:pPr>
            <w:r>
              <w:t>Soft-tissue injury</w:t>
            </w:r>
          </w:p>
        </w:tc>
        <w:tc>
          <w:tcPr>
            <w:tcW w:w="3873" w:type="dxa"/>
            <w:tcBorders>
              <w:top w:val="single" w:sz="8" w:space="0" w:color="FFFFFF" w:themeColor="background1"/>
              <w:bottom w:val="single" w:sz="6" w:space="0" w:color="6F6652"/>
            </w:tcBorders>
            <w:shd w:val="clear" w:color="auto" w:fill="E9E8E5" w:themeFill="background2"/>
            <w:tcMar>
              <w:left w:w="57" w:type="dxa"/>
              <w:right w:w="57" w:type="dxa"/>
            </w:tcMar>
          </w:tcPr>
          <w:p w14:paraId="2B2401CE" w14:textId="77777777" w:rsidR="00E137EB" w:rsidRDefault="00E137EB" w:rsidP="00496A24">
            <w:pPr>
              <w:pStyle w:val="TableTextEntries"/>
            </w:pPr>
            <w:r>
              <w:t>NHS discussion: it takes 2 to 3 weeks to recover from a soft-tissue injury</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1F6618F9" w14:textId="77777777" w:rsidR="00E137EB" w:rsidRDefault="00E137EB" w:rsidP="00496A24">
            <w:pPr>
              <w:pStyle w:val="TableTextEntries"/>
            </w:pPr>
            <w:r>
              <w:t>2.5 weeks, or 0.05 years</w:t>
            </w:r>
          </w:p>
        </w:tc>
      </w:tr>
    </w:tbl>
    <w:p w14:paraId="5C297DE5" w14:textId="77777777" w:rsidR="00E137EB" w:rsidRPr="002474D4" w:rsidRDefault="00E137EB" w:rsidP="00E137EB">
      <w:pPr>
        <w:pStyle w:val="Source"/>
        <w:rPr>
          <w:lang w:bidi="fa-IR"/>
        </w:rPr>
      </w:pPr>
      <w:r w:rsidRPr="002474D4">
        <w:rPr>
          <w:lang w:bidi="fa-IR"/>
        </w:rPr>
        <w:t>Source:</w:t>
      </w:r>
      <w:r>
        <w:rPr>
          <w:lang w:bidi="fa-IR"/>
        </w:rPr>
        <w:t xml:space="preserve"> NHS 2020, </w:t>
      </w:r>
      <w:r w:rsidRPr="002474D4">
        <w:rPr>
          <w:lang w:bidi="fa-IR"/>
        </w:rPr>
        <w:t>Broken leg</w:t>
      </w:r>
      <w:r>
        <w:rPr>
          <w:lang w:bidi="fa-IR"/>
        </w:rPr>
        <w:t xml:space="preserve">, </w:t>
      </w:r>
      <w:hyperlink r:id="rId41" w:anchor=":~:text=It%20takes%20around%206%20to,weight%20on%20the%20leg%20again" w:history="1">
        <w:r w:rsidRPr="002474D4">
          <w:rPr>
            <w:lang w:bidi="fa-IR"/>
          </w:rPr>
          <w:t>https://www.nhs.uk/conditions/broken-leg/#:~:text=It%20takes%20around%206%20to,weight%20on%20the%20leg%20again</w:t>
        </w:r>
      </w:hyperlink>
      <w:r>
        <w:rPr>
          <w:lang w:bidi="fa-IR"/>
        </w:rPr>
        <w:t xml:space="preserve">; Safe Work Australia 2020, </w:t>
      </w:r>
      <w:r w:rsidRPr="002474D4">
        <w:rPr>
          <w:lang w:bidi="fa-IR"/>
        </w:rPr>
        <w:t>Australian Workers Compensation Statistics 2017-18</w:t>
      </w:r>
      <w:r>
        <w:rPr>
          <w:lang w:bidi="fa-IR"/>
        </w:rPr>
        <w:t xml:space="preserve">, 10 January 2020, </w:t>
      </w:r>
      <w:hyperlink r:id="rId42" w:tooltip="More information can be found at the website via this link" w:history="1">
        <w:r w:rsidRPr="002474D4">
          <w:rPr>
            <w:lang w:bidi="fa-IR"/>
          </w:rPr>
          <w:t>https://www.safeworkaustralia.gov.au/doc/australian-workers-compensation-statistics-2017-18</w:t>
        </w:r>
      </w:hyperlink>
      <w:r>
        <w:rPr>
          <w:lang w:bidi="fa-IR"/>
        </w:rPr>
        <w:t xml:space="preserve">, Table 37, p.48; NHS 2020, </w:t>
      </w:r>
      <w:r w:rsidRPr="002474D4">
        <w:rPr>
          <w:lang w:bidi="fa-IR"/>
        </w:rPr>
        <w:t>Dislocated kneecap</w:t>
      </w:r>
      <w:r>
        <w:rPr>
          <w:lang w:bidi="fa-IR"/>
        </w:rPr>
        <w:t xml:space="preserve">, </w:t>
      </w:r>
      <w:hyperlink r:id="rId43" w:anchor=":~:text=A%20dislocated%20kneecap%20is%20a,the%20front%20of%20the%20knee" w:history="1">
        <w:r w:rsidRPr="002474D4">
          <w:rPr>
            <w:lang w:bidi="fa-IR"/>
          </w:rPr>
          <w:t>https://www.nhs.uk/conditions/dislocated-kneecap/#:~:text=A%20dislocated%20kneecap%20is%20a,the%20front%20of%20the%20knee</w:t>
        </w:r>
      </w:hyperlink>
      <w:r>
        <w:rPr>
          <w:lang w:bidi="fa-IR"/>
        </w:rPr>
        <w:t xml:space="preserve">; NHS 2014, </w:t>
      </w:r>
      <w:r w:rsidRPr="002474D4">
        <w:rPr>
          <w:lang w:bidi="fa-IR"/>
        </w:rPr>
        <w:t xml:space="preserve">Soft tissue injuries </w:t>
      </w:r>
      <w:hyperlink r:id="rId44" w:tooltip="More information can be found at the website via this link" w:history="1">
        <w:r w:rsidRPr="002474D4">
          <w:rPr>
            <w:lang w:bidi="fa-IR"/>
          </w:rPr>
          <w:t>https://www.ouh.nhs.uk/patient-guide/leaflets/files/10879Psofttissue.pdf</w:t>
        </w:r>
      </w:hyperlink>
    </w:p>
    <w:p w14:paraId="3ECF98E7" w14:textId="4F72D46D" w:rsidR="00184D9A" w:rsidRDefault="00E137EB" w:rsidP="00E137EB">
      <w:pPr>
        <w:pStyle w:val="BodyText"/>
        <w:rPr>
          <w:lang w:eastAsia="en-US"/>
        </w:rPr>
      </w:pPr>
      <w:r>
        <w:rPr>
          <w:lang w:eastAsia="en-US"/>
        </w:rPr>
        <w:t xml:space="preserve">As outlined above, the </w:t>
      </w:r>
      <w:r w:rsidR="00184D9A">
        <w:rPr>
          <w:lang w:eastAsia="en-US"/>
        </w:rPr>
        <w:t>impacts</w:t>
      </w:r>
      <w:r>
        <w:rPr>
          <w:lang w:eastAsia="en-US"/>
        </w:rPr>
        <w:t xml:space="preserve"> </w:t>
      </w:r>
      <w:r w:rsidR="00184D9A">
        <w:rPr>
          <w:lang w:eastAsia="en-US"/>
        </w:rPr>
        <w:t>of inaccessible housing on</w:t>
      </w:r>
      <w:r>
        <w:rPr>
          <w:lang w:eastAsia="en-US"/>
        </w:rPr>
        <w:t xml:space="preserve"> </w:t>
      </w:r>
      <w:r w:rsidR="00496A24">
        <w:rPr>
          <w:lang w:eastAsia="en-US"/>
        </w:rPr>
        <w:t>people with short term injuries</w:t>
      </w:r>
      <w:r>
        <w:rPr>
          <w:lang w:eastAsia="en-US"/>
        </w:rPr>
        <w:t xml:space="preserve"> during recovery relate to </w:t>
      </w:r>
      <w:r w:rsidR="00184D9A">
        <w:rPr>
          <w:lang w:eastAsia="en-US"/>
        </w:rPr>
        <w:t>additional</w:t>
      </w:r>
      <w:r>
        <w:rPr>
          <w:lang w:eastAsia="en-US"/>
        </w:rPr>
        <w:t xml:space="preserve"> informal care hours and </w:t>
      </w:r>
      <w:r w:rsidR="00A71CB4">
        <w:rPr>
          <w:lang w:eastAsia="en-US"/>
        </w:rPr>
        <w:t>inability to visit family and friends in inaccessible housing</w:t>
      </w:r>
      <w:r>
        <w:rPr>
          <w:lang w:eastAsia="en-US"/>
        </w:rPr>
        <w:t xml:space="preserve">. As outlined in </w:t>
      </w:r>
      <w:r w:rsidR="00FB6D20">
        <w:rPr>
          <w:lang w:eastAsia="en-US"/>
        </w:rPr>
        <w:t>a</w:t>
      </w:r>
      <w:r w:rsidRPr="00FB6D20">
        <w:rPr>
          <w:lang w:eastAsia="en-US"/>
        </w:rPr>
        <w:t xml:space="preserve">ppendices </w:t>
      </w:r>
      <w:r w:rsidR="00FB6D20" w:rsidRPr="00FB6D20">
        <w:rPr>
          <w:lang w:eastAsia="en-US"/>
        </w:rPr>
        <w:fldChar w:fldCharType="begin"/>
      </w:r>
      <w:r w:rsidR="00FB6D20" w:rsidRPr="00FB6D20">
        <w:rPr>
          <w:lang w:eastAsia="en-US"/>
        </w:rPr>
        <w:instrText xml:space="preserve"> REF _Ref55130688 \n \h </w:instrText>
      </w:r>
      <w:r w:rsidR="00FB6D20">
        <w:rPr>
          <w:lang w:eastAsia="en-US"/>
        </w:rPr>
        <w:instrText xml:space="preserve"> \* MERGEFORMAT </w:instrText>
      </w:r>
      <w:r w:rsidR="00FB6D20" w:rsidRPr="00FB6D20">
        <w:rPr>
          <w:lang w:eastAsia="en-US"/>
        </w:rPr>
      </w:r>
      <w:r w:rsidR="00FB6D20" w:rsidRPr="00FB6D20">
        <w:rPr>
          <w:lang w:eastAsia="en-US"/>
        </w:rPr>
        <w:fldChar w:fldCharType="separate"/>
      </w:r>
      <w:r w:rsidR="000F445C">
        <w:rPr>
          <w:lang w:eastAsia="en-US"/>
        </w:rPr>
        <w:t>C</w:t>
      </w:r>
      <w:r w:rsidR="00FB6D20" w:rsidRPr="00FB6D20">
        <w:rPr>
          <w:lang w:eastAsia="en-US"/>
        </w:rPr>
        <w:fldChar w:fldCharType="end"/>
      </w:r>
      <w:r w:rsidR="00FB6D20" w:rsidRPr="00FB6D20">
        <w:rPr>
          <w:lang w:eastAsia="en-US"/>
        </w:rPr>
        <w:t xml:space="preserve"> and </w:t>
      </w:r>
      <w:r w:rsidR="00FB6D20" w:rsidRPr="00FB6D20">
        <w:rPr>
          <w:lang w:eastAsia="en-US"/>
        </w:rPr>
        <w:fldChar w:fldCharType="begin"/>
      </w:r>
      <w:r w:rsidR="00FB6D20" w:rsidRPr="00FB6D20">
        <w:rPr>
          <w:lang w:eastAsia="en-US"/>
        </w:rPr>
        <w:instrText xml:space="preserve"> REF _Ref55130419 \n \h </w:instrText>
      </w:r>
      <w:r w:rsidR="00FB6D20">
        <w:rPr>
          <w:lang w:eastAsia="en-US"/>
        </w:rPr>
        <w:instrText xml:space="preserve"> \* MERGEFORMAT </w:instrText>
      </w:r>
      <w:r w:rsidR="00FB6D20" w:rsidRPr="00FB6D20">
        <w:rPr>
          <w:lang w:eastAsia="en-US"/>
        </w:rPr>
      </w:r>
      <w:r w:rsidR="00FB6D20" w:rsidRPr="00FB6D20">
        <w:rPr>
          <w:lang w:eastAsia="en-US"/>
        </w:rPr>
        <w:fldChar w:fldCharType="separate"/>
      </w:r>
      <w:r w:rsidR="000F445C">
        <w:rPr>
          <w:lang w:eastAsia="en-US"/>
        </w:rPr>
        <w:t>G</w:t>
      </w:r>
      <w:r w:rsidR="00FB6D20" w:rsidRPr="00FB6D20">
        <w:rPr>
          <w:lang w:eastAsia="en-US"/>
        </w:rPr>
        <w:fldChar w:fldCharType="end"/>
      </w:r>
      <w:r>
        <w:rPr>
          <w:lang w:eastAsia="en-US"/>
        </w:rPr>
        <w:t>, the estimate</w:t>
      </w:r>
      <w:r w:rsidR="00496A24">
        <w:rPr>
          <w:lang w:eastAsia="en-US"/>
        </w:rPr>
        <w:t>d</w:t>
      </w:r>
      <w:r>
        <w:rPr>
          <w:lang w:eastAsia="en-US"/>
        </w:rPr>
        <w:t xml:space="preserve"> </w:t>
      </w:r>
      <w:r w:rsidR="00184D9A">
        <w:rPr>
          <w:lang w:eastAsia="en-US"/>
        </w:rPr>
        <w:t>cost</w:t>
      </w:r>
      <w:r w:rsidR="00496A24">
        <w:rPr>
          <w:lang w:eastAsia="en-US"/>
        </w:rPr>
        <w:t xml:space="preserve"> for </w:t>
      </w:r>
      <w:r w:rsidR="00184D9A">
        <w:rPr>
          <w:lang w:eastAsia="en-US"/>
        </w:rPr>
        <w:t>additional</w:t>
      </w:r>
      <w:r w:rsidR="00496A24">
        <w:rPr>
          <w:lang w:eastAsia="en-US"/>
        </w:rPr>
        <w:t xml:space="preserve"> informal care </w:t>
      </w:r>
      <w:r w:rsidR="00184D9A">
        <w:rPr>
          <w:lang w:eastAsia="en-US"/>
        </w:rPr>
        <w:t>is</w:t>
      </w:r>
      <w:r>
        <w:rPr>
          <w:lang w:eastAsia="en-US"/>
        </w:rPr>
        <w:t xml:space="preserve"> $</w:t>
      </w:r>
      <w:r w:rsidR="00A71CB4">
        <w:rPr>
          <w:lang w:eastAsia="en-US"/>
        </w:rPr>
        <w:t>7</w:t>
      </w:r>
      <w:r>
        <w:rPr>
          <w:lang w:eastAsia="en-US"/>
        </w:rPr>
        <w:t> </w:t>
      </w:r>
      <w:r w:rsidR="00A71CB4">
        <w:rPr>
          <w:lang w:eastAsia="en-US"/>
        </w:rPr>
        <w:t>129</w:t>
      </w:r>
      <w:r>
        <w:rPr>
          <w:lang w:eastAsia="en-US"/>
        </w:rPr>
        <w:t xml:space="preserve"> per year per </w:t>
      </w:r>
      <w:r w:rsidR="00184D9A">
        <w:rPr>
          <w:lang w:eastAsia="en-US"/>
        </w:rPr>
        <w:t>person</w:t>
      </w:r>
      <w:r>
        <w:rPr>
          <w:lang w:eastAsia="en-US"/>
        </w:rPr>
        <w:t xml:space="preserve"> and </w:t>
      </w:r>
      <w:r w:rsidR="00184D9A">
        <w:rPr>
          <w:lang w:eastAsia="en-US"/>
        </w:rPr>
        <w:t>between $417 and $1 471 per year for inability to visit</w:t>
      </w:r>
      <w:r>
        <w:rPr>
          <w:lang w:eastAsia="en-US"/>
        </w:rPr>
        <w:t xml:space="preserve">. </w:t>
      </w:r>
      <w:r w:rsidR="00184D9A">
        <w:rPr>
          <w:lang w:eastAsia="en-US"/>
        </w:rPr>
        <w:t>These suggest that the annualised cost for short term injury sufferers is between $7 546 and $8 600 per injury with the midpoint of $8 073 per injury.</w:t>
      </w:r>
    </w:p>
    <w:p w14:paraId="3D29A02C" w14:textId="6A52FE8F" w:rsidR="00E137EB" w:rsidRPr="00B14DF6" w:rsidRDefault="00E137EB" w:rsidP="00E137EB">
      <w:pPr>
        <w:pStyle w:val="BodyText"/>
        <w:rPr>
          <w:lang w:eastAsia="en-US"/>
        </w:rPr>
      </w:pPr>
      <w:r>
        <w:rPr>
          <w:lang w:eastAsia="en-US"/>
        </w:rPr>
        <w:t>Altogether, these assumptions imply that</w:t>
      </w:r>
      <w:r w:rsidR="005F24C3">
        <w:rPr>
          <w:lang w:eastAsia="en-US"/>
        </w:rPr>
        <w:t xml:space="preserve"> the cost of inaccessible housing for</w:t>
      </w:r>
      <w:r>
        <w:rPr>
          <w:lang w:eastAsia="en-US"/>
        </w:rPr>
        <w:t xml:space="preserve"> </w:t>
      </w:r>
      <w:r w:rsidR="00496A24">
        <w:rPr>
          <w:lang w:eastAsia="en-US"/>
        </w:rPr>
        <w:t>people with</w:t>
      </w:r>
      <w:r>
        <w:rPr>
          <w:lang w:eastAsia="en-US"/>
        </w:rPr>
        <w:t xml:space="preserve"> short-term hospitalisation injuries would </w:t>
      </w:r>
      <w:r w:rsidR="005F24C3">
        <w:rPr>
          <w:lang w:eastAsia="en-US"/>
        </w:rPr>
        <w:t xml:space="preserve">be between </w:t>
      </w:r>
      <w:r>
        <w:rPr>
          <w:lang w:eastAsia="en-US"/>
        </w:rPr>
        <w:t>$2</w:t>
      </w:r>
      <w:r w:rsidR="005F24C3">
        <w:rPr>
          <w:lang w:eastAsia="en-US"/>
        </w:rPr>
        <w:t>2</w:t>
      </w:r>
      <w:r w:rsidR="002B0E4B">
        <w:rPr>
          <w:lang w:eastAsia="en-US"/>
        </w:rPr>
        <w:t>.</w:t>
      </w:r>
      <w:r w:rsidR="005F24C3">
        <w:rPr>
          <w:lang w:eastAsia="en-US"/>
        </w:rPr>
        <w:t>13</w:t>
      </w:r>
      <w:r>
        <w:rPr>
          <w:lang w:eastAsia="en-US"/>
        </w:rPr>
        <w:t xml:space="preserve"> million </w:t>
      </w:r>
      <w:r w:rsidR="005F24C3">
        <w:rPr>
          <w:lang w:eastAsia="en-US"/>
        </w:rPr>
        <w:t xml:space="preserve">and $25.22 million </w:t>
      </w:r>
      <w:r>
        <w:rPr>
          <w:lang w:eastAsia="en-US"/>
        </w:rPr>
        <w:t xml:space="preserve">per year </w:t>
      </w:r>
      <w:r w:rsidR="005F24C3">
        <w:rPr>
          <w:lang w:eastAsia="en-US"/>
        </w:rPr>
        <w:t>with the midpoint of $23.67 million per year</w:t>
      </w:r>
      <w:r w:rsidR="00FF0DF6">
        <w:rPr>
          <w:lang w:eastAsia="en-US"/>
        </w:rPr>
        <w:t xml:space="preserve"> </w:t>
      </w:r>
      <w:r w:rsidR="00496A24">
        <w:rPr>
          <w:lang w:eastAsia="en-US"/>
        </w:rPr>
        <w:t>(table</w:t>
      </w:r>
      <w:r w:rsidR="0066514C">
        <w:rPr>
          <w:lang w:eastAsia="en-US"/>
        </w:rPr>
        <w:t xml:space="preserve"> 3.46</w:t>
      </w:r>
      <w:r w:rsidR="00496A24">
        <w:rPr>
          <w:lang w:eastAsia="en-US"/>
        </w:rPr>
        <w:t>)</w:t>
      </w:r>
      <w:r>
        <w:rPr>
          <w:lang w:eastAsia="en-US"/>
        </w:rPr>
        <w:t>.</w:t>
      </w:r>
    </w:p>
    <w:p w14:paraId="00F2920D" w14:textId="5C514EE1" w:rsidR="00E137EB" w:rsidRDefault="0022260E" w:rsidP="0022260E">
      <w:pPr>
        <w:pStyle w:val="Caption"/>
        <w:ind w:left="568" w:hanging="568"/>
      </w:pPr>
      <w:bookmarkStart w:id="287" w:name="_Toc57643626"/>
      <w:bookmarkStart w:id="288" w:name="_Toc70505545"/>
      <w:r>
        <w:lastRenderedPageBreak/>
        <w:t>3.46</w:t>
      </w:r>
      <w:r w:rsidR="00E137EB" w:rsidRPr="00695C93">
        <w:tab/>
      </w:r>
      <w:r w:rsidR="00C02A01">
        <w:t xml:space="preserve">Estimated cost </w:t>
      </w:r>
      <w:r w:rsidR="00E137EB">
        <w:t xml:space="preserve">for </w:t>
      </w:r>
      <w:r w:rsidR="00C02A01">
        <w:t xml:space="preserve">people with </w:t>
      </w:r>
      <w:r w:rsidR="00E137EB">
        <w:t xml:space="preserve">short-term </w:t>
      </w:r>
      <w:r w:rsidR="00C02A01">
        <w:t xml:space="preserve">hospitalised </w:t>
      </w:r>
      <w:r w:rsidR="00E137EB">
        <w:t>injuries</w:t>
      </w:r>
      <w:r w:rsidR="00C02A01">
        <w:t xml:space="preserve"> due to inaccessible housing</w:t>
      </w:r>
      <w:bookmarkEnd w:id="287"/>
      <w:bookmarkEnd w:id="288"/>
    </w:p>
    <w:tbl>
      <w:tblPr>
        <w:tblW w:w="7937" w:type="dxa"/>
        <w:tblLook w:val="04A0" w:firstRow="1" w:lastRow="0" w:firstColumn="1" w:lastColumn="0" w:noHBand="0" w:noVBand="1"/>
        <w:tblCaption w:val="Table 3.46: Estimated cost for people with short-term hospitalised injuries due to inaccessible housing"/>
        <w:tblDescription w:val="This table lists three types of short-term hospitalised injuries - fracture, dislocation and soft-tissue injury. For each injury type, the number of injuries, the average impact time, the annualised cost (low, central and high estimates), and the total cost (low, central and high) are listed. The central total cost for hospitalisation due to inaccessible housing for fractures is $21,550,000. For dislocations the cost is $750,000. For soft-tissue injuries the cost is $1,370,000. The total central cost is $23,670,000."/>
      </w:tblPr>
      <w:tblGrid>
        <w:gridCol w:w="3402"/>
        <w:gridCol w:w="798"/>
        <w:gridCol w:w="1429"/>
        <w:gridCol w:w="1154"/>
        <w:gridCol w:w="1154"/>
      </w:tblGrid>
      <w:tr w:rsidR="00E137EB" w:rsidRPr="00D61639" w14:paraId="2DC4358B" w14:textId="77777777" w:rsidTr="005F24C3">
        <w:trPr>
          <w:trHeight w:val="288"/>
          <w:tblHeader/>
        </w:trPr>
        <w:tc>
          <w:tcPr>
            <w:tcW w:w="3402" w:type="dxa"/>
            <w:tcBorders>
              <w:bottom w:val="single" w:sz="8" w:space="0" w:color="FFFFFF" w:themeColor="background1"/>
            </w:tcBorders>
            <w:shd w:val="clear" w:color="auto" w:fill="6F6652"/>
            <w:noWrap/>
            <w:tcMar>
              <w:left w:w="57" w:type="dxa"/>
              <w:right w:w="57" w:type="dxa"/>
            </w:tcMar>
            <w:hideMark/>
          </w:tcPr>
          <w:p w14:paraId="74D9BCEF" w14:textId="77777777" w:rsidR="00E137EB" w:rsidRPr="00D61639" w:rsidRDefault="00E137EB" w:rsidP="00496A24">
            <w:pPr>
              <w:pStyle w:val="TableDataColumnHeading"/>
            </w:pPr>
          </w:p>
        </w:tc>
        <w:tc>
          <w:tcPr>
            <w:tcW w:w="798" w:type="dxa"/>
            <w:tcBorders>
              <w:bottom w:val="single" w:sz="8" w:space="0" w:color="FFFFFF" w:themeColor="background1"/>
            </w:tcBorders>
            <w:shd w:val="clear" w:color="auto" w:fill="6F6652"/>
            <w:noWrap/>
            <w:tcMar>
              <w:left w:w="57" w:type="dxa"/>
              <w:right w:w="57" w:type="dxa"/>
            </w:tcMar>
            <w:hideMark/>
          </w:tcPr>
          <w:p w14:paraId="60321037" w14:textId="77777777" w:rsidR="00E137EB" w:rsidRPr="00D61639" w:rsidRDefault="00E137EB" w:rsidP="00496A24">
            <w:pPr>
              <w:pStyle w:val="TableDataColumnHeading"/>
            </w:pPr>
            <w:r w:rsidRPr="00D61639">
              <w:t>Fracture</w:t>
            </w:r>
          </w:p>
        </w:tc>
        <w:tc>
          <w:tcPr>
            <w:tcW w:w="1429" w:type="dxa"/>
            <w:tcBorders>
              <w:bottom w:val="single" w:sz="8" w:space="0" w:color="FFFFFF" w:themeColor="background1"/>
            </w:tcBorders>
            <w:shd w:val="clear" w:color="auto" w:fill="6F6652"/>
            <w:noWrap/>
            <w:tcMar>
              <w:left w:w="57" w:type="dxa"/>
              <w:right w:w="57" w:type="dxa"/>
            </w:tcMar>
            <w:hideMark/>
          </w:tcPr>
          <w:p w14:paraId="7BA4E8DD" w14:textId="77777777" w:rsidR="00E137EB" w:rsidRPr="00D61639" w:rsidRDefault="00E137EB" w:rsidP="00496A24">
            <w:pPr>
              <w:pStyle w:val="TableDataColumnHeading"/>
            </w:pPr>
            <w:r w:rsidRPr="00D61639">
              <w:t>Dislocation</w:t>
            </w:r>
          </w:p>
        </w:tc>
        <w:tc>
          <w:tcPr>
            <w:tcW w:w="1154" w:type="dxa"/>
            <w:tcBorders>
              <w:bottom w:val="single" w:sz="8" w:space="0" w:color="FFFFFF" w:themeColor="background1"/>
            </w:tcBorders>
            <w:shd w:val="clear" w:color="auto" w:fill="6F6652"/>
            <w:noWrap/>
            <w:tcMar>
              <w:left w:w="57" w:type="dxa"/>
              <w:right w:w="57" w:type="dxa"/>
            </w:tcMar>
            <w:hideMark/>
          </w:tcPr>
          <w:p w14:paraId="00867328" w14:textId="77777777" w:rsidR="00E137EB" w:rsidRPr="00D61639" w:rsidRDefault="00E137EB" w:rsidP="00496A24">
            <w:pPr>
              <w:pStyle w:val="TableDataColumnHeading"/>
            </w:pPr>
            <w:r>
              <w:t>Soft-tissue injury</w:t>
            </w:r>
          </w:p>
        </w:tc>
        <w:tc>
          <w:tcPr>
            <w:tcW w:w="1154" w:type="dxa"/>
            <w:tcBorders>
              <w:bottom w:val="single" w:sz="8" w:space="0" w:color="FFFFFF" w:themeColor="background1"/>
            </w:tcBorders>
            <w:shd w:val="clear" w:color="auto" w:fill="6F6652"/>
            <w:noWrap/>
            <w:tcMar>
              <w:left w:w="57" w:type="dxa"/>
              <w:right w:w="57" w:type="dxa"/>
            </w:tcMar>
            <w:hideMark/>
          </w:tcPr>
          <w:p w14:paraId="40FC653A" w14:textId="77777777" w:rsidR="00E137EB" w:rsidRPr="00D61639" w:rsidRDefault="00E137EB" w:rsidP="00496A24">
            <w:pPr>
              <w:pStyle w:val="TableDataColumnHeading"/>
            </w:pPr>
            <w:r w:rsidRPr="00D61639">
              <w:t>Total</w:t>
            </w:r>
          </w:p>
        </w:tc>
      </w:tr>
      <w:tr w:rsidR="00E137EB" w:rsidRPr="00D61639" w14:paraId="47F1618F"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46E1C6" w14:textId="77777777" w:rsidR="00E137EB" w:rsidRPr="00D61639" w:rsidRDefault="00E137EB" w:rsidP="00496A24">
            <w:pPr>
              <w:pStyle w:val="TableUnit"/>
              <w:jc w:val="left"/>
            </w:pPr>
            <w:r>
              <w:t xml:space="preserve">Injuries that </w:t>
            </w:r>
            <w:r w:rsidR="00184D9A">
              <w:t>impacted</w:t>
            </w:r>
            <w:r>
              <w:t xml:space="preserve"> (no.)</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503F52" w14:textId="77777777" w:rsidR="00E137EB" w:rsidRPr="00D61639" w:rsidRDefault="00E137EB" w:rsidP="00496A24">
            <w:pPr>
              <w:pStyle w:val="TableUnit"/>
            </w:pPr>
            <w:r w:rsidRPr="00B14DF6">
              <w:t>13</w:t>
            </w:r>
            <w:r>
              <w:t> </w:t>
            </w:r>
            <w:r w:rsidRPr="00B14DF6">
              <w:t>222</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9A1730" w14:textId="77777777" w:rsidR="00E137EB" w:rsidRPr="00D61639" w:rsidRDefault="00E137EB" w:rsidP="00496A24">
            <w:pPr>
              <w:pStyle w:val="TableUnit"/>
            </w:pPr>
            <w:r w:rsidRPr="00B14DF6">
              <w:t>804</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786395" w14:textId="77777777" w:rsidR="00E137EB" w:rsidRPr="00D61639" w:rsidRDefault="00E137EB" w:rsidP="00496A24">
            <w:pPr>
              <w:pStyle w:val="TableUnit"/>
            </w:pPr>
            <w:r w:rsidRPr="00B14DF6">
              <w:t>3</w:t>
            </w:r>
            <w:r>
              <w:t> </w:t>
            </w:r>
            <w:r w:rsidRPr="00B14DF6">
              <w:t>525</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91081F" w14:textId="77777777" w:rsidR="00E137EB" w:rsidRPr="00D61639" w:rsidRDefault="00E137EB" w:rsidP="00496A24">
            <w:pPr>
              <w:pStyle w:val="TableUnit"/>
            </w:pPr>
            <w:r w:rsidRPr="00B14DF6">
              <w:t>17</w:t>
            </w:r>
            <w:r>
              <w:t> </w:t>
            </w:r>
            <w:r w:rsidRPr="00B14DF6">
              <w:t>551</w:t>
            </w:r>
          </w:p>
        </w:tc>
      </w:tr>
      <w:tr w:rsidR="00E137EB" w:rsidRPr="00D61639" w14:paraId="70AE60E2"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387731" w14:textId="77777777" w:rsidR="00E137EB" w:rsidRPr="00D61639" w:rsidRDefault="005F24C3" w:rsidP="00496A24">
            <w:pPr>
              <w:pStyle w:val="TableDataEntries"/>
              <w:jc w:val="left"/>
            </w:pPr>
            <w:r>
              <w:t>Average impact t</w:t>
            </w:r>
            <w:r w:rsidR="00E137EB">
              <w:t>ime period (year)</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B41527E" w14:textId="77777777" w:rsidR="00E137EB" w:rsidRPr="00D61639" w:rsidRDefault="00E137EB" w:rsidP="00496A24">
            <w:pPr>
              <w:pStyle w:val="TableDataEntries"/>
            </w:pPr>
            <w:r>
              <w:t>0.2</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4066E63" w14:textId="77777777" w:rsidR="00E137EB" w:rsidRPr="00D61639" w:rsidRDefault="00E137EB" w:rsidP="00496A24">
            <w:pPr>
              <w:pStyle w:val="TableDataEntries"/>
            </w:pPr>
            <w:r>
              <w:t>0.12</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5C591CC" w14:textId="77777777" w:rsidR="00E137EB" w:rsidRPr="00D61639" w:rsidRDefault="00E137EB" w:rsidP="00496A24">
            <w:pPr>
              <w:pStyle w:val="TableDataEntries"/>
            </w:pPr>
            <w:r>
              <w:t>0.05</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777240A" w14:textId="77777777" w:rsidR="00E137EB" w:rsidRPr="00D61639" w:rsidRDefault="00E137EB" w:rsidP="00496A24">
            <w:pPr>
              <w:pStyle w:val="TableDataEntries"/>
            </w:pPr>
            <w:r>
              <w:t>-</w:t>
            </w:r>
          </w:p>
        </w:tc>
      </w:tr>
      <w:tr w:rsidR="00E137EB" w:rsidRPr="00D61639" w14:paraId="7C9AEE0D"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CC7A25A" w14:textId="77777777" w:rsidR="00E137EB" w:rsidRDefault="005F24C3" w:rsidP="00496A24">
            <w:pPr>
              <w:pStyle w:val="TableDataEntries"/>
              <w:jc w:val="left"/>
            </w:pPr>
            <w:r>
              <w:t>Annualised cost - low</w:t>
            </w:r>
            <w:r w:rsidR="00E137EB">
              <w:t xml:space="preserve"> ($/</w:t>
            </w:r>
            <w:r w:rsidR="00FA7E26">
              <w:t>person/</w:t>
            </w:r>
            <w:r w:rsidR="00E137EB">
              <w:t>year)</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1AC5865" w14:textId="77777777" w:rsidR="00E137EB" w:rsidRPr="00D61639" w:rsidRDefault="00A71CB4" w:rsidP="00496A24">
            <w:pPr>
              <w:pStyle w:val="TableDataEntries"/>
            </w:pPr>
            <w:r>
              <w:t>7</w:t>
            </w:r>
            <w:r w:rsidR="00E137EB">
              <w:t> </w:t>
            </w:r>
            <w:r w:rsidR="005F24C3">
              <w:t>546</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BC804B8" w14:textId="77777777" w:rsidR="00E137EB" w:rsidRPr="00D61639" w:rsidRDefault="005F24C3" w:rsidP="00496A24">
            <w:pPr>
              <w:pStyle w:val="TableDataEntries"/>
            </w:pPr>
            <w:r>
              <w:t>7 546</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369BB26" w14:textId="77777777" w:rsidR="00E137EB" w:rsidRPr="00D61639" w:rsidRDefault="005F24C3" w:rsidP="00496A24">
            <w:pPr>
              <w:pStyle w:val="TableDataEntries"/>
            </w:pPr>
            <w:r>
              <w:t>7 546</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A3D4C09" w14:textId="77777777" w:rsidR="00E137EB" w:rsidRPr="00D61639" w:rsidRDefault="005F24C3" w:rsidP="00496A24">
            <w:pPr>
              <w:pStyle w:val="TableDataEntries"/>
            </w:pPr>
            <w:r>
              <w:t>7 546</w:t>
            </w:r>
          </w:p>
        </w:tc>
      </w:tr>
      <w:tr w:rsidR="005F24C3" w:rsidRPr="00D61639" w14:paraId="7C6BACEB" w14:textId="77777777" w:rsidTr="00496A24">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EAB616E" w14:textId="77777777" w:rsidR="005F24C3" w:rsidRDefault="005F24C3" w:rsidP="00496A24">
            <w:pPr>
              <w:pStyle w:val="TableDataEntries"/>
              <w:jc w:val="left"/>
            </w:pPr>
            <w:r>
              <w:t>Annualised cost - central ($/person/year)</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FC5AAC6" w14:textId="77777777" w:rsidR="005F24C3" w:rsidRDefault="005F24C3" w:rsidP="00496A24">
            <w:pPr>
              <w:pStyle w:val="TableDataEntries"/>
            </w:pPr>
            <w:r>
              <w:t>8 073</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D356AC3" w14:textId="77777777" w:rsidR="005F24C3" w:rsidRDefault="005F24C3" w:rsidP="00496A24">
            <w:pPr>
              <w:pStyle w:val="TableDataEntries"/>
            </w:pPr>
            <w:r>
              <w:t>8 073</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54D85FE" w14:textId="77777777" w:rsidR="005F24C3" w:rsidRDefault="005F24C3" w:rsidP="00496A24">
            <w:pPr>
              <w:pStyle w:val="TableDataEntries"/>
            </w:pPr>
            <w:r>
              <w:t>8 073</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A1A423C" w14:textId="77777777" w:rsidR="005F24C3" w:rsidRPr="00D61639" w:rsidRDefault="005F24C3" w:rsidP="00496A24">
            <w:pPr>
              <w:pStyle w:val="TableDataEntries"/>
            </w:pPr>
            <w:r>
              <w:t>8 073</w:t>
            </w:r>
          </w:p>
        </w:tc>
      </w:tr>
      <w:tr w:rsidR="00E137EB" w:rsidRPr="00D61639" w14:paraId="24A6257B" w14:textId="77777777" w:rsidTr="005F24C3">
        <w:trPr>
          <w:trHeight w:val="288"/>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9D5AB42" w14:textId="77777777" w:rsidR="00E137EB" w:rsidRDefault="005F24C3" w:rsidP="00496A24">
            <w:pPr>
              <w:pStyle w:val="TableDataEntries"/>
              <w:jc w:val="left"/>
            </w:pPr>
            <w:r>
              <w:t>Annualised cost - high ($/person/year)</w:t>
            </w:r>
          </w:p>
        </w:tc>
        <w:tc>
          <w:tcPr>
            <w:tcW w:w="7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517CE6E" w14:textId="77777777" w:rsidR="00E137EB" w:rsidRPr="00D61639" w:rsidRDefault="005F24C3" w:rsidP="00496A24">
            <w:pPr>
              <w:pStyle w:val="TableDataEntries"/>
            </w:pPr>
            <w:r>
              <w:t>8 600</w:t>
            </w:r>
          </w:p>
        </w:tc>
        <w:tc>
          <w:tcPr>
            <w:tcW w:w="14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D57286E" w14:textId="77777777" w:rsidR="00E137EB" w:rsidRPr="00D61639" w:rsidRDefault="005F24C3" w:rsidP="00496A24">
            <w:pPr>
              <w:pStyle w:val="TableDataEntries"/>
            </w:pPr>
            <w:r>
              <w:t>8 600</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3B6CEF7" w14:textId="77777777" w:rsidR="00E137EB" w:rsidRPr="00D61639" w:rsidRDefault="005F24C3" w:rsidP="00496A24">
            <w:pPr>
              <w:pStyle w:val="TableDataEntries"/>
            </w:pPr>
            <w:r>
              <w:t>8 600</w:t>
            </w:r>
          </w:p>
        </w:tc>
        <w:tc>
          <w:tcPr>
            <w:tcW w:w="11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72EACC1" w14:textId="77777777" w:rsidR="00E137EB" w:rsidRPr="00D61639" w:rsidRDefault="005F24C3" w:rsidP="00496A24">
            <w:pPr>
              <w:pStyle w:val="TableDataEntries"/>
            </w:pPr>
            <w:r>
              <w:t>8 600</w:t>
            </w:r>
          </w:p>
        </w:tc>
      </w:tr>
      <w:tr w:rsidR="005F24C3" w:rsidRPr="005F24C3" w14:paraId="569C7E61" w14:textId="77777777" w:rsidTr="005F24C3">
        <w:trPr>
          <w:trHeight w:val="288"/>
        </w:trPr>
        <w:tc>
          <w:tcPr>
            <w:tcW w:w="34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14F8B076" w14:textId="77777777" w:rsidR="005F24C3" w:rsidRPr="005F24C3" w:rsidRDefault="005F24C3" w:rsidP="00496A24">
            <w:pPr>
              <w:pStyle w:val="TableDataEntries"/>
              <w:jc w:val="left"/>
              <w:rPr>
                <w:rFonts w:ascii="Franklin Gothic Demi" w:hAnsi="Franklin Gothic Demi"/>
              </w:rPr>
            </w:pPr>
            <w:r w:rsidRPr="005F24C3">
              <w:rPr>
                <w:rFonts w:ascii="Franklin Gothic Demi" w:hAnsi="Franklin Gothic Demi"/>
              </w:rPr>
              <w:t>Total cost – low ($m)</w:t>
            </w:r>
          </w:p>
        </w:tc>
        <w:tc>
          <w:tcPr>
            <w:tcW w:w="79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23964B01"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20.15</w:t>
            </w:r>
          </w:p>
        </w:tc>
        <w:tc>
          <w:tcPr>
            <w:tcW w:w="14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57C81850"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0.70</w:t>
            </w:r>
          </w:p>
        </w:tc>
        <w:tc>
          <w:tcPr>
            <w:tcW w:w="11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3259A2AF"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1.28</w:t>
            </w:r>
          </w:p>
        </w:tc>
        <w:tc>
          <w:tcPr>
            <w:tcW w:w="11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33C2E373"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22.13</w:t>
            </w:r>
          </w:p>
        </w:tc>
      </w:tr>
      <w:tr w:rsidR="005F24C3" w:rsidRPr="005F24C3" w14:paraId="700C8653" w14:textId="77777777" w:rsidTr="005F24C3">
        <w:trPr>
          <w:trHeight w:val="288"/>
        </w:trPr>
        <w:tc>
          <w:tcPr>
            <w:tcW w:w="34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4CA933A4" w14:textId="77777777" w:rsidR="005F24C3" w:rsidRPr="005F24C3" w:rsidRDefault="005F24C3" w:rsidP="00496A24">
            <w:pPr>
              <w:pStyle w:val="TableDataEntries"/>
              <w:jc w:val="left"/>
              <w:rPr>
                <w:rFonts w:ascii="Franklin Gothic Demi" w:hAnsi="Franklin Gothic Demi"/>
              </w:rPr>
            </w:pPr>
            <w:r w:rsidRPr="005F24C3">
              <w:rPr>
                <w:rFonts w:ascii="Franklin Gothic Demi" w:hAnsi="Franklin Gothic Demi"/>
              </w:rPr>
              <w:t>Total cost – central ($m)</w:t>
            </w:r>
          </w:p>
        </w:tc>
        <w:tc>
          <w:tcPr>
            <w:tcW w:w="79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122F03B5"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21.55</w:t>
            </w:r>
          </w:p>
        </w:tc>
        <w:tc>
          <w:tcPr>
            <w:tcW w:w="14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30ADE429"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0.75</w:t>
            </w:r>
          </w:p>
        </w:tc>
        <w:tc>
          <w:tcPr>
            <w:tcW w:w="11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1A16D595"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1.37</w:t>
            </w:r>
          </w:p>
        </w:tc>
        <w:tc>
          <w:tcPr>
            <w:tcW w:w="11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790C830D" w14:textId="77777777" w:rsidR="005F24C3" w:rsidRPr="005F24C3" w:rsidRDefault="005F24C3" w:rsidP="00496A24">
            <w:pPr>
              <w:pStyle w:val="TableDataEntries"/>
              <w:rPr>
                <w:rFonts w:ascii="Franklin Gothic Demi" w:hAnsi="Franklin Gothic Demi"/>
              </w:rPr>
            </w:pPr>
            <w:r w:rsidRPr="005F24C3">
              <w:rPr>
                <w:rFonts w:ascii="Franklin Gothic Demi" w:hAnsi="Franklin Gothic Demi"/>
              </w:rPr>
              <w:t>23.67</w:t>
            </w:r>
          </w:p>
        </w:tc>
      </w:tr>
      <w:tr w:rsidR="00E137EB" w:rsidRPr="00496A24" w14:paraId="68F0D6E7" w14:textId="77777777" w:rsidTr="00496A24">
        <w:trPr>
          <w:trHeight w:val="288"/>
        </w:trPr>
        <w:tc>
          <w:tcPr>
            <w:tcW w:w="340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2B8A210E" w14:textId="77777777" w:rsidR="00E137EB" w:rsidRPr="00496A24" w:rsidRDefault="00E137EB" w:rsidP="00496A24">
            <w:pPr>
              <w:pStyle w:val="TableDataEntries"/>
              <w:jc w:val="left"/>
              <w:rPr>
                <w:rFonts w:ascii="Franklin Gothic Demi" w:hAnsi="Franklin Gothic Demi"/>
              </w:rPr>
            </w:pPr>
            <w:r w:rsidRPr="00496A24">
              <w:rPr>
                <w:rFonts w:ascii="Franklin Gothic Demi" w:hAnsi="Franklin Gothic Demi"/>
              </w:rPr>
              <w:t xml:space="preserve">Total </w:t>
            </w:r>
            <w:r w:rsidR="005F24C3">
              <w:rPr>
                <w:rFonts w:ascii="Franklin Gothic Demi" w:hAnsi="Franklin Gothic Demi"/>
              </w:rPr>
              <w:t>cost - high</w:t>
            </w:r>
            <w:r w:rsidRPr="00496A24">
              <w:rPr>
                <w:rFonts w:ascii="Franklin Gothic Demi" w:hAnsi="Franklin Gothic Demi"/>
              </w:rPr>
              <w:t xml:space="preserve"> ($m)</w:t>
            </w:r>
          </w:p>
        </w:tc>
        <w:tc>
          <w:tcPr>
            <w:tcW w:w="79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6D22D626" w14:textId="77777777" w:rsidR="00E137EB" w:rsidRPr="00496A24" w:rsidRDefault="005F24C3" w:rsidP="00496A24">
            <w:pPr>
              <w:pStyle w:val="TableDataEntries"/>
              <w:rPr>
                <w:rFonts w:ascii="Franklin Gothic Demi" w:hAnsi="Franklin Gothic Demi"/>
              </w:rPr>
            </w:pPr>
            <w:r>
              <w:rPr>
                <w:rFonts w:ascii="Franklin Gothic Demi" w:hAnsi="Franklin Gothic Demi"/>
              </w:rPr>
              <w:t>22.96</w:t>
            </w:r>
          </w:p>
        </w:tc>
        <w:tc>
          <w:tcPr>
            <w:tcW w:w="142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6C7E5541" w14:textId="77777777" w:rsidR="00E137EB" w:rsidRPr="00496A24" w:rsidRDefault="005F24C3" w:rsidP="00496A24">
            <w:pPr>
              <w:pStyle w:val="TableDataEntries"/>
              <w:rPr>
                <w:rFonts w:ascii="Franklin Gothic Demi" w:hAnsi="Franklin Gothic Demi"/>
              </w:rPr>
            </w:pPr>
            <w:r>
              <w:rPr>
                <w:rFonts w:ascii="Franklin Gothic Demi" w:hAnsi="Franklin Gothic Demi"/>
              </w:rPr>
              <w:t>0.80</w:t>
            </w:r>
          </w:p>
        </w:tc>
        <w:tc>
          <w:tcPr>
            <w:tcW w:w="115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45999CB8" w14:textId="77777777" w:rsidR="00E137EB" w:rsidRPr="00496A24" w:rsidRDefault="005F24C3" w:rsidP="00496A24">
            <w:pPr>
              <w:pStyle w:val="TableDataEntries"/>
              <w:rPr>
                <w:rFonts w:ascii="Franklin Gothic Demi" w:hAnsi="Franklin Gothic Demi"/>
              </w:rPr>
            </w:pPr>
            <w:r>
              <w:rPr>
                <w:rFonts w:ascii="Franklin Gothic Demi" w:hAnsi="Franklin Gothic Demi"/>
              </w:rPr>
              <w:t>1.46</w:t>
            </w:r>
          </w:p>
        </w:tc>
        <w:tc>
          <w:tcPr>
            <w:tcW w:w="115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11E0D4B" w14:textId="77777777" w:rsidR="00E137EB" w:rsidRPr="00496A24" w:rsidRDefault="005F24C3" w:rsidP="00496A24">
            <w:pPr>
              <w:pStyle w:val="TableDataEntries"/>
              <w:rPr>
                <w:rFonts w:ascii="Franklin Gothic Demi" w:hAnsi="Franklin Gothic Demi"/>
              </w:rPr>
            </w:pPr>
            <w:r>
              <w:rPr>
                <w:rFonts w:ascii="Franklin Gothic Demi" w:hAnsi="Franklin Gothic Demi"/>
              </w:rPr>
              <w:t>25.22</w:t>
            </w:r>
          </w:p>
        </w:tc>
      </w:tr>
    </w:tbl>
    <w:p w14:paraId="7A7141E4" w14:textId="77777777" w:rsidR="00E137EB" w:rsidRDefault="00E137EB" w:rsidP="00E137EB">
      <w:pPr>
        <w:pStyle w:val="Source"/>
      </w:pPr>
      <w:r w:rsidRPr="0066488D">
        <w:rPr>
          <w:lang w:bidi="fa-IR"/>
        </w:rPr>
        <w:t>Source:</w:t>
      </w:r>
      <w:r>
        <w:rPr>
          <w:lang w:bidi="fa-IR"/>
        </w:rPr>
        <w:t xml:space="preserve"> CIE estimates based on: AIHW 2019, </w:t>
      </w:r>
      <w:r w:rsidRPr="0066488D">
        <w:rPr>
          <w:lang w:bidi="fa-IR"/>
        </w:rPr>
        <w:t xml:space="preserve">Trends in hospitalised injury, Australia, 2007-08 to 2016-17, </w:t>
      </w:r>
      <w:r>
        <w:rPr>
          <w:lang w:bidi="fa-IR"/>
        </w:rPr>
        <w:t>Injury Research and Statistics Series Number 124,</w:t>
      </w:r>
      <w:r>
        <w:t xml:space="preserve"> </w:t>
      </w:r>
      <w:hyperlink r:id="rId45" w:tooltip="More information can be found at the website via this link" w:history="1">
        <w:r>
          <w:rPr>
            <w:rStyle w:val="Hyperlink"/>
          </w:rPr>
          <w:t>https://www.aihw.gov.au/getmedia/6cef34e2-2422-4f11-a9f3-06e336edac3f/aihw-injcat-204.pdf.aspx?inline=true</w:t>
        </w:r>
      </w:hyperlink>
    </w:p>
    <w:p w14:paraId="65F9D032" w14:textId="1FD684E9" w:rsidR="006A4630" w:rsidRDefault="00C81B96" w:rsidP="00E137EB">
      <w:pPr>
        <w:pStyle w:val="BodyText"/>
      </w:pPr>
      <w:r>
        <w:t>In additional to hospitalisation, some short term injuries may only require attending emergency room or non-hospital treatment. These short-term injuries should be included in the estimate for completeness. However</w:t>
      </w:r>
      <w:r w:rsidR="00637B52">
        <w:t>,</w:t>
      </w:r>
      <w:r>
        <w:t xml:space="preserve"> there is no data available to identify the number of short term injuries attending emergency room</w:t>
      </w:r>
      <w:r w:rsidR="00637B52">
        <w:t>s</w:t>
      </w:r>
      <w:r>
        <w:t xml:space="preserve"> or receiving non-hospital treatment. </w:t>
      </w:r>
      <w:r w:rsidR="00A95375">
        <w:t>As</w:t>
      </w:r>
      <w:r w:rsidR="00D32E0A">
        <w:t xml:space="preserve"> a result</w:t>
      </w:r>
      <w:r w:rsidR="00636756">
        <w:t>,</w:t>
      </w:r>
      <w:r w:rsidR="00D32E0A">
        <w:t xml:space="preserve"> the relative cost ratios of emergency room attendance and non-hospital treatment to the additional cost of hospitalisation</w:t>
      </w:r>
      <w:r w:rsidR="00A95375">
        <w:t xml:space="preserve"> </w:t>
      </w:r>
      <w:r w:rsidR="00D32E0A">
        <w:t xml:space="preserve">as </w:t>
      </w:r>
      <w:r w:rsidR="00A95375">
        <w:t xml:space="preserve">discussed in </w:t>
      </w:r>
      <w:r w:rsidR="00FB6D20">
        <w:t>a</w:t>
      </w:r>
      <w:r w:rsidR="00E137EB" w:rsidRPr="00FB6D20">
        <w:t xml:space="preserve">ppendix </w:t>
      </w:r>
      <w:r w:rsidR="00FB6D20" w:rsidRPr="00FB6D20">
        <w:fldChar w:fldCharType="begin"/>
      </w:r>
      <w:r w:rsidR="00FB6D20" w:rsidRPr="00FB6D20">
        <w:instrText xml:space="preserve"> REF _Ref55130725 \n \h </w:instrText>
      </w:r>
      <w:r w:rsidR="00FB6D20">
        <w:instrText xml:space="preserve"> \* MERGEFORMAT </w:instrText>
      </w:r>
      <w:r w:rsidR="00FB6D20" w:rsidRPr="00FB6D20">
        <w:fldChar w:fldCharType="separate"/>
      </w:r>
      <w:r w:rsidR="000F445C">
        <w:t>B</w:t>
      </w:r>
      <w:r w:rsidR="00FB6D20" w:rsidRPr="00FB6D20">
        <w:fldChar w:fldCharType="end"/>
      </w:r>
      <w:r w:rsidR="00FF0DF6">
        <w:t xml:space="preserve"> are assumed to be the same on </w:t>
      </w:r>
      <w:r w:rsidR="00D32E0A">
        <w:t xml:space="preserve">the implicit assumption that accessible housing affects long-term and short-term injuries in the same proportion </w:t>
      </w:r>
      <w:r w:rsidR="006A4630">
        <w:t>although the lengths of impacts are different</w:t>
      </w:r>
      <w:r w:rsidR="00D32E0A">
        <w:t xml:space="preserve">. </w:t>
      </w:r>
    </w:p>
    <w:p w14:paraId="3BB4FE7B" w14:textId="282F4B9D" w:rsidR="00E137EB" w:rsidRDefault="00D32E0A" w:rsidP="00E137EB">
      <w:pPr>
        <w:pStyle w:val="BodyText"/>
      </w:pPr>
      <w:r>
        <w:t>The</w:t>
      </w:r>
      <w:r w:rsidR="00E137EB">
        <w:t xml:space="preserve"> </w:t>
      </w:r>
      <w:r w:rsidR="00A95375">
        <w:t xml:space="preserve">additional costs of emergency room attendance and non-hospital treatment </w:t>
      </w:r>
      <w:r w:rsidR="00C02A01">
        <w:t xml:space="preserve">are about 10.3 per cent and 8.4 per cent respectively, of the additional cost of hospitalisation for people with long-term conditions due to inaccessible housing. </w:t>
      </w:r>
      <w:r w:rsidR="00E137EB">
        <w:t>Applying the</w:t>
      </w:r>
      <w:r w:rsidR="00C02A01">
        <w:t>se</w:t>
      </w:r>
      <w:r w:rsidR="00E137EB">
        <w:t xml:space="preserve"> ratios suggests </w:t>
      </w:r>
      <w:r w:rsidR="003619D6">
        <w:t>between</w:t>
      </w:r>
      <w:r w:rsidR="00E137EB">
        <w:t xml:space="preserve"> $</w:t>
      </w:r>
      <w:r w:rsidR="003619D6">
        <w:t>2</w:t>
      </w:r>
      <w:r w:rsidR="002B0E4B">
        <w:t>.</w:t>
      </w:r>
      <w:r w:rsidR="003619D6">
        <w:t>27</w:t>
      </w:r>
      <w:r w:rsidR="00E137EB">
        <w:t xml:space="preserve"> million </w:t>
      </w:r>
      <w:r w:rsidR="003619D6">
        <w:t xml:space="preserve">and $2.59 million </w:t>
      </w:r>
      <w:r w:rsidR="00C02A01">
        <w:t xml:space="preserve">of additional costs associated with emergency room attendance and </w:t>
      </w:r>
      <w:r w:rsidR="003619D6">
        <w:t>between $1.86 million and $2.12 million</w:t>
      </w:r>
      <w:r w:rsidR="008B034B">
        <w:t xml:space="preserve"> additional costs associated</w:t>
      </w:r>
      <w:r w:rsidR="00E91C0B">
        <w:t xml:space="preserve"> </w:t>
      </w:r>
      <w:r w:rsidR="003619D6">
        <w:t xml:space="preserve">with </w:t>
      </w:r>
      <w:r w:rsidR="00C02A01">
        <w:t>non-hospital treatment for people with short-term injuries each year</w:t>
      </w:r>
      <w:r w:rsidR="006F05CC">
        <w:t xml:space="preserve"> (</w:t>
      </w:r>
      <w:r w:rsidR="006F05CC">
        <w:rPr>
          <w:lang w:eastAsia="en-US" w:bidi="fa-IR"/>
        </w:rPr>
        <w:t xml:space="preserve">table </w:t>
      </w:r>
      <w:r w:rsidR="0066514C">
        <w:rPr>
          <w:lang w:eastAsia="en-US" w:bidi="fa-IR"/>
        </w:rPr>
        <w:t>3.47</w:t>
      </w:r>
      <w:r w:rsidR="006F05CC">
        <w:t>)</w:t>
      </w:r>
      <w:r w:rsidR="00E137EB">
        <w:t xml:space="preserve">. </w:t>
      </w:r>
    </w:p>
    <w:p w14:paraId="2993993D" w14:textId="1A7891CF" w:rsidR="00E137EB" w:rsidRPr="008A595F" w:rsidRDefault="00E137EB" w:rsidP="00E137EB">
      <w:pPr>
        <w:pStyle w:val="BodyText"/>
        <w:rPr>
          <w:lang w:eastAsia="en-US" w:bidi="fa-IR"/>
        </w:rPr>
      </w:pPr>
      <w:r>
        <w:t xml:space="preserve">Overall, </w:t>
      </w:r>
      <w:r w:rsidR="00C02A01">
        <w:rPr>
          <w:lang w:eastAsia="en-US" w:bidi="fa-IR"/>
        </w:rPr>
        <w:t>it is</w:t>
      </w:r>
      <w:r>
        <w:rPr>
          <w:lang w:eastAsia="en-US" w:bidi="fa-IR"/>
        </w:rPr>
        <w:t xml:space="preserve"> estimate</w:t>
      </w:r>
      <w:r w:rsidR="00C02A01">
        <w:rPr>
          <w:lang w:eastAsia="en-US" w:bidi="fa-IR"/>
        </w:rPr>
        <w:t>d</w:t>
      </w:r>
      <w:r>
        <w:rPr>
          <w:lang w:eastAsia="en-US" w:bidi="fa-IR"/>
        </w:rPr>
        <w:t xml:space="preserve"> that </w:t>
      </w:r>
      <w:r w:rsidR="00C02A01">
        <w:rPr>
          <w:lang w:eastAsia="en-US" w:bidi="fa-IR"/>
        </w:rPr>
        <w:t xml:space="preserve">the total cost for people with short term injuries due to inaccessible housing is </w:t>
      </w:r>
      <w:r w:rsidR="003619D6">
        <w:rPr>
          <w:lang w:eastAsia="en-US" w:bidi="fa-IR"/>
        </w:rPr>
        <w:t xml:space="preserve">between </w:t>
      </w:r>
      <w:r>
        <w:rPr>
          <w:lang w:eastAsia="en-US" w:bidi="fa-IR"/>
        </w:rPr>
        <w:t>$2</w:t>
      </w:r>
      <w:r w:rsidR="003619D6">
        <w:rPr>
          <w:lang w:eastAsia="en-US" w:bidi="fa-IR"/>
        </w:rPr>
        <w:t>6.25</w:t>
      </w:r>
      <w:r>
        <w:rPr>
          <w:lang w:eastAsia="en-US" w:bidi="fa-IR"/>
        </w:rPr>
        <w:t xml:space="preserve"> million </w:t>
      </w:r>
      <w:r w:rsidR="003619D6">
        <w:rPr>
          <w:lang w:eastAsia="en-US" w:bidi="fa-IR"/>
        </w:rPr>
        <w:t xml:space="preserve">and $29.92 million </w:t>
      </w:r>
      <w:r w:rsidR="00C02A01">
        <w:rPr>
          <w:lang w:eastAsia="en-US" w:bidi="fa-IR"/>
        </w:rPr>
        <w:t>each year</w:t>
      </w:r>
      <w:r>
        <w:rPr>
          <w:lang w:eastAsia="en-US" w:bidi="fa-IR"/>
        </w:rPr>
        <w:t xml:space="preserve"> (</w:t>
      </w:r>
      <w:r w:rsidR="006F05CC">
        <w:rPr>
          <w:lang w:eastAsia="en-US" w:bidi="fa-IR"/>
        </w:rPr>
        <w:t>t</w:t>
      </w:r>
      <w:r>
        <w:rPr>
          <w:lang w:eastAsia="en-US" w:bidi="fa-IR"/>
        </w:rPr>
        <w:t>able</w:t>
      </w:r>
      <w:r w:rsidR="0066514C">
        <w:rPr>
          <w:lang w:eastAsia="en-US" w:bidi="fa-IR"/>
        </w:rPr>
        <w:t xml:space="preserve"> 3.47</w:t>
      </w:r>
      <w:r>
        <w:rPr>
          <w:lang w:eastAsia="en-US" w:bidi="fa-IR"/>
        </w:rPr>
        <w:t xml:space="preserve">). </w:t>
      </w:r>
    </w:p>
    <w:p w14:paraId="1E6A89DC" w14:textId="19FCDF0F" w:rsidR="00E137EB" w:rsidRDefault="0022260E" w:rsidP="00E137EB">
      <w:pPr>
        <w:pStyle w:val="Caption"/>
      </w:pPr>
      <w:bookmarkStart w:id="289" w:name="_Toc57643627"/>
      <w:bookmarkStart w:id="290" w:name="_Toc70505546"/>
      <w:r>
        <w:t>3.47</w:t>
      </w:r>
      <w:r w:rsidR="00E137EB" w:rsidRPr="00695C93">
        <w:tab/>
      </w:r>
      <w:r w:rsidR="00C02A01">
        <w:t>Estimated cost</w:t>
      </w:r>
      <w:r w:rsidR="00E137EB">
        <w:t xml:space="preserve"> for </w:t>
      </w:r>
      <w:r w:rsidR="00A95375">
        <w:t xml:space="preserve">people with </w:t>
      </w:r>
      <w:r w:rsidR="00E137EB">
        <w:t>short term injuries</w:t>
      </w:r>
      <w:r w:rsidR="00C02A01">
        <w:t xml:space="preserve"> due to inaccessible housing</w:t>
      </w:r>
      <w:bookmarkEnd w:id="289"/>
      <w:bookmarkEnd w:id="290"/>
    </w:p>
    <w:tbl>
      <w:tblPr>
        <w:tblW w:w="8160" w:type="dxa"/>
        <w:tblLayout w:type="fixed"/>
        <w:tblLook w:val="04A0" w:firstRow="1" w:lastRow="0" w:firstColumn="1" w:lastColumn="0" w:noHBand="0" w:noVBand="1"/>
        <w:tblCaption w:val="Table 3.47: Estimated cost for people with short term injuries due to inaccessible housing"/>
        <w:tblDescription w:val="While short-term injuries requiring hospitalisation due to inaccessible housing are estimated to cost between $22,130,000 and $25,220,000, there are also costs associated with short-term injuries requiring emergency attendance and other non-hospital treatment. These bring the estimated cost for short-term injuries due to inaccessible housing to between $26,250,000 and $29,920,000."/>
      </w:tblPr>
      <w:tblGrid>
        <w:gridCol w:w="4111"/>
        <w:gridCol w:w="851"/>
        <w:gridCol w:w="992"/>
        <w:gridCol w:w="1193"/>
        <w:gridCol w:w="1013"/>
      </w:tblGrid>
      <w:tr w:rsidR="005F24C3" w:rsidRPr="008266D0" w14:paraId="7614209A" w14:textId="77777777" w:rsidTr="005F24C3">
        <w:trPr>
          <w:trHeight w:val="288"/>
        </w:trPr>
        <w:tc>
          <w:tcPr>
            <w:tcW w:w="4111" w:type="dxa"/>
            <w:tcBorders>
              <w:bottom w:val="single" w:sz="8" w:space="0" w:color="FFFFFF" w:themeColor="background1"/>
            </w:tcBorders>
            <w:shd w:val="clear" w:color="auto" w:fill="6F6652"/>
            <w:noWrap/>
            <w:tcMar>
              <w:left w:w="57" w:type="dxa"/>
              <w:right w:w="57" w:type="dxa"/>
            </w:tcMar>
            <w:hideMark/>
          </w:tcPr>
          <w:p w14:paraId="78378872" w14:textId="77777777" w:rsidR="005F24C3" w:rsidRPr="008266D0" w:rsidRDefault="00E91C0B" w:rsidP="00E91C0B">
            <w:pPr>
              <w:pStyle w:val="TableDataColumnHeading"/>
              <w:jc w:val="left"/>
            </w:pPr>
            <w:r>
              <w:t>Injury</w:t>
            </w:r>
          </w:p>
        </w:tc>
        <w:tc>
          <w:tcPr>
            <w:tcW w:w="851" w:type="dxa"/>
            <w:tcBorders>
              <w:bottom w:val="single" w:sz="8" w:space="0" w:color="FFFFFF" w:themeColor="background1"/>
            </w:tcBorders>
            <w:shd w:val="clear" w:color="auto" w:fill="6F6652"/>
            <w:noWrap/>
            <w:tcMar>
              <w:left w:w="57" w:type="dxa"/>
              <w:right w:w="57" w:type="dxa"/>
            </w:tcMar>
          </w:tcPr>
          <w:p w14:paraId="057A8138" w14:textId="77777777" w:rsidR="005F24C3" w:rsidRPr="008266D0" w:rsidRDefault="005F24C3" w:rsidP="00496A24">
            <w:pPr>
              <w:pStyle w:val="TableDataColumnHeading"/>
            </w:pPr>
            <w:r>
              <w:t>Cost ratio</w:t>
            </w:r>
          </w:p>
        </w:tc>
        <w:tc>
          <w:tcPr>
            <w:tcW w:w="992" w:type="dxa"/>
            <w:tcBorders>
              <w:bottom w:val="single" w:sz="8" w:space="0" w:color="FFFFFF" w:themeColor="background1"/>
            </w:tcBorders>
            <w:shd w:val="clear" w:color="auto" w:fill="6F6652"/>
          </w:tcPr>
          <w:p w14:paraId="47BBE1F0" w14:textId="77777777" w:rsidR="005F24C3" w:rsidRPr="008266D0" w:rsidRDefault="005F24C3" w:rsidP="00496A24">
            <w:pPr>
              <w:pStyle w:val="TableDataColumnHeading"/>
            </w:pPr>
            <w:r>
              <w:t>Low($m)</w:t>
            </w:r>
          </w:p>
        </w:tc>
        <w:tc>
          <w:tcPr>
            <w:tcW w:w="1193" w:type="dxa"/>
            <w:tcBorders>
              <w:bottom w:val="single" w:sz="8" w:space="0" w:color="FFFFFF" w:themeColor="background1"/>
            </w:tcBorders>
            <w:shd w:val="clear" w:color="auto" w:fill="6F6652"/>
          </w:tcPr>
          <w:p w14:paraId="0DD78E8E" w14:textId="77777777" w:rsidR="005F24C3" w:rsidRPr="008266D0" w:rsidRDefault="005F24C3" w:rsidP="00496A24">
            <w:pPr>
              <w:pStyle w:val="TableDataColumnHeading"/>
            </w:pPr>
            <w:r>
              <w:t>Central ($m)</w:t>
            </w:r>
          </w:p>
        </w:tc>
        <w:tc>
          <w:tcPr>
            <w:tcW w:w="1013" w:type="dxa"/>
            <w:tcBorders>
              <w:bottom w:val="single" w:sz="8" w:space="0" w:color="FFFFFF" w:themeColor="background1"/>
            </w:tcBorders>
            <w:shd w:val="clear" w:color="auto" w:fill="6F6652"/>
          </w:tcPr>
          <w:p w14:paraId="21849350" w14:textId="77777777" w:rsidR="005F24C3" w:rsidRPr="008266D0" w:rsidRDefault="005F24C3" w:rsidP="00496A24">
            <w:pPr>
              <w:pStyle w:val="TableDataColumnHeading"/>
            </w:pPr>
            <w:r>
              <w:t>High ($m)</w:t>
            </w:r>
          </w:p>
        </w:tc>
      </w:tr>
      <w:tr w:rsidR="005F24C3" w:rsidRPr="008266D0" w14:paraId="70576EFB" w14:textId="77777777" w:rsidTr="005F24C3">
        <w:trPr>
          <w:trHeight w:val="288"/>
        </w:trPr>
        <w:tc>
          <w:tcPr>
            <w:tcW w:w="41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D33AB27" w14:textId="77777777" w:rsidR="005F24C3" w:rsidRPr="008266D0" w:rsidRDefault="005F24C3" w:rsidP="00496A24">
            <w:pPr>
              <w:pStyle w:val="TableUnit"/>
              <w:jc w:val="left"/>
            </w:pPr>
            <w:r>
              <w:t>Short-term injuries requiring hospitalisation</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239F712" w14:textId="77777777" w:rsidR="005F24C3" w:rsidRPr="008266D0" w:rsidRDefault="005F24C3" w:rsidP="00496A24">
            <w:pPr>
              <w:pStyle w:val="TableUnit"/>
            </w:pPr>
            <w:r>
              <w:t>1.000</w:t>
            </w:r>
          </w:p>
        </w:tc>
        <w:tc>
          <w:tcPr>
            <w:tcW w:w="992" w:type="dxa"/>
            <w:tcBorders>
              <w:top w:val="single" w:sz="8" w:space="0" w:color="FFFFFF" w:themeColor="background1"/>
              <w:bottom w:val="single" w:sz="8" w:space="0" w:color="FFFFFF" w:themeColor="background1"/>
            </w:tcBorders>
            <w:shd w:val="clear" w:color="auto" w:fill="E9E8E5" w:themeFill="background2"/>
          </w:tcPr>
          <w:p w14:paraId="44C849C7" w14:textId="77777777" w:rsidR="005F24C3" w:rsidRPr="008266D0" w:rsidRDefault="005F24C3" w:rsidP="00496A24">
            <w:pPr>
              <w:pStyle w:val="TableUnit"/>
            </w:pPr>
            <w:r>
              <w:t>22.13</w:t>
            </w:r>
          </w:p>
        </w:tc>
        <w:tc>
          <w:tcPr>
            <w:tcW w:w="1193" w:type="dxa"/>
            <w:tcBorders>
              <w:top w:val="single" w:sz="8" w:space="0" w:color="FFFFFF" w:themeColor="background1"/>
              <w:bottom w:val="single" w:sz="8" w:space="0" w:color="FFFFFF" w:themeColor="background1"/>
            </w:tcBorders>
            <w:shd w:val="clear" w:color="auto" w:fill="E9E8E5" w:themeFill="background2"/>
          </w:tcPr>
          <w:p w14:paraId="52C321C5" w14:textId="77777777" w:rsidR="005F24C3" w:rsidRPr="008266D0" w:rsidRDefault="003619D6" w:rsidP="00496A24">
            <w:pPr>
              <w:pStyle w:val="TableUnit"/>
            </w:pPr>
            <w:r>
              <w:t>23.67</w:t>
            </w:r>
          </w:p>
        </w:tc>
        <w:tc>
          <w:tcPr>
            <w:tcW w:w="1013" w:type="dxa"/>
            <w:tcBorders>
              <w:top w:val="single" w:sz="8" w:space="0" w:color="FFFFFF" w:themeColor="background1"/>
              <w:bottom w:val="single" w:sz="8" w:space="0" w:color="FFFFFF" w:themeColor="background1"/>
            </w:tcBorders>
            <w:shd w:val="clear" w:color="auto" w:fill="E9E8E5" w:themeFill="background2"/>
          </w:tcPr>
          <w:p w14:paraId="22F3718A" w14:textId="77777777" w:rsidR="005F24C3" w:rsidRPr="008266D0" w:rsidRDefault="005F24C3" w:rsidP="00496A24">
            <w:pPr>
              <w:pStyle w:val="TableUnit"/>
            </w:pPr>
            <w:r>
              <w:t>2</w:t>
            </w:r>
            <w:r w:rsidR="003619D6">
              <w:t>5.22</w:t>
            </w:r>
          </w:p>
        </w:tc>
      </w:tr>
      <w:tr w:rsidR="005F24C3" w:rsidRPr="008266D0" w14:paraId="63502D9F" w14:textId="77777777" w:rsidTr="005F24C3">
        <w:trPr>
          <w:trHeight w:val="288"/>
        </w:trPr>
        <w:tc>
          <w:tcPr>
            <w:tcW w:w="41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54987B2" w14:textId="77777777" w:rsidR="005F24C3" w:rsidRPr="008266D0" w:rsidRDefault="005F24C3" w:rsidP="00496A24">
            <w:pPr>
              <w:pStyle w:val="TableDataEntries"/>
              <w:jc w:val="left"/>
            </w:pPr>
            <w:r>
              <w:t>Short-term injuries requiring emergency attendance</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0E7A2E3" w14:textId="77777777" w:rsidR="005F24C3" w:rsidRPr="008266D0" w:rsidRDefault="005F24C3" w:rsidP="00496A24">
            <w:pPr>
              <w:pStyle w:val="TableDataEntries"/>
            </w:pPr>
            <w:r>
              <w:t>0.103</w:t>
            </w:r>
          </w:p>
        </w:tc>
        <w:tc>
          <w:tcPr>
            <w:tcW w:w="992" w:type="dxa"/>
            <w:tcBorders>
              <w:top w:val="single" w:sz="8" w:space="0" w:color="FFFFFF" w:themeColor="background1"/>
              <w:bottom w:val="single" w:sz="8" w:space="0" w:color="FFFFFF" w:themeColor="background1"/>
            </w:tcBorders>
            <w:shd w:val="clear" w:color="auto" w:fill="E9E8E5" w:themeFill="background2"/>
          </w:tcPr>
          <w:p w14:paraId="6160B588" w14:textId="77777777" w:rsidR="005F24C3" w:rsidRPr="008266D0" w:rsidRDefault="005F24C3" w:rsidP="00496A24">
            <w:pPr>
              <w:pStyle w:val="TableDataEntries"/>
            </w:pPr>
            <w:r>
              <w:t>2.27</w:t>
            </w:r>
          </w:p>
        </w:tc>
        <w:tc>
          <w:tcPr>
            <w:tcW w:w="1193" w:type="dxa"/>
            <w:tcBorders>
              <w:top w:val="single" w:sz="8" w:space="0" w:color="FFFFFF" w:themeColor="background1"/>
              <w:bottom w:val="single" w:sz="8" w:space="0" w:color="FFFFFF" w:themeColor="background1"/>
            </w:tcBorders>
            <w:shd w:val="clear" w:color="auto" w:fill="E9E8E5" w:themeFill="background2"/>
          </w:tcPr>
          <w:p w14:paraId="5620FECB" w14:textId="77777777" w:rsidR="005F24C3" w:rsidRPr="008266D0" w:rsidRDefault="003619D6" w:rsidP="00496A24">
            <w:pPr>
              <w:pStyle w:val="TableDataEntries"/>
            </w:pPr>
            <w:r>
              <w:t>2.43</w:t>
            </w:r>
          </w:p>
        </w:tc>
        <w:tc>
          <w:tcPr>
            <w:tcW w:w="1013" w:type="dxa"/>
            <w:tcBorders>
              <w:top w:val="single" w:sz="8" w:space="0" w:color="FFFFFF" w:themeColor="background1"/>
              <w:bottom w:val="single" w:sz="8" w:space="0" w:color="FFFFFF" w:themeColor="background1"/>
            </w:tcBorders>
            <w:shd w:val="clear" w:color="auto" w:fill="E9E8E5" w:themeFill="background2"/>
          </w:tcPr>
          <w:p w14:paraId="4ADB8A29" w14:textId="77777777" w:rsidR="005F24C3" w:rsidRPr="008266D0" w:rsidRDefault="005F24C3" w:rsidP="00496A24">
            <w:pPr>
              <w:pStyle w:val="TableDataEntries"/>
            </w:pPr>
            <w:r>
              <w:t>2.</w:t>
            </w:r>
            <w:r w:rsidR="003619D6">
              <w:t>59</w:t>
            </w:r>
          </w:p>
        </w:tc>
      </w:tr>
      <w:tr w:rsidR="005F24C3" w:rsidRPr="006F05CC" w14:paraId="7CDC1551" w14:textId="77777777" w:rsidTr="005F24C3">
        <w:trPr>
          <w:trHeight w:val="288"/>
        </w:trPr>
        <w:tc>
          <w:tcPr>
            <w:tcW w:w="41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5F307BA" w14:textId="77777777" w:rsidR="005F24C3" w:rsidRPr="006F05CC" w:rsidRDefault="005F24C3" w:rsidP="00496A24">
            <w:pPr>
              <w:pStyle w:val="TableDataEntries"/>
              <w:jc w:val="left"/>
            </w:pPr>
            <w:r>
              <w:t>Short-term injuries requiring other non-hospital treatment</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77C31AE" w14:textId="77777777" w:rsidR="005F24C3" w:rsidRPr="006F05CC" w:rsidRDefault="005F24C3" w:rsidP="00496A24">
            <w:pPr>
              <w:pStyle w:val="TableDataEntries"/>
            </w:pPr>
            <w:r>
              <w:t>0.084</w:t>
            </w:r>
          </w:p>
        </w:tc>
        <w:tc>
          <w:tcPr>
            <w:tcW w:w="992" w:type="dxa"/>
            <w:tcBorders>
              <w:top w:val="single" w:sz="8" w:space="0" w:color="FFFFFF" w:themeColor="background1"/>
              <w:bottom w:val="single" w:sz="8" w:space="0" w:color="FFFFFF" w:themeColor="background1"/>
            </w:tcBorders>
            <w:shd w:val="clear" w:color="auto" w:fill="E9E8E5" w:themeFill="background2"/>
          </w:tcPr>
          <w:p w14:paraId="628AA225" w14:textId="77777777" w:rsidR="005F24C3" w:rsidRPr="006F05CC" w:rsidRDefault="005F24C3" w:rsidP="00496A24">
            <w:pPr>
              <w:pStyle w:val="TableDataEntries"/>
            </w:pPr>
            <w:r>
              <w:t>1.86</w:t>
            </w:r>
          </w:p>
        </w:tc>
        <w:tc>
          <w:tcPr>
            <w:tcW w:w="1193" w:type="dxa"/>
            <w:tcBorders>
              <w:top w:val="single" w:sz="8" w:space="0" w:color="FFFFFF" w:themeColor="background1"/>
              <w:bottom w:val="single" w:sz="8" w:space="0" w:color="FFFFFF" w:themeColor="background1"/>
            </w:tcBorders>
            <w:shd w:val="clear" w:color="auto" w:fill="E9E8E5" w:themeFill="background2"/>
          </w:tcPr>
          <w:p w14:paraId="7B7B5FA5" w14:textId="77777777" w:rsidR="005F24C3" w:rsidRPr="006F05CC" w:rsidRDefault="003619D6" w:rsidP="00496A24">
            <w:pPr>
              <w:pStyle w:val="TableDataEntries"/>
            </w:pPr>
            <w:r>
              <w:t>1.99</w:t>
            </w:r>
          </w:p>
        </w:tc>
        <w:tc>
          <w:tcPr>
            <w:tcW w:w="1013" w:type="dxa"/>
            <w:tcBorders>
              <w:top w:val="single" w:sz="8" w:space="0" w:color="FFFFFF" w:themeColor="background1"/>
              <w:bottom w:val="single" w:sz="8" w:space="0" w:color="FFFFFF" w:themeColor="background1"/>
            </w:tcBorders>
            <w:shd w:val="clear" w:color="auto" w:fill="E9E8E5" w:themeFill="background2"/>
          </w:tcPr>
          <w:p w14:paraId="471146F6" w14:textId="77777777" w:rsidR="005F24C3" w:rsidRPr="006F05CC" w:rsidRDefault="003619D6" w:rsidP="00496A24">
            <w:pPr>
              <w:pStyle w:val="TableDataEntries"/>
            </w:pPr>
            <w:r>
              <w:t>2.12</w:t>
            </w:r>
          </w:p>
        </w:tc>
      </w:tr>
      <w:tr w:rsidR="005F24C3" w:rsidRPr="005D787E" w14:paraId="6C294869" w14:textId="77777777" w:rsidTr="005F24C3">
        <w:trPr>
          <w:trHeight w:val="288"/>
        </w:trPr>
        <w:tc>
          <w:tcPr>
            <w:tcW w:w="411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222ACF58" w14:textId="77777777" w:rsidR="005F24C3" w:rsidRPr="005D787E" w:rsidRDefault="005F24C3" w:rsidP="00496A24">
            <w:pPr>
              <w:pStyle w:val="TableDataEntries"/>
              <w:jc w:val="left"/>
              <w:rPr>
                <w:rFonts w:ascii="Franklin Gothic Demi" w:hAnsi="Franklin Gothic Demi"/>
              </w:rPr>
            </w:pPr>
            <w:r w:rsidRPr="005D787E">
              <w:rPr>
                <w:rFonts w:ascii="Franklin Gothic Demi" w:hAnsi="Franklin Gothic Demi"/>
              </w:rPr>
              <w:t>Total ($m)</w:t>
            </w:r>
          </w:p>
        </w:tc>
        <w:tc>
          <w:tcPr>
            <w:tcW w:w="85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5F6133D1" w14:textId="77777777" w:rsidR="005F24C3" w:rsidRPr="005D787E" w:rsidRDefault="005F24C3" w:rsidP="00496A24">
            <w:pPr>
              <w:pStyle w:val="TableDataEntries"/>
              <w:rPr>
                <w:rFonts w:ascii="Franklin Gothic Demi" w:hAnsi="Franklin Gothic Demi"/>
              </w:rPr>
            </w:pPr>
          </w:p>
        </w:tc>
        <w:tc>
          <w:tcPr>
            <w:tcW w:w="992" w:type="dxa"/>
            <w:tcBorders>
              <w:top w:val="single" w:sz="8" w:space="0" w:color="FFFFFF" w:themeColor="background1"/>
              <w:bottom w:val="single" w:sz="6" w:space="0" w:color="6F6652"/>
            </w:tcBorders>
            <w:shd w:val="clear" w:color="auto" w:fill="C2DADB" w:themeFill="accent6" w:themeFillTint="99"/>
          </w:tcPr>
          <w:p w14:paraId="2F0DB264" w14:textId="77777777" w:rsidR="005F24C3" w:rsidRPr="005D787E" w:rsidRDefault="005F24C3" w:rsidP="00496A24">
            <w:pPr>
              <w:pStyle w:val="TableDataEntries"/>
              <w:rPr>
                <w:rFonts w:ascii="Franklin Gothic Demi" w:hAnsi="Franklin Gothic Demi"/>
              </w:rPr>
            </w:pPr>
            <w:r>
              <w:rPr>
                <w:rFonts w:ascii="Franklin Gothic Demi" w:hAnsi="Franklin Gothic Demi"/>
              </w:rPr>
              <w:t>26.25</w:t>
            </w:r>
          </w:p>
        </w:tc>
        <w:tc>
          <w:tcPr>
            <w:tcW w:w="1193" w:type="dxa"/>
            <w:tcBorders>
              <w:top w:val="single" w:sz="8" w:space="0" w:color="FFFFFF" w:themeColor="background1"/>
              <w:bottom w:val="single" w:sz="6" w:space="0" w:color="6F6652"/>
            </w:tcBorders>
            <w:shd w:val="clear" w:color="auto" w:fill="C2DADB" w:themeFill="accent6" w:themeFillTint="99"/>
          </w:tcPr>
          <w:p w14:paraId="3B817B86" w14:textId="77777777" w:rsidR="005F24C3" w:rsidRPr="005D787E" w:rsidRDefault="003619D6" w:rsidP="00496A24">
            <w:pPr>
              <w:pStyle w:val="TableDataEntries"/>
              <w:rPr>
                <w:rFonts w:ascii="Franklin Gothic Demi" w:hAnsi="Franklin Gothic Demi"/>
              </w:rPr>
            </w:pPr>
            <w:r>
              <w:rPr>
                <w:rFonts w:ascii="Franklin Gothic Demi" w:hAnsi="Franklin Gothic Demi"/>
              </w:rPr>
              <w:t>28.09</w:t>
            </w:r>
          </w:p>
        </w:tc>
        <w:tc>
          <w:tcPr>
            <w:tcW w:w="1013" w:type="dxa"/>
            <w:tcBorders>
              <w:top w:val="single" w:sz="8" w:space="0" w:color="FFFFFF" w:themeColor="background1"/>
              <w:bottom w:val="single" w:sz="6" w:space="0" w:color="6F6652"/>
            </w:tcBorders>
            <w:shd w:val="clear" w:color="auto" w:fill="C2DADB" w:themeFill="accent6" w:themeFillTint="99"/>
          </w:tcPr>
          <w:p w14:paraId="716C8B4F" w14:textId="77777777" w:rsidR="005F24C3" w:rsidRPr="005D787E" w:rsidRDefault="005F24C3" w:rsidP="00496A24">
            <w:pPr>
              <w:pStyle w:val="TableDataEntries"/>
              <w:rPr>
                <w:rFonts w:ascii="Franklin Gothic Demi" w:hAnsi="Franklin Gothic Demi"/>
              </w:rPr>
            </w:pPr>
            <w:r w:rsidRPr="005D787E">
              <w:rPr>
                <w:rFonts w:ascii="Franklin Gothic Demi" w:hAnsi="Franklin Gothic Demi"/>
              </w:rPr>
              <w:t>2</w:t>
            </w:r>
            <w:r w:rsidR="003619D6">
              <w:rPr>
                <w:rFonts w:ascii="Franklin Gothic Demi" w:hAnsi="Franklin Gothic Demi"/>
              </w:rPr>
              <w:t>9.92</w:t>
            </w:r>
          </w:p>
        </w:tc>
      </w:tr>
    </w:tbl>
    <w:p w14:paraId="06CBE7F2" w14:textId="77777777" w:rsidR="00E137EB" w:rsidRDefault="00E137EB" w:rsidP="00E137EB">
      <w:pPr>
        <w:pStyle w:val="Source"/>
        <w:rPr>
          <w:lang w:bidi="fa-IR"/>
        </w:rPr>
      </w:pPr>
      <w:r w:rsidRPr="0066488D">
        <w:rPr>
          <w:lang w:bidi="fa-IR"/>
        </w:rPr>
        <w:t>Source:</w:t>
      </w:r>
      <w:r>
        <w:rPr>
          <w:lang w:bidi="fa-IR"/>
        </w:rPr>
        <w:t xml:space="preserve"> CIE</w:t>
      </w:r>
      <w:r w:rsidR="00FF0DF6">
        <w:rPr>
          <w:lang w:bidi="fa-IR"/>
        </w:rPr>
        <w:t xml:space="preserve"> esimates</w:t>
      </w:r>
    </w:p>
    <w:p w14:paraId="578DF5DF" w14:textId="77777777" w:rsidR="00E137EB" w:rsidRDefault="006A4630" w:rsidP="006F05CC">
      <w:pPr>
        <w:pStyle w:val="Heading3"/>
        <w:rPr>
          <w:lang w:eastAsia="en-US" w:bidi="fa-IR"/>
        </w:rPr>
      </w:pPr>
      <w:bookmarkStart w:id="291" w:name="_Ref56612753"/>
      <w:bookmarkStart w:id="292" w:name="_Ref62812313"/>
      <w:r>
        <w:rPr>
          <w:lang w:eastAsia="en-US" w:bidi="fa-IR"/>
        </w:rPr>
        <w:lastRenderedPageBreak/>
        <w:t>F</w:t>
      </w:r>
      <w:r w:rsidR="006F05CC">
        <w:rPr>
          <w:lang w:eastAsia="en-US" w:bidi="fa-IR"/>
        </w:rPr>
        <w:t xml:space="preserve">amilies with </w:t>
      </w:r>
      <w:r>
        <w:rPr>
          <w:lang w:eastAsia="en-US" w:bidi="fa-IR"/>
        </w:rPr>
        <w:t xml:space="preserve">young </w:t>
      </w:r>
      <w:bookmarkEnd w:id="291"/>
      <w:r w:rsidR="003F2BCB">
        <w:rPr>
          <w:lang w:eastAsia="en-US" w:bidi="fa-IR"/>
        </w:rPr>
        <w:t>dependants</w:t>
      </w:r>
      <w:bookmarkEnd w:id="292"/>
    </w:p>
    <w:p w14:paraId="7C1E465F" w14:textId="77777777" w:rsidR="006F05CC" w:rsidRDefault="006F05CC" w:rsidP="006F05CC">
      <w:pPr>
        <w:pStyle w:val="BodyText"/>
        <w:rPr>
          <w:lang w:bidi="fa-IR"/>
        </w:rPr>
      </w:pPr>
      <w:r>
        <w:rPr>
          <w:lang w:bidi="fa-IR"/>
        </w:rPr>
        <w:t xml:space="preserve">Several submissions to the Consultation RIS </w:t>
      </w:r>
      <w:r w:rsidR="00FF0DF6">
        <w:rPr>
          <w:lang w:bidi="fa-IR"/>
        </w:rPr>
        <w:t>suggested</w:t>
      </w:r>
      <w:r>
        <w:rPr>
          <w:lang w:bidi="fa-IR"/>
        </w:rPr>
        <w:t xml:space="preserve"> </w:t>
      </w:r>
      <w:r w:rsidR="006F1D90">
        <w:rPr>
          <w:lang w:bidi="fa-IR"/>
        </w:rPr>
        <w:t xml:space="preserve">including in the analysis </w:t>
      </w:r>
      <w:r>
        <w:rPr>
          <w:lang w:bidi="fa-IR"/>
        </w:rPr>
        <w:t xml:space="preserve">benefits to families with children from accessible housing. Some of </w:t>
      </w:r>
      <w:r w:rsidR="006A4630">
        <w:rPr>
          <w:lang w:bidi="fa-IR"/>
        </w:rPr>
        <w:t xml:space="preserve">these </w:t>
      </w:r>
      <w:r>
        <w:rPr>
          <w:lang w:bidi="fa-IR"/>
        </w:rPr>
        <w:t xml:space="preserve">benefits </w:t>
      </w:r>
      <w:r w:rsidR="006A4630">
        <w:rPr>
          <w:lang w:bidi="fa-IR"/>
        </w:rPr>
        <w:t>relate to</w:t>
      </w:r>
      <w:r>
        <w:rPr>
          <w:lang w:bidi="fa-IR"/>
        </w:rPr>
        <w:t>:</w:t>
      </w:r>
    </w:p>
    <w:p w14:paraId="307EACF7" w14:textId="25B4AA8F" w:rsidR="006F05CC" w:rsidRDefault="006A4630" w:rsidP="006F05CC">
      <w:pPr>
        <w:pStyle w:val="ListBullet"/>
        <w:rPr>
          <w:lang w:bidi="fa-IR"/>
        </w:rPr>
      </w:pPr>
      <w:r>
        <w:rPr>
          <w:lang w:bidi="fa-IR"/>
        </w:rPr>
        <w:t>F</w:t>
      </w:r>
      <w:r w:rsidR="006F05CC">
        <w:rPr>
          <w:lang w:bidi="fa-IR"/>
        </w:rPr>
        <w:t xml:space="preserve">amilies </w:t>
      </w:r>
      <w:r>
        <w:rPr>
          <w:lang w:bidi="fa-IR"/>
        </w:rPr>
        <w:t>who</w:t>
      </w:r>
      <w:r w:rsidR="006F05CC">
        <w:rPr>
          <w:lang w:bidi="fa-IR"/>
        </w:rPr>
        <w:t xml:space="preserve"> seek accessibility in order that ageing grandparents (and their peers) can participate in the lives of their children and contribute in supporting their family</w:t>
      </w:r>
      <w:r w:rsidR="002A3B3E">
        <w:rPr>
          <w:lang w:bidi="fa-IR"/>
        </w:rPr>
        <w:t xml:space="preserve"> (see box </w:t>
      </w:r>
      <w:r w:rsidR="0066514C">
        <w:rPr>
          <w:lang w:bidi="fa-IR"/>
        </w:rPr>
        <w:t>3.48</w:t>
      </w:r>
      <w:r w:rsidR="00610D54">
        <w:rPr>
          <w:lang w:bidi="fa-IR"/>
        </w:rPr>
        <w:t xml:space="preserve"> </w:t>
      </w:r>
      <w:r w:rsidR="002A3B3E">
        <w:rPr>
          <w:lang w:bidi="fa-IR"/>
        </w:rPr>
        <w:t xml:space="preserve">for some </w:t>
      </w:r>
      <w:r w:rsidR="00284B21">
        <w:rPr>
          <w:lang w:bidi="fa-IR"/>
        </w:rPr>
        <w:t>lived</w:t>
      </w:r>
      <w:r w:rsidR="002A3B3E">
        <w:rPr>
          <w:lang w:bidi="fa-IR"/>
        </w:rPr>
        <w:t xml:space="preserve"> experiences)</w:t>
      </w:r>
      <w:r w:rsidR="006F05CC">
        <w:rPr>
          <w:lang w:bidi="fa-IR"/>
        </w:rPr>
        <w:t>; and</w:t>
      </w:r>
    </w:p>
    <w:p w14:paraId="06BE3C5A" w14:textId="77777777" w:rsidR="006F05CC" w:rsidRDefault="006F05CC" w:rsidP="006F05CC">
      <w:pPr>
        <w:pStyle w:val="ListBullet"/>
        <w:rPr>
          <w:lang w:bidi="fa-IR"/>
        </w:rPr>
      </w:pPr>
      <w:r>
        <w:rPr>
          <w:lang w:bidi="fa-IR"/>
        </w:rPr>
        <w:t xml:space="preserve">Accessible housing may help the movement of prams. </w:t>
      </w:r>
    </w:p>
    <w:p w14:paraId="4B1DFA26" w14:textId="3F6AD6F5" w:rsidR="00755518" w:rsidRDefault="00755518" w:rsidP="00755518">
      <w:pPr>
        <w:pStyle w:val="BodyText"/>
        <w:rPr>
          <w:lang w:bidi="fa-IR"/>
        </w:rPr>
      </w:pPr>
      <w:r>
        <w:rPr>
          <w:lang w:bidi="fa-IR"/>
        </w:rPr>
        <w:t xml:space="preserve">The first type of benefit is included in the benefit associated with visitability (the ability for a person with mobility needs to visit others) which is discussed separately in </w:t>
      </w:r>
      <w:r w:rsidR="00101EF0">
        <w:rPr>
          <w:lang w:bidi="fa-IR"/>
        </w:rPr>
        <w:t xml:space="preserve">the </w:t>
      </w:r>
      <w:r>
        <w:rPr>
          <w:lang w:bidi="fa-IR"/>
        </w:rPr>
        <w:t>subsection ‘</w:t>
      </w:r>
      <w:r>
        <w:rPr>
          <w:lang w:bidi="fa-IR"/>
        </w:rPr>
        <w:fldChar w:fldCharType="begin"/>
      </w:r>
      <w:r>
        <w:rPr>
          <w:lang w:bidi="fa-IR"/>
        </w:rPr>
        <w:instrText xml:space="preserve"> REF _Ref56093864 \h </w:instrText>
      </w:r>
      <w:r>
        <w:rPr>
          <w:lang w:bidi="fa-IR"/>
        </w:rPr>
      </w:r>
      <w:r>
        <w:rPr>
          <w:lang w:bidi="fa-IR"/>
        </w:rPr>
        <w:fldChar w:fldCharType="separate"/>
      </w:r>
      <w:r w:rsidR="000F445C">
        <w:rPr>
          <w:lang w:bidi="fa-IR"/>
        </w:rPr>
        <w:t>Inability to visit family and friends in inaccessible housing</w:t>
      </w:r>
      <w:r>
        <w:rPr>
          <w:lang w:bidi="fa-IR"/>
        </w:rPr>
        <w:fldChar w:fldCharType="end"/>
      </w:r>
      <w:r>
        <w:rPr>
          <w:lang w:bidi="fa-IR"/>
        </w:rPr>
        <w:t xml:space="preserve">’ on page </w:t>
      </w:r>
      <w:r>
        <w:rPr>
          <w:lang w:bidi="fa-IR"/>
        </w:rPr>
        <w:fldChar w:fldCharType="begin"/>
      </w:r>
      <w:r>
        <w:rPr>
          <w:lang w:bidi="fa-IR"/>
        </w:rPr>
        <w:instrText xml:space="preserve"> PAGEREF _Ref56093864 \h </w:instrText>
      </w:r>
      <w:r>
        <w:rPr>
          <w:lang w:bidi="fa-IR"/>
        </w:rPr>
      </w:r>
      <w:r>
        <w:rPr>
          <w:lang w:bidi="fa-IR"/>
        </w:rPr>
        <w:fldChar w:fldCharType="separate"/>
      </w:r>
      <w:r w:rsidR="000F445C">
        <w:rPr>
          <w:noProof/>
          <w:lang w:bidi="fa-IR"/>
        </w:rPr>
        <w:t>101</w:t>
      </w:r>
      <w:r>
        <w:rPr>
          <w:lang w:bidi="fa-IR"/>
        </w:rPr>
        <w:fldChar w:fldCharType="end"/>
      </w:r>
      <w:r>
        <w:rPr>
          <w:lang w:bidi="fa-IR"/>
        </w:rPr>
        <w:t>.</w:t>
      </w:r>
    </w:p>
    <w:p w14:paraId="58125926" w14:textId="77777777" w:rsidR="001A6223" w:rsidRDefault="001A6223" w:rsidP="00074FFE">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48: Lived experience – families with young dependants"/>
        <w:tblDescription w:val="Submissions from people who are rarely able to visit family members who live in inaccessible housing, and the isolation and misery caused by this situation."/>
      </w:tblPr>
      <w:tblGrid>
        <w:gridCol w:w="7938"/>
      </w:tblGrid>
      <w:tr w:rsidR="001A6223" w:rsidRPr="00E05C8C" w14:paraId="49FD12FC" w14:textId="77777777" w:rsidTr="00745415">
        <w:trPr>
          <w:cantSplit/>
        </w:trPr>
        <w:tc>
          <w:tcPr>
            <w:tcW w:w="7938" w:type="dxa"/>
            <w:tcBorders>
              <w:top w:val="nil"/>
              <w:left w:val="nil"/>
              <w:bottom w:val="nil"/>
              <w:right w:val="nil"/>
            </w:tcBorders>
            <w:shd w:val="clear" w:color="auto" w:fill="C6BFAB" w:themeFill="accent3"/>
          </w:tcPr>
          <w:p w14:paraId="52F2DC5F" w14:textId="23CBF356" w:rsidR="001A6223" w:rsidRPr="00E05C8C" w:rsidRDefault="0022260E" w:rsidP="001A6223">
            <w:pPr>
              <w:pStyle w:val="Caption"/>
              <w:numPr>
                <w:ilvl w:val="0"/>
                <w:numId w:val="13"/>
              </w:numPr>
              <w:spacing w:before="120" w:after="100"/>
            </w:pPr>
            <w:bookmarkStart w:id="293" w:name="_Toc57643628"/>
            <w:bookmarkStart w:id="294" w:name="_Toc70505547"/>
            <w:r>
              <w:t>3.48</w:t>
            </w:r>
            <w:r w:rsidR="001A6223" w:rsidRPr="00E05C8C">
              <w:tab/>
            </w:r>
            <w:r w:rsidR="00284B21">
              <w:t>Lived</w:t>
            </w:r>
            <w:r w:rsidR="001A6223">
              <w:t xml:space="preserve"> experience – families with </w:t>
            </w:r>
            <w:r w:rsidR="00074FFE">
              <w:t xml:space="preserve">young </w:t>
            </w:r>
            <w:bookmarkEnd w:id="293"/>
            <w:r w:rsidR="003F2BCB">
              <w:t>dependants</w:t>
            </w:r>
            <w:bookmarkEnd w:id="294"/>
          </w:p>
        </w:tc>
      </w:tr>
      <w:tr w:rsidR="00F76823" w14:paraId="7650245E" w14:textId="77777777" w:rsidTr="001F486D">
        <w:tblPrEx>
          <w:shd w:val="clear" w:color="6F6652" w:fill="F1EFEA"/>
        </w:tblPrEx>
        <w:tc>
          <w:tcPr>
            <w:tcW w:w="7938" w:type="dxa"/>
            <w:tcBorders>
              <w:top w:val="nil"/>
              <w:left w:val="nil"/>
              <w:bottom w:val="nil"/>
              <w:right w:val="nil"/>
            </w:tcBorders>
            <w:shd w:val="clear" w:color="auto" w:fill="E9E8E5" w:themeFill="background2"/>
          </w:tcPr>
          <w:p w14:paraId="0CCE2BA9" w14:textId="77777777" w:rsidR="001A6223" w:rsidRDefault="000A4711" w:rsidP="001F486D">
            <w:pPr>
              <w:pStyle w:val="BoxHeading1"/>
              <w:spacing w:before="120"/>
            </w:pPr>
            <w:r>
              <w:t>Difficul</w:t>
            </w:r>
            <w:r w:rsidR="00BC2071">
              <w:t>t</w:t>
            </w:r>
            <w:r w:rsidR="00120928">
              <w:t>y or i</w:t>
            </w:r>
            <w:r w:rsidR="002A3B3E">
              <w:t>nab</w:t>
            </w:r>
            <w:r w:rsidR="00120928">
              <w:t>i</w:t>
            </w:r>
            <w:r w:rsidR="002A3B3E">
              <w:t>l</w:t>
            </w:r>
            <w:r w:rsidR="00120928">
              <w:t>ity</w:t>
            </w:r>
            <w:r w:rsidR="001A6223">
              <w:t xml:space="preserve"> </w:t>
            </w:r>
            <w:r w:rsidR="00A97285">
              <w:t>for</w:t>
            </w:r>
            <w:r>
              <w:t xml:space="preserve"> </w:t>
            </w:r>
            <w:r w:rsidR="001A6223">
              <w:t>family members</w:t>
            </w:r>
            <w:r>
              <w:t xml:space="preserve"> and relatives</w:t>
            </w:r>
            <w:r w:rsidR="00A97285">
              <w:t xml:space="preserve"> to visit</w:t>
            </w:r>
          </w:p>
          <w:p w14:paraId="5C6DAB44" w14:textId="77777777" w:rsidR="002A3B3E" w:rsidRPr="001A6223" w:rsidRDefault="00FA3500" w:rsidP="00A070FA">
            <w:pPr>
              <w:pStyle w:val="BodyText"/>
            </w:pPr>
            <w:r w:rsidRPr="00FA3500">
              <w:t>Although we live in the same city, I am virtually a stranger to my niece and nephews. They have lived in a series of ordinary family homes, moving in response to growing family needs or nearer to school or work. Never over their lifetimes has there been the possibility of my bounding in to scoop them up in a hug, share cooking, creating and homework, bath time or any of the many activities of ordinary daily family life. Why?  Because in all cases their ordinary home has not had the accessibility features to support a visit from their aunt in a wheelchair and all that entails. Visiting, if it occurs at all, has been limited to the garden or the veranda, as the only accessible place where parties and other family gatherings can be held. However, as I’m unable to enter the house I’m also not able to access the bathroom, limiting visits in time and spontaneity. The outcome is feelings of awkwardness and isolation.</w:t>
            </w:r>
            <w:r>
              <w:rPr>
                <w:rStyle w:val="FootnoteReference"/>
              </w:rPr>
              <w:footnoteReference w:id="154"/>
            </w:r>
          </w:p>
        </w:tc>
      </w:tr>
      <w:tr w:rsidR="00F76823" w14:paraId="662B3FA1" w14:textId="77777777" w:rsidTr="001F486D">
        <w:tblPrEx>
          <w:shd w:val="clear" w:color="6F6652" w:fill="F1EFEA"/>
        </w:tblPrEx>
        <w:tc>
          <w:tcPr>
            <w:tcW w:w="7938" w:type="dxa"/>
            <w:tcBorders>
              <w:top w:val="nil"/>
              <w:left w:val="nil"/>
              <w:bottom w:val="single" w:sz="4" w:space="0" w:color="9B917E" w:themeColor="accent4"/>
              <w:right w:val="nil"/>
            </w:tcBorders>
            <w:shd w:val="clear" w:color="auto" w:fill="E9E8E5" w:themeFill="background2"/>
          </w:tcPr>
          <w:p w14:paraId="7B903417" w14:textId="77777777" w:rsidR="00A070FA" w:rsidRPr="00A070FA" w:rsidRDefault="00A070FA" w:rsidP="001F486D">
            <w:pPr>
              <w:pStyle w:val="BodyText"/>
              <w:spacing w:after="120"/>
            </w:pPr>
            <w:r>
              <w:t>I have one child, who is married with a child... to see my granddaughter… far less often than I wish… causes me great pain and misery, envying friends and neighbours who spend a lot of time with their grandchildren, and can choose to drop in on them, offer to babysit, take them out, etc I feel that my later years of life will remain emotionally barren and both my grandchild and I will miss out on so much.</w:t>
            </w:r>
            <w:r>
              <w:rPr>
                <w:rStyle w:val="FootnoteReference"/>
              </w:rPr>
              <w:footnoteReference w:id="155"/>
            </w:r>
          </w:p>
        </w:tc>
      </w:tr>
    </w:tbl>
    <w:p w14:paraId="2434E546" w14:textId="77777777" w:rsidR="006F05CC" w:rsidRDefault="006F05CC" w:rsidP="006F05CC">
      <w:pPr>
        <w:pStyle w:val="BodyText"/>
        <w:rPr>
          <w:lang w:bidi="fa-IR"/>
        </w:rPr>
      </w:pPr>
      <w:r>
        <w:rPr>
          <w:lang w:bidi="fa-IR"/>
        </w:rPr>
        <w:t xml:space="preserve">On the second type of benefit, it is important to emphasise that the question </w:t>
      </w:r>
      <w:r w:rsidR="00E11625">
        <w:rPr>
          <w:lang w:bidi="fa-IR"/>
        </w:rPr>
        <w:t>to</w:t>
      </w:r>
      <w:r>
        <w:rPr>
          <w:lang w:bidi="fa-IR"/>
        </w:rPr>
        <w:t xml:space="preserve"> consider is what is the benefit of </w:t>
      </w:r>
      <w:r w:rsidR="000455B7">
        <w:rPr>
          <w:lang w:bidi="fa-IR"/>
        </w:rPr>
        <w:t>‘</w:t>
      </w:r>
      <w:r>
        <w:rPr>
          <w:lang w:bidi="fa-IR"/>
        </w:rPr>
        <w:t>level access</w:t>
      </w:r>
      <w:r w:rsidR="000455B7">
        <w:rPr>
          <w:lang w:bidi="fa-IR"/>
        </w:rPr>
        <w:t>’</w:t>
      </w:r>
      <w:r>
        <w:rPr>
          <w:lang w:bidi="fa-IR"/>
        </w:rPr>
        <w:t xml:space="preserve"> against the status quo.</w:t>
      </w:r>
      <w:r>
        <w:rPr>
          <w:rStyle w:val="FootnoteReference"/>
          <w:lang w:bidi="fa-IR"/>
        </w:rPr>
        <w:footnoteReference w:id="156"/>
      </w:r>
      <w:r>
        <w:rPr>
          <w:lang w:bidi="fa-IR"/>
        </w:rPr>
        <w:t xml:space="preserve"> It is acknowledged that </w:t>
      </w:r>
      <w:r>
        <w:rPr>
          <w:lang w:bidi="fa-IR"/>
        </w:rPr>
        <w:lastRenderedPageBreak/>
        <w:t xml:space="preserve">pushing a pram along a flat surface is more convenient than negotiating a single step. However, </w:t>
      </w:r>
      <w:r w:rsidR="008644EF">
        <w:rPr>
          <w:lang w:bidi="fa-IR"/>
        </w:rPr>
        <w:t>CIE has</w:t>
      </w:r>
      <w:r>
        <w:rPr>
          <w:lang w:bidi="fa-IR"/>
        </w:rPr>
        <w:t xml:space="preserve"> not found any evidence that suggests this benefit is </w:t>
      </w:r>
      <w:r w:rsidR="000455B7">
        <w:rPr>
          <w:lang w:bidi="fa-IR"/>
        </w:rPr>
        <w:t xml:space="preserve">so </w:t>
      </w:r>
      <w:r>
        <w:rPr>
          <w:lang w:bidi="fa-IR"/>
        </w:rPr>
        <w:t xml:space="preserve">material to be included in the analysis. Available online discussions of parenting groups suggest that parents are </w:t>
      </w:r>
      <w:r w:rsidR="000455B7">
        <w:rPr>
          <w:lang w:bidi="fa-IR"/>
        </w:rPr>
        <w:t xml:space="preserve">adaptable </w:t>
      </w:r>
      <w:r>
        <w:rPr>
          <w:lang w:bidi="fa-IR"/>
        </w:rPr>
        <w:t>when it comes to negotiating stairs with prams (including going backwards),</w:t>
      </w:r>
      <w:r>
        <w:rPr>
          <w:rStyle w:val="FootnoteReference"/>
          <w:lang w:bidi="fa-IR"/>
        </w:rPr>
        <w:footnoteReference w:id="157"/>
      </w:r>
      <w:r>
        <w:rPr>
          <w:lang w:bidi="fa-IR"/>
        </w:rPr>
        <w:t xml:space="preserve"> which is consistent with the idea that a single step does not pose a significant barrier to a significant number of new parents. </w:t>
      </w:r>
    </w:p>
    <w:p w14:paraId="1C4C637B" w14:textId="77777777" w:rsidR="0087746A" w:rsidRDefault="006F05CC" w:rsidP="00E4023A">
      <w:pPr>
        <w:pStyle w:val="BodyText"/>
        <w:rPr>
          <w:lang w:bidi="fa-IR"/>
        </w:rPr>
      </w:pPr>
      <w:r>
        <w:rPr>
          <w:lang w:bidi="fa-IR"/>
        </w:rPr>
        <w:t xml:space="preserve">Therefore, on the basis of a lack of evidence, </w:t>
      </w:r>
      <w:r w:rsidR="004318E3">
        <w:rPr>
          <w:lang w:bidi="fa-IR"/>
        </w:rPr>
        <w:t>it is</w:t>
      </w:r>
      <w:r>
        <w:rPr>
          <w:lang w:bidi="fa-IR"/>
        </w:rPr>
        <w:t xml:space="preserve"> assume</w:t>
      </w:r>
      <w:r w:rsidR="004318E3">
        <w:rPr>
          <w:lang w:bidi="fa-IR"/>
        </w:rPr>
        <w:t>d</w:t>
      </w:r>
      <w:r>
        <w:rPr>
          <w:lang w:bidi="fa-IR"/>
        </w:rPr>
        <w:t xml:space="preserve"> </w:t>
      </w:r>
      <w:r w:rsidR="004318E3">
        <w:rPr>
          <w:lang w:bidi="fa-IR"/>
        </w:rPr>
        <w:t xml:space="preserve">no additional costs imposed on families with </w:t>
      </w:r>
      <w:r w:rsidR="0053451D">
        <w:rPr>
          <w:lang w:bidi="fa-IR"/>
        </w:rPr>
        <w:t>young depend</w:t>
      </w:r>
      <w:r w:rsidR="003F2BCB">
        <w:rPr>
          <w:lang w:bidi="fa-IR"/>
        </w:rPr>
        <w:t>a</w:t>
      </w:r>
      <w:r w:rsidR="0053451D">
        <w:rPr>
          <w:lang w:bidi="fa-IR"/>
        </w:rPr>
        <w:t xml:space="preserve">nts </w:t>
      </w:r>
      <w:r w:rsidR="004318E3">
        <w:rPr>
          <w:lang w:bidi="fa-IR"/>
        </w:rPr>
        <w:t>due to inaccessible housing</w:t>
      </w:r>
      <w:r>
        <w:rPr>
          <w:lang w:bidi="fa-IR"/>
        </w:rPr>
        <w:t>.</w:t>
      </w:r>
      <w:r w:rsidR="0087746A">
        <w:rPr>
          <w:lang w:bidi="fa-IR"/>
        </w:rPr>
        <w:t xml:space="preserve"> </w:t>
      </w:r>
    </w:p>
    <w:p w14:paraId="3991303D" w14:textId="77777777" w:rsidR="00DD5DAA" w:rsidRDefault="0087746A" w:rsidP="00E4023A">
      <w:pPr>
        <w:pStyle w:val="BodyText"/>
        <w:rPr>
          <w:lang w:bidi="fa-IR"/>
        </w:rPr>
      </w:pPr>
      <w:r>
        <w:rPr>
          <w:lang w:bidi="fa-IR"/>
        </w:rPr>
        <w:t xml:space="preserve">To reflect the small amount of convenience </w:t>
      </w:r>
      <w:r w:rsidR="00FF0DF6">
        <w:rPr>
          <w:lang w:bidi="fa-IR"/>
        </w:rPr>
        <w:t xml:space="preserve">that </w:t>
      </w:r>
      <w:r>
        <w:rPr>
          <w:lang w:bidi="fa-IR"/>
        </w:rPr>
        <w:t xml:space="preserve">may be generated by replacing single step with step free entry, it is assumed that 5 per cent of families with </w:t>
      </w:r>
      <w:r w:rsidR="00960745">
        <w:rPr>
          <w:lang w:bidi="fa-IR"/>
        </w:rPr>
        <w:t>young depend</w:t>
      </w:r>
      <w:r w:rsidR="003F2BCB">
        <w:rPr>
          <w:lang w:bidi="fa-IR"/>
        </w:rPr>
        <w:t>a</w:t>
      </w:r>
      <w:r w:rsidR="00960745">
        <w:rPr>
          <w:lang w:bidi="fa-IR"/>
        </w:rPr>
        <w:t xml:space="preserve">nts </w:t>
      </w:r>
      <w:r>
        <w:rPr>
          <w:lang w:bidi="fa-IR"/>
        </w:rPr>
        <w:t>may purchase a plastic ramp to overcome the single step difficulty. Such a ramp costs around $77 each.</w:t>
      </w:r>
      <w:r>
        <w:rPr>
          <w:rStyle w:val="FootnoteReference"/>
        </w:rPr>
        <w:footnoteReference w:id="158"/>
      </w:r>
      <w:r>
        <w:rPr>
          <w:lang w:bidi="fa-IR"/>
        </w:rPr>
        <w:t xml:space="preserve"> The ramp could be used again when a family use the pram for another baby. This implies that about 16 000 families may purchase ramps for this purpose each year, and costing about $1.</w:t>
      </w:r>
      <w:r w:rsidR="00BA466F">
        <w:rPr>
          <w:lang w:bidi="fa-IR"/>
        </w:rPr>
        <w:t>39</w:t>
      </w:r>
      <w:r>
        <w:rPr>
          <w:lang w:bidi="fa-IR"/>
        </w:rPr>
        <w:t xml:space="preserve"> million each year.</w:t>
      </w:r>
      <w:r w:rsidR="00BC163A">
        <w:rPr>
          <w:rStyle w:val="FootnoteReference"/>
          <w:lang w:bidi="fa-IR"/>
        </w:rPr>
        <w:footnoteReference w:id="159"/>
      </w:r>
      <w:r>
        <w:rPr>
          <w:lang w:bidi="fa-IR"/>
        </w:rPr>
        <w:t xml:space="preserve"> This could be seen as an upper bound estimate for this component of the size of the problem.</w:t>
      </w:r>
    </w:p>
    <w:p w14:paraId="11F463BD" w14:textId="77777777" w:rsidR="00A070FA" w:rsidRDefault="00A070FA" w:rsidP="00A070FA">
      <w:pPr>
        <w:pStyle w:val="Heading2"/>
        <w:rPr>
          <w:lang w:eastAsia="en-US" w:bidi="fa-IR"/>
        </w:rPr>
      </w:pPr>
      <w:bookmarkStart w:id="295" w:name="_Ref56333467"/>
      <w:bookmarkStart w:id="296" w:name="_Ref56333557"/>
      <w:bookmarkStart w:id="297" w:name="_Toc70505100"/>
      <w:r>
        <w:rPr>
          <w:lang w:eastAsia="en-US" w:bidi="fa-IR"/>
        </w:rPr>
        <w:t>Qualitative assessment</w:t>
      </w:r>
      <w:bookmarkEnd w:id="295"/>
      <w:bookmarkEnd w:id="296"/>
      <w:bookmarkEnd w:id="297"/>
    </w:p>
    <w:p w14:paraId="67A2F963" w14:textId="77777777" w:rsidR="00F46E8F" w:rsidRPr="00F46E8F" w:rsidRDefault="00F46E8F" w:rsidP="00F46E8F">
      <w:pPr>
        <w:pStyle w:val="BodyText"/>
        <w:rPr>
          <w:lang w:eastAsia="en-US" w:bidi="fa-IR"/>
        </w:rPr>
      </w:pPr>
      <w:r>
        <w:rPr>
          <w:lang w:eastAsia="en-US" w:bidi="fa-IR"/>
        </w:rPr>
        <w:t xml:space="preserve">In addition to the above quantifiable costs of the problem associated with inaccessible housing, some qualitative assessment of unquantifiable (or </w:t>
      </w:r>
      <w:r w:rsidR="004B4733">
        <w:rPr>
          <w:lang w:eastAsia="en-US" w:bidi="fa-IR"/>
        </w:rPr>
        <w:t>highly difficult</w:t>
      </w:r>
      <w:r w:rsidR="00BB5430">
        <w:rPr>
          <w:lang w:eastAsia="en-US" w:bidi="fa-IR"/>
        </w:rPr>
        <w:t xml:space="preserve"> to quantify</w:t>
      </w:r>
      <w:r w:rsidR="004B4733">
        <w:rPr>
          <w:lang w:eastAsia="en-US" w:bidi="fa-IR"/>
        </w:rPr>
        <w:t xml:space="preserve"> and </w:t>
      </w:r>
      <w:r w:rsidR="00BB5430">
        <w:rPr>
          <w:lang w:eastAsia="en-US" w:bidi="fa-IR"/>
        </w:rPr>
        <w:t xml:space="preserve">highly </w:t>
      </w:r>
      <w:r w:rsidR="004B4733">
        <w:rPr>
          <w:lang w:eastAsia="en-US" w:bidi="fa-IR"/>
        </w:rPr>
        <w:t>uncertain) aspects of the problem</w:t>
      </w:r>
      <w:r w:rsidR="003908D4">
        <w:rPr>
          <w:lang w:eastAsia="en-US" w:bidi="fa-IR"/>
        </w:rPr>
        <w:t xml:space="preserve"> are presented</w:t>
      </w:r>
      <w:r w:rsidR="004B4733">
        <w:rPr>
          <w:lang w:eastAsia="en-US" w:bidi="fa-IR"/>
        </w:rPr>
        <w:t>.</w:t>
      </w:r>
    </w:p>
    <w:p w14:paraId="72463FDA" w14:textId="77777777" w:rsidR="00A070FA" w:rsidRDefault="00F46E8F" w:rsidP="00A070FA">
      <w:pPr>
        <w:pStyle w:val="Heading3"/>
        <w:numPr>
          <w:ilvl w:val="2"/>
          <w:numId w:val="5"/>
        </w:numPr>
        <w:spacing w:before="480"/>
        <w:rPr>
          <w:lang w:eastAsia="en-US" w:bidi="fa-IR"/>
        </w:rPr>
      </w:pPr>
      <w:bookmarkStart w:id="298" w:name="_Ref56615643"/>
      <w:r>
        <w:rPr>
          <w:lang w:eastAsia="en-US" w:bidi="fa-IR"/>
        </w:rPr>
        <w:t>Social justice, equity and c</w:t>
      </w:r>
      <w:r w:rsidR="00A070FA">
        <w:rPr>
          <w:lang w:eastAsia="en-US" w:bidi="fa-IR"/>
        </w:rPr>
        <w:t>osts to the community</w:t>
      </w:r>
      <w:bookmarkEnd w:id="298"/>
    </w:p>
    <w:p w14:paraId="0C0C75D3" w14:textId="77777777" w:rsidR="00A070FA" w:rsidRDefault="00A070FA" w:rsidP="00A070FA">
      <w:pPr>
        <w:pStyle w:val="BodyText"/>
        <w:rPr>
          <w:lang w:eastAsia="en-US" w:bidi="fa-IR"/>
        </w:rPr>
      </w:pPr>
      <w:r>
        <w:rPr>
          <w:lang w:eastAsia="en-US" w:bidi="fa-IR"/>
        </w:rPr>
        <w:t>As noted by the (then) Chair of the Royal Commission into the Safety and Quality of Age Care:</w:t>
      </w:r>
    </w:p>
    <w:p w14:paraId="5510DB38" w14:textId="77777777" w:rsidR="00A070FA" w:rsidRDefault="00A070FA" w:rsidP="00A070FA">
      <w:pPr>
        <w:pStyle w:val="Quote"/>
        <w:rPr>
          <w:lang w:eastAsia="en-US" w:bidi="fa-IR"/>
        </w:rPr>
      </w:pPr>
      <w:r>
        <w:rPr>
          <w:lang w:eastAsia="en-US" w:bidi="fa-IR"/>
        </w:rPr>
        <w:t>“The hallmark of a civilised society is how it treats its most vulnerable people…”</w:t>
      </w:r>
      <w:r>
        <w:rPr>
          <w:rStyle w:val="FootnoteReference"/>
          <w:lang w:eastAsia="en-US" w:bidi="fa-IR"/>
        </w:rPr>
        <w:footnoteReference w:id="160"/>
      </w:r>
    </w:p>
    <w:p w14:paraId="02B6DCB2" w14:textId="77777777" w:rsidR="00A070FA" w:rsidRDefault="00A070FA" w:rsidP="00A070FA">
      <w:pPr>
        <w:pStyle w:val="BodyText"/>
        <w:rPr>
          <w:lang w:eastAsia="en-US" w:bidi="fa-IR"/>
        </w:rPr>
      </w:pPr>
      <w:r>
        <w:rPr>
          <w:lang w:eastAsia="en-US" w:bidi="fa-IR"/>
        </w:rPr>
        <w:lastRenderedPageBreak/>
        <w:t>Although this quote specifically referred to older Australians, it could equally apply to younger people with disability.</w:t>
      </w:r>
    </w:p>
    <w:p w14:paraId="3C3D5AFA" w14:textId="77777777" w:rsidR="00F1411E" w:rsidRDefault="00F1411E" w:rsidP="00F1411E">
      <w:pPr>
        <w:pStyle w:val="BodyText"/>
        <w:rPr>
          <w:lang w:bidi="fa-IR"/>
        </w:rPr>
      </w:pPr>
      <w:r>
        <w:rPr>
          <w:lang w:bidi="fa-IR"/>
        </w:rPr>
        <w:t>Dalton and Carter (2020</w:t>
      </w:r>
      <w:r w:rsidR="00CB09EE">
        <w:rPr>
          <w:lang w:bidi="fa-IR"/>
        </w:rPr>
        <w:t>a</w:t>
      </w:r>
      <w:r>
        <w:rPr>
          <w:lang w:bidi="fa-IR"/>
        </w:rPr>
        <w:t>) discuss social justice as a reason for government intervention, links this to the principle of solidarity, and points to the need for social justice in housing in the human rights frameworks.</w:t>
      </w:r>
      <w:r w:rsidR="00CB09EE">
        <w:rPr>
          <w:rStyle w:val="FootnoteReference"/>
          <w:lang w:bidi="fa-IR"/>
        </w:rPr>
        <w:footnoteReference w:id="161"/>
      </w:r>
    </w:p>
    <w:p w14:paraId="18D7F926" w14:textId="77777777" w:rsidR="00F1411E" w:rsidRDefault="00F1411E" w:rsidP="00F1411E">
      <w:pPr>
        <w:pStyle w:val="BodyText"/>
        <w:rPr>
          <w:lang w:bidi="fa-IR"/>
        </w:rPr>
      </w:pPr>
      <w:r>
        <w:rPr>
          <w:lang w:bidi="fa-IR"/>
        </w:rPr>
        <w:t>Ensuring minimum accessibility standards in the NCC is consistent with Australia’s human rights obligations, according to QLD Human Rights Commission. Physical Disability Council of NSW argued that international and domestic reputational gains should be included as a benefit.</w:t>
      </w:r>
    </w:p>
    <w:p w14:paraId="307DE67F" w14:textId="77777777" w:rsidR="00CB09EE" w:rsidRDefault="00171942" w:rsidP="00F1411E">
      <w:pPr>
        <w:pStyle w:val="BodyText"/>
        <w:rPr>
          <w:lang w:eastAsia="en-US" w:bidi="fa-IR"/>
        </w:rPr>
      </w:pPr>
      <w:r>
        <w:rPr>
          <w:lang w:eastAsia="en-US" w:bidi="fa-IR"/>
        </w:rPr>
        <w:t>Equity was also mentioned in the public consultation as an important factor to consider</w:t>
      </w:r>
      <w:r w:rsidR="00E669F0">
        <w:rPr>
          <w:lang w:eastAsia="en-US" w:bidi="fa-IR"/>
        </w:rPr>
        <w:t>,</w:t>
      </w:r>
      <w:r>
        <w:rPr>
          <w:lang w:eastAsia="en-US" w:bidi="fa-IR"/>
        </w:rPr>
        <w:t xml:space="preserve"> as </w:t>
      </w:r>
      <w:r w:rsidR="00E669F0">
        <w:rPr>
          <w:lang w:eastAsia="en-US" w:bidi="fa-IR"/>
        </w:rPr>
        <w:t>demonstrated by the following example</w:t>
      </w:r>
      <w:r>
        <w:rPr>
          <w:lang w:eastAsia="en-US" w:bidi="fa-IR"/>
        </w:rPr>
        <w:t>s</w:t>
      </w:r>
      <w:r w:rsidR="00C56680">
        <w:rPr>
          <w:lang w:eastAsia="en-US" w:bidi="fa-IR"/>
        </w:rPr>
        <w:t xml:space="preserve"> from submissions</w:t>
      </w:r>
      <w:r>
        <w:rPr>
          <w:lang w:eastAsia="en-US" w:bidi="fa-IR"/>
        </w:rPr>
        <w:t>:</w:t>
      </w:r>
    </w:p>
    <w:p w14:paraId="690058BF" w14:textId="77777777" w:rsidR="00171942" w:rsidRDefault="00171942" w:rsidP="004C32C3">
      <w:pPr>
        <w:pStyle w:val="Quote"/>
      </w:pPr>
      <w:r>
        <w:rPr>
          <w:lang w:eastAsia="en-US" w:bidi="fa-IR"/>
        </w:rPr>
        <w:t>People with injuries or other mobility issues (short-term or long-term) will not have equal opportunities, principally because they will be confined to institutions of one sort or another.</w:t>
      </w:r>
      <w:r w:rsidR="004C32C3">
        <w:rPr>
          <w:rStyle w:val="FootnoteReference"/>
          <w:lang w:eastAsia="en-US" w:bidi="fa-IR"/>
        </w:rPr>
        <w:footnoteReference w:id="162"/>
      </w:r>
    </w:p>
    <w:p w14:paraId="4D598395" w14:textId="77777777" w:rsidR="004C32C3" w:rsidRDefault="004C32C3" w:rsidP="004C32C3">
      <w:pPr>
        <w:pStyle w:val="Quote"/>
      </w:pPr>
      <w:r w:rsidRPr="004C32C3">
        <w:t>Disabled people are unable to live equal lives to non-disabled people due to the built environment - this in turn hampers their dignity and ability to perform and secure employment.</w:t>
      </w:r>
      <w:r>
        <w:rPr>
          <w:rStyle w:val="FootnoteReference"/>
        </w:rPr>
        <w:footnoteReference w:id="163"/>
      </w:r>
    </w:p>
    <w:p w14:paraId="7E19D00E" w14:textId="77777777" w:rsidR="004C32C3" w:rsidRPr="004C32C3" w:rsidRDefault="00241E85" w:rsidP="00241E85">
      <w:pPr>
        <w:pStyle w:val="Quote"/>
      </w:pPr>
      <w:r w:rsidRPr="00241E85">
        <w:t>Equity refers to fair and equal access to housing. A lack of accessible housing means there is an absence of choice and control for individuals seeking to explore their housing options. The individual may have to either pay more or have less options regarding where they can live. There may also be issues with the time it takes for changes to be made to ensure that housing is suitable relative to others.</w:t>
      </w:r>
      <w:r>
        <w:rPr>
          <w:rStyle w:val="FootnoteReference"/>
        </w:rPr>
        <w:footnoteReference w:id="164"/>
      </w:r>
    </w:p>
    <w:p w14:paraId="3F4F9CA0" w14:textId="77777777" w:rsidR="004D42F4" w:rsidRDefault="00E669F0" w:rsidP="00A070FA">
      <w:pPr>
        <w:pStyle w:val="BodyText"/>
        <w:rPr>
          <w:lang w:eastAsia="en-US" w:bidi="fa-IR"/>
        </w:rPr>
      </w:pPr>
      <w:r>
        <w:rPr>
          <w:lang w:eastAsia="en-US" w:bidi="fa-IR"/>
        </w:rPr>
        <w:t xml:space="preserve">In response to consultation feedback it is recognised </w:t>
      </w:r>
      <w:r w:rsidR="004D42F4">
        <w:rPr>
          <w:lang w:eastAsia="en-US" w:bidi="fa-IR"/>
        </w:rPr>
        <w:t xml:space="preserve">that equity, and more broadly, human rights and social justice, should be discussed from the </w:t>
      </w:r>
      <w:r>
        <w:rPr>
          <w:lang w:eastAsia="en-US" w:bidi="fa-IR"/>
        </w:rPr>
        <w:t xml:space="preserve">perspective </w:t>
      </w:r>
      <w:r w:rsidR="004D42F4">
        <w:rPr>
          <w:lang w:eastAsia="en-US" w:bidi="fa-IR"/>
        </w:rPr>
        <w:t>that people with disability and older Australians are denied equal opportunity due to inaccessible housing. Lack of equal opportunity in turn affects their daily life, their employment opportunity, their independence, dignity and self-esteem.</w:t>
      </w:r>
      <w:r w:rsidR="0073551E">
        <w:rPr>
          <w:lang w:eastAsia="en-US" w:bidi="fa-IR"/>
        </w:rPr>
        <w:t xml:space="preserve"> Some of these impacts have </w:t>
      </w:r>
      <w:r>
        <w:rPr>
          <w:lang w:eastAsia="en-US" w:bidi="fa-IR"/>
        </w:rPr>
        <w:t xml:space="preserve">already </w:t>
      </w:r>
      <w:r w:rsidR="0073551E">
        <w:rPr>
          <w:lang w:eastAsia="en-US" w:bidi="fa-IR"/>
        </w:rPr>
        <w:t>been quantified, and some will be discussed separately in the following sections.</w:t>
      </w:r>
    </w:p>
    <w:p w14:paraId="6C38838F" w14:textId="77777777" w:rsidR="00A070FA" w:rsidRDefault="0073551E" w:rsidP="00A070FA">
      <w:pPr>
        <w:pStyle w:val="BodyText"/>
        <w:rPr>
          <w:lang w:eastAsia="en-US" w:bidi="fa-IR"/>
        </w:rPr>
      </w:pPr>
      <w:r>
        <w:rPr>
          <w:lang w:eastAsia="en-US" w:bidi="fa-IR"/>
        </w:rPr>
        <w:lastRenderedPageBreak/>
        <w:t>In the collective sense,</w:t>
      </w:r>
      <w:r w:rsidR="00A070FA">
        <w:rPr>
          <w:lang w:eastAsia="en-US" w:bidi="fa-IR"/>
        </w:rPr>
        <w:t xml:space="preserve"> there is a cost to the community where people with </w:t>
      </w:r>
      <w:r w:rsidR="00D870C0">
        <w:rPr>
          <w:lang w:eastAsia="en-US" w:bidi="fa-IR"/>
        </w:rPr>
        <w:t xml:space="preserve">disability </w:t>
      </w:r>
      <w:r w:rsidR="00A070FA">
        <w:rPr>
          <w:lang w:eastAsia="en-US" w:bidi="fa-IR"/>
        </w:rPr>
        <w:t>are unable to secure housing that meets their needs</w:t>
      </w:r>
      <w:r>
        <w:rPr>
          <w:lang w:eastAsia="en-US" w:bidi="fa-IR"/>
        </w:rPr>
        <w:t>, and thus the community is willing to pay to avoid th</w:t>
      </w:r>
      <w:r w:rsidR="00BB5430">
        <w:rPr>
          <w:lang w:eastAsia="en-US" w:bidi="fa-IR"/>
        </w:rPr>
        <w:t>is</w:t>
      </w:r>
      <w:r>
        <w:rPr>
          <w:lang w:eastAsia="en-US" w:bidi="fa-IR"/>
        </w:rPr>
        <w:t xml:space="preserve"> unequal, </w:t>
      </w:r>
      <w:r w:rsidR="00E669F0">
        <w:rPr>
          <w:lang w:eastAsia="en-US" w:bidi="fa-IR"/>
        </w:rPr>
        <w:t>un</w:t>
      </w:r>
      <w:r>
        <w:rPr>
          <w:lang w:eastAsia="en-US" w:bidi="fa-IR"/>
        </w:rPr>
        <w:t>just outcome</w:t>
      </w:r>
      <w:r w:rsidR="00A070FA">
        <w:rPr>
          <w:lang w:eastAsia="en-US" w:bidi="fa-IR"/>
        </w:rPr>
        <w:t>.</w:t>
      </w:r>
      <w:r>
        <w:rPr>
          <w:lang w:eastAsia="en-US" w:bidi="fa-IR"/>
        </w:rPr>
        <w:t xml:space="preserve"> </w:t>
      </w:r>
    </w:p>
    <w:p w14:paraId="4F1BF232" w14:textId="77777777" w:rsidR="00A070FA" w:rsidRPr="00D130F6" w:rsidRDefault="003A4CCB" w:rsidP="002E4B3B">
      <w:pPr>
        <w:pStyle w:val="KeyPoint"/>
        <w:numPr>
          <w:ilvl w:val="0"/>
          <w:numId w:val="11"/>
        </w:numPr>
        <w:rPr>
          <w:lang w:bidi="fa-IR"/>
        </w:rPr>
      </w:pPr>
      <w:r>
        <w:rPr>
          <w:lang w:bidi="fa-IR"/>
        </w:rPr>
        <w:t>It is</w:t>
      </w:r>
      <w:r w:rsidRPr="00D130F6">
        <w:rPr>
          <w:lang w:bidi="fa-IR"/>
        </w:rPr>
        <w:t xml:space="preserve"> </w:t>
      </w:r>
      <w:r w:rsidR="00A070FA" w:rsidRPr="00D130F6">
        <w:rPr>
          <w:lang w:bidi="fa-IR"/>
        </w:rPr>
        <w:t>estimate</w:t>
      </w:r>
      <w:r>
        <w:rPr>
          <w:lang w:bidi="fa-IR"/>
        </w:rPr>
        <w:t>d</w:t>
      </w:r>
      <w:r w:rsidR="00A070FA" w:rsidRPr="00D130F6">
        <w:rPr>
          <w:lang w:bidi="fa-IR"/>
        </w:rPr>
        <w:t xml:space="preserve"> that the community values these costs at around $389 million per year.</w:t>
      </w:r>
    </w:p>
    <w:p w14:paraId="7E273BB5" w14:textId="77777777" w:rsidR="00A070FA" w:rsidRDefault="00A070FA" w:rsidP="00A070FA">
      <w:pPr>
        <w:pStyle w:val="BodyText"/>
        <w:rPr>
          <w:lang w:bidi="fa-IR"/>
        </w:rPr>
      </w:pPr>
      <w:r>
        <w:rPr>
          <w:lang w:bidi="fa-IR"/>
        </w:rPr>
        <w:t>This estimate is based on the following.</w:t>
      </w:r>
    </w:p>
    <w:p w14:paraId="422A7CE6" w14:textId="2D741A60" w:rsidR="00A070FA" w:rsidRDefault="003A4CCB" w:rsidP="00A070FA">
      <w:pPr>
        <w:pStyle w:val="ListBullet"/>
        <w:numPr>
          <w:ilvl w:val="0"/>
          <w:numId w:val="16"/>
        </w:numPr>
        <w:rPr>
          <w:lang w:eastAsia="en-US" w:bidi="fa-IR"/>
        </w:rPr>
      </w:pPr>
      <w:r>
        <w:rPr>
          <w:lang w:eastAsia="en-US" w:bidi="fa-IR"/>
        </w:rPr>
        <w:t>A</w:t>
      </w:r>
      <w:r w:rsidR="00A070FA">
        <w:rPr>
          <w:lang w:eastAsia="en-US" w:bidi="fa-IR"/>
        </w:rPr>
        <w:t xml:space="preserve"> stated preference survey </w:t>
      </w:r>
      <w:r>
        <w:rPr>
          <w:lang w:eastAsia="en-US" w:bidi="fa-IR"/>
        </w:rPr>
        <w:t>was completed</w:t>
      </w:r>
      <w:r w:rsidR="00A070FA">
        <w:rPr>
          <w:lang w:eastAsia="en-US" w:bidi="fa-IR"/>
        </w:rPr>
        <w:t xml:space="preserve"> to estimate the community’s </w:t>
      </w:r>
      <w:r w:rsidR="004B74DD">
        <w:rPr>
          <w:lang w:eastAsia="en-US" w:bidi="fa-IR"/>
        </w:rPr>
        <w:t>WTP</w:t>
      </w:r>
      <w:r w:rsidR="00A070FA">
        <w:rPr>
          <w:lang w:eastAsia="en-US" w:bidi="fa-IR"/>
        </w:rPr>
        <w:t xml:space="preserve"> for all Australians with a mobility limitation to have access to housing that meets their needs. This survey found that the average </w:t>
      </w:r>
      <w:r w:rsidR="00DC04B6">
        <w:rPr>
          <w:lang w:eastAsia="en-US" w:bidi="fa-IR"/>
        </w:rPr>
        <w:t>WTP</w:t>
      </w:r>
      <w:r w:rsidR="00A070FA">
        <w:rPr>
          <w:lang w:eastAsia="en-US" w:bidi="fa-IR"/>
        </w:rPr>
        <w:t xml:space="preserve"> was around $40 per household per year (see </w:t>
      </w:r>
      <w:r w:rsidR="00A070FA" w:rsidRPr="005331B4">
        <w:rPr>
          <w:lang w:eastAsia="en-US" w:bidi="fa-IR"/>
        </w:rPr>
        <w:t>appendix </w:t>
      </w:r>
      <w:r w:rsidR="00C4159B" w:rsidRPr="005331B4">
        <w:rPr>
          <w:lang w:eastAsia="en-US" w:bidi="fa-IR"/>
        </w:rPr>
        <w:fldChar w:fldCharType="begin"/>
      </w:r>
      <w:r w:rsidR="00C4159B" w:rsidRPr="005331B4">
        <w:rPr>
          <w:lang w:eastAsia="en-US" w:bidi="fa-IR"/>
        </w:rPr>
        <w:instrText xml:space="preserve"> REF _Ref56677480 \n \h </w:instrText>
      </w:r>
      <w:r w:rsidR="00C4159B">
        <w:rPr>
          <w:lang w:eastAsia="en-US" w:bidi="fa-IR"/>
        </w:rPr>
        <w:instrText xml:space="preserve"> \* MERGEFORMAT </w:instrText>
      </w:r>
      <w:r w:rsidR="00C4159B" w:rsidRPr="005331B4">
        <w:rPr>
          <w:lang w:eastAsia="en-US" w:bidi="fa-IR"/>
        </w:rPr>
      </w:r>
      <w:r w:rsidR="00C4159B" w:rsidRPr="005331B4">
        <w:rPr>
          <w:lang w:eastAsia="en-US" w:bidi="fa-IR"/>
        </w:rPr>
        <w:fldChar w:fldCharType="separate"/>
      </w:r>
      <w:r w:rsidR="000F445C">
        <w:t>K</w:t>
      </w:r>
      <w:r w:rsidR="00C4159B" w:rsidRPr="005331B4">
        <w:rPr>
          <w:lang w:eastAsia="en-US" w:bidi="fa-IR"/>
        </w:rPr>
        <w:fldChar w:fldCharType="end"/>
      </w:r>
      <w:r w:rsidR="00A070FA">
        <w:rPr>
          <w:lang w:eastAsia="en-US" w:bidi="fa-IR"/>
        </w:rPr>
        <w:t xml:space="preserve"> for further details).</w:t>
      </w:r>
    </w:p>
    <w:p w14:paraId="73065DFE" w14:textId="77777777" w:rsidR="00A070FA" w:rsidRDefault="00A070FA" w:rsidP="00A070FA">
      <w:pPr>
        <w:pStyle w:val="ListBullet"/>
        <w:numPr>
          <w:ilvl w:val="0"/>
          <w:numId w:val="16"/>
        </w:numPr>
        <w:rPr>
          <w:lang w:eastAsia="en-US" w:bidi="fa-IR"/>
        </w:rPr>
      </w:pPr>
      <w:r>
        <w:rPr>
          <w:lang w:eastAsia="en-US" w:bidi="fa-IR"/>
        </w:rPr>
        <w:t xml:space="preserve">This estimate is applied across around </w:t>
      </w:r>
      <w:r w:rsidRPr="00D130F6">
        <w:rPr>
          <w:lang w:eastAsia="en-US" w:bidi="fa-IR"/>
        </w:rPr>
        <w:t>9.9 million households.</w:t>
      </w:r>
    </w:p>
    <w:p w14:paraId="5650BC54" w14:textId="77777777" w:rsidR="00A070FA" w:rsidRDefault="00A070FA" w:rsidP="00A070FA">
      <w:pPr>
        <w:pStyle w:val="Heading3"/>
        <w:numPr>
          <w:ilvl w:val="2"/>
          <w:numId w:val="5"/>
        </w:numPr>
        <w:rPr>
          <w:lang w:eastAsia="en-US" w:bidi="fa-IR"/>
        </w:rPr>
      </w:pPr>
      <w:bookmarkStart w:id="299" w:name="_Ref56615356"/>
      <w:r>
        <w:rPr>
          <w:lang w:eastAsia="en-US" w:bidi="fa-IR"/>
        </w:rPr>
        <w:t>Employment and productivity impacts</w:t>
      </w:r>
      <w:bookmarkEnd w:id="299"/>
    </w:p>
    <w:p w14:paraId="7255C172" w14:textId="77777777" w:rsidR="00A070FA" w:rsidRDefault="00A070FA" w:rsidP="00A070FA">
      <w:pPr>
        <w:pStyle w:val="BodyText"/>
      </w:pPr>
      <w:r>
        <w:t>There is evidence of poorer employment outcomes for working age (15</w:t>
      </w:r>
      <w:r>
        <w:noBreakHyphen/>
        <w:t>64 years) people with mobility</w:t>
      </w:r>
      <w:r>
        <w:noBreakHyphen/>
        <w:t>related disability, relative to the broader economy (chart 3.</w:t>
      </w:r>
      <w:r w:rsidR="00001647">
        <w:t>4</w:t>
      </w:r>
      <w:r w:rsidR="00833931">
        <w:t>9</w:t>
      </w:r>
      <w:r>
        <w:t>).</w:t>
      </w:r>
    </w:p>
    <w:p w14:paraId="5EEB37EF" w14:textId="77777777" w:rsidR="00D616D2" w:rsidRDefault="00A070FA" w:rsidP="00D616D2">
      <w:pPr>
        <w:pStyle w:val="ListBullet"/>
        <w:numPr>
          <w:ilvl w:val="0"/>
          <w:numId w:val="16"/>
        </w:numPr>
      </w:pPr>
      <w:r>
        <w:t>According to 2018 SDAC data, the unemployment rate for people with mobility</w:t>
      </w:r>
      <w:r>
        <w:noBreakHyphen/>
        <w:t>related disability was around 11.3 per cent, more than double the rate in the broader economy (based on 2018 data).</w:t>
      </w:r>
      <w:r w:rsidR="00E62D58">
        <w:t xml:space="preserve"> The un</w:t>
      </w:r>
      <w:r w:rsidR="00503800" w:rsidRPr="00503800">
        <w:t>employment rate is the number of people unemploy</w:t>
      </w:r>
      <w:r w:rsidR="009B6423">
        <w:t>ed</w:t>
      </w:r>
      <w:r w:rsidR="00503800" w:rsidRPr="00503800">
        <w:t xml:space="preserve"> (i.e. those who are not employed, but are actively looking for work) as a proportion of the total labour force (i.e. the total number of people who are either employed or unemployed).</w:t>
      </w:r>
    </w:p>
    <w:p w14:paraId="00CDC00B" w14:textId="77777777" w:rsidR="00A070FA" w:rsidRDefault="00A070FA" w:rsidP="00233C02">
      <w:pPr>
        <w:pStyle w:val="ListBullet"/>
        <w:numPr>
          <w:ilvl w:val="0"/>
          <w:numId w:val="16"/>
        </w:numPr>
      </w:pPr>
      <w:r>
        <w:t>Perhaps more strikingly, the participation rate for people with mobility</w:t>
      </w:r>
      <w:r>
        <w:noBreakHyphen/>
        <w:t>related disability was 42 per cent, compared with 65.6 per cent for the broader economy (based on 2018 data).</w:t>
      </w:r>
      <w:r w:rsidR="00545A81">
        <w:t xml:space="preserve"> </w:t>
      </w:r>
      <w:r w:rsidR="00D616D2" w:rsidRPr="00D616D2">
        <w:t>The participation rate is the number of people either employed or actively looking for work (i.e. unemployed) as a proportion of the total number of people aged 15-64.</w:t>
      </w:r>
    </w:p>
    <w:p w14:paraId="704D0EE8" w14:textId="77777777" w:rsidR="00A070FA" w:rsidRDefault="00A070FA" w:rsidP="00A070FA">
      <w:pPr>
        <w:pStyle w:val="BodyText"/>
        <w:rPr>
          <w:lang w:eastAsia="en-US" w:bidi="fa-IR"/>
        </w:rPr>
      </w:pPr>
      <w:r>
        <w:rPr>
          <w:lang w:eastAsia="en-US" w:bidi="fa-IR"/>
        </w:rPr>
        <w:t>Stakeholders also provided evidence that a lack of accessible housing has affected employment opportunities and productivity at work.</w:t>
      </w:r>
    </w:p>
    <w:p w14:paraId="5741BADD" w14:textId="77777777" w:rsidR="00A070FA" w:rsidRDefault="00A070FA" w:rsidP="00A070FA">
      <w:pPr>
        <w:pStyle w:val="ListBullet"/>
        <w:rPr>
          <w:lang w:eastAsia="en-US" w:bidi="fa-IR"/>
        </w:rPr>
      </w:pPr>
      <w:r>
        <w:rPr>
          <w:lang w:eastAsia="en-US" w:bidi="fa-IR"/>
        </w:rPr>
        <w:t>Close to one</w:t>
      </w:r>
      <w:r>
        <w:rPr>
          <w:lang w:eastAsia="en-US" w:bidi="fa-IR"/>
        </w:rPr>
        <w:noBreakHyphen/>
        <w:t xml:space="preserve">third of respondents to the MDI survey that formed part of the </w:t>
      </w:r>
      <w:r w:rsidR="005615A1">
        <w:rPr>
          <w:lang w:eastAsia="en-US" w:bidi="fa-IR"/>
        </w:rPr>
        <w:t xml:space="preserve">MDI and Summer Foundation </w:t>
      </w:r>
      <w:r>
        <w:rPr>
          <w:lang w:eastAsia="en-US" w:bidi="fa-IR"/>
        </w:rPr>
        <w:t>submission reported that a lack of accessible housing has resulted in job loss, missed job opportunities, reduced work hours or reduced productivity at work.</w:t>
      </w:r>
      <w:r>
        <w:rPr>
          <w:rStyle w:val="FootnoteReference"/>
          <w:lang w:eastAsia="en-US" w:bidi="fa-IR"/>
        </w:rPr>
        <w:footnoteReference w:id="165"/>
      </w:r>
    </w:p>
    <w:p w14:paraId="0FAA9AE9" w14:textId="77777777" w:rsidR="00A070FA" w:rsidRDefault="00A070FA" w:rsidP="00A070FA">
      <w:pPr>
        <w:pStyle w:val="ListBullet"/>
      </w:pPr>
      <w:r>
        <w:rPr>
          <w:lang w:eastAsia="en-US" w:bidi="fa-IR"/>
        </w:rPr>
        <w:t>Between 16 and 30 per cent of members of Spinal Life Australia report that a lack of accessible housing has impacted their employment.</w:t>
      </w:r>
      <w:r>
        <w:rPr>
          <w:rStyle w:val="FootnoteReference"/>
          <w:lang w:eastAsia="en-US" w:bidi="fa-IR"/>
        </w:rPr>
        <w:footnoteReference w:id="166"/>
      </w:r>
    </w:p>
    <w:p w14:paraId="1F05A255" w14:textId="6D8F46B5" w:rsidR="00A070FA" w:rsidRDefault="0022260E" w:rsidP="00A070FA">
      <w:pPr>
        <w:pStyle w:val="Caption"/>
      </w:pPr>
      <w:bookmarkStart w:id="300" w:name="_Toc57643629"/>
      <w:bookmarkStart w:id="301" w:name="_Toc70505548"/>
      <w:r>
        <w:lastRenderedPageBreak/>
        <w:t>3.49</w:t>
      </w:r>
      <w:r w:rsidR="00A070FA" w:rsidRPr="00695C93">
        <w:tab/>
      </w:r>
      <w:r w:rsidR="00A070FA">
        <w:t>Key labour force indicators</w:t>
      </w:r>
      <w:bookmarkEnd w:id="300"/>
      <w:bookmarkEnd w:id="301"/>
    </w:p>
    <w:p w14:paraId="36314782" w14:textId="77777777" w:rsidR="001F486D" w:rsidRPr="001F486D" w:rsidRDefault="001F486D" w:rsidP="001F486D">
      <w:pPr>
        <w:pStyle w:val="Subtitlebox"/>
      </w:pPr>
      <w:r w:rsidRPr="000774F3">
        <w:rPr>
          <w:noProof/>
        </w:rPr>
        <w:drawing>
          <wp:inline distT="0" distB="0" distL="0" distR="0" wp14:anchorId="411976D3" wp14:editId="08F052E6">
            <wp:extent cx="5035550" cy="2425700"/>
            <wp:effectExtent l="76200" t="76200" r="69850" b="69850"/>
            <wp:docPr id="29" name="Picture 29" descr="This graph shows that people with a mobility limitation have more than double the unemployment rate compared to the broader economy. Their participation rate in the labour force is also significantly lower." title="Chart 3.49: Key labour for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5550" cy="2425700"/>
                    </a:xfrm>
                    <a:prstGeom prst="rect">
                      <a:avLst/>
                    </a:prstGeom>
                    <a:noFill/>
                    <a:ln w="76200">
                      <a:solidFill>
                        <a:schemeClr val="bg2"/>
                      </a:solidFill>
                    </a:ln>
                  </pic:spPr>
                </pic:pic>
              </a:graphicData>
            </a:graphic>
          </wp:inline>
        </w:drawing>
      </w:r>
    </w:p>
    <w:p w14:paraId="1B911BA6" w14:textId="77777777" w:rsidR="00A070FA" w:rsidRDefault="00A070FA" w:rsidP="00A070FA">
      <w:pPr>
        <w:pStyle w:val="Source"/>
      </w:pPr>
      <w:r>
        <w:rPr>
          <w:i/>
        </w:rPr>
        <w:t>Source</w:t>
      </w:r>
      <w:r w:rsidRPr="00E4232C">
        <w:rPr>
          <w:i/>
        </w:rPr>
        <w:t>:</w:t>
      </w:r>
      <w:r>
        <w:t xml:space="preserve"> ABS, Labour Force, Australia, Catalogue No. 6202.0; ABS, 2018 Survey of Disabilities, Ageing and Carers, TableBuilder.</w:t>
      </w:r>
    </w:p>
    <w:p w14:paraId="28DE657B" w14:textId="47C913C6" w:rsidR="00A070FA" w:rsidRDefault="00A070FA" w:rsidP="00A070FA">
      <w:pPr>
        <w:pStyle w:val="BodyText"/>
      </w:pPr>
      <w:r>
        <w:rPr>
          <w:lang w:bidi="fa-IR"/>
        </w:rPr>
        <w:t xml:space="preserve">Submissions identified </w:t>
      </w:r>
      <w:r>
        <w:t>several ways that a lack of accessible housing could be leading to relatively poor employment outcomes among working age people with mobility</w:t>
      </w:r>
      <w:r>
        <w:noBreakHyphen/>
        <w:t>related disabilit</w:t>
      </w:r>
      <w:r w:rsidR="00CD4F6B">
        <w:t>y</w:t>
      </w:r>
      <w:r>
        <w:t>, as well as reducing productivity.</w:t>
      </w:r>
      <w:r>
        <w:rPr>
          <w:rStyle w:val="FootnoteReference"/>
        </w:rPr>
        <w:footnoteReference w:id="167"/>
      </w:r>
      <w:r>
        <w:t xml:space="preserve"> Some of those lived experiences reported in submissions are provided in Box 3.</w:t>
      </w:r>
      <w:r w:rsidR="00833931">
        <w:t>50</w:t>
      </w:r>
      <w:r w:rsidR="00094483">
        <w:t xml:space="preserve"> </w:t>
      </w:r>
      <w:r>
        <w:t xml:space="preserve">below. Additional lived experiences are provided in </w:t>
      </w:r>
      <w:r w:rsidR="00DC7B75">
        <w:t>a</w:t>
      </w:r>
      <w:r>
        <w:t xml:space="preserve">ppendix </w:t>
      </w:r>
      <w:r>
        <w:fldChar w:fldCharType="begin"/>
      </w:r>
      <w:r>
        <w:instrText xml:space="preserve"> REF _Ref56268185 \n \h </w:instrText>
      </w:r>
      <w:r>
        <w:fldChar w:fldCharType="separate"/>
      </w:r>
      <w:r w:rsidR="000F445C">
        <w:t>J</w:t>
      </w:r>
      <w:r>
        <w:fldChar w:fldCharType="end"/>
      </w:r>
      <w:r>
        <w:t>.</w:t>
      </w:r>
    </w:p>
    <w:p w14:paraId="76E7DFAB" w14:textId="77777777" w:rsidR="00A070FA" w:rsidRDefault="00A070FA" w:rsidP="00A070FA">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3.50: Lived experience – potential effects of inaccessible housing on employment"/>
        <w:tblDescription w:val="Examples of the effects of lack of accessible housing on employment. Issues include lack of work space in the home, proximity to the workplace, and inaccessible features of the home that require extra energy (and therefore limit the ability to work)."/>
      </w:tblPr>
      <w:tblGrid>
        <w:gridCol w:w="7938"/>
      </w:tblGrid>
      <w:tr w:rsidR="00A070FA" w:rsidRPr="00E05C8C" w14:paraId="2144B0E2" w14:textId="77777777" w:rsidTr="007C147A">
        <w:trPr>
          <w:cantSplit/>
          <w:tblHeader/>
        </w:trPr>
        <w:tc>
          <w:tcPr>
            <w:tcW w:w="7938" w:type="dxa"/>
            <w:tcBorders>
              <w:top w:val="nil"/>
              <w:left w:val="nil"/>
              <w:bottom w:val="nil"/>
              <w:right w:val="nil"/>
            </w:tcBorders>
            <w:shd w:val="clear" w:color="auto" w:fill="C6BFAB" w:themeFill="accent3"/>
          </w:tcPr>
          <w:p w14:paraId="387CA7F8" w14:textId="73C70EAE" w:rsidR="00A070FA" w:rsidRPr="00E05C8C" w:rsidRDefault="0022260E" w:rsidP="007C147A">
            <w:pPr>
              <w:pStyle w:val="Caption"/>
              <w:numPr>
                <w:ilvl w:val="0"/>
                <w:numId w:val="13"/>
              </w:numPr>
              <w:spacing w:before="120" w:after="100"/>
            </w:pPr>
            <w:bookmarkStart w:id="302" w:name="_Toc57643630"/>
            <w:bookmarkStart w:id="303" w:name="_Toc70505549"/>
            <w:r>
              <w:t>3.50</w:t>
            </w:r>
            <w:r w:rsidR="00A070FA" w:rsidRPr="00E05C8C">
              <w:tab/>
            </w:r>
            <w:r w:rsidR="00A070FA">
              <w:t>Lived experience – potential effects of inaccessible housing on employment</w:t>
            </w:r>
            <w:bookmarkEnd w:id="302"/>
            <w:bookmarkEnd w:id="303"/>
          </w:p>
        </w:tc>
      </w:tr>
      <w:tr w:rsidR="00A070FA" w14:paraId="0C601AB0" w14:textId="77777777" w:rsidTr="00332AF8">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63429522" w14:textId="77777777" w:rsidR="00A070FA" w:rsidRDefault="00A070FA" w:rsidP="007C147A">
            <w:pPr>
              <w:pStyle w:val="ListBullet"/>
              <w:rPr>
                <w:lang w:bidi="fa-IR"/>
              </w:rPr>
            </w:pPr>
            <w:r>
              <w:rPr>
                <w:lang w:bidi="fa-IR"/>
              </w:rPr>
              <w:t>A case study from the Summer Foundation and Melbourne Disability Institute — Jack’s story — provides evidence of housing features restricting the ability to work from home. Jack lives in a group home that has been purpose built for people with spinal injuries and is therefore fully accessible. Jack needs a high, adjustable table, multiple computer screens, a microphone for dictation and adequate space for his wheelchair to enable him to work from home. As his bedroom is too small, this is set up in a shared space. Jack worries about the impact on his flatmates and is looking at options to live on his own. However, he has not been able to find a SDA home close to his workplace.</w:t>
            </w:r>
            <w:r>
              <w:rPr>
                <w:rStyle w:val="FootnoteReference"/>
                <w:lang w:bidi="fa-IR"/>
              </w:rPr>
              <w:footnoteReference w:id="168"/>
            </w:r>
          </w:p>
        </w:tc>
      </w:tr>
      <w:tr w:rsidR="00A070FA" w14:paraId="24A5D804" w14:textId="77777777" w:rsidTr="00332AF8">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4" w:space="0" w:color="9B917E" w:themeColor="accent4"/>
            </w:tcBorders>
            <w:shd w:val="clear" w:color="auto" w:fill="E9E8E5" w:themeFill="background2"/>
          </w:tcPr>
          <w:p w14:paraId="5DEC838A" w14:textId="77777777" w:rsidR="00A070FA" w:rsidRDefault="00A070FA" w:rsidP="007C147A">
            <w:pPr>
              <w:pStyle w:val="ListBullet"/>
            </w:pPr>
            <w:r>
              <w:t>Respondents to the Melbourne Disability Institute survey identified a lack of accessible housing close to employment opportunities as an issue affecting some people with a disability. Reported comments included the following.</w:t>
            </w:r>
            <w:r>
              <w:rPr>
                <w:rStyle w:val="FootnoteReference"/>
              </w:rPr>
              <w:footnoteReference w:id="169"/>
            </w:r>
          </w:p>
          <w:p w14:paraId="557F2869" w14:textId="77777777" w:rsidR="00A070FA" w:rsidRDefault="00A070FA" w:rsidP="007C147A">
            <w:pPr>
              <w:pStyle w:val="Quote"/>
            </w:pPr>
            <w:r>
              <w:t>“I chose a house that was accessible but when work relocated the drive was quite far. Expensive by taxi but to find another accessible housing precluded a desire to move closer to work”</w:t>
            </w:r>
          </w:p>
          <w:p w14:paraId="0A3E37D6" w14:textId="77777777" w:rsidR="00A070FA" w:rsidRDefault="00A070FA" w:rsidP="007C147A">
            <w:pPr>
              <w:pStyle w:val="Quote"/>
            </w:pPr>
            <w:r>
              <w:lastRenderedPageBreak/>
              <w:t>“Due to a lack of even minimal accessible housing I have to spend all my disposable income travelling to work in a taxi because no accommodation was closer</w:t>
            </w:r>
            <w:r w:rsidR="00F1453A">
              <w:t>.</w:t>
            </w:r>
            <w:r>
              <w:t>”</w:t>
            </w:r>
          </w:p>
          <w:p w14:paraId="0FF0D19B" w14:textId="77777777" w:rsidR="00A070FA" w:rsidRPr="00BF2F67" w:rsidRDefault="00A070FA" w:rsidP="00332AF8">
            <w:pPr>
              <w:pStyle w:val="ListBullet"/>
              <w:spacing w:after="120"/>
            </w:pPr>
            <w:r>
              <w:rPr>
                <w:lang w:bidi="fa-IR"/>
              </w:rPr>
              <w:t xml:space="preserve">A case </w:t>
            </w:r>
            <w:r>
              <w:t>study</w:t>
            </w:r>
            <w:r>
              <w:rPr>
                <w:lang w:bidi="fa-IR"/>
              </w:rPr>
              <w:t xml:space="preserve"> from the Summer Foundation and Melbourne Disability Institute — Rowena’s story — provides evidence of housing features contributing to fatigue and limiting her ability to work.</w:t>
            </w:r>
            <w:r>
              <w:rPr>
                <w:rStyle w:val="FootnoteReference"/>
                <w:lang w:bidi="fa-IR"/>
              </w:rPr>
              <w:footnoteReference w:id="170"/>
            </w:r>
            <w:r>
              <w:rPr>
                <w:lang w:bidi="fa-IR"/>
              </w:rPr>
              <w:t xml:space="preserve"> Rowena suffers from chronic fatigue syndrome and various features of her home sap her energy and limit her ability to work.</w:t>
            </w:r>
          </w:p>
        </w:tc>
      </w:tr>
    </w:tbl>
    <w:p w14:paraId="095CC77B" w14:textId="77777777" w:rsidR="00E669F0" w:rsidRDefault="00E669F0" w:rsidP="00E669F0">
      <w:pPr>
        <w:pStyle w:val="BodyText"/>
        <w:rPr>
          <w:lang w:bidi="fa-IR"/>
        </w:rPr>
      </w:pPr>
      <w:r>
        <w:rPr>
          <w:lang w:bidi="fa-IR"/>
        </w:rPr>
        <w:lastRenderedPageBreak/>
        <w:t>Although submissions provided qualitative evidence that a lack of accessible housing may reduce employment opportunities and productivity for some working aged people with limited mobility, the impact of accessible housing appears to be under</w:t>
      </w:r>
      <w:r>
        <w:rPr>
          <w:lang w:bidi="fa-IR"/>
        </w:rPr>
        <w:noBreakHyphen/>
        <w:t xml:space="preserve">researched and there is little specific quantitative evidence on the potential magnitude of these impacts. As such, it is not possible to estimate the cost of potential employment and productivity impacts. </w:t>
      </w:r>
    </w:p>
    <w:p w14:paraId="475D6BBC" w14:textId="4450499D" w:rsidR="00A070FA" w:rsidRDefault="00A070FA" w:rsidP="00A070FA">
      <w:pPr>
        <w:pStyle w:val="ListBullet"/>
      </w:pPr>
      <w:r>
        <w:t xml:space="preserve">Based on examples </w:t>
      </w:r>
      <w:r w:rsidR="00E669F0">
        <w:t xml:space="preserve">provided in submissions </w:t>
      </w:r>
      <w:r>
        <w:t xml:space="preserve">and other qualitative evidence discussed in </w:t>
      </w:r>
      <w:r w:rsidR="00FD6670">
        <w:t>a</w:t>
      </w:r>
      <w:r>
        <w:t>ppendix </w:t>
      </w:r>
      <w:r>
        <w:fldChar w:fldCharType="begin"/>
      </w:r>
      <w:r>
        <w:instrText xml:space="preserve"> REF _Ref56269686 \n \h </w:instrText>
      </w:r>
      <w:r>
        <w:fldChar w:fldCharType="separate"/>
      </w:r>
      <w:r w:rsidR="000F445C">
        <w:t>J</w:t>
      </w:r>
      <w:r>
        <w:fldChar w:fldCharType="end"/>
      </w:r>
      <w:r>
        <w:t xml:space="preserve">, people with mobility limitation appeared to face significant challenges working from home due mostly to limited space. </w:t>
      </w:r>
      <w:r w:rsidR="00455206">
        <w:t>CIE was</w:t>
      </w:r>
      <w:r>
        <w:t xml:space="preserve"> not convinced that the NCC proposal would materially address this issue because employment outcomes are more likely affected by other factors such as personal heterogeneity</w:t>
      </w:r>
      <w:r w:rsidR="006D7948">
        <w:t xml:space="preserve"> (education, experience, age etc)</w:t>
      </w:r>
      <w:r>
        <w:t>.</w:t>
      </w:r>
    </w:p>
    <w:p w14:paraId="65FAF206" w14:textId="77777777" w:rsidR="00A070FA" w:rsidRDefault="00A070FA" w:rsidP="00A070FA">
      <w:pPr>
        <w:pStyle w:val="ListBullet"/>
      </w:pPr>
      <w:r>
        <w:t>Qualitative evidence from submissions also suggested a lack of accessible housing close to employment opportunities is another way inaccessible housing reduces employment. However, the available economic or quantitative evidence suggests that these impacts are likely to be relatively modest.</w:t>
      </w:r>
    </w:p>
    <w:p w14:paraId="6723AB24" w14:textId="77777777" w:rsidR="00A070FA" w:rsidRDefault="00A070FA" w:rsidP="00A070FA">
      <w:pPr>
        <w:pStyle w:val="ListBullet"/>
      </w:pPr>
      <w:r>
        <w:t>Finally, qualitative evidence provided in submissions suggests that fatigue and additional care needs as a result of inaccessible housing features is reducing productivity for some people with limited mobility.</w:t>
      </w:r>
      <w:r w:rsidR="00E669F0">
        <w:t xml:space="preserve"> It is not possible to quantify this impact.</w:t>
      </w:r>
    </w:p>
    <w:p w14:paraId="5E69718C" w14:textId="77777777" w:rsidR="00E669F0" w:rsidRDefault="00E669F0" w:rsidP="00E669F0">
      <w:pPr>
        <w:pStyle w:val="BodyText"/>
      </w:pPr>
      <w:r>
        <w:t xml:space="preserve">While </w:t>
      </w:r>
      <w:r w:rsidR="00A070FA">
        <w:t xml:space="preserve">lack of accessible housing is </w:t>
      </w:r>
      <w:r>
        <w:t xml:space="preserve">likely </w:t>
      </w:r>
      <w:r w:rsidR="00A070FA">
        <w:t>making some contribution to poorer employment among people with mobility limitation through the mobility constraint</w:t>
      </w:r>
      <w:r>
        <w:t>,</w:t>
      </w:r>
      <w:r w:rsidR="00A070FA">
        <w:t xml:space="preserve"> </w:t>
      </w:r>
      <w:r>
        <w:t>it should be noted that people looking for work (i.e. the unemployed) make up a relatively small share of those with mobility</w:t>
      </w:r>
      <w:r>
        <w:noBreakHyphen/>
        <w:t>related disability that are not employed (around 7.6 per cent). A much larger share does not participate in the labour market at all.</w:t>
      </w:r>
    </w:p>
    <w:p w14:paraId="0E35F02A" w14:textId="3B1E105F" w:rsidR="00A070FA" w:rsidRDefault="00F14D19" w:rsidP="00A070FA">
      <w:pPr>
        <w:pStyle w:val="BodyText"/>
        <w:rPr>
          <w:lang w:eastAsia="en-US" w:bidi="fa-IR"/>
        </w:rPr>
      </w:pPr>
      <w:r>
        <w:t xml:space="preserve">Although it is not possible to estimate the potential employment and productivity impacts based on quantitative evidence, as </w:t>
      </w:r>
      <w:r w:rsidR="00A070FA">
        <w:t>a qualitative assessment,</w:t>
      </w:r>
      <w:r w:rsidR="00A070FA" w:rsidRPr="00D72FB7">
        <w:t xml:space="preserve"> these employment</w:t>
      </w:r>
      <w:r w:rsidR="00A070FA" w:rsidRPr="00D72FB7">
        <w:noBreakHyphen/>
        <w:t>related impacts could be quite significant, possibly in the order of several hundred million dollars per year</w:t>
      </w:r>
      <w:r w:rsidR="00A070FA">
        <w:t xml:space="preserve"> </w:t>
      </w:r>
      <w:r w:rsidR="00A070FA" w:rsidRPr="00D72FB7">
        <w:rPr>
          <w:lang w:eastAsia="en-US" w:bidi="fa-IR"/>
        </w:rPr>
        <w:t xml:space="preserve">(see appendix </w:t>
      </w:r>
      <w:r w:rsidR="00A070FA" w:rsidRPr="00D72FB7">
        <w:rPr>
          <w:lang w:eastAsia="en-US" w:bidi="fa-IR"/>
        </w:rPr>
        <w:fldChar w:fldCharType="begin"/>
      </w:r>
      <w:r w:rsidR="00A070FA" w:rsidRPr="00D72FB7">
        <w:rPr>
          <w:lang w:eastAsia="en-US" w:bidi="fa-IR"/>
        </w:rPr>
        <w:instrText xml:space="preserve"> REF _Ref56277003 \n \h </w:instrText>
      </w:r>
      <w:r w:rsidR="00A070FA">
        <w:rPr>
          <w:lang w:eastAsia="en-US" w:bidi="fa-IR"/>
        </w:rPr>
        <w:instrText xml:space="preserve"> \* MERGEFORMAT </w:instrText>
      </w:r>
      <w:r w:rsidR="00A070FA" w:rsidRPr="00D72FB7">
        <w:rPr>
          <w:lang w:eastAsia="en-US" w:bidi="fa-IR"/>
        </w:rPr>
      </w:r>
      <w:r w:rsidR="00A070FA" w:rsidRPr="00D72FB7">
        <w:rPr>
          <w:lang w:eastAsia="en-US" w:bidi="fa-IR"/>
        </w:rPr>
        <w:fldChar w:fldCharType="separate"/>
      </w:r>
      <w:r w:rsidR="000F445C">
        <w:rPr>
          <w:lang w:eastAsia="en-US" w:bidi="fa-IR"/>
        </w:rPr>
        <w:t>J</w:t>
      </w:r>
      <w:r w:rsidR="00A070FA" w:rsidRPr="00D72FB7">
        <w:rPr>
          <w:lang w:eastAsia="en-US" w:bidi="fa-IR"/>
        </w:rPr>
        <w:fldChar w:fldCharType="end"/>
      </w:r>
      <w:r w:rsidR="00A070FA" w:rsidRPr="00D72FB7">
        <w:rPr>
          <w:lang w:eastAsia="en-US" w:bidi="fa-IR"/>
        </w:rPr>
        <w:t xml:space="preserve"> for further discussion on this issue)</w:t>
      </w:r>
      <w:r w:rsidR="00A070FA" w:rsidRPr="00D72FB7">
        <w:t>, suggesting a similar magnitude to some of the other cost categories</w:t>
      </w:r>
      <w:r w:rsidR="00A070FA" w:rsidRPr="00D72FB7">
        <w:rPr>
          <w:lang w:eastAsia="en-US" w:bidi="fa-IR"/>
        </w:rPr>
        <w:t>.</w:t>
      </w:r>
    </w:p>
    <w:p w14:paraId="464B28BD" w14:textId="77777777" w:rsidR="00E4023A" w:rsidRDefault="00E4023A" w:rsidP="00E4023A">
      <w:pPr>
        <w:pStyle w:val="Heading2"/>
        <w:numPr>
          <w:ilvl w:val="1"/>
          <w:numId w:val="5"/>
        </w:numPr>
        <w:spacing w:before="480"/>
        <w:rPr>
          <w:lang w:bidi="fa-IR"/>
        </w:rPr>
      </w:pPr>
      <w:bookmarkStart w:id="304" w:name="_Toc32321750"/>
      <w:bookmarkStart w:id="305" w:name="_Toc44598438"/>
      <w:bookmarkStart w:id="306" w:name="_Toc44696045"/>
      <w:bookmarkStart w:id="307" w:name="_Toc70505101"/>
      <w:r>
        <w:rPr>
          <w:lang w:bidi="fa-IR"/>
        </w:rPr>
        <w:lastRenderedPageBreak/>
        <w:t>Projections of future size of the problem</w:t>
      </w:r>
      <w:bookmarkEnd w:id="304"/>
      <w:bookmarkEnd w:id="305"/>
      <w:bookmarkEnd w:id="306"/>
      <w:bookmarkEnd w:id="307"/>
    </w:p>
    <w:p w14:paraId="4C66BE50" w14:textId="77777777" w:rsidR="00E4023A" w:rsidRDefault="00E4023A" w:rsidP="00E4023A">
      <w:pPr>
        <w:pStyle w:val="BodyText"/>
        <w:rPr>
          <w:lang w:bidi="fa-IR"/>
        </w:rPr>
      </w:pPr>
      <w:r>
        <w:rPr>
          <w:lang w:bidi="fa-IR"/>
        </w:rPr>
        <w:t>As noted above, the number of people with a mobility</w:t>
      </w:r>
      <w:r>
        <w:rPr>
          <w:lang w:bidi="fa-IR"/>
        </w:rPr>
        <w:noBreakHyphen/>
        <w:t>related disability is expected to increase over time due to:</w:t>
      </w:r>
    </w:p>
    <w:p w14:paraId="1C9FF33C" w14:textId="77777777" w:rsidR="00E4023A" w:rsidRDefault="00E4023A" w:rsidP="00E4023A">
      <w:pPr>
        <w:pStyle w:val="ListBullet"/>
        <w:numPr>
          <w:ilvl w:val="0"/>
          <w:numId w:val="16"/>
        </w:numPr>
        <w:rPr>
          <w:lang w:bidi="fa-IR"/>
        </w:rPr>
      </w:pPr>
      <w:r>
        <w:rPr>
          <w:lang w:bidi="fa-IR"/>
        </w:rPr>
        <w:t>population growth</w:t>
      </w:r>
    </w:p>
    <w:p w14:paraId="3F42F50D" w14:textId="77777777" w:rsidR="00E4023A" w:rsidRDefault="00E4023A" w:rsidP="00E4023A">
      <w:pPr>
        <w:pStyle w:val="ListBullet"/>
        <w:numPr>
          <w:ilvl w:val="0"/>
          <w:numId w:val="16"/>
        </w:numPr>
        <w:rPr>
          <w:lang w:bidi="fa-IR"/>
        </w:rPr>
      </w:pPr>
      <w:r>
        <w:rPr>
          <w:lang w:bidi="fa-IR"/>
        </w:rPr>
        <w:t>the ageing population.</w:t>
      </w:r>
    </w:p>
    <w:p w14:paraId="06BFCCAB" w14:textId="77777777" w:rsidR="00AD7241" w:rsidRDefault="00AD7241" w:rsidP="00E4023A">
      <w:pPr>
        <w:pStyle w:val="BodyText"/>
        <w:rPr>
          <w:lang w:bidi="fa-IR"/>
        </w:rPr>
      </w:pPr>
      <w:r>
        <w:rPr>
          <w:lang w:bidi="fa-IR"/>
        </w:rPr>
        <w:t>The</w:t>
      </w:r>
      <w:r w:rsidR="00E4023A" w:rsidRPr="005331B4">
        <w:rPr>
          <w:lang w:bidi="fa-IR"/>
        </w:rPr>
        <w:t xml:space="preserve"> size of the problem </w:t>
      </w:r>
      <w:r>
        <w:rPr>
          <w:lang w:bidi="fa-IR"/>
        </w:rPr>
        <w:t>is likely to be related</w:t>
      </w:r>
      <w:r w:rsidR="00E4023A" w:rsidRPr="005331B4">
        <w:rPr>
          <w:lang w:bidi="fa-IR"/>
        </w:rPr>
        <w:t xml:space="preserve"> to the number of people with </w:t>
      </w:r>
      <w:r>
        <w:rPr>
          <w:lang w:bidi="fa-IR"/>
        </w:rPr>
        <w:t>mobility</w:t>
      </w:r>
      <w:r>
        <w:rPr>
          <w:lang w:bidi="fa-IR"/>
        </w:rPr>
        <w:noBreakHyphen/>
        <w:t>related disability.</w:t>
      </w:r>
    </w:p>
    <w:p w14:paraId="071B608A" w14:textId="77777777" w:rsidR="00AD7241" w:rsidRDefault="00AD7241" w:rsidP="00AD7241">
      <w:pPr>
        <w:pStyle w:val="ListBullet"/>
        <w:rPr>
          <w:lang w:bidi="fa-IR"/>
        </w:rPr>
      </w:pPr>
      <w:r>
        <w:rPr>
          <w:lang w:bidi="fa-IR"/>
        </w:rPr>
        <w:t>The size of the problem in most categor</w:t>
      </w:r>
      <w:r w:rsidR="0070252A">
        <w:rPr>
          <w:lang w:bidi="fa-IR"/>
        </w:rPr>
        <w:t>ies is estimated to grow in proportion to the total number of people with mobility</w:t>
      </w:r>
      <w:r w:rsidR="0070252A">
        <w:rPr>
          <w:lang w:bidi="fa-IR"/>
        </w:rPr>
        <w:noBreakHyphen/>
        <w:t>related disability. Over the period to 2040, the average annual growth rate is estimated at around 1.9 per cent per year.</w:t>
      </w:r>
    </w:p>
    <w:p w14:paraId="40534C40" w14:textId="77777777" w:rsidR="0070252A" w:rsidRDefault="0070252A" w:rsidP="006E2F16">
      <w:pPr>
        <w:pStyle w:val="ListBullet"/>
        <w:rPr>
          <w:lang w:bidi="fa-IR"/>
        </w:rPr>
      </w:pPr>
      <w:r>
        <w:rPr>
          <w:lang w:bidi="fa-IR"/>
        </w:rPr>
        <w:t>However, some aspects of the problem are disproportionately concentrated in older members of the community. In particular, mostly older people would be affected by premature entry into aged care. As such, this aspect of the problem is estimated to grow in proportion to the number of people with limited mobility over the age of 65. Over the period to 2040, the average annual growth rate is estimated at around 2.6 per cent per year.</w:t>
      </w:r>
    </w:p>
    <w:p w14:paraId="56A0FCFA" w14:textId="4EFAE28A" w:rsidR="00E4023A" w:rsidRDefault="0070252A" w:rsidP="00E4023A">
      <w:pPr>
        <w:pStyle w:val="BodyText"/>
        <w:rPr>
          <w:lang w:bidi="fa-IR"/>
        </w:rPr>
      </w:pPr>
      <w:r>
        <w:rPr>
          <w:lang w:bidi="fa-IR"/>
        </w:rPr>
        <w:t>Under these assumptions</w:t>
      </w:r>
      <w:r w:rsidR="00E4023A" w:rsidRPr="005331B4">
        <w:rPr>
          <w:lang w:bidi="fa-IR"/>
        </w:rPr>
        <w:t xml:space="preserve">, </w:t>
      </w:r>
      <w:r w:rsidR="00455206">
        <w:rPr>
          <w:lang w:bidi="fa-IR"/>
        </w:rPr>
        <w:t>it is</w:t>
      </w:r>
      <w:r w:rsidR="00455206" w:rsidRPr="00EC155B">
        <w:rPr>
          <w:lang w:bidi="fa-IR"/>
        </w:rPr>
        <w:t xml:space="preserve"> </w:t>
      </w:r>
      <w:r w:rsidR="00E4023A" w:rsidRPr="00EC155B">
        <w:rPr>
          <w:lang w:bidi="fa-IR"/>
        </w:rPr>
        <w:t>estimate</w:t>
      </w:r>
      <w:r w:rsidR="00455206">
        <w:rPr>
          <w:lang w:bidi="fa-IR"/>
        </w:rPr>
        <w:t>d</w:t>
      </w:r>
      <w:r w:rsidR="00E4023A" w:rsidRPr="005331B4">
        <w:rPr>
          <w:lang w:bidi="fa-IR"/>
        </w:rPr>
        <w:t xml:space="preserve"> that the size of the problem could increase to between around $</w:t>
      </w:r>
      <w:r>
        <w:rPr>
          <w:lang w:bidi="fa-IR"/>
        </w:rPr>
        <w:t>4.6</w:t>
      </w:r>
      <w:r w:rsidR="00466C69" w:rsidRPr="005331B4">
        <w:rPr>
          <w:lang w:bidi="fa-IR"/>
        </w:rPr>
        <w:t> </w:t>
      </w:r>
      <w:r w:rsidR="00E4023A" w:rsidRPr="005331B4">
        <w:rPr>
          <w:lang w:bidi="fa-IR"/>
        </w:rPr>
        <w:t>billion and $</w:t>
      </w:r>
      <w:r w:rsidR="00C65C3A">
        <w:rPr>
          <w:lang w:bidi="fa-IR"/>
        </w:rPr>
        <w:t>10.2</w:t>
      </w:r>
      <w:r w:rsidR="00466C69" w:rsidRPr="005331B4">
        <w:rPr>
          <w:lang w:bidi="fa-IR"/>
        </w:rPr>
        <w:t> </w:t>
      </w:r>
      <w:r w:rsidR="00E4023A" w:rsidRPr="005331B4">
        <w:rPr>
          <w:lang w:bidi="fa-IR"/>
        </w:rPr>
        <w:t>billion</w:t>
      </w:r>
      <w:r w:rsidR="00B16E0D" w:rsidRPr="005331B4">
        <w:rPr>
          <w:lang w:bidi="fa-IR"/>
        </w:rPr>
        <w:t xml:space="preserve"> with a central estimate of </w:t>
      </w:r>
      <w:r w:rsidR="00A35239" w:rsidRPr="005331B4">
        <w:rPr>
          <w:lang w:bidi="fa-IR"/>
        </w:rPr>
        <w:t>$</w:t>
      </w:r>
      <w:r>
        <w:rPr>
          <w:lang w:bidi="fa-IR"/>
        </w:rPr>
        <w:t>6.4</w:t>
      </w:r>
      <w:r w:rsidR="00A35239" w:rsidRPr="005331B4">
        <w:rPr>
          <w:lang w:bidi="fa-IR"/>
        </w:rPr>
        <w:t> billion</w:t>
      </w:r>
      <w:r w:rsidR="00E4023A" w:rsidRPr="005331B4">
        <w:rPr>
          <w:lang w:bidi="fa-IR"/>
        </w:rPr>
        <w:t xml:space="preserve"> over the next 20 years (chart </w:t>
      </w:r>
      <w:r w:rsidR="0066514C">
        <w:rPr>
          <w:lang w:bidi="fa-IR"/>
        </w:rPr>
        <w:t>3.51</w:t>
      </w:r>
      <w:r w:rsidR="00E4023A" w:rsidRPr="005331B4">
        <w:rPr>
          <w:lang w:bidi="fa-IR"/>
        </w:rPr>
        <w:t>).</w:t>
      </w:r>
      <w:r w:rsidR="00B16E0D" w:rsidRPr="00F9054C">
        <w:rPr>
          <w:lang w:bidi="fa-IR"/>
        </w:rPr>
        <w:t xml:space="preserve"> The indicative estimates for qualitative assessment (community </w:t>
      </w:r>
      <w:r w:rsidR="001C6509">
        <w:rPr>
          <w:lang w:bidi="fa-IR"/>
        </w:rPr>
        <w:t>WTP</w:t>
      </w:r>
      <w:r w:rsidR="00B16E0D" w:rsidRPr="00F9054C">
        <w:rPr>
          <w:lang w:bidi="fa-IR"/>
        </w:rPr>
        <w:t xml:space="preserve">, </w:t>
      </w:r>
      <w:r w:rsidR="00B16E0D">
        <w:rPr>
          <w:lang w:bidi="fa-IR"/>
        </w:rPr>
        <w:t xml:space="preserve">employment and productivity impacts) are </w:t>
      </w:r>
      <w:r w:rsidR="00A305F0">
        <w:rPr>
          <w:lang w:bidi="fa-IR"/>
        </w:rPr>
        <w:t xml:space="preserve">quantified for quantum only and </w:t>
      </w:r>
      <w:r w:rsidR="00B16E0D">
        <w:rPr>
          <w:lang w:bidi="fa-IR"/>
        </w:rPr>
        <w:t xml:space="preserve">not included in the </w:t>
      </w:r>
      <w:r w:rsidR="00A35239">
        <w:rPr>
          <w:lang w:bidi="fa-IR"/>
        </w:rPr>
        <w:t>projection.</w:t>
      </w:r>
    </w:p>
    <w:p w14:paraId="7915F8D4" w14:textId="762575A8" w:rsidR="00E4023A" w:rsidRDefault="0022260E" w:rsidP="00E4023A">
      <w:pPr>
        <w:pStyle w:val="Caption"/>
      </w:pPr>
      <w:bookmarkStart w:id="308" w:name="_Toc32321816"/>
      <w:bookmarkStart w:id="309" w:name="_Toc44598512"/>
      <w:bookmarkStart w:id="310" w:name="_Toc44695884"/>
      <w:bookmarkStart w:id="311" w:name="_Toc57643634"/>
      <w:bookmarkStart w:id="312" w:name="_Toc70505550"/>
      <w:r>
        <w:t>3.51</w:t>
      </w:r>
      <w:r w:rsidR="00E4023A" w:rsidRPr="005331B4">
        <w:tab/>
        <w:t>Size of the problem — projections</w:t>
      </w:r>
      <w:bookmarkEnd w:id="308"/>
      <w:bookmarkEnd w:id="309"/>
      <w:bookmarkEnd w:id="310"/>
      <w:bookmarkEnd w:id="311"/>
      <w:bookmarkEnd w:id="312"/>
    </w:p>
    <w:p w14:paraId="5AF7E070" w14:textId="77777777" w:rsidR="003571CA" w:rsidRPr="003571CA" w:rsidRDefault="00F11AF4" w:rsidP="00F11AF4">
      <w:pPr>
        <w:pStyle w:val="Source"/>
      </w:pPr>
      <w:r w:rsidRPr="00483957">
        <w:rPr>
          <w:noProof/>
          <w:lang w:eastAsia="en-AU"/>
        </w:rPr>
        <w:drawing>
          <wp:inline distT="0" distB="0" distL="0" distR="0" wp14:anchorId="06A8F7A8" wp14:editId="1B31A10E">
            <wp:extent cx="4895850" cy="2545080"/>
            <wp:effectExtent l="76200" t="76200" r="76200" b="83820"/>
            <wp:docPr id="251" name="Picture 251" descr="This graph shows the growth projections of the size of the problem of inaccessible housing between 2018 and 2040, in dollar terms. By 2040, it is projected that the size of the problem could range from 4.6 billion dollars to 10.2 billion dollars, with a central estimate of 6.4 billion dollars." title="Chart 3.51: Size of the problem —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860"/>
                    <a:stretch/>
                  </pic:blipFill>
                  <pic:spPr bwMode="auto">
                    <a:xfrm>
                      <a:off x="0" y="0"/>
                      <a:ext cx="4895850" cy="2545080"/>
                    </a:xfrm>
                    <a:prstGeom prst="rect">
                      <a:avLst/>
                    </a:prstGeom>
                    <a:noFill/>
                    <a:ln w="76200" cap="flat" cmpd="sng" algn="ctr">
                      <a:solidFill>
                        <a:srgbClr val="E9E8E5"/>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4023A">
        <w:rPr>
          <w:i/>
        </w:rPr>
        <w:t>Data source</w:t>
      </w:r>
      <w:r w:rsidR="00E4023A" w:rsidRPr="00A67576">
        <w:rPr>
          <w:i/>
        </w:rPr>
        <w:t>:</w:t>
      </w:r>
      <w:r w:rsidR="00E4023A">
        <w:t xml:space="preserve"> CIE; ABS.</w:t>
      </w:r>
    </w:p>
    <w:p w14:paraId="726A199A" w14:textId="77777777" w:rsidR="00E4023A" w:rsidRDefault="00E4023A" w:rsidP="00E4023A">
      <w:pPr>
        <w:pStyle w:val="Heading2"/>
        <w:numPr>
          <w:ilvl w:val="1"/>
          <w:numId w:val="5"/>
        </w:numPr>
        <w:rPr>
          <w:lang w:bidi="fa-IR"/>
        </w:rPr>
      </w:pPr>
      <w:bookmarkStart w:id="313" w:name="_Toc32321751"/>
      <w:bookmarkStart w:id="314" w:name="_Toc44598439"/>
      <w:bookmarkStart w:id="315" w:name="_Toc44696046"/>
      <w:bookmarkStart w:id="316" w:name="_Toc70505102"/>
      <w:r>
        <w:rPr>
          <w:lang w:bidi="fa-IR"/>
        </w:rPr>
        <w:lastRenderedPageBreak/>
        <w:t>Underlying causes</w:t>
      </w:r>
      <w:bookmarkEnd w:id="313"/>
      <w:bookmarkEnd w:id="314"/>
      <w:bookmarkEnd w:id="315"/>
      <w:bookmarkEnd w:id="316"/>
    </w:p>
    <w:p w14:paraId="6B651EE1" w14:textId="77777777" w:rsidR="00E4023A" w:rsidRDefault="00E4023A" w:rsidP="00E4023A">
      <w:pPr>
        <w:pStyle w:val="BodyText"/>
        <w:rPr>
          <w:lang w:bidi="fa-IR"/>
        </w:rPr>
      </w:pPr>
      <w:r w:rsidRPr="00D130F6">
        <w:rPr>
          <w:lang w:bidi="fa-IR"/>
        </w:rPr>
        <w:t>When operating efficiently, markets generally respond to the needs of consumers. To the extent that there is currently a shortage of accessible private housing, this implies that the market response may be falling short of the need.</w:t>
      </w:r>
      <w:r>
        <w:rPr>
          <w:lang w:bidi="fa-IR"/>
        </w:rPr>
        <w:t xml:space="preserve"> For the RIS, it is important to understand the underlying cause of the problem (i.e. why is the market not providing sufficient levels or types of housing with accessibility features?).</w:t>
      </w:r>
    </w:p>
    <w:p w14:paraId="215E9A59" w14:textId="77777777" w:rsidR="00E4023A" w:rsidRDefault="00E4023A" w:rsidP="00E4023A">
      <w:pPr>
        <w:pStyle w:val="Heading3"/>
        <w:numPr>
          <w:ilvl w:val="2"/>
          <w:numId w:val="5"/>
        </w:numPr>
        <w:rPr>
          <w:lang w:bidi="fa-IR"/>
        </w:rPr>
      </w:pPr>
      <w:r>
        <w:rPr>
          <w:lang w:bidi="fa-IR"/>
        </w:rPr>
        <w:t>Market imperfections</w:t>
      </w:r>
    </w:p>
    <w:p w14:paraId="4553FE81" w14:textId="77777777" w:rsidR="00E4023A" w:rsidRDefault="00E4023A" w:rsidP="00E4023A">
      <w:pPr>
        <w:pStyle w:val="BodyText"/>
        <w:rPr>
          <w:lang w:bidi="fa-IR"/>
        </w:rPr>
      </w:pPr>
      <w:r>
        <w:rPr>
          <w:lang w:bidi="fa-IR"/>
        </w:rPr>
        <w:t>Some factors that potentially contribute to a shortage of accessible housing include the following.</w:t>
      </w:r>
    </w:p>
    <w:p w14:paraId="42578137" w14:textId="77777777" w:rsidR="00E4023A" w:rsidRDefault="00E4023A" w:rsidP="00E4023A">
      <w:pPr>
        <w:pStyle w:val="Heading4"/>
        <w:rPr>
          <w:lang w:bidi="fa-IR"/>
        </w:rPr>
      </w:pPr>
      <w:r>
        <w:rPr>
          <w:lang w:bidi="fa-IR"/>
        </w:rPr>
        <w:t>Separate houses</w:t>
      </w:r>
    </w:p>
    <w:p w14:paraId="3204F977" w14:textId="77777777" w:rsidR="00E4023A" w:rsidRDefault="00E4023A" w:rsidP="00E4023A">
      <w:pPr>
        <w:pStyle w:val="BodyText"/>
        <w:rPr>
          <w:lang w:bidi="fa-IR"/>
        </w:rPr>
      </w:pPr>
      <w:r>
        <w:rPr>
          <w:lang w:bidi="fa-IR"/>
        </w:rPr>
        <w:t>In principle, the design of new separate houses should reflect the owner’s choice given their current needs/preferences, budget and associated costs. However, various barriers to universal design have been identified in the literature, which potentially lead to an under</w:t>
      </w:r>
      <w:r>
        <w:rPr>
          <w:lang w:bidi="fa-IR"/>
        </w:rPr>
        <w:noBreakHyphen/>
        <w:t>supply of accessible housing.</w:t>
      </w:r>
    </w:p>
    <w:p w14:paraId="03E325F2" w14:textId="77777777" w:rsidR="00E4023A" w:rsidRDefault="00E4023A" w:rsidP="00E4023A">
      <w:pPr>
        <w:pStyle w:val="ListBullet"/>
        <w:numPr>
          <w:ilvl w:val="0"/>
          <w:numId w:val="16"/>
        </w:numPr>
        <w:rPr>
          <w:lang w:bidi="fa-IR"/>
        </w:rPr>
      </w:pPr>
      <w:r>
        <w:rPr>
          <w:lang w:bidi="fa-IR"/>
        </w:rPr>
        <w:t>The market could potentially under</w:t>
      </w:r>
      <w:r>
        <w:rPr>
          <w:lang w:bidi="fa-IR"/>
        </w:rPr>
        <w:noBreakHyphen/>
        <w:t>supply accessible housing where owners/buyers are not able to foresee (or do not give sufficient thought to) their future accessibility needs, or possibly the accessibility needs of future residents if accessibility features are not reflected in market prices (this is referred to as a ‘bounded rationality’ problem). Some stakeholders suggested that buying a home can be an ‘aspirational’ decision and nobody aspires to acquiring disability. This is consistent with the lack of education on universal design identified by Bringolf (2011).</w:t>
      </w:r>
    </w:p>
    <w:p w14:paraId="3C3374FA" w14:textId="77777777" w:rsidR="00E4023A" w:rsidRDefault="00E4023A" w:rsidP="00E4023A">
      <w:pPr>
        <w:pStyle w:val="ListBullet"/>
        <w:numPr>
          <w:ilvl w:val="0"/>
          <w:numId w:val="16"/>
        </w:numPr>
        <w:rPr>
          <w:lang w:bidi="fa-IR"/>
        </w:rPr>
      </w:pPr>
      <w:r>
        <w:rPr>
          <w:lang w:bidi="fa-IR"/>
        </w:rPr>
        <w:t xml:space="preserve">Bringolf (2011) also identified the housing delivery chain as a barrier to universal design. Many houses (particularly in greenfield areas) are built by ‘volume builders’. Under this business model consumers choose from a set of standard designs. Incorporating additional accessibility features into a dwelling would involve deviating from the standard design. Bringolf (2011) provides evidence that it can be difficult to get volume builders to deviate from a standard design. </w:t>
      </w:r>
      <w:r w:rsidR="00F14D19">
        <w:rPr>
          <w:lang w:bidi="fa-IR"/>
        </w:rPr>
        <w:t>During consultation</w:t>
      </w:r>
      <w:r w:rsidR="006626C4">
        <w:rPr>
          <w:lang w:bidi="fa-IR"/>
        </w:rPr>
        <w:t>,</w:t>
      </w:r>
      <w:r w:rsidR="00F14D19">
        <w:rPr>
          <w:lang w:bidi="fa-IR"/>
        </w:rPr>
        <w:t xml:space="preserve"> </w:t>
      </w:r>
      <w:r>
        <w:rPr>
          <w:lang w:bidi="fa-IR"/>
        </w:rPr>
        <w:t xml:space="preserve">industry stakeholders </w:t>
      </w:r>
      <w:r w:rsidR="00F14D19">
        <w:rPr>
          <w:lang w:bidi="fa-IR"/>
        </w:rPr>
        <w:t>advise</w:t>
      </w:r>
      <w:r>
        <w:rPr>
          <w:lang w:bidi="fa-IR"/>
        </w:rPr>
        <w:t>d that some volume builders have included some accessible designs in the standard offerings, although uptake had been limited.</w:t>
      </w:r>
    </w:p>
    <w:p w14:paraId="1D1B8047" w14:textId="77777777" w:rsidR="00E4023A" w:rsidRDefault="00E4023A" w:rsidP="00E4023A">
      <w:pPr>
        <w:pStyle w:val="ListBullet"/>
        <w:numPr>
          <w:ilvl w:val="0"/>
          <w:numId w:val="16"/>
        </w:numPr>
        <w:rPr>
          <w:lang w:bidi="fa-IR"/>
        </w:rPr>
      </w:pPr>
      <w:r>
        <w:rPr>
          <w:lang w:bidi="fa-IR"/>
        </w:rPr>
        <w:t>Bringolf (2011) also identifies the rigid application of planning regulations by local government as a barrier to the uptake of universal design.</w:t>
      </w:r>
      <w:r>
        <w:rPr>
          <w:rStyle w:val="FootnoteReference"/>
          <w:lang w:bidi="fa-IR"/>
        </w:rPr>
        <w:footnoteReference w:id="171"/>
      </w:r>
      <w:r>
        <w:rPr>
          <w:lang w:bidi="fa-IR"/>
        </w:rPr>
        <w:t xml:space="preserve"> This can create an environment where builders are reluctant to deviate from designs that have received approval in the past. In this </w:t>
      </w:r>
      <w:r w:rsidR="00F14D19">
        <w:rPr>
          <w:lang w:bidi="fa-IR"/>
        </w:rPr>
        <w:t>respect</w:t>
      </w:r>
      <w:r>
        <w:rPr>
          <w:lang w:bidi="fa-IR"/>
        </w:rPr>
        <w:t xml:space="preserve"> SGS </w:t>
      </w:r>
      <w:r w:rsidR="00945936">
        <w:rPr>
          <w:lang w:bidi="fa-IR"/>
        </w:rPr>
        <w:t>(</w:t>
      </w:r>
      <w:r>
        <w:rPr>
          <w:lang w:bidi="fa-IR"/>
        </w:rPr>
        <w:t>2019</w:t>
      </w:r>
      <w:r w:rsidR="00945936">
        <w:rPr>
          <w:lang w:bidi="fa-IR"/>
        </w:rPr>
        <w:t>)</w:t>
      </w:r>
      <w:r>
        <w:rPr>
          <w:lang w:bidi="fa-IR"/>
        </w:rPr>
        <w:t xml:space="preserve"> provide some specific examples of individual local councils trying to promote accessible housing via planning regulation.</w:t>
      </w:r>
      <w:r>
        <w:rPr>
          <w:rStyle w:val="FootnoteReference"/>
          <w:lang w:bidi="fa-IR"/>
        </w:rPr>
        <w:footnoteReference w:id="172"/>
      </w:r>
    </w:p>
    <w:p w14:paraId="4314D505" w14:textId="77777777" w:rsidR="00E4023A" w:rsidRDefault="00F14D19" w:rsidP="00E4023A">
      <w:pPr>
        <w:pStyle w:val="BodyText"/>
        <w:rPr>
          <w:lang w:bidi="fa-IR"/>
        </w:rPr>
      </w:pPr>
      <w:r>
        <w:rPr>
          <w:lang w:bidi="fa-IR"/>
        </w:rPr>
        <w:lastRenderedPageBreak/>
        <w:t>During consultation s</w:t>
      </w:r>
      <w:r w:rsidR="00E4023A">
        <w:rPr>
          <w:lang w:bidi="fa-IR"/>
        </w:rPr>
        <w:t xml:space="preserve">ome industry stakeholders noted a growing awareness of accessibility issues </w:t>
      </w:r>
      <w:r>
        <w:rPr>
          <w:lang w:bidi="fa-IR"/>
        </w:rPr>
        <w:t>by</w:t>
      </w:r>
      <w:r w:rsidR="00E4023A">
        <w:rPr>
          <w:lang w:bidi="fa-IR"/>
        </w:rPr>
        <w:t xml:space="preserve"> some consumers, particularly from the age of around 50 onwards. Unpublished analysis of a COTA NSW survey for the </w:t>
      </w:r>
      <w:r w:rsidR="00E4023A" w:rsidRPr="00CB42FB">
        <w:rPr>
          <w:i/>
          <w:iCs/>
          <w:lang w:bidi="fa-IR"/>
        </w:rPr>
        <w:t>50+ Report</w:t>
      </w:r>
      <w:r w:rsidR="00E4023A">
        <w:rPr>
          <w:lang w:bidi="fa-IR"/>
        </w:rPr>
        <w:t xml:space="preserve"> found that the extent to which accessibility features influenced the choice of current home varied.</w:t>
      </w:r>
    </w:p>
    <w:p w14:paraId="113D079F" w14:textId="77777777" w:rsidR="00E4023A" w:rsidRDefault="00E4023A" w:rsidP="00E4023A">
      <w:pPr>
        <w:pStyle w:val="ListBullet"/>
        <w:numPr>
          <w:ilvl w:val="0"/>
          <w:numId w:val="16"/>
        </w:numPr>
        <w:rPr>
          <w:lang w:bidi="fa-IR"/>
        </w:rPr>
      </w:pPr>
      <w:r>
        <w:rPr>
          <w:lang w:bidi="fa-IR"/>
        </w:rPr>
        <w:t>More than 80 per cent of respondents indicated that easy access kitchen and storage and easy access bathroom and shower was either important or very important.</w:t>
      </w:r>
    </w:p>
    <w:p w14:paraId="6D5A1A54" w14:textId="77777777" w:rsidR="00E4023A" w:rsidRDefault="00E4023A" w:rsidP="00E4023A">
      <w:pPr>
        <w:pStyle w:val="ListBullet"/>
        <w:numPr>
          <w:ilvl w:val="0"/>
          <w:numId w:val="16"/>
        </w:numPr>
        <w:rPr>
          <w:lang w:bidi="fa-IR"/>
        </w:rPr>
      </w:pPr>
      <w:r>
        <w:rPr>
          <w:lang w:bidi="fa-IR"/>
        </w:rPr>
        <w:t>Around 60</w:t>
      </w:r>
      <w:r w:rsidR="009B6423">
        <w:rPr>
          <w:lang w:bidi="fa-IR"/>
        </w:rPr>
        <w:t xml:space="preserve"> to </w:t>
      </w:r>
      <w:r>
        <w:rPr>
          <w:lang w:bidi="fa-IR"/>
        </w:rPr>
        <w:t>70 per cent of respondents indicated that the following features were either important or very important:</w:t>
      </w:r>
    </w:p>
    <w:p w14:paraId="34B0F1DE" w14:textId="77777777" w:rsidR="00E4023A" w:rsidRDefault="00E4023A" w:rsidP="00E4023A">
      <w:pPr>
        <w:pStyle w:val="ListBullet2"/>
        <w:numPr>
          <w:ilvl w:val="1"/>
          <w:numId w:val="16"/>
        </w:numPr>
        <w:ind w:left="568" w:hanging="284"/>
        <w:rPr>
          <w:lang w:bidi="fa-IR"/>
        </w:rPr>
      </w:pPr>
      <w:r>
        <w:rPr>
          <w:lang w:bidi="fa-IR"/>
        </w:rPr>
        <w:t>Minimal steps into home</w:t>
      </w:r>
    </w:p>
    <w:p w14:paraId="033B941D" w14:textId="77777777" w:rsidR="00E4023A" w:rsidRDefault="00E4023A" w:rsidP="00E4023A">
      <w:pPr>
        <w:pStyle w:val="ListBullet2"/>
        <w:numPr>
          <w:ilvl w:val="1"/>
          <w:numId w:val="16"/>
        </w:numPr>
        <w:ind w:left="568" w:hanging="284"/>
        <w:rPr>
          <w:lang w:bidi="fa-IR"/>
        </w:rPr>
      </w:pPr>
      <w:r>
        <w:rPr>
          <w:lang w:bidi="fa-IR"/>
        </w:rPr>
        <w:t>Easy access from garage</w:t>
      </w:r>
    </w:p>
    <w:p w14:paraId="1FADD46F" w14:textId="77777777" w:rsidR="00E4023A" w:rsidRDefault="00E4023A" w:rsidP="00E4023A">
      <w:pPr>
        <w:pStyle w:val="ListBullet2"/>
        <w:numPr>
          <w:ilvl w:val="1"/>
          <w:numId w:val="16"/>
        </w:numPr>
        <w:ind w:left="568" w:hanging="284"/>
        <w:rPr>
          <w:lang w:bidi="fa-IR"/>
        </w:rPr>
      </w:pPr>
      <w:r>
        <w:rPr>
          <w:lang w:bidi="fa-IR"/>
        </w:rPr>
        <w:t>Single storey.</w:t>
      </w:r>
    </w:p>
    <w:p w14:paraId="6ABB6D22" w14:textId="77777777" w:rsidR="00E4023A" w:rsidRDefault="00820EDC" w:rsidP="00E4023A">
      <w:pPr>
        <w:pStyle w:val="ListBullet"/>
        <w:numPr>
          <w:ilvl w:val="0"/>
          <w:numId w:val="16"/>
        </w:numPr>
        <w:rPr>
          <w:lang w:bidi="fa-IR"/>
        </w:rPr>
      </w:pPr>
      <w:r>
        <w:rPr>
          <w:lang w:bidi="fa-IR"/>
        </w:rPr>
        <w:t>A</w:t>
      </w:r>
      <w:r w:rsidR="00E4023A">
        <w:rPr>
          <w:lang w:bidi="fa-IR"/>
        </w:rPr>
        <w:t>round 50 per cent of respondents indicated that wide hallways and doorways w</w:t>
      </w:r>
      <w:r w:rsidR="00677D54">
        <w:rPr>
          <w:lang w:bidi="fa-IR"/>
        </w:rPr>
        <w:t>ere</w:t>
      </w:r>
      <w:r w:rsidR="00E4023A">
        <w:rPr>
          <w:lang w:bidi="fa-IR"/>
        </w:rPr>
        <w:t xml:space="preserve"> either </w:t>
      </w:r>
      <w:r w:rsidR="00F14D19">
        <w:rPr>
          <w:lang w:bidi="fa-IR"/>
        </w:rPr>
        <w:t xml:space="preserve">an </w:t>
      </w:r>
      <w:r w:rsidR="00E4023A">
        <w:rPr>
          <w:lang w:bidi="fa-IR"/>
        </w:rPr>
        <w:t>important or very important feature.</w:t>
      </w:r>
      <w:r w:rsidR="00E4023A">
        <w:rPr>
          <w:rStyle w:val="FootnoteReference"/>
          <w:lang w:bidi="fa-IR"/>
        </w:rPr>
        <w:footnoteReference w:id="173"/>
      </w:r>
    </w:p>
    <w:p w14:paraId="335694C8" w14:textId="77777777" w:rsidR="00E4023A" w:rsidRDefault="00E4023A" w:rsidP="00E4023A">
      <w:pPr>
        <w:pStyle w:val="Heading4"/>
        <w:rPr>
          <w:lang w:bidi="fa-IR"/>
        </w:rPr>
      </w:pPr>
      <w:r>
        <w:rPr>
          <w:lang w:bidi="fa-IR"/>
        </w:rPr>
        <w:t>Apartments</w:t>
      </w:r>
    </w:p>
    <w:p w14:paraId="1B9697EC" w14:textId="77777777" w:rsidR="00E4023A" w:rsidRDefault="00E4023A" w:rsidP="00E4023A">
      <w:pPr>
        <w:pStyle w:val="BodyText"/>
        <w:rPr>
          <w:lang w:bidi="fa-IR"/>
        </w:rPr>
      </w:pPr>
      <w:r>
        <w:rPr>
          <w:lang w:bidi="fa-IR"/>
        </w:rPr>
        <w:t xml:space="preserve">Many apartments are sold ‘off the plan’ and therefore developers aim to appeal to the </w:t>
      </w:r>
      <w:r w:rsidR="002753E2">
        <w:rPr>
          <w:lang w:bidi="fa-IR"/>
        </w:rPr>
        <w:t xml:space="preserve">buyers’ current </w:t>
      </w:r>
      <w:r>
        <w:rPr>
          <w:lang w:eastAsia="en-US"/>
        </w:rPr>
        <w:t xml:space="preserve">average </w:t>
      </w:r>
      <w:r>
        <w:rPr>
          <w:lang w:bidi="fa-IR"/>
        </w:rPr>
        <w:t xml:space="preserve">demand, rather than the specific needs of an individual buyer. </w:t>
      </w:r>
      <w:r w:rsidR="00F14D19">
        <w:rPr>
          <w:lang w:bidi="fa-IR"/>
        </w:rPr>
        <w:t>Consultation feedback suggested</w:t>
      </w:r>
      <w:r>
        <w:rPr>
          <w:lang w:bidi="fa-IR"/>
        </w:rPr>
        <w:t xml:space="preserve"> that this business model was a barrier to the apartment market being more responsive to the growing demand for accessible housing.</w:t>
      </w:r>
    </w:p>
    <w:p w14:paraId="7B4EF559" w14:textId="77777777" w:rsidR="00E4023A" w:rsidRDefault="00E4023A" w:rsidP="00E4023A">
      <w:pPr>
        <w:pStyle w:val="Heading4"/>
        <w:rPr>
          <w:lang w:bidi="fa-IR"/>
        </w:rPr>
      </w:pPr>
      <w:r>
        <w:rPr>
          <w:lang w:bidi="fa-IR"/>
        </w:rPr>
        <w:t>Renters</w:t>
      </w:r>
    </w:p>
    <w:p w14:paraId="1F275583" w14:textId="77777777" w:rsidR="00E4023A" w:rsidRDefault="00E4023A" w:rsidP="00E4023A">
      <w:pPr>
        <w:pStyle w:val="BodyText"/>
      </w:pPr>
      <w:r>
        <w:t>Although meeting accessibility needs through home modifications is often a reasonable option for owner</w:t>
      </w:r>
      <w:r>
        <w:noBreakHyphen/>
        <w:t>occupiers, it is not always an achievable option for renters. Owner</w:t>
      </w:r>
      <w:r>
        <w:noBreakHyphen/>
        <w:t>occupiers have full control over the decision to make necessary home modifications (subject to funding), while renters must obtain agreement from the landlord.</w:t>
      </w:r>
      <w:r w:rsidRPr="00503830">
        <w:rPr>
          <w:rStyle w:val="FootnoteReference"/>
        </w:rPr>
        <w:footnoteReference w:id="174"/>
      </w:r>
    </w:p>
    <w:p w14:paraId="430857EF" w14:textId="77777777" w:rsidR="00E4023A" w:rsidRPr="00812D2A" w:rsidRDefault="00E4023A" w:rsidP="00E4023A">
      <w:pPr>
        <w:pStyle w:val="BodyText"/>
        <w:rPr>
          <w:lang w:bidi="fa-IR"/>
        </w:rPr>
      </w:pPr>
      <w:r w:rsidRPr="00812D2A">
        <w:rPr>
          <w:lang w:bidi="fa-IR"/>
        </w:rPr>
        <w:t>The ABCB Consultation Report notes the following issues in relation to private renters.</w:t>
      </w:r>
      <w:r w:rsidRPr="00812D2A">
        <w:rPr>
          <w:rStyle w:val="FootnoteReference"/>
          <w:lang w:bidi="fa-IR"/>
        </w:rPr>
        <w:footnoteReference w:id="175"/>
      </w:r>
    </w:p>
    <w:p w14:paraId="32224165" w14:textId="77777777" w:rsidR="00E4023A" w:rsidRPr="00812D2A" w:rsidRDefault="00E4023A" w:rsidP="00E4023A">
      <w:pPr>
        <w:pStyle w:val="ListBullet"/>
        <w:numPr>
          <w:ilvl w:val="0"/>
          <w:numId w:val="16"/>
        </w:numPr>
        <w:rPr>
          <w:lang w:bidi="fa-IR"/>
        </w:rPr>
      </w:pPr>
      <w:r w:rsidRPr="00812D2A">
        <w:rPr>
          <w:lang w:bidi="fa-IR"/>
        </w:rPr>
        <w:t xml:space="preserve">Landlords are reluctant to </w:t>
      </w:r>
      <w:r w:rsidR="005751C1">
        <w:rPr>
          <w:lang w:bidi="fa-IR"/>
        </w:rPr>
        <w:t xml:space="preserve">allow </w:t>
      </w:r>
      <w:r w:rsidRPr="00812D2A">
        <w:rPr>
          <w:lang w:bidi="fa-IR"/>
        </w:rPr>
        <w:t>propert</w:t>
      </w:r>
      <w:r w:rsidR="005751C1">
        <w:rPr>
          <w:lang w:bidi="fa-IR"/>
        </w:rPr>
        <w:t>y</w:t>
      </w:r>
      <w:r w:rsidRPr="00812D2A">
        <w:rPr>
          <w:lang w:bidi="fa-IR"/>
        </w:rPr>
        <w:t xml:space="preserve"> modifi</w:t>
      </w:r>
      <w:r w:rsidR="005751C1">
        <w:rPr>
          <w:lang w:bidi="fa-IR"/>
        </w:rPr>
        <w:t>cation</w:t>
      </w:r>
      <w:r w:rsidRPr="00812D2A">
        <w:rPr>
          <w:lang w:bidi="fa-IR"/>
        </w:rPr>
        <w:t xml:space="preserve"> even though by law they are required to allow for reasonable modifications. This is reflected in the SDAC data showing that a very small proportion of private rentals are modified to meet the needs of tenants with mobility</w:t>
      </w:r>
      <w:r>
        <w:rPr>
          <w:lang w:bidi="fa-IR"/>
        </w:rPr>
        <w:noBreakHyphen/>
        <w:t>related disabilit</w:t>
      </w:r>
      <w:r w:rsidR="001C04A8">
        <w:rPr>
          <w:lang w:bidi="fa-IR"/>
        </w:rPr>
        <w:t>y</w:t>
      </w:r>
      <w:r w:rsidRPr="00812D2A">
        <w:rPr>
          <w:lang w:bidi="fa-IR"/>
        </w:rPr>
        <w:t>.</w:t>
      </w:r>
    </w:p>
    <w:p w14:paraId="673383CD" w14:textId="77777777" w:rsidR="00E4023A" w:rsidRDefault="00E4023A" w:rsidP="00E4023A">
      <w:pPr>
        <w:pStyle w:val="ListBullet"/>
        <w:numPr>
          <w:ilvl w:val="0"/>
          <w:numId w:val="16"/>
        </w:numPr>
        <w:rPr>
          <w:lang w:bidi="fa-IR"/>
        </w:rPr>
      </w:pPr>
      <w:r w:rsidRPr="00812D2A">
        <w:rPr>
          <w:lang w:bidi="fa-IR"/>
        </w:rPr>
        <w:t xml:space="preserve">Tenants are often required to pay for the relevant modifications and then pay again to have them removed when vacating the property. As rental tenancies are often relatively short, the future benefits associated </w:t>
      </w:r>
      <w:r w:rsidR="001C04A8">
        <w:rPr>
          <w:lang w:bidi="fa-IR"/>
        </w:rPr>
        <w:t xml:space="preserve">with </w:t>
      </w:r>
      <w:r w:rsidRPr="00812D2A">
        <w:rPr>
          <w:lang w:bidi="fa-IR"/>
        </w:rPr>
        <w:t xml:space="preserve">these modifications (that may be </w:t>
      </w:r>
      <w:r w:rsidRPr="00812D2A">
        <w:rPr>
          <w:lang w:bidi="fa-IR"/>
        </w:rPr>
        <w:lastRenderedPageBreak/>
        <w:t>specific to a particular tenant) may also be short (and uncertain), which acts as a significant disincentive</w:t>
      </w:r>
      <w:r>
        <w:rPr>
          <w:lang w:bidi="fa-IR"/>
        </w:rPr>
        <w:t xml:space="preserve"> for both landlords and tenants</w:t>
      </w:r>
      <w:r w:rsidRPr="00812D2A">
        <w:rPr>
          <w:lang w:bidi="fa-IR"/>
        </w:rPr>
        <w:t>.</w:t>
      </w:r>
    </w:p>
    <w:p w14:paraId="3E542D95" w14:textId="79709915" w:rsidR="0067175B" w:rsidRDefault="00E4023A" w:rsidP="00E4023A">
      <w:pPr>
        <w:pStyle w:val="BodyText"/>
        <w:rPr>
          <w:lang w:eastAsia="en-US" w:bidi="fa-IR"/>
        </w:rPr>
      </w:pPr>
      <w:r>
        <w:rPr>
          <w:lang w:bidi="fa-IR"/>
        </w:rPr>
        <w:t>This is reflected in the proportion of people with mobility</w:t>
      </w:r>
      <w:r>
        <w:rPr>
          <w:lang w:bidi="fa-IR"/>
        </w:rPr>
        <w:noBreakHyphen/>
        <w:t xml:space="preserve">related disability living in modified dwellings. </w:t>
      </w:r>
      <w:r>
        <w:rPr>
          <w:lang w:eastAsia="en-US" w:bidi="fa-IR"/>
        </w:rPr>
        <w:t>SDAC data shows that the proportion of owners with home modifications is around double the proportion for all renters (chart </w:t>
      </w:r>
      <w:r w:rsidR="0066514C">
        <w:rPr>
          <w:lang w:eastAsia="en-US" w:bidi="fa-IR"/>
        </w:rPr>
        <w:t>3.52</w:t>
      </w:r>
      <w:r>
        <w:rPr>
          <w:lang w:eastAsia="en-US" w:bidi="fa-IR"/>
        </w:rPr>
        <w:t xml:space="preserve">). </w:t>
      </w:r>
    </w:p>
    <w:p w14:paraId="3E658C5D" w14:textId="1067665B" w:rsidR="00E4023A" w:rsidRDefault="0022260E" w:rsidP="00E4023A">
      <w:pPr>
        <w:pStyle w:val="Caption"/>
      </w:pPr>
      <w:bookmarkStart w:id="317" w:name="_Toc32321817"/>
      <w:bookmarkStart w:id="318" w:name="_Toc44598514"/>
      <w:bookmarkStart w:id="319" w:name="_Toc44695886"/>
      <w:bookmarkStart w:id="320" w:name="_Toc57643635"/>
      <w:bookmarkStart w:id="321" w:name="_Toc70505551"/>
      <w:r>
        <w:t>3.52</w:t>
      </w:r>
      <w:r w:rsidR="00E4023A" w:rsidRPr="00695C93">
        <w:tab/>
      </w:r>
      <w:r w:rsidR="00E4023A">
        <w:t>Proportion of people with a mobility impairment with home modifications</w:t>
      </w:r>
      <w:bookmarkEnd w:id="317"/>
      <w:bookmarkEnd w:id="318"/>
      <w:bookmarkEnd w:id="319"/>
      <w:bookmarkEnd w:id="320"/>
      <w:bookmarkEnd w:id="321"/>
    </w:p>
    <w:p w14:paraId="58C6A074" w14:textId="77777777" w:rsidR="00E4023A" w:rsidRDefault="00E4023A" w:rsidP="00E4023A">
      <w:pPr>
        <w:pStyle w:val="Subtitlebox"/>
      </w:pPr>
      <w:r w:rsidRPr="00FF1C11">
        <w:rPr>
          <w:noProof/>
        </w:rPr>
        <w:drawing>
          <wp:inline distT="0" distB="0" distL="0" distR="0" wp14:anchorId="59FC5254" wp14:editId="3FEF3BDB">
            <wp:extent cx="5040000" cy="2476800"/>
            <wp:effectExtent l="57150" t="57150" r="65405" b="57150"/>
            <wp:docPr id="7" name="Picture 7" descr="This bar graph shows that the proportion of people with a mobility-related disability living in a home that has been modified is highest for home owners - about double the proportion for renters. There is a big difference between the type of landlord for tenants. The proportion of tenants of state/territory housing authorities is very similar to owner-occupiers, while the  proportion of tenants renting from a real estate agent is much lower, averaging around 5%." title="Chart 3.52: Proportion of people with a mobility impairment with hom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0" cy="2476800"/>
                    </a:xfrm>
                    <a:prstGeom prst="rect">
                      <a:avLst/>
                    </a:prstGeom>
                    <a:noFill/>
                    <a:ln w="57150">
                      <a:solidFill>
                        <a:schemeClr val="bg2"/>
                      </a:solidFill>
                    </a:ln>
                  </pic:spPr>
                </pic:pic>
              </a:graphicData>
            </a:graphic>
          </wp:inline>
        </w:drawing>
      </w:r>
    </w:p>
    <w:p w14:paraId="570665B8" w14:textId="77777777" w:rsidR="00E4023A" w:rsidRDefault="00E4023A" w:rsidP="00E4023A">
      <w:pPr>
        <w:pStyle w:val="Source"/>
      </w:pPr>
      <w:r>
        <w:rPr>
          <w:i/>
        </w:rPr>
        <w:t>Data source</w:t>
      </w:r>
      <w:r w:rsidRPr="00A67576">
        <w:rPr>
          <w:i/>
        </w:rPr>
        <w:t>:</w:t>
      </w:r>
      <w:r>
        <w:t xml:space="preserve"> ABS, Survey of Disabilities, Ageing and Carers, 2018, TableBuilder.</w:t>
      </w:r>
    </w:p>
    <w:p w14:paraId="2B792D0B" w14:textId="77777777" w:rsidR="0067175B" w:rsidRDefault="0067175B" w:rsidP="0067175B">
      <w:pPr>
        <w:pStyle w:val="BodyText"/>
        <w:rPr>
          <w:lang w:eastAsia="en-US" w:bidi="fa-IR"/>
        </w:rPr>
      </w:pPr>
      <w:r>
        <w:rPr>
          <w:lang w:eastAsia="en-US" w:bidi="fa-IR"/>
        </w:rPr>
        <w:t xml:space="preserve">The type of landlord </w:t>
      </w:r>
      <w:r w:rsidR="005751C1">
        <w:rPr>
          <w:lang w:eastAsia="en-US" w:bidi="fa-IR"/>
        </w:rPr>
        <w:t>is also relevant</w:t>
      </w:r>
      <w:r>
        <w:rPr>
          <w:lang w:eastAsia="en-US" w:bidi="fa-IR"/>
        </w:rPr>
        <w:t>.</w:t>
      </w:r>
    </w:p>
    <w:p w14:paraId="62C1D9BC" w14:textId="77777777" w:rsidR="0067175B" w:rsidRDefault="0067175B" w:rsidP="0067175B">
      <w:pPr>
        <w:pStyle w:val="ListBullet"/>
        <w:numPr>
          <w:ilvl w:val="0"/>
          <w:numId w:val="16"/>
        </w:numPr>
        <w:rPr>
          <w:lang w:eastAsia="en-US" w:bidi="fa-IR"/>
        </w:rPr>
      </w:pPr>
      <w:r>
        <w:rPr>
          <w:lang w:eastAsia="en-US" w:bidi="fa-IR"/>
        </w:rPr>
        <w:t>The proportion of tenants of state and territory housing authorities with mobility</w:t>
      </w:r>
      <w:r>
        <w:rPr>
          <w:lang w:eastAsia="en-US" w:bidi="fa-IR"/>
        </w:rPr>
        <w:noBreakHyphen/>
        <w:t>related disability in modified dwellings broadly aligns with owner</w:t>
      </w:r>
      <w:r>
        <w:rPr>
          <w:lang w:eastAsia="en-US" w:bidi="fa-IR"/>
        </w:rPr>
        <w:noBreakHyphen/>
        <w:t>occupiers.</w:t>
      </w:r>
    </w:p>
    <w:p w14:paraId="41CAD9DD" w14:textId="77777777" w:rsidR="0067175B" w:rsidRDefault="0067175B" w:rsidP="0067175B">
      <w:pPr>
        <w:pStyle w:val="ListBullet"/>
        <w:numPr>
          <w:ilvl w:val="0"/>
          <w:numId w:val="16"/>
        </w:numPr>
        <w:rPr>
          <w:lang w:eastAsia="en-US" w:bidi="fa-IR"/>
        </w:rPr>
      </w:pPr>
      <w:r>
        <w:rPr>
          <w:lang w:eastAsia="en-US" w:bidi="fa-IR"/>
        </w:rPr>
        <w:t>The proportion</w:t>
      </w:r>
      <w:r w:rsidR="005751C1">
        <w:rPr>
          <w:lang w:eastAsia="en-US" w:bidi="fa-IR"/>
        </w:rPr>
        <w:t xml:space="preserve"> of</w:t>
      </w:r>
      <w:r>
        <w:rPr>
          <w:lang w:eastAsia="en-US" w:bidi="fa-IR"/>
        </w:rPr>
        <w:t xml:space="preserve"> people with mobility</w:t>
      </w:r>
      <w:r>
        <w:rPr>
          <w:lang w:eastAsia="en-US" w:bidi="fa-IR"/>
        </w:rPr>
        <w:noBreakHyphen/>
        <w:t xml:space="preserve">related disability </w:t>
      </w:r>
      <w:r w:rsidR="005751C1">
        <w:rPr>
          <w:lang w:eastAsia="en-US" w:bidi="fa-IR"/>
        </w:rPr>
        <w:t xml:space="preserve">living in a modified home </w:t>
      </w:r>
      <w:r>
        <w:rPr>
          <w:lang w:eastAsia="en-US" w:bidi="fa-IR"/>
        </w:rPr>
        <w:t>rent</w:t>
      </w:r>
      <w:r w:rsidR="005751C1">
        <w:rPr>
          <w:lang w:eastAsia="en-US" w:bidi="fa-IR"/>
        </w:rPr>
        <w:t>ed</w:t>
      </w:r>
      <w:r>
        <w:rPr>
          <w:lang w:eastAsia="en-US" w:bidi="fa-IR"/>
        </w:rPr>
        <w:t xml:space="preserve"> from a real estate agent is around 5 per cent, even for people with a profound mobility</w:t>
      </w:r>
      <w:r>
        <w:rPr>
          <w:lang w:eastAsia="en-US" w:bidi="fa-IR"/>
        </w:rPr>
        <w:noBreakHyphen/>
        <w:t>related disability.</w:t>
      </w:r>
    </w:p>
    <w:p w14:paraId="1E14C196" w14:textId="77777777" w:rsidR="00E4023A" w:rsidRDefault="00E4023A" w:rsidP="00E4023A">
      <w:pPr>
        <w:pStyle w:val="BodyText"/>
        <w:rPr>
          <w:lang w:eastAsia="en-US"/>
        </w:rPr>
      </w:pPr>
      <w:r>
        <w:rPr>
          <w:lang w:eastAsia="en-US"/>
        </w:rPr>
        <w:t>This implies that private renters with mobility</w:t>
      </w:r>
      <w:r>
        <w:rPr>
          <w:lang w:eastAsia="en-US"/>
        </w:rPr>
        <w:noBreakHyphen/>
        <w:t>related disabilities are less likely to be living in homes that meet their accessibility needs.</w:t>
      </w:r>
    </w:p>
    <w:p w14:paraId="1D536A37" w14:textId="77777777" w:rsidR="00E4023A" w:rsidRDefault="00E4023A" w:rsidP="00E4023A">
      <w:pPr>
        <w:pStyle w:val="Heading4"/>
        <w:rPr>
          <w:lang w:bidi="fa-IR"/>
        </w:rPr>
      </w:pPr>
      <w:r>
        <w:rPr>
          <w:lang w:bidi="fa-IR"/>
        </w:rPr>
        <w:t>Information failures</w:t>
      </w:r>
    </w:p>
    <w:p w14:paraId="241E87D7" w14:textId="77777777" w:rsidR="003B05FB" w:rsidRPr="003B05FB" w:rsidRDefault="003B05FB" w:rsidP="003B05FB">
      <w:pPr>
        <w:pStyle w:val="BodyText"/>
        <w:rPr>
          <w:lang w:eastAsia="en-US"/>
        </w:rPr>
      </w:pPr>
      <w:r w:rsidRPr="003B05FB">
        <w:rPr>
          <w:lang w:eastAsia="en-US"/>
        </w:rPr>
        <w:t>There is a lack of reliable information to effectively match buyers and sellers (or landlords and renters) of accessible properties. In principle, a voluntary certification system could address this issue; however, the existing certification system appears to have had limited impact.</w:t>
      </w:r>
    </w:p>
    <w:p w14:paraId="424DFE00" w14:textId="77777777" w:rsidR="00E4023A" w:rsidRDefault="005751C1" w:rsidP="00E4023A">
      <w:pPr>
        <w:pStyle w:val="ListBullet"/>
        <w:numPr>
          <w:ilvl w:val="0"/>
          <w:numId w:val="16"/>
        </w:numPr>
        <w:rPr>
          <w:lang w:bidi="fa-IR"/>
        </w:rPr>
      </w:pPr>
      <w:r>
        <w:rPr>
          <w:lang w:bidi="fa-IR"/>
        </w:rPr>
        <w:t>During consultation</w:t>
      </w:r>
      <w:r w:rsidR="00654045">
        <w:rPr>
          <w:lang w:bidi="fa-IR"/>
        </w:rPr>
        <w:t>,</w:t>
      </w:r>
      <w:r w:rsidR="00E4023A">
        <w:rPr>
          <w:lang w:bidi="fa-IR"/>
        </w:rPr>
        <w:t xml:space="preserve"> stakeholders noted that when people who require more accessible housing try to locate it, it is very difficult to judge (without physically visiting the property) whether it is accessible. This makes the process of searching and securing accessible housing very costly.</w:t>
      </w:r>
    </w:p>
    <w:p w14:paraId="451616FF" w14:textId="77777777" w:rsidR="00E4023A" w:rsidRDefault="00E4023A" w:rsidP="00E4023A">
      <w:pPr>
        <w:pStyle w:val="ListBullet"/>
        <w:numPr>
          <w:ilvl w:val="0"/>
          <w:numId w:val="16"/>
        </w:numPr>
        <w:rPr>
          <w:lang w:bidi="fa-IR"/>
        </w:rPr>
      </w:pPr>
      <w:r>
        <w:rPr>
          <w:lang w:bidi="fa-IR"/>
        </w:rPr>
        <w:t>It was also noted that when builders wish to build accessible housing, it is very difficult to get their plans certified in advance of construction, mean</w:t>
      </w:r>
      <w:r w:rsidR="005751C1">
        <w:rPr>
          <w:lang w:bidi="fa-IR"/>
        </w:rPr>
        <w:t>ing</w:t>
      </w:r>
      <w:r>
        <w:rPr>
          <w:lang w:bidi="fa-IR"/>
        </w:rPr>
        <w:t xml:space="preserve"> it cannot be </w:t>
      </w:r>
      <w:r>
        <w:rPr>
          <w:lang w:bidi="fa-IR"/>
        </w:rPr>
        <w:lastRenderedPageBreak/>
        <w:t xml:space="preserve">marketed as ‘accessible’ to buyers before the product is completed. </w:t>
      </w:r>
      <w:r w:rsidR="005751C1">
        <w:rPr>
          <w:lang w:bidi="fa-IR"/>
        </w:rPr>
        <w:t>Similarly</w:t>
      </w:r>
      <w:r>
        <w:rPr>
          <w:lang w:bidi="fa-IR"/>
        </w:rPr>
        <w:t>, sellers of newly completed or existing homes that are accessible cannot get these homes certified as accessible. This significantly reduces the incentive for builders to build accessible housing.</w:t>
      </w:r>
    </w:p>
    <w:p w14:paraId="7B7D1C09" w14:textId="77777777" w:rsidR="00E4023A" w:rsidRDefault="00E4023A" w:rsidP="00E4023A">
      <w:pPr>
        <w:pStyle w:val="Heading3"/>
        <w:numPr>
          <w:ilvl w:val="2"/>
          <w:numId w:val="5"/>
        </w:numPr>
        <w:rPr>
          <w:lang w:bidi="fa-IR"/>
        </w:rPr>
      </w:pPr>
      <w:r>
        <w:rPr>
          <w:lang w:bidi="fa-IR"/>
        </w:rPr>
        <w:t>Low incomes</w:t>
      </w:r>
    </w:p>
    <w:p w14:paraId="09A97896" w14:textId="77777777" w:rsidR="00E4023A" w:rsidRDefault="00E4023A" w:rsidP="00E4023A">
      <w:pPr>
        <w:pStyle w:val="BodyText"/>
        <w:rPr>
          <w:lang w:bidi="fa-IR"/>
        </w:rPr>
      </w:pPr>
      <w:r>
        <w:rPr>
          <w:lang w:bidi="fa-IR"/>
        </w:rPr>
        <w:t>An underlying cause of the problem may be that households containing people with disability have insufficient income to fund their housing needs. A number of stakeholders stressed the importance of affordability, as well as accessibility and location.</w:t>
      </w:r>
      <w:r w:rsidR="00551164">
        <w:rPr>
          <w:lang w:bidi="fa-IR"/>
        </w:rPr>
        <w:t xml:space="preserve"> </w:t>
      </w:r>
      <w:r w:rsidR="002D2E61">
        <w:rPr>
          <w:lang w:bidi="fa-IR"/>
        </w:rPr>
        <w:t xml:space="preserve">It </w:t>
      </w:r>
      <w:r w:rsidR="005751C1">
        <w:rPr>
          <w:lang w:bidi="fa-IR"/>
        </w:rPr>
        <w:t xml:space="preserve">was </w:t>
      </w:r>
      <w:r w:rsidR="002D2E61">
        <w:rPr>
          <w:lang w:bidi="fa-IR"/>
        </w:rPr>
        <w:t xml:space="preserve">also </w:t>
      </w:r>
      <w:r w:rsidR="005751C1">
        <w:rPr>
          <w:lang w:bidi="fa-IR"/>
        </w:rPr>
        <w:t xml:space="preserve">identified by the public consultation as </w:t>
      </w:r>
      <w:r w:rsidR="002D2E61">
        <w:rPr>
          <w:lang w:bidi="fa-IR"/>
        </w:rPr>
        <w:t>the top factor causing the problem (table 3.5</w:t>
      </w:r>
      <w:r w:rsidR="005751C1">
        <w:rPr>
          <w:lang w:bidi="fa-IR"/>
        </w:rPr>
        <w:t>3</w:t>
      </w:r>
      <w:r w:rsidR="002D2E61">
        <w:rPr>
          <w:lang w:bidi="fa-IR"/>
        </w:rPr>
        <w:t>).</w:t>
      </w:r>
    </w:p>
    <w:p w14:paraId="4583DAF3" w14:textId="77777777" w:rsidR="00E4023A" w:rsidRDefault="00E4023A" w:rsidP="00E4023A">
      <w:pPr>
        <w:pStyle w:val="BodyText"/>
        <w:rPr>
          <w:lang w:bidi="fa-IR"/>
        </w:rPr>
      </w:pPr>
      <w:r>
        <w:rPr>
          <w:lang w:bidi="fa-IR"/>
        </w:rPr>
        <w:t>For example, older people may be reliant on a pension, while some people with mobility</w:t>
      </w:r>
      <w:r>
        <w:rPr>
          <w:lang w:bidi="fa-IR"/>
        </w:rPr>
        <w:noBreakHyphen/>
        <w:t>related disabilit</w:t>
      </w:r>
      <w:r w:rsidR="002372B0">
        <w:rPr>
          <w:lang w:bidi="fa-IR"/>
        </w:rPr>
        <w:t>y</w:t>
      </w:r>
      <w:r>
        <w:rPr>
          <w:lang w:bidi="fa-IR"/>
        </w:rPr>
        <w:t xml:space="preserve"> may have limited employment opportunities. Employment opportunities may also be limited for other members of the household where they have significant caring duties.</w:t>
      </w:r>
    </w:p>
    <w:p w14:paraId="6E73688D" w14:textId="461F4DE2" w:rsidR="00E4023A" w:rsidRDefault="000777EE" w:rsidP="00E4023A">
      <w:pPr>
        <w:pStyle w:val="BodyText"/>
        <w:rPr>
          <w:lang w:bidi="fa-IR"/>
        </w:rPr>
      </w:pPr>
      <w:r>
        <w:rPr>
          <w:lang w:bidi="fa-IR"/>
        </w:rPr>
        <w:t xml:space="preserve">People with disability are more likely to have a lower income. </w:t>
      </w:r>
      <w:r w:rsidR="00E4023A">
        <w:rPr>
          <w:lang w:bidi="fa-IR"/>
        </w:rPr>
        <w:t>According to SDAC data, income units</w:t>
      </w:r>
      <w:r>
        <w:rPr>
          <w:lang w:bidi="fa-IR"/>
        </w:rPr>
        <w:t xml:space="preserve"> (families)</w:t>
      </w:r>
      <w:r w:rsidR="00E4023A">
        <w:rPr>
          <w:lang w:bidi="fa-IR"/>
        </w:rPr>
        <w:t xml:space="preserve"> containing a member with moderate, severe or profound disability </w:t>
      </w:r>
      <w:r>
        <w:rPr>
          <w:lang w:bidi="fa-IR"/>
        </w:rPr>
        <w:t>are</w:t>
      </w:r>
      <w:r w:rsidR="00E4023A">
        <w:rPr>
          <w:lang w:bidi="fa-IR"/>
        </w:rPr>
        <w:t xml:space="preserve"> concentrated in the lower deciles, with around 78 per cent of income units below the median equivalised income (chart </w:t>
      </w:r>
      <w:r w:rsidR="0066514C">
        <w:rPr>
          <w:lang w:bidi="fa-IR"/>
        </w:rPr>
        <w:t>3.53</w:t>
      </w:r>
      <w:r w:rsidR="00E4023A">
        <w:rPr>
          <w:lang w:bidi="fa-IR"/>
        </w:rPr>
        <w:t>).</w:t>
      </w:r>
    </w:p>
    <w:p w14:paraId="5C7EE5FA" w14:textId="596C7DCD" w:rsidR="00E4023A" w:rsidRDefault="0022260E" w:rsidP="00E4023A">
      <w:pPr>
        <w:pStyle w:val="Caption"/>
      </w:pPr>
      <w:bookmarkStart w:id="322" w:name="_Toc32321818"/>
      <w:bookmarkStart w:id="323" w:name="_Toc44598515"/>
      <w:bookmarkStart w:id="324" w:name="_Toc44695887"/>
      <w:bookmarkStart w:id="325" w:name="_Toc57643636"/>
      <w:bookmarkStart w:id="326" w:name="_Toc70505552"/>
      <w:bookmarkStart w:id="327" w:name="_Hlk44657155"/>
      <w:r>
        <w:t>3.53</w:t>
      </w:r>
      <w:r w:rsidR="00E4023A" w:rsidRPr="000C09F4">
        <w:tab/>
        <w:t>Equivalised income distribution</w:t>
      </w:r>
      <w:bookmarkEnd w:id="322"/>
      <w:bookmarkEnd w:id="323"/>
      <w:bookmarkEnd w:id="324"/>
      <w:bookmarkEnd w:id="325"/>
      <w:bookmarkEnd w:id="326"/>
    </w:p>
    <w:p w14:paraId="0B49924C" w14:textId="77777777" w:rsidR="00E4023A" w:rsidRPr="000C09F4" w:rsidRDefault="00E4023A" w:rsidP="00E4023A">
      <w:pPr>
        <w:pStyle w:val="Subtitlebox"/>
      </w:pPr>
      <w:r w:rsidRPr="000C09F4">
        <w:rPr>
          <w:noProof/>
        </w:rPr>
        <w:drawing>
          <wp:inline distT="0" distB="0" distL="0" distR="0" wp14:anchorId="57D80425" wp14:editId="1523D324">
            <wp:extent cx="5040000" cy="2581720"/>
            <wp:effectExtent l="57150" t="57150" r="65405" b="66675"/>
            <wp:docPr id="9" name="Picture 9" descr="This bar graph illustrates the percentage of households with 1 or more members with a disability compared with households with no members with a disability, ranked by equivalised income deciles. While households with no members with a disability are roughly evenly spread across the deciles, there is a clear over-representation of households with one or more members with a disability in the lower end of the income scale." title="Chart 3.53: Equivalised incom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2581720"/>
                    </a:xfrm>
                    <a:prstGeom prst="rect">
                      <a:avLst/>
                    </a:prstGeom>
                    <a:noFill/>
                    <a:ln w="57150">
                      <a:solidFill>
                        <a:schemeClr val="bg2"/>
                      </a:solidFill>
                    </a:ln>
                  </pic:spPr>
                </pic:pic>
              </a:graphicData>
            </a:graphic>
          </wp:inline>
        </w:drawing>
      </w:r>
    </w:p>
    <w:p w14:paraId="207E255C" w14:textId="77777777" w:rsidR="00E4023A" w:rsidRDefault="00E4023A" w:rsidP="00E4023A">
      <w:pPr>
        <w:pStyle w:val="Source"/>
      </w:pPr>
      <w:r>
        <w:rPr>
          <w:i/>
        </w:rPr>
        <w:t>Data source</w:t>
      </w:r>
      <w:r w:rsidRPr="00A67576">
        <w:rPr>
          <w:i/>
        </w:rPr>
        <w:t>:</w:t>
      </w:r>
      <w:r>
        <w:t xml:space="preserve"> ABS, Survey of Disabilities, Ageing and Carers, 2018, TableBuilder.</w:t>
      </w:r>
    </w:p>
    <w:p w14:paraId="226BF34B" w14:textId="77777777" w:rsidR="00E4023A" w:rsidRDefault="002D2E61" w:rsidP="002D2E61">
      <w:pPr>
        <w:pStyle w:val="Heading3"/>
        <w:rPr>
          <w:lang w:bidi="fa-IR"/>
        </w:rPr>
      </w:pPr>
      <w:r>
        <w:rPr>
          <w:lang w:bidi="fa-IR"/>
        </w:rPr>
        <w:t>Views from the public consultation</w:t>
      </w:r>
    </w:p>
    <w:p w14:paraId="226158EB" w14:textId="77777777" w:rsidR="002D2E61" w:rsidRPr="002D2E61" w:rsidRDefault="002D2E61" w:rsidP="002D2E61">
      <w:pPr>
        <w:pStyle w:val="BodyText"/>
        <w:rPr>
          <w:lang w:bidi="fa-IR"/>
        </w:rPr>
      </w:pPr>
      <w:r>
        <w:rPr>
          <w:lang w:bidi="fa-IR"/>
        </w:rPr>
        <w:t xml:space="preserve">In addition to the </w:t>
      </w:r>
      <w:r w:rsidR="000F0151">
        <w:rPr>
          <w:lang w:bidi="fa-IR"/>
        </w:rPr>
        <w:t xml:space="preserve">two main reasons (‘buyers failing to think about their future accessibility needs’, and ‘volume builders being reluctant to deviate from standard plans’) </w:t>
      </w:r>
      <w:r w:rsidR="005751C1">
        <w:rPr>
          <w:lang w:bidi="fa-IR"/>
        </w:rPr>
        <w:t xml:space="preserve">which were incorporated </w:t>
      </w:r>
      <w:r w:rsidR="000F0151">
        <w:rPr>
          <w:lang w:bidi="fa-IR"/>
        </w:rPr>
        <w:t>in</w:t>
      </w:r>
      <w:r w:rsidR="005751C1">
        <w:rPr>
          <w:lang w:bidi="fa-IR"/>
        </w:rPr>
        <w:t>to</w:t>
      </w:r>
      <w:r w:rsidR="000F0151">
        <w:rPr>
          <w:lang w:bidi="fa-IR"/>
        </w:rPr>
        <w:t xml:space="preserve"> the public consultation</w:t>
      </w:r>
      <w:r w:rsidR="005751C1">
        <w:rPr>
          <w:lang w:bidi="fa-IR"/>
        </w:rPr>
        <w:t xml:space="preserve"> questionnaire</w:t>
      </w:r>
      <w:r w:rsidR="000F0151">
        <w:rPr>
          <w:lang w:bidi="fa-IR"/>
        </w:rPr>
        <w:t xml:space="preserve">, submissions also </w:t>
      </w:r>
      <w:r w:rsidR="00A13CE4">
        <w:rPr>
          <w:lang w:bidi="fa-IR"/>
        </w:rPr>
        <w:t>pointed out other causes of the problem (table 3.</w:t>
      </w:r>
      <w:r w:rsidR="00762E91">
        <w:rPr>
          <w:lang w:bidi="fa-IR"/>
        </w:rPr>
        <w:t>5</w:t>
      </w:r>
      <w:r w:rsidR="00E91EDB">
        <w:rPr>
          <w:lang w:bidi="fa-IR"/>
        </w:rPr>
        <w:t>4</w:t>
      </w:r>
      <w:r w:rsidR="00A13CE4">
        <w:rPr>
          <w:lang w:bidi="fa-IR"/>
        </w:rPr>
        <w:t>).</w:t>
      </w:r>
    </w:p>
    <w:p w14:paraId="0B9CEC97" w14:textId="204219ED" w:rsidR="00551164" w:rsidRDefault="0022260E" w:rsidP="00551164">
      <w:pPr>
        <w:pStyle w:val="Caption"/>
      </w:pPr>
      <w:bookmarkStart w:id="328" w:name="_Toc57643637"/>
      <w:bookmarkStart w:id="329" w:name="_Toc70505553"/>
      <w:bookmarkEnd w:id="327"/>
      <w:r>
        <w:lastRenderedPageBreak/>
        <w:t>3.54</w:t>
      </w:r>
      <w:r w:rsidR="00551164" w:rsidRPr="00695C93">
        <w:tab/>
      </w:r>
      <w:r w:rsidR="00551164">
        <w:t xml:space="preserve">Other factors contributing to the </w:t>
      </w:r>
      <w:bookmarkEnd w:id="328"/>
      <w:r w:rsidR="00466377">
        <w:t>lack of accessible housing</w:t>
      </w:r>
      <w:bookmarkEnd w:id="329"/>
    </w:p>
    <w:tbl>
      <w:tblPr>
        <w:tblW w:w="7937" w:type="dxa"/>
        <w:tblLook w:val="04A0" w:firstRow="1" w:lastRow="0" w:firstColumn="1" w:lastColumn="0" w:noHBand="0" w:noVBand="1"/>
        <w:tblCaption w:val="Table 3.54: Other factors contributing to the problem"/>
        <w:tblDescription w:val="This table contains a list of other factors contributing to the problem of inaccessible housing. This list came from public consultations and submissions. The four most commonly mentioned problems were:&#10;- Additional cost/affordability&#10;- Government inaction&#10;- No demand/different needs&#10;- Industry problem"/>
      </w:tblPr>
      <w:tblGrid>
        <w:gridCol w:w="5455"/>
        <w:gridCol w:w="1169"/>
        <w:gridCol w:w="1313"/>
      </w:tblGrid>
      <w:tr w:rsidR="00551164" w:rsidRPr="00CC5A97" w14:paraId="37FC2ED4" w14:textId="77777777" w:rsidTr="000F0151">
        <w:trPr>
          <w:trHeight w:val="252"/>
          <w:tblHeader/>
        </w:trPr>
        <w:tc>
          <w:tcPr>
            <w:tcW w:w="5455" w:type="dxa"/>
            <w:tcBorders>
              <w:bottom w:val="single" w:sz="8" w:space="0" w:color="FFFFFF" w:themeColor="background1"/>
            </w:tcBorders>
            <w:shd w:val="clear" w:color="auto" w:fill="6F6652"/>
            <w:noWrap/>
            <w:tcMar>
              <w:left w:w="57" w:type="dxa"/>
              <w:right w:w="57" w:type="dxa"/>
            </w:tcMar>
            <w:hideMark/>
          </w:tcPr>
          <w:p w14:paraId="1E2D1FB2" w14:textId="77777777" w:rsidR="00551164" w:rsidRPr="00CC5A97" w:rsidRDefault="00551164" w:rsidP="000F0151">
            <w:pPr>
              <w:pStyle w:val="TableDataColumnHeading"/>
              <w:jc w:val="left"/>
            </w:pPr>
            <w:r w:rsidRPr="00CC5A97">
              <w:t>Factors</w:t>
            </w:r>
          </w:p>
        </w:tc>
        <w:tc>
          <w:tcPr>
            <w:tcW w:w="1169" w:type="dxa"/>
            <w:tcBorders>
              <w:bottom w:val="single" w:sz="8" w:space="0" w:color="FFFFFF" w:themeColor="background1"/>
            </w:tcBorders>
            <w:shd w:val="clear" w:color="auto" w:fill="6F6652"/>
            <w:noWrap/>
            <w:tcMar>
              <w:left w:w="57" w:type="dxa"/>
              <w:right w:w="57" w:type="dxa"/>
            </w:tcMar>
            <w:hideMark/>
          </w:tcPr>
          <w:p w14:paraId="4425A40A" w14:textId="77777777" w:rsidR="00551164" w:rsidRPr="00CC5A97" w:rsidRDefault="00551164" w:rsidP="000F0151">
            <w:pPr>
              <w:pStyle w:val="TableDataColumnHeading"/>
            </w:pPr>
            <w:r w:rsidRPr="00CC5A97">
              <w:t>Count</w:t>
            </w:r>
          </w:p>
        </w:tc>
        <w:tc>
          <w:tcPr>
            <w:tcW w:w="1313" w:type="dxa"/>
            <w:tcBorders>
              <w:bottom w:val="single" w:sz="8" w:space="0" w:color="FFFFFF" w:themeColor="background1"/>
            </w:tcBorders>
            <w:shd w:val="clear" w:color="auto" w:fill="6F6652"/>
            <w:noWrap/>
            <w:tcMar>
              <w:left w:w="57" w:type="dxa"/>
              <w:right w:w="57" w:type="dxa"/>
            </w:tcMar>
            <w:hideMark/>
          </w:tcPr>
          <w:p w14:paraId="7312EC32" w14:textId="77777777" w:rsidR="00551164" w:rsidRPr="00CC5A97" w:rsidRDefault="00551164" w:rsidP="000F0151">
            <w:pPr>
              <w:pStyle w:val="TableDataColumnHeading"/>
            </w:pPr>
            <w:r w:rsidRPr="00CC5A97">
              <w:t>Percentage</w:t>
            </w:r>
          </w:p>
        </w:tc>
      </w:tr>
      <w:tr w:rsidR="00551164" w:rsidRPr="00CC5A97" w14:paraId="220688D2"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9D4DCF" w14:textId="77777777" w:rsidR="00551164" w:rsidRPr="00CC5A97" w:rsidRDefault="00551164" w:rsidP="000F0151">
            <w:pPr>
              <w:pStyle w:val="TableDataEntries"/>
              <w:jc w:val="left"/>
            </w:pPr>
            <w:r w:rsidRPr="00CC5A97">
              <w:t>Additional cost/affordability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BEF364" w14:textId="77777777" w:rsidR="00551164" w:rsidRPr="00CC5A97" w:rsidRDefault="00551164" w:rsidP="000F0151">
            <w:pPr>
              <w:pStyle w:val="TableDataEntries"/>
            </w:pPr>
            <w:r w:rsidRPr="00CC5A97">
              <w:t>37</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8BFA19" w14:textId="77777777" w:rsidR="00551164" w:rsidRPr="00CC5A97" w:rsidRDefault="00551164" w:rsidP="000F0151">
            <w:pPr>
              <w:pStyle w:val="TableDataEntries"/>
            </w:pPr>
            <w:r w:rsidRPr="00CC5A97">
              <w:t>25.9</w:t>
            </w:r>
          </w:p>
        </w:tc>
      </w:tr>
      <w:tr w:rsidR="00551164" w:rsidRPr="00CC5A97" w14:paraId="4B6499BF"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BB9DF4" w14:textId="77777777" w:rsidR="00551164" w:rsidRPr="00CC5A97" w:rsidRDefault="00551164" w:rsidP="000F0151">
            <w:pPr>
              <w:pStyle w:val="TableDataEntries"/>
              <w:jc w:val="left"/>
            </w:pPr>
            <w:r w:rsidRPr="00CC5A97">
              <w:t>No demand/different needs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A7864A" w14:textId="77777777" w:rsidR="00551164" w:rsidRPr="00CC5A97" w:rsidRDefault="00551164" w:rsidP="000F0151">
            <w:pPr>
              <w:pStyle w:val="TableDataEntries"/>
            </w:pPr>
            <w:r w:rsidRPr="00CC5A97">
              <w:t>17</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D7870C" w14:textId="77777777" w:rsidR="00551164" w:rsidRPr="00CC5A97" w:rsidRDefault="00551164" w:rsidP="000F0151">
            <w:pPr>
              <w:pStyle w:val="TableDataEntries"/>
            </w:pPr>
            <w:r w:rsidRPr="00CC5A97">
              <w:t>11.9</w:t>
            </w:r>
          </w:p>
        </w:tc>
      </w:tr>
      <w:tr w:rsidR="00551164" w:rsidRPr="00CC5A97" w14:paraId="1E0D2BD7"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6B0BAD" w14:textId="77777777" w:rsidR="00551164" w:rsidRPr="00CC5A97" w:rsidRDefault="008C11C5" w:rsidP="000F0151">
            <w:pPr>
              <w:pStyle w:val="TableDataEntries"/>
              <w:jc w:val="left"/>
            </w:pPr>
            <w:r>
              <w:t>Other</w:t>
            </w:r>
            <w:r w:rsidR="00551164" w:rsidRPr="00CC5A97">
              <w:t xml:space="preserve"> aspiration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BDD24" w14:textId="77777777" w:rsidR="00551164" w:rsidRPr="00CC5A97" w:rsidRDefault="00551164" w:rsidP="000F0151">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4F7A21" w14:textId="77777777" w:rsidR="00551164" w:rsidRPr="00CC5A97" w:rsidRDefault="00551164" w:rsidP="000F0151">
            <w:pPr>
              <w:pStyle w:val="TableDataEntries"/>
            </w:pPr>
            <w:r w:rsidRPr="00CC5A97">
              <w:t>7.0</w:t>
            </w:r>
          </w:p>
        </w:tc>
      </w:tr>
      <w:tr w:rsidR="00551164" w:rsidRPr="00CC5A97" w14:paraId="4C0746C7"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57A780" w14:textId="77777777" w:rsidR="00551164" w:rsidRPr="00CC5A97" w:rsidRDefault="00551164" w:rsidP="000F0151">
            <w:pPr>
              <w:pStyle w:val="TableDataEntries"/>
              <w:jc w:val="left"/>
            </w:pPr>
            <w:r w:rsidRPr="00CC5A97">
              <w:t>Site constraint</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C1D5E2" w14:textId="77777777" w:rsidR="00551164" w:rsidRPr="00CC5A97" w:rsidRDefault="00551164" w:rsidP="000F0151">
            <w:pPr>
              <w:pStyle w:val="TableDataEntries"/>
            </w:pPr>
            <w:r w:rsidRPr="00CC5A97">
              <w:t>5</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3706A9" w14:textId="77777777" w:rsidR="00551164" w:rsidRPr="00CC5A97" w:rsidRDefault="00551164" w:rsidP="000F0151">
            <w:pPr>
              <w:pStyle w:val="TableDataEntries"/>
            </w:pPr>
            <w:r w:rsidRPr="00CC5A97">
              <w:t>3.5</w:t>
            </w:r>
          </w:p>
        </w:tc>
      </w:tr>
      <w:tr w:rsidR="00551164" w:rsidRPr="00CC5A97" w14:paraId="3C0542F2"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3321C6" w14:textId="77777777" w:rsidR="00551164" w:rsidRPr="00CC5A97" w:rsidRDefault="00551164" w:rsidP="000F0151">
            <w:pPr>
              <w:pStyle w:val="TableDataEntries"/>
              <w:jc w:val="left"/>
            </w:pPr>
            <w:r w:rsidRPr="00CC5A97">
              <w:t>Adverse perceptions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A38ED6" w14:textId="77777777" w:rsidR="00551164" w:rsidRPr="00CC5A97" w:rsidRDefault="00551164" w:rsidP="000F0151">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AB5C6C" w14:textId="77777777" w:rsidR="00551164" w:rsidRPr="00CC5A97" w:rsidRDefault="00551164" w:rsidP="000F0151">
            <w:pPr>
              <w:pStyle w:val="TableDataEntries"/>
            </w:pPr>
            <w:r w:rsidRPr="00CC5A97">
              <w:t>2.1</w:t>
            </w:r>
          </w:p>
        </w:tc>
      </w:tr>
      <w:tr w:rsidR="00551164" w:rsidRPr="00CC5A97" w14:paraId="7470B659"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E62218" w14:textId="77777777" w:rsidR="00551164" w:rsidRPr="00CC5A97" w:rsidRDefault="00551164" w:rsidP="000F0151">
            <w:pPr>
              <w:pStyle w:val="TableDataEntries"/>
              <w:jc w:val="left"/>
            </w:pPr>
            <w:r w:rsidRPr="00CC5A97">
              <w:t>Lack of appeal of accessible fixtures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B6C6F1" w14:textId="77777777" w:rsidR="00551164" w:rsidRPr="00CC5A97" w:rsidRDefault="00551164" w:rsidP="000F0151">
            <w:pPr>
              <w:pStyle w:val="TableDataEntries"/>
            </w:pPr>
            <w:r w:rsidRPr="00CC5A97">
              <w:t>9</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FAC553" w14:textId="77777777" w:rsidR="00551164" w:rsidRPr="00CC5A97" w:rsidRDefault="00551164" w:rsidP="000F0151">
            <w:pPr>
              <w:pStyle w:val="TableDataEntries"/>
            </w:pPr>
            <w:r w:rsidRPr="00CC5A97">
              <w:t>6.3</w:t>
            </w:r>
          </w:p>
        </w:tc>
      </w:tr>
      <w:tr w:rsidR="00551164" w:rsidRPr="00CC5A97" w14:paraId="0C5E5085"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107330" w14:textId="77777777" w:rsidR="00551164" w:rsidRPr="00CC5A97" w:rsidRDefault="00551164" w:rsidP="000F0151">
            <w:pPr>
              <w:pStyle w:val="TableDataEntries"/>
              <w:jc w:val="left"/>
            </w:pPr>
            <w:r w:rsidRPr="00CC5A97">
              <w:t>Government inaction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FBFD8" w14:textId="77777777" w:rsidR="00551164" w:rsidRPr="00CC5A97" w:rsidRDefault="00551164" w:rsidP="000F0151">
            <w:pPr>
              <w:pStyle w:val="TableDataEntries"/>
            </w:pPr>
            <w:r w:rsidRPr="00CC5A97">
              <w:t>18</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0F9F47" w14:textId="77777777" w:rsidR="00551164" w:rsidRPr="00CC5A97" w:rsidRDefault="00551164" w:rsidP="000F0151">
            <w:pPr>
              <w:pStyle w:val="TableDataEntries"/>
            </w:pPr>
            <w:r w:rsidRPr="00CC5A97">
              <w:t>12.6</w:t>
            </w:r>
          </w:p>
        </w:tc>
      </w:tr>
      <w:tr w:rsidR="00551164" w:rsidRPr="00CC5A97" w14:paraId="37BA9B2F"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43BD1C" w14:textId="77777777" w:rsidR="00551164" w:rsidRPr="00CC5A97" w:rsidRDefault="00551164" w:rsidP="000F0151">
            <w:pPr>
              <w:pStyle w:val="TableDataEntries"/>
              <w:jc w:val="left"/>
            </w:pPr>
            <w:r w:rsidRPr="00CC5A97">
              <w:t>Co</w:t>
            </w:r>
            <w:r>
              <w:t>n</w:t>
            </w:r>
            <w:r w:rsidRPr="00CC5A97">
              <w:t>flict with other regulations/requirements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BA96E3" w14:textId="77777777" w:rsidR="00551164" w:rsidRPr="00CC5A97" w:rsidRDefault="00551164" w:rsidP="000F0151">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3B79C0" w14:textId="77777777" w:rsidR="00551164" w:rsidRPr="00CC5A97" w:rsidRDefault="00551164" w:rsidP="000F0151">
            <w:pPr>
              <w:pStyle w:val="TableDataEntries"/>
            </w:pPr>
            <w:r w:rsidRPr="00CC5A97">
              <w:t>2.1</w:t>
            </w:r>
          </w:p>
        </w:tc>
      </w:tr>
      <w:tr w:rsidR="00551164" w:rsidRPr="00CC5A97" w14:paraId="7F1A6771"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E02B26" w14:textId="77777777" w:rsidR="00551164" w:rsidRPr="00CC5A97" w:rsidRDefault="00551164" w:rsidP="000F0151">
            <w:pPr>
              <w:pStyle w:val="TableDataEntries"/>
              <w:jc w:val="left"/>
            </w:pPr>
            <w:r w:rsidRPr="00CC5A97">
              <w:t>Lack of community awareness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E418D0" w14:textId="77777777" w:rsidR="00551164" w:rsidRPr="00CC5A97" w:rsidRDefault="00551164" w:rsidP="000F0151">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98AC64" w14:textId="77777777" w:rsidR="00551164" w:rsidRPr="00CC5A97" w:rsidRDefault="00551164" w:rsidP="000F0151">
            <w:pPr>
              <w:pStyle w:val="TableDataEntries"/>
            </w:pPr>
            <w:r w:rsidRPr="00CC5A97">
              <w:t>7.0</w:t>
            </w:r>
          </w:p>
        </w:tc>
      </w:tr>
      <w:tr w:rsidR="00551164" w:rsidRPr="00CC5A97" w14:paraId="15BC7162"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FF6891" w14:textId="77777777" w:rsidR="00551164" w:rsidRPr="00CC5A97" w:rsidRDefault="00551164" w:rsidP="000F0151">
            <w:pPr>
              <w:pStyle w:val="TableDataEntries"/>
              <w:jc w:val="left"/>
            </w:pPr>
            <w:r w:rsidRPr="00CC5A97">
              <w:t>Information problem</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5B48BD" w14:textId="77777777" w:rsidR="00551164" w:rsidRPr="00CC5A97" w:rsidRDefault="00551164" w:rsidP="000F0151">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0227C4" w14:textId="77777777" w:rsidR="00551164" w:rsidRPr="00CC5A97" w:rsidRDefault="00551164" w:rsidP="000F0151">
            <w:pPr>
              <w:pStyle w:val="TableDataEntries"/>
            </w:pPr>
            <w:r w:rsidRPr="00CC5A97">
              <w:t>7.0</w:t>
            </w:r>
          </w:p>
        </w:tc>
      </w:tr>
      <w:tr w:rsidR="00551164" w:rsidRPr="00CC5A97" w14:paraId="561B083B"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5674A5" w14:textId="77777777" w:rsidR="00551164" w:rsidRPr="00CC5A97" w:rsidRDefault="00551164" w:rsidP="000F0151">
            <w:pPr>
              <w:pStyle w:val="TableDataEntries"/>
              <w:jc w:val="left"/>
            </w:pPr>
            <w:r w:rsidRPr="00CC5A97">
              <w:t>Industry problem</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C5D90D" w14:textId="77777777" w:rsidR="00551164" w:rsidRPr="00CC5A97" w:rsidRDefault="00551164" w:rsidP="000F0151">
            <w:pPr>
              <w:pStyle w:val="TableDataEntries"/>
            </w:pPr>
            <w:r w:rsidRPr="00CC5A97">
              <w:t>14</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248BFC" w14:textId="77777777" w:rsidR="00551164" w:rsidRPr="00CC5A97" w:rsidRDefault="00551164" w:rsidP="000F0151">
            <w:pPr>
              <w:pStyle w:val="TableDataEntries"/>
            </w:pPr>
            <w:r w:rsidRPr="00CC5A97">
              <w:t>9.8</w:t>
            </w:r>
          </w:p>
        </w:tc>
      </w:tr>
      <w:tr w:rsidR="00551164" w:rsidRPr="00CC5A97" w14:paraId="63C00243"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17966C" w14:textId="77777777" w:rsidR="00551164" w:rsidRPr="00CC5A97" w:rsidRDefault="00551164" w:rsidP="000F0151">
            <w:pPr>
              <w:pStyle w:val="TableDataEntries"/>
              <w:jc w:val="left"/>
            </w:pPr>
            <w:r w:rsidRPr="00CC5A97">
              <w:t>Limited choice</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F2A904" w14:textId="77777777" w:rsidR="00551164" w:rsidRPr="00CC5A97" w:rsidRDefault="00551164" w:rsidP="000F0151">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4ADAFD" w14:textId="77777777" w:rsidR="00551164" w:rsidRPr="00CC5A97" w:rsidRDefault="00551164" w:rsidP="000F0151">
            <w:pPr>
              <w:pStyle w:val="TableDataEntries"/>
            </w:pPr>
            <w:r w:rsidRPr="00CC5A97">
              <w:t>2.1</w:t>
            </w:r>
          </w:p>
        </w:tc>
      </w:tr>
      <w:tr w:rsidR="00551164" w:rsidRPr="00CC5A97" w14:paraId="36D8AF12"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23A2D3" w14:textId="77777777" w:rsidR="00551164" w:rsidRPr="00CC5A97" w:rsidRDefault="00551164" w:rsidP="000F0151">
            <w:pPr>
              <w:pStyle w:val="TableDataEntries"/>
              <w:jc w:val="left"/>
            </w:pPr>
            <w:r w:rsidRPr="00CC5A97">
              <w:t>Social connection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2A545D" w14:textId="77777777" w:rsidR="00551164" w:rsidRPr="00CC5A97" w:rsidRDefault="00551164" w:rsidP="000F0151">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F35A36" w14:textId="77777777" w:rsidR="00551164" w:rsidRPr="00CC5A97" w:rsidRDefault="00551164" w:rsidP="000F0151">
            <w:pPr>
              <w:pStyle w:val="TableDataEntries"/>
            </w:pPr>
            <w:r w:rsidRPr="00CC5A97">
              <w:t>0.7</w:t>
            </w:r>
          </w:p>
        </w:tc>
      </w:tr>
      <w:tr w:rsidR="00551164" w:rsidRPr="00CC5A97" w14:paraId="3C10DAD1"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C11D48" w14:textId="77777777" w:rsidR="00551164" w:rsidRPr="00CC5A97" w:rsidRDefault="00551164" w:rsidP="000F0151">
            <w:pPr>
              <w:pStyle w:val="TableDataEntries"/>
              <w:jc w:val="left"/>
            </w:pPr>
            <w:r w:rsidRPr="00CC5A97">
              <w:t>Not sufficiently insured</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8D2188" w14:textId="77777777" w:rsidR="00551164" w:rsidRPr="00CC5A97" w:rsidRDefault="00551164" w:rsidP="000F0151">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4C3819" w14:textId="77777777" w:rsidR="00551164" w:rsidRPr="00CC5A97" w:rsidRDefault="00551164" w:rsidP="000F0151">
            <w:pPr>
              <w:pStyle w:val="TableDataEntries"/>
            </w:pPr>
            <w:r w:rsidRPr="00CC5A97">
              <w:t>0.7</w:t>
            </w:r>
          </w:p>
        </w:tc>
      </w:tr>
      <w:tr w:rsidR="00551164" w:rsidRPr="00CC5A97" w14:paraId="0B458543"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A7658E" w14:textId="77777777" w:rsidR="00551164" w:rsidRPr="00CC5A97" w:rsidRDefault="00551164" w:rsidP="000F0151">
            <w:pPr>
              <w:pStyle w:val="TableDataEntries"/>
              <w:jc w:val="left"/>
            </w:pPr>
            <w:r w:rsidRPr="00CC5A97">
              <w:t>Stamp duty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EFEC6D" w14:textId="77777777" w:rsidR="00551164" w:rsidRPr="00CC5A97" w:rsidRDefault="00551164" w:rsidP="000F0151">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4DE48C" w14:textId="77777777" w:rsidR="00551164" w:rsidRPr="00CC5A97" w:rsidRDefault="00551164" w:rsidP="000F0151">
            <w:pPr>
              <w:pStyle w:val="TableDataEntries"/>
            </w:pPr>
            <w:r w:rsidRPr="00CC5A97">
              <w:t>0.7</w:t>
            </w:r>
          </w:p>
        </w:tc>
      </w:tr>
      <w:tr w:rsidR="00551164" w:rsidRPr="00CC5A97" w14:paraId="53C5204C" w14:textId="77777777" w:rsidTr="000F0151">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1609E0" w14:textId="77777777" w:rsidR="00551164" w:rsidRPr="00CC5A97" w:rsidRDefault="00551164" w:rsidP="000F0151">
            <w:pPr>
              <w:pStyle w:val="TableDataEntries"/>
              <w:jc w:val="left"/>
            </w:pPr>
            <w:r w:rsidRPr="00CC5A97">
              <w:t>Lack of long-term lease security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858222" w14:textId="77777777" w:rsidR="00551164" w:rsidRPr="00CC5A97" w:rsidRDefault="00551164" w:rsidP="000F0151">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DE2F30" w14:textId="77777777" w:rsidR="00551164" w:rsidRPr="00CC5A97" w:rsidRDefault="00551164" w:rsidP="000F0151">
            <w:pPr>
              <w:pStyle w:val="TableDataEntries"/>
            </w:pPr>
            <w:r w:rsidRPr="00CC5A97">
              <w:t>0.7</w:t>
            </w:r>
          </w:p>
        </w:tc>
      </w:tr>
      <w:tr w:rsidR="00551164" w:rsidRPr="00CC5A97" w14:paraId="1AC74EA1" w14:textId="77777777" w:rsidTr="000F0151">
        <w:trPr>
          <w:trHeight w:val="252"/>
        </w:trPr>
        <w:tc>
          <w:tcPr>
            <w:tcW w:w="545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C74F7F9" w14:textId="77777777" w:rsidR="00551164" w:rsidRPr="00CC5A97" w:rsidRDefault="00551164" w:rsidP="000F0151">
            <w:pPr>
              <w:pStyle w:val="TableDataEntries"/>
              <w:jc w:val="left"/>
              <w:rPr>
                <w:rFonts w:ascii="Franklin Gothic Demi" w:hAnsi="Franklin Gothic Demi"/>
              </w:rPr>
            </w:pPr>
            <w:r w:rsidRPr="00CC5A97">
              <w:rPr>
                <w:rFonts w:ascii="Franklin Gothic Demi" w:hAnsi="Franklin Gothic Demi"/>
              </w:rPr>
              <w:t>Total</w:t>
            </w:r>
          </w:p>
        </w:tc>
        <w:tc>
          <w:tcPr>
            <w:tcW w:w="116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E59E8AB" w14:textId="77777777" w:rsidR="00551164" w:rsidRPr="00CC5A97" w:rsidRDefault="00551164" w:rsidP="000F0151">
            <w:pPr>
              <w:pStyle w:val="TableDataEntries"/>
              <w:rPr>
                <w:rFonts w:ascii="Franklin Gothic Demi" w:hAnsi="Franklin Gothic Demi"/>
              </w:rPr>
            </w:pPr>
            <w:r w:rsidRPr="00CC5A97">
              <w:rPr>
                <w:rFonts w:ascii="Franklin Gothic Demi" w:hAnsi="Franklin Gothic Demi"/>
              </w:rPr>
              <w:t>143</w:t>
            </w:r>
          </w:p>
        </w:tc>
        <w:tc>
          <w:tcPr>
            <w:tcW w:w="131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A3FC077" w14:textId="77777777" w:rsidR="00551164" w:rsidRPr="00CC5A97" w:rsidRDefault="00551164" w:rsidP="000F0151">
            <w:pPr>
              <w:pStyle w:val="TableDataEntries"/>
              <w:rPr>
                <w:rFonts w:ascii="Franklin Gothic Demi" w:hAnsi="Franklin Gothic Demi"/>
              </w:rPr>
            </w:pPr>
            <w:r w:rsidRPr="00CC5A97">
              <w:rPr>
                <w:rFonts w:ascii="Franklin Gothic Demi" w:hAnsi="Franklin Gothic Demi"/>
              </w:rPr>
              <w:t>100.0</w:t>
            </w:r>
          </w:p>
        </w:tc>
      </w:tr>
    </w:tbl>
    <w:p w14:paraId="6B202F35" w14:textId="1A239294" w:rsidR="00551164" w:rsidRDefault="00551164" w:rsidP="00551164">
      <w:pPr>
        <w:pStyle w:val="Source"/>
        <w:rPr>
          <w:lang w:bidi="fa-IR"/>
        </w:rPr>
      </w:pPr>
      <w:r w:rsidRPr="00CC5A97">
        <w:rPr>
          <w:i/>
          <w:lang w:bidi="fa-IR"/>
        </w:rPr>
        <w:t>Source:</w:t>
      </w:r>
      <w:r>
        <w:rPr>
          <w:lang w:bidi="fa-IR"/>
        </w:rPr>
        <w:t xml:space="preserve"> CIE compilation based on submissions</w:t>
      </w:r>
      <w:r w:rsidR="00CC5C24">
        <w:rPr>
          <w:lang w:bidi="fa-IR"/>
        </w:rPr>
        <w:t>.</w:t>
      </w:r>
    </w:p>
    <w:p w14:paraId="4CBFF159" w14:textId="77777777" w:rsidR="00A13CE4" w:rsidRDefault="00A13CE4" w:rsidP="00E4023A">
      <w:pPr>
        <w:pStyle w:val="BodyText"/>
        <w:rPr>
          <w:lang w:bidi="fa-IR"/>
        </w:rPr>
      </w:pPr>
      <w:r>
        <w:rPr>
          <w:lang w:bidi="fa-IR"/>
        </w:rPr>
        <w:t xml:space="preserve">It should be noted that some factors raised may be a different expression of the </w:t>
      </w:r>
      <w:r w:rsidR="005751C1">
        <w:rPr>
          <w:lang w:bidi="fa-IR"/>
        </w:rPr>
        <w:t>same factor</w:t>
      </w:r>
      <w:r>
        <w:rPr>
          <w:lang w:bidi="fa-IR"/>
        </w:rPr>
        <w:t xml:space="preserve">. For example, ‘no demand/different needs’ may be due to </w:t>
      </w:r>
      <w:r w:rsidR="004B67F0">
        <w:rPr>
          <w:lang w:bidi="fa-IR"/>
        </w:rPr>
        <w:t xml:space="preserve">low income and </w:t>
      </w:r>
      <w:r>
        <w:rPr>
          <w:lang w:bidi="fa-IR"/>
        </w:rPr>
        <w:t>affordability, or ‘</w:t>
      </w:r>
      <w:r w:rsidR="008C11C5">
        <w:rPr>
          <w:lang w:bidi="fa-IR"/>
        </w:rPr>
        <w:t>other</w:t>
      </w:r>
      <w:r>
        <w:rPr>
          <w:lang w:bidi="fa-IR"/>
        </w:rPr>
        <w:t xml:space="preserve"> aspiration’ which in turn appears related to ‘buyers failing to think about their future accessibility needs’.</w:t>
      </w:r>
    </w:p>
    <w:p w14:paraId="7A9ACF27" w14:textId="02D41C93" w:rsidR="004E736E" w:rsidRDefault="002D2E61" w:rsidP="006C5856">
      <w:pPr>
        <w:pStyle w:val="BodyText"/>
        <w:rPr>
          <w:lang w:bidi="fa-IR"/>
        </w:rPr>
      </w:pPr>
      <w:r>
        <w:rPr>
          <w:lang w:bidi="fa-IR"/>
        </w:rPr>
        <w:t xml:space="preserve">For more </w:t>
      </w:r>
      <w:r w:rsidR="00636756">
        <w:rPr>
          <w:lang w:bidi="fa-IR"/>
        </w:rPr>
        <w:t>details,</w:t>
      </w:r>
      <w:r>
        <w:rPr>
          <w:lang w:bidi="fa-IR"/>
        </w:rPr>
        <w:t xml:space="preserve"> please see appendix </w:t>
      </w:r>
      <w:r>
        <w:rPr>
          <w:lang w:bidi="fa-IR"/>
        </w:rPr>
        <w:fldChar w:fldCharType="begin"/>
      </w:r>
      <w:r>
        <w:rPr>
          <w:lang w:bidi="fa-IR"/>
        </w:rPr>
        <w:instrText xml:space="preserve"> REF _Ref55121504 \n \h </w:instrText>
      </w:r>
      <w:r>
        <w:rPr>
          <w:lang w:bidi="fa-IR"/>
        </w:rPr>
      </w:r>
      <w:r>
        <w:rPr>
          <w:lang w:bidi="fa-IR"/>
        </w:rPr>
        <w:fldChar w:fldCharType="separate"/>
      </w:r>
      <w:r w:rsidR="000F445C">
        <w:rPr>
          <w:lang w:bidi="fa-IR"/>
        </w:rPr>
        <w:t>A</w:t>
      </w:r>
      <w:r>
        <w:rPr>
          <w:lang w:bidi="fa-IR"/>
        </w:rPr>
        <w:fldChar w:fldCharType="end"/>
      </w:r>
      <w:r>
        <w:rPr>
          <w:lang w:bidi="fa-IR"/>
        </w:rPr>
        <w:t>.</w:t>
      </w:r>
    </w:p>
    <w:p w14:paraId="2009F39F" w14:textId="77777777" w:rsidR="004E736E" w:rsidRPr="00F51AF6" w:rsidRDefault="004E736E" w:rsidP="005B0289">
      <w:pPr>
        <w:pStyle w:val="Heading1"/>
      </w:pPr>
      <w:bookmarkStart w:id="330" w:name="_Toc32321752"/>
      <w:bookmarkStart w:id="331" w:name="_Toc44598440"/>
      <w:bookmarkStart w:id="332" w:name="_Toc45654071"/>
      <w:bookmarkStart w:id="333" w:name="_Ref61368193"/>
      <w:bookmarkStart w:id="334" w:name="_Ref62750902"/>
      <w:bookmarkStart w:id="335" w:name="_Toc70505103"/>
      <w:r>
        <w:lastRenderedPageBreak/>
        <w:t>Objectives and options</w:t>
      </w:r>
      <w:bookmarkEnd w:id="330"/>
      <w:bookmarkEnd w:id="331"/>
      <w:bookmarkEnd w:id="332"/>
      <w:bookmarkEnd w:id="333"/>
      <w:bookmarkEnd w:id="334"/>
      <w:bookmarkEnd w:id="335"/>
    </w:p>
    <w:p w14:paraId="38D3D655" w14:textId="77777777" w:rsidR="00F30A57" w:rsidRDefault="00F30A57" w:rsidP="00F30A57">
      <w:pPr>
        <w:pStyle w:val="Heading2"/>
        <w:numPr>
          <w:ilvl w:val="1"/>
          <w:numId w:val="5"/>
        </w:numPr>
      </w:pPr>
      <w:bookmarkStart w:id="336" w:name="_Toc32321753"/>
      <w:bookmarkStart w:id="337" w:name="_Toc44598441"/>
      <w:bookmarkStart w:id="338" w:name="_Toc45654072"/>
      <w:bookmarkStart w:id="339" w:name="_Toc70505104"/>
      <w:r>
        <w:t>Objectives</w:t>
      </w:r>
      <w:bookmarkEnd w:id="336"/>
      <w:bookmarkEnd w:id="337"/>
      <w:bookmarkEnd w:id="338"/>
      <w:bookmarkEnd w:id="339"/>
    </w:p>
    <w:p w14:paraId="31D23DDE" w14:textId="77777777" w:rsidR="00F30A57" w:rsidRDefault="00F30A57" w:rsidP="00F30A57">
      <w:pPr>
        <w:pStyle w:val="BodyText"/>
      </w:pPr>
      <w:r>
        <w:t>Under the COAG Guidelines, a RIS should clearly articulate the objectives, intended outcomes, goals or targets of government policy.</w:t>
      </w:r>
      <w:r>
        <w:rPr>
          <w:rStyle w:val="FootnoteReference"/>
        </w:rPr>
        <w:footnoteReference w:id="176"/>
      </w:r>
    </w:p>
    <w:p w14:paraId="699C2FF5" w14:textId="77777777" w:rsidR="00BD428A" w:rsidRDefault="00BD428A" w:rsidP="00BD428A">
      <w:pPr>
        <w:pStyle w:val="Heading3"/>
        <w:numPr>
          <w:ilvl w:val="2"/>
          <w:numId w:val="5"/>
        </w:numPr>
      </w:pPr>
      <w:r>
        <w:t>Broader government policy objectives</w:t>
      </w:r>
    </w:p>
    <w:p w14:paraId="27E8C0B1" w14:textId="77777777" w:rsidR="00BD428A" w:rsidRDefault="00BD428A" w:rsidP="00BD428A">
      <w:pPr>
        <w:pStyle w:val="BodyText"/>
      </w:pPr>
      <w:r>
        <w:t>Accessible housing issues cut across several policy areas, including disability and aged care policy. In establishing the objectives of the proposed change to the NCC</w:t>
      </w:r>
      <w:r w:rsidR="00F80A1C">
        <w:t>,</w:t>
      </w:r>
      <w:r>
        <w:t xml:space="preserve"> it is important to consider the Government’s broader objectives in these policy areas.</w:t>
      </w:r>
    </w:p>
    <w:p w14:paraId="2735155A" w14:textId="77777777" w:rsidR="00BD428A" w:rsidRDefault="00BD428A" w:rsidP="00BD428A">
      <w:pPr>
        <w:pStyle w:val="Heading4"/>
      </w:pPr>
      <w:r>
        <w:t>Disability policy</w:t>
      </w:r>
    </w:p>
    <w:p w14:paraId="3A80E960" w14:textId="77777777" w:rsidR="00BD428A" w:rsidRDefault="00BD428A" w:rsidP="00BD428A">
      <w:pPr>
        <w:pStyle w:val="BodyText"/>
      </w:pPr>
      <w:r>
        <w:t xml:space="preserve">The </w:t>
      </w:r>
      <w:r w:rsidR="00E51D71">
        <w:t>NDS</w:t>
      </w:r>
      <w:r>
        <w:t xml:space="preserve"> adopts the principles set out in Article 3 of the </w:t>
      </w:r>
      <w:r w:rsidR="00CD3407">
        <w:t>UN</w:t>
      </w:r>
      <w:r>
        <w:t>CRPD:</w:t>
      </w:r>
    </w:p>
    <w:p w14:paraId="7E85CCE1" w14:textId="77777777" w:rsidR="00BD428A" w:rsidRDefault="00BD428A" w:rsidP="00BD428A">
      <w:pPr>
        <w:pStyle w:val="ListBullet"/>
        <w:numPr>
          <w:ilvl w:val="0"/>
          <w:numId w:val="16"/>
        </w:numPr>
      </w:pPr>
      <w:r>
        <w:t>respect for inherent dignity, individual autonomy including the freedom to make one’s own choices, and independence of persons</w:t>
      </w:r>
    </w:p>
    <w:p w14:paraId="6E11DF1A" w14:textId="77777777" w:rsidR="00BD428A" w:rsidRDefault="00BD428A" w:rsidP="00BD428A">
      <w:pPr>
        <w:pStyle w:val="ListBullet"/>
        <w:numPr>
          <w:ilvl w:val="0"/>
          <w:numId w:val="16"/>
        </w:numPr>
      </w:pPr>
      <w:r>
        <w:t xml:space="preserve">non-discrimination </w:t>
      </w:r>
    </w:p>
    <w:p w14:paraId="3EA8E2F4" w14:textId="77777777" w:rsidR="00BD428A" w:rsidRDefault="00BD428A" w:rsidP="00BD428A">
      <w:pPr>
        <w:pStyle w:val="ListBullet"/>
        <w:numPr>
          <w:ilvl w:val="0"/>
          <w:numId w:val="16"/>
        </w:numPr>
      </w:pPr>
      <w:r>
        <w:t xml:space="preserve">full and effective participation and inclusion in society </w:t>
      </w:r>
    </w:p>
    <w:p w14:paraId="701783E1" w14:textId="77777777" w:rsidR="00BD428A" w:rsidRDefault="00BD428A" w:rsidP="00BD428A">
      <w:pPr>
        <w:pStyle w:val="ListBullet"/>
        <w:numPr>
          <w:ilvl w:val="0"/>
          <w:numId w:val="16"/>
        </w:numPr>
      </w:pPr>
      <w:r>
        <w:t xml:space="preserve">respect for difference and acceptance of persons with disabilities as part of human diversity and humanity </w:t>
      </w:r>
    </w:p>
    <w:p w14:paraId="512B3564" w14:textId="77777777" w:rsidR="00BD428A" w:rsidRDefault="00BD428A" w:rsidP="00BD428A">
      <w:pPr>
        <w:pStyle w:val="ListBullet"/>
        <w:numPr>
          <w:ilvl w:val="0"/>
          <w:numId w:val="16"/>
        </w:numPr>
      </w:pPr>
      <w:r>
        <w:t xml:space="preserve">equality of opportunity </w:t>
      </w:r>
    </w:p>
    <w:p w14:paraId="01AC117A" w14:textId="77777777" w:rsidR="00BD428A" w:rsidRDefault="00BD428A" w:rsidP="00BD428A">
      <w:pPr>
        <w:pStyle w:val="ListBullet"/>
        <w:numPr>
          <w:ilvl w:val="0"/>
          <w:numId w:val="16"/>
        </w:numPr>
      </w:pPr>
      <w:r>
        <w:t xml:space="preserve">accessibility </w:t>
      </w:r>
    </w:p>
    <w:p w14:paraId="4127281F" w14:textId="77777777" w:rsidR="00BD428A" w:rsidRDefault="00BD428A" w:rsidP="00BD428A">
      <w:pPr>
        <w:pStyle w:val="ListBullet"/>
        <w:numPr>
          <w:ilvl w:val="0"/>
          <w:numId w:val="16"/>
        </w:numPr>
      </w:pPr>
      <w:r>
        <w:t xml:space="preserve">equality between men and women </w:t>
      </w:r>
    </w:p>
    <w:p w14:paraId="163B0CF3" w14:textId="77777777" w:rsidR="00BD428A" w:rsidRDefault="00BD428A" w:rsidP="00BD428A">
      <w:pPr>
        <w:pStyle w:val="ListBullet"/>
        <w:numPr>
          <w:ilvl w:val="0"/>
          <w:numId w:val="16"/>
        </w:numPr>
      </w:pPr>
      <w:r>
        <w:t>respect for the evolving capacities of children with disabilities and respect for the right of children with disabilities to preserve their identities.</w:t>
      </w:r>
    </w:p>
    <w:p w14:paraId="726C8F08" w14:textId="77777777" w:rsidR="00BD428A" w:rsidRDefault="00BD428A" w:rsidP="00BD428A">
      <w:pPr>
        <w:pStyle w:val="BodyText"/>
      </w:pPr>
      <w:r>
        <w:t xml:space="preserve">More specifically, Outcome 1 of the </w:t>
      </w:r>
      <w:r w:rsidR="001B5E76">
        <w:t>NDS</w:t>
      </w:r>
      <w:r>
        <w:t xml:space="preserve"> is:</w:t>
      </w:r>
    </w:p>
    <w:p w14:paraId="49B80E0E" w14:textId="77777777" w:rsidR="00BD428A" w:rsidRDefault="00BD428A" w:rsidP="00BD428A">
      <w:pPr>
        <w:pStyle w:val="Quote"/>
      </w:pPr>
      <w:r>
        <w:t xml:space="preserve">“People with disability live in accessible and </w:t>
      </w:r>
      <w:r w:rsidR="1F6EF921">
        <w:t>well</w:t>
      </w:r>
      <w:r w:rsidR="0046449E">
        <w:t>-</w:t>
      </w:r>
      <w:r>
        <w:t>designed communities with opportunities for full inclusion in economic, sporting and cultural life.”</w:t>
      </w:r>
      <w:r>
        <w:rPr>
          <w:rStyle w:val="FootnoteReference"/>
        </w:rPr>
        <w:footnoteReference w:id="177"/>
      </w:r>
    </w:p>
    <w:p w14:paraId="35001B82" w14:textId="77777777" w:rsidR="00BD428A" w:rsidRDefault="00BD428A" w:rsidP="00BD428A">
      <w:pPr>
        <w:pStyle w:val="BodyText"/>
      </w:pPr>
      <w:r>
        <w:t>Policy Direction 3 under Outcome 1 refers to:</w:t>
      </w:r>
    </w:p>
    <w:p w14:paraId="602C1DB2" w14:textId="77777777" w:rsidR="00BD428A" w:rsidRDefault="00BD428A" w:rsidP="00BD428A">
      <w:pPr>
        <w:pStyle w:val="Quote"/>
      </w:pPr>
      <w:r>
        <w:lastRenderedPageBreak/>
        <w:t>“Improved provision of accessible and well designed housing with choice for people with disability about where they live”.</w:t>
      </w:r>
      <w:r>
        <w:rPr>
          <w:rStyle w:val="FootnoteReference"/>
        </w:rPr>
        <w:footnoteReference w:id="178"/>
      </w:r>
    </w:p>
    <w:p w14:paraId="177C1CD8" w14:textId="77777777" w:rsidR="00BD428A" w:rsidRDefault="00BD428A" w:rsidP="00BD428A">
      <w:pPr>
        <w:pStyle w:val="BodyText"/>
      </w:pPr>
      <w:r>
        <w:t xml:space="preserve">Similar themes — including equity and fostering independence — were raised in submissions to </w:t>
      </w:r>
      <w:r w:rsidR="00F745EE">
        <w:t xml:space="preserve">the </w:t>
      </w:r>
      <w:r>
        <w:t xml:space="preserve">ABCB’s Options Paper, although the </w:t>
      </w:r>
      <w:r w:rsidR="00E67A99">
        <w:t xml:space="preserve">Options Paper </w:t>
      </w:r>
      <w:r>
        <w:t xml:space="preserve">Consultation Report </w:t>
      </w:r>
      <w:r w:rsidR="00AB6415">
        <w:t xml:space="preserve">(the consultation report) </w:t>
      </w:r>
      <w:r>
        <w:t>noted that these objectives were generally not well defined.</w:t>
      </w:r>
    </w:p>
    <w:p w14:paraId="0F6B4285" w14:textId="77777777" w:rsidR="00BD428A" w:rsidRDefault="00BD428A" w:rsidP="00BD428A">
      <w:pPr>
        <w:pStyle w:val="ListBullet"/>
        <w:numPr>
          <w:ilvl w:val="0"/>
          <w:numId w:val="16"/>
        </w:numPr>
      </w:pPr>
      <w:r>
        <w:t>According to the Consultation Report, a definition of ‘equity’ can be gleaned from the existing NCC provisions that address accessibility of public buildings. One of the objectives of those provisions is to provide people with ‘safe, equitable and dignified’</w:t>
      </w:r>
      <w:r>
        <w:rPr>
          <w:sz w:val="14"/>
          <w:szCs w:val="14"/>
        </w:rPr>
        <w:t xml:space="preserve"> </w:t>
      </w:r>
      <w:r>
        <w:t xml:space="preserve">access to buildings. In that context, the use of the term ‘equitable’ is explained as follows: </w:t>
      </w:r>
    </w:p>
    <w:p w14:paraId="20E396B3" w14:textId="77777777" w:rsidR="00BD428A" w:rsidRDefault="00BD428A" w:rsidP="00BD428A">
      <w:pPr>
        <w:pStyle w:val="Quote"/>
      </w:pPr>
      <w:r>
        <w:t>“One of the primary intentions of the [Disability Discrimination Act] is to provide people with a disability with the same rights as the rest of the community.</w:t>
      </w:r>
    </w:p>
    <w:p w14:paraId="56191536" w14:textId="77777777" w:rsidR="00BD428A" w:rsidRDefault="00BD428A" w:rsidP="00BD428A">
      <w:pPr>
        <w:pStyle w:val="Quote"/>
        <w:rPr>
          <w:sz w:val="14"/>
          <w:szCs w:val="14"/>
        </w:rPr>
      </w:pPr>
      <w:r>
        <w:t>The word ‘equitable’ refers to concepts of fairness and equality. It does not mean that all people must be able to do the same thing in the same way. However, if some people can use a building for a particular purpose, then most people should be able to use the building for that purpose.</w:t>
      </w:r>
      <w:r>
        <w:rPr>
          <w:sz w:val="14"/>
          <w:szCs w:val="14"/>
        </w:rPr>
        <w:t>”</w:t>
      </w:r>
      <w:r>
        <w:rPr>
          <w:rStyle w:val="FootnoteReference"/>
        </w:rPr>
        <w:footnoteReference w:id="179"/>
      </w:r>
    </w:p>
    <w:p w14:paraId="1B4F9DB3" w14:textId="77777777" w:rsidR="00BD428A" w:rsidRDefault="00BD428A" w:rsidP="00BD428A">
      <w:pPr>
        <w:pStyle w:val="ListBullet"/>
        <w:numPr>
          <w:ilvl w:val="0"/>
          <w:numId w:val="16"/>
        </w:numPr>
      </w:pPr>
      <w:r>
        <w:t xml:space="preserve">Based on the broader body of literature, </w:t>
      </w:r>
      <w:r w:rsidR="00F745EE">
        <w:t xml:space="preserve">the </w:t>
      </w:r>
      <w:r>
        <w:t>ABCB inferred that the objective of ‘fostering independence’ refers to the potential for accessible housing to lead to increased ability for people (with disability) to minimise their dependence on others to carry out households tasks.</w:t>
      </w:r>
      <w:r>
        <w:rPr>
          <w:rStyle w:val="FootnoteReference"/>
        </w:rPr>
        <w:footnoteReference w:id="180"/>
      </w:r>
    </w:p>
    <w:p w14:paraId="586190C7" w14:textId="77777777" w:rsidR="00BD428A" w:rsidRDefault="00BD428A" w:rsidP="00BD428A">
      <w:pPr>
        <w:pStyle w:val="Heading4"/>
      </w:pPr>
      <w:r>
        <w:t>Aged care policy</w:t>
      </w:r>
    </w:p>
    <w:p w14:paraId="31FBF756" w14:textId="77777777" w:rsidR="00BD428A" w:rsidRDefault="00BD428A" w:rsidP="00BD428A">
      <w:pPr>
        <w:pStyle w:val="BodyText"/>
      </w:pPr>
      <w:r>
        <w:t>A key focus of aged care reforms over recent years has been to improve support for people to remain at home for as long as possible.</w:t>
      </w:r>
      <w:r>
        <w:rPr>
          <w:rStyle w:val="FootnoteReference"/>
        </w:rPr>
        <w:footnoteReference w:id="181"/>
      </w:r>
      <w:r>
        <w:t xml:space="preserve"> This aligns with the preference of many older Australians, as well as having the potential to reduce the cost of care met by the Australian Government.</w:t>
      </w:r>
    </w:p>
    <w:p w14:paraId="2A4C7E4D" w14:textId="77777777" w:rsidR="00BD428A" w:rsidRDefault="00BD428A" w:rsidP="00BD428A">
      <w:pPr>
        <w:pStyle w:val="Heading3"/>
        <w:numPr>
          <w:ilvl w:val="2"/>
          <w:numId w:val="5"/>
        </w:numPr>
      </w:pPr>
      <w:r>
        <w:t>Objectives of the proposed changes to the NCC</w:t>
      </w:r>
    </w:p>
    <w:p w14:paraId="53962491" w14:textId="77777777" w:rsidR="00BD428A" w:rsidRDefault="00F745EE" w:rsidP="00BD428A">
      <w:pPr>
        <w:pStyle w:val="BodyText"/>
      </w:pPr>
      <w:r>
        <w:t xml:space="preserve">The </w:t>
      </w:r>
      <w:r w:rsidR="00BD428A">
        <w:t>ABCB’s Consultation Report notes that equity and fostering independence can both be considered relevant objectives.</w:t>
      </w:r>
      <w:r w:rsidR="00BD428A">
        <w:rPr>
          <w:rStyle w:val="FootnoteReference"/>
        </w:rPr>
        <w:footnoteReference w:id="182"/>
      </w:r>
      <w:r w:rsidR="00BD428A">
        <w:t xml:space="preserve"> That said, there are a range of other policies in place that are already intended to address these objectives directly.</w:t>
      </w:r>
    </w:p>
    <w:p w14:paraId="4205AB4A" w14:textId="77777777" w:rsidR="00BD428A" w:rsidRDefault="005751C1" w:rsidP="00BD428A">
      <w:pPr>
        <w:pStyle w:val="BodyText"/>
      </w:pPr>
      <w:r>
        <w:lastRenderedPageBreak/>
        <w:t>During consultation some</w:t>
      </w:r>
      <w:r w:rsidR="00BD428A">
        <w:t xml:space="preserve"> stakeholders suggested that the objective is to ‘mainstream’ universal design principles. </w:t>
      </w:r>
      <w:r>
        <w:t xml:space="preserve">This suggestion is not in keeping with </w:t>
      </w:r>
      <w:r w:rsidR="00BD428A">
        <w:t>the COAG RIS Guidelines</w:t>
      </w:r>
      <w:r w:rsidR="000F3900">
        <w:t xml:space="preserve"> which state</w:t>
      </w:r>
      <w:r w:rsidR="00BD428A">
        <w:t xml:space="preserve"> the objectives should not pre</w:t>
      </w:r>
      <w:r w:rsidR="00BD428A">
        <w:noBreakHyphen/>
        <w:t>justify a preferred solution.</w:t>
      </w:r>
      <w:r w:rsidR="00BD428A">
        <w:rPr>
          <w:rStyle w:val="FootnoteReference"/>
        </w:rPr>
        <w:footnoteReference w:id="183"/>
      </w:r>
    </w:p>
    <w:p w14:paraId="6E88FCD6" w14:textId="77777777" w:rsidR="00BD428A" w:rsidRPr="00503830" w:rsidRDefault="000F3900" w:rsidP="00BD428A">
      <w:pPr>
        <w:pStyle w:val="BodyText"/>
      </w:pPr>
      <w:r>
        <w:t>In recognition</w:t>
      </w:r>
      <w:r w:rsidR="00BD428A">
        <w:t xml:space="preserve"> that the proposal is based on universal design principles (that aim to meet the needs of the largest number of people), rather than the specific needs of people with </w:t>
      </w:r>
      <w:r w:rsidR="00D870C0">
        <w:t>disability</w:t>
      </w:r>
      <w:r w:rsidR="00BD428A">
        <w:t xml:space="preserve">, </w:t>
      </w:r>
      <w:r w:rsidR="00154D6D">
        <w:t xml:space="preserve">CIE </w:t>
      </w:r>
      <w:r w:rsidR="00BD428A">
        <w:t>propose</w:t>
      </w:r>
      <w:r w:rsidR="00154D6D">
        <w:t>s</w:t>
      </w:r>
      <w:r w:rsidR="00BD428A">
        <w:t xml:space="preserve"> an objective that applies more generally to the broader community, but is also specifically related to dwellings as follows.</w:t>
      </w:r>
    </w:p>
    <w:p w14:paraId="18589E79" w14:textId="77777777" w:rsidR="00BD428A" w:rsidRPr="00634BB9" w:rsidRDefault="00BD428A" w:rsidP="008D23B4">
      <w:pPr>
        <w:pStyle w:val="KeyPoint"/>
        <w:numPr>
          <w:ilvl w:val="0"/>
          <w:numId w:val="11"/>
        </w:numPr>
        <w:rPr>
          <w:lang w:bidi="fa-IR"/>
        </w:rPr>
      </w:pPr>
      <w:r w:rsidRPr="00634BB9">
        <w:rPr>
          <w:lang w:bidi="fa-IR"/>
        </w:rPr>
        <w:t xml:space="preserve">To ensure that </w:t>
      </w:r>
      <w:r>
        <w:rPr>
          <w:lang w:bidi="fa-IR"/>
        </w:rPr>
        <w:t xml:space="preserve">new </w:t>
      </w:r>
      <w:r w:rsidRPr="00634BB9">
        <w:rPr>
          <w:lang w:bidi="fa-IR"/>
        </w:rPr>
        <w:t xml:space="preserve">housing is designed to meet the needs of the community, including older </w:t>
      </w:r>
      <w:r>
        <w:rPr>
          <w:lang w:bidi="fa-IR"/>
        </w:rPr>
        <w:t>Australians</w:t>
      </w:r>
      <w:r w:rsidRPr="00634BB9">
        <w:rPr>
          <w:lang w:bidi="fa-IR"/>
        </w:rPr>
        <w:t xml:space="preserve"> and </w:t>
      </w:r>
      <w:r>
        <w:rPr>
          <w:lang w:bidi="fa-IR"/>
        </w:rPr>
        <w:t>others</w:t>
      </w:r>
      <w:r w:rsidRPr="00634BB9">
        <w:rPr>
          <w:lang w:bidi="fa-IR"/>
        </w:rPr>
        <w:t xml:space="preserve"> with mobility</w:t>
      </w:r>
      <w:r>
        <w:rPr>
          <w:lang w:bidi="fa-IR"/>
        </w:rPr>
        <w:t xml:space="preserve"> limitations</w:t>
      </w:r>
      <w:r w:rsidRPr="00634BB9">
        <w:rPr>
          <w:lang w:bidi="fa-IR"/>
        </w:rPr>
        <w:t>.</w:t>
      </w:r>
    </w:p>
    <w:p w14:paraId="1AC43DD5" w14:textId="77777777" w:rsidR="00BD428A" w:rsidRPr="008C26D0" w:rsidRDefault="00BD428A" w:rsidP="00BD428A">
      <w:pPr>
        <w:pStyle w:val="Heading2"/>
        <w:numPr>
          <w:ilvl w:val="1"/>
          <w:numId w:val="5"/>
        </w:numPr>
      </w:pPr>
      <w:bookmarkStart w:id="340" w:name="_Toc32321754"/>
      <w:bookmarkStart w:id="341" w:name="_Toc44598442"/>
      <w:bookmarkStart w:id="342" w:name="_Toc45654073"/>
      <w:bookmarkStart w:id="343" w:name="_Toc56174518"/>
      <w:bookmarkStart w:id="344" w:name="_Toc70505105"/>
      <w:r w:rsidRPr="008C26D0">
        <w:t>Options</w:t>
      </w:r>
      <w:bookmarkEnd w:id="340"/>
      <w:bookmarkEnd w:id="341"/>
      <w:bookmarkEnd w:id="342"/>
      <w:bookmarkEnd w:id="343"/>
      <w:bookmarkEnd w:id="344"/>
    </w:p>
    <w:p w14:paraId="7584DEDB" w14:textId="77777777" w:rsidR="00BD428A" w:rsidRDefault="00BD428A" w:rsidP="00BD428A">
      <w:pPr>
        <w:pStyle w:val="BodyText"/>
      </w:pPr>
      <w:r>
        <w:t>The COAG Guidelines require that a RIS identifies a range of viable options including, as appropriate, non</w:t>
      </w:r>
      <w:r>
        <w:noBreakHyphen/>
        <w:t>regulatory, self</w:t>
      </w:r>
      <w:r>
        <w:noBreakHyphen/>
        <w:t>regulatory and co</w:t>
      </w:r>
      <w:r>
        <w:noBreakHyphen/>
        <w:t>regulatory options.</w:t>
      </w:r>
      <w:r>
        <w:rPr>
          <w:rStyle w:val="FootnoteReference"/>
        </w:rPr>
        <w:footnoteReference w:id="184"/>
      </w:r>
      <w:r w:rsidR="000F3900">
        <w:t xml:space="preserve"> Six options have been considered in this RIS and are discussed below.</w:t>
      </w:r>
    </w:p>
    <w:p w14:paraId="05666688" w14:textId="77777777" w:rsidR="00BD428A" w:rsidRDefault="00BD428A" w:rsidP="00BD428A">
      <w:pPr>
        <w:pStyle w:val="Heading3"/>
        <w:numPr>
          <w:ilvl w:val="2"/>
          <w:numId w:val="5"/>
        </w:numPr>
      </w:pPr>
      <w:bookmarkStart w:id="345" w:name="_Toc24977928"/>
      <w:r>
        <w:t>Options to include accessible housing standards in the NCC</w:t>
      </w:r>
      <w:bookmarkEnd w:id="345"/>
    </w:p>
    <w:p w14:paraId="44782355" w14:textId="77777777" w:rsidR="00BD428A" w:rsidRDefault="00BD428A" w:rsidP="00BD428A">
      <w:pPr>
        <w:pStyle w:val="BodyText"/>
      </w:pPr>
      <w:r>
        <w:t xml:space="preserve">The proposed changes to the NCC are broadly based on the </w:t>
      </w:r>
      <w:r w:rsidR="00591B4E">
        <w:t>LH</w:t>
      </w:r>
      <w:r w:rsidR="009C64DC">
        <w:t>DG</w:t>
      </w:r>
      <w:r>
        <w:t xml:space="preserve"> produced by Livable Housing Australia.</w:t>
      </w:r>
    </w:p>
    <w:p w14:paraId="4FF048FF" w14:textId="77777777" w:rsidR="00BD428A" w:rsidRDefault="00BD428A" w:rsidP="00BD428A">
      <w:pPr>
        <w:pStyle w:val="ListBullet"/>
        <w:numPr>
          <w:ilvl w:val="0"/>
          <w:numId w:val="16"/>
        </w:numPr>
      </w:pPr>
      <w:r>
        <w:t>Option 1 is based on the silver standard</w:t>
      </w:r>
    </w:p>
    <w:p w14:paraId="502D45AA" w14:textId="77777777" w:rsidR="00BD428A" w:rsidRDefault="00BD428A" w:rsidP="00BD428A">
      <w:pPr>
        <w:pStyle w:val="ListBullet"/>
        <w:numPr>
          <w:ilvl w:val="0"/>
          <w:numId w:val="16"/>
        </w:numPr>
      </w:pPr>
      <w:r>
        <w:t>Option 2 is based on the gold standard</w:t>
      </w:r>
    </w:p>
    <w:p w14:paraId="73D65B3A" w14:textId="77777777" w:rsidR="00BD428A" w:rsidRDefault="00BD428A" w:rsidP="00BD428A">
      <w:pPr>
        <w:pStyle w:val="ListBullet"/>
        <w:numPr>
          <w:ilvl w:val="0"/>
          <w:numId w:val="16"/>
        </w:numPr>
      </w:pPr>
      <w:r>
        <w:t>Option 3 is based on the gold standard, with some additional features from the platinum standard.</w:t>
      </w:r>
    </w:p>
    <w:p w14:paraId="0176C36C" w14:textId="77777777" w:rsidR="00BD428A" w:rsidRDefault="00BD428A" w:rsidP="00BD428A">
      <w:pPr>
        <w:pStyle w:val="BodyText"/>
        <w:rPr>
          <w:lang w:bidi="fa-IR"/>
        </w:rPr>
      </w:pPr>
      <w:r>
        <w:rPr>
          <w:lang w:bidi="fa-IR"/>
        </w:rPr>
        <w:t>The proposed standards are summarised in table </w:t>
      </w:r>
      <w:r w:rsidR="000A5FDF">
        <w:rPr>
          <w:lang w:bidi="fa-IR"/>
        </w:rPr>
        <w:t>4.1</w:t>
      </w:r>
      <w:r>
        <w:rPr>
          <w:lang w:bidi="fa-IR"/>
        </w:rPr>
        <w:t xml:space="preserve">. These options </w:t>
      </w:r>
      <w:r w:rsidR="000F3900">
        <w:rPr>
          <w:lang w:bidi="fa-IR"/>
        </w:rPr>
        <w:t>are</w:t>
      </w:r>
      <w:r>
        <w:rPr>
          <w:lang w:bidi="fa-IR"/>
        </w:rPr>
        <w:t xml:space="preserve"> based on universal design principles, focusing mostly on design improvements that have broad benefits across many future residents (including future residents without a mobility</w:t>
      </w:r>
      <w:r>
        <w:rPr>
          <w:lang w:bidi="fa-IR"/>
        </w:rPr>
        <w:noBreakHyphen/>
        <w:t>related disability), rather than design features specific to those with a mobility</w:t>
      </w:r>
      <w:r>
        <w:rPr>
          <w:lang w:bidi="fa-IR"/>
        </w:rPr>
        <w:noBreakHyphen/>
        <w:t>related disability.</w:t>
      </w:r>
    </w:p>
    <w:p w14:paraId="4433C9BF" w14:textId="77777777" w:rsidR="00BD428A" w:rsidRPr="00633A7B" w:rsidRDefault="00BD428A" w:rsidP="00BD428A">
      <w:pPr>
        <w:pStyle w:val="BodyText"/>
        <w:rPr>
          <w:lang w:eastAsia="en-US" w:bidi="fa-IR"/>
        </w:rPr>
      </w:pPr>
      <w:r w:rsidRPr="00633A7B">
        <w:rPr>
          <w:lang w:eastAsia="en-US" w:bidi="fa-IR"/>
        </w:rPr>
        <w:t>The</w:t>
      </w:r>
      <w:r w:rsidR="000F3900">
        <w:rPr>
          <w:lang w:eastAsia="en-US" w:bidi="fa-IR"/>
        </w:rPr>
        <w:t xml:space="preserve"> options</w:t>
      </w:r>
      <w:r w:rsidRPr="00633A7B">
        <w:rPr>
          <w:lang w:eastAsia="en-US" w:bidi="fa-IR"/>
        </w:rPr>
        <w:t xml:space="preserve"> apply to all Class 1a (houses) and Class 2 (apartments) dwellings</w:t>
      </w:r>
      <w:r w:rsidR="00921644">
        <w:rPr>
          <w:lang w:eastAsia="en-US" w:bidi="fa-IR"/>
        </w:rPr>
        <w:t xml:space="preserve"> subject to some exemptions (discussed below)</w:t>
      </w:r>
      <w:r w:rsidRPr="00633A7B">
        <w:rPr>
          <w:lang w:eastAsia="en-US" w:bidi="fa-IR"/>
        </w:rPr>
        <w:t>.</w:t>
      </w:r>
    </w:p>
    <w:p w14:paraId="1768ABFC" w14:textId="77777777" w:rsidR="00490F02" w:rsidRDefault="00490F02" w:rsidP="00BD428A">
      <w:pPr>
        <w:pStyle w:val="Caption"/>
        <w:ind w:left="568" w:hanging="568"/>
      </w:pPr>
      <w:bookmarkStart w:id="346" w:name="_Toc24977957"/>
      <w:bookmarkStart w:id="347" w:name="_Toc32321819"/>
      <w:bookmarkStart w:id="348" w:name="_Toc44598516"/>
      <w:bookmarkStart w:id="349" w:name="_Toc45654147"/>
      <w:bookmarkStart w:id="350" w:name="_Toc56174591"/>
      <w:bookmarkStart w:id="351" w:name="_Toc57643638"/>
      <w:r>
        <w:br w:type="page"/>
      </w:r>
    </w:p>
    <w:p w14:paraId="11CF711E" w14:textId="60C59818" w:rsidR="00BD428A" w:rsidRPr="00633A7B" w:rsidRDefault="00490F02" w:rsidP="00BD428A">
      <w:pPr>
        <w:pStyle w:val="Caption"/>
        <w:ind w:left="568" w:hanging="568"/>
        <w:rPr>
          <w:vertAlign w:val="superscript"/>
        </w:rPr>
      </w:pPr>
      <w:bookmarkStart w:id="352" w:name="_Toc70505554"/>
      <w:r>
        <w:lastRenderedPageBreak/>
        <w:t>4.1</w:t>
      </w:r>
      <w:r w:rsidR="00BD428A" w:rsidRPr="00633A7B">
        <w:tab/>
        <w:t>Key requirements to be added to NCC</w:t>
      </w:r>
      <w:r w:rsidR="00BD428A" w:rsidRPr="00633A7B">
        <w:rPr>
          <w:rStyle w:val="NoteLabel"/>
        </w:rPr>
        <w:t xml:space="preserve"> </w:t>
      </w:r>
      <w:r w:rsidR="00BD428A" w:rsidRPr="00633A7B">
        <w:t xml:space="preserve">under different stringency </w:t>
      </w:r>
      <w:r w:rsidR="005C708D">
        <w:t>under consideration</w:t>
      </w:r>
      <w:bookmarkEnd w:id="346"/>
      <w:bookmarkEnd w:id="347"/>
      <w:bookmarkEnd w:id="348"/>
      <w:bookmarkEnd w:id="349"/>
      <w:bookmarkEnd w:id="350"/>
      <w:bookmarkEnd w:id="351"/>
      <w:bookmarkEnd w:id="352"/>
    </w:p>
    <w:tbl>
      <w:tblPr>
        <w:tblStyle w:val="TableGridLight"/>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1: Key requirements to be added to NCC under different stringency options considered by ABCB"/>
        <w:tblDescription w:val="This table outlines three options to include accessibly housing standards in the NCC. Option 1 is based on the Silver standard, Option 2 is is based on the Gold standard, and Option 3 is is based on the Gold standard with some additional features. There is a list of required elements in column 1, including dwelling access and entry, internal doors and corridors, and toilet, with specific requirements for each element in columns 2, 3 and 4."/>
      </w:tblPr>
      <w:tblGrid>
        <w:gridCol w:w="1560"/>
        <w:gridCol w:w="2409"/>
        <w:gridCol w:w="3966"/>
      </w:tblGrid>
      <w:tr w:rsidR="00D95ED6" w:rsidRPr="006A693A" w14:paraId="6B6C67A5" w14:textId="77777777" w:rsidTr="00CC5C24">
        <w:trPr>
          <w:tblHeader/>
        </w:trPr>
        <w:tc>
          <w:tcPr>
            <w:tcW w:w="1560" w:type="dxa"/>
            <w:tcBorders>
              <w:bottom w:val="single" w:sz="8" w:space="0" w:color="FFFFFF" w:themeColor="background1"/>
            </w:tcBorders>
            <w:shd w:val="clear" w:color="auto" w:fill="6F6652" w:themeFill="accent5"/>
            <w:hideMark/>
          </w:tcPr>
          <w:p w14:paraId="5E334AD6" w14:textId="77777777" w:rsidR="00D95ED6" w:rsidRPr="006A693A" w:rsidRDefault="00D95ED6" w:rsidP="00300B7C">
            <w:pPr>
              <w:pStyle w:val="TableTextColumnHeading"/>
              <w:rPr>
                <w:lang w:bidi="fa-IR"/>
              </w:rPr>
            </w:pPr>
            <w:r w:rsidRPr="006A693A">
              <w:rPr>
                <w:lang w:bidi="fa-IR"/>
              </w:rPr>
              <w:t>Required element</w:t>
            </w:r>
          </w:p>
        </w:tc>
        <w:tc>
          <w:tcPr>
            <w:tcW w:w="2409" w:type="dxa"/>
            <w:tcBorders>
              <w:bottom w:val="single" w:sz="8" w:space="0" w:color="FFFFFF" w:themeColor="background1"/>
            </w:tcBorders>
            <w:shd w:val="clear" w:color="auto" w:fill="6F6652" w:themeFill="accent5"/>
            <w:hideMark/>
          </w:tcPr>
          <w:p w14:paraId="70CAE3C2" w14:textId="77777777" w:rsidR="00D95ED6" w:rsidRPr="006A693A" w:rsidRDefault="00D95ED6" w:rsidP="00300B7C">
            <w:pPr>
              <w:pStyle w:val="TableTextColumnHeading"/>
              <w:rPr>
                <w:lang w:bidi="fa-IR"/>
              </w:rPr>
            </w:pPr>
            <w:r w:rsidRPr="006A693A">
              <w:rPr>
                <w:lang w:bidi="fa-IR"/>
              </w:rPr>
              <w:t>Option 1</w:t>
            </w:r>
          </w:p>
        </w:tc>
        <w:tc>
          <w:tcPr>
            <w:tcW w:w="3966" w:type="dxa"/>
            <w:tcBorders>
              <w:bottom w:val="single" w:sz="8" w:space="0" w:color="FFFFFF" w:themeColor="background1"/>
            </w:tcBorders>
            <w:shd w:val="clear" w:color="auto" w:fill="6F6652" w:themeFill="accent5"/>
            <w:hideMark/>
          </w:tcPr>
          <w:p w14:paraId="32907885" w14:textId="77777777" w:rsidR="00D95ED6" w:rsidRPr="006A693A" w:rsidRDefault="00D95ED6" w:rsidP="00D95ED6">
            <w:pPr>
              <w:pStyle w:val="TableTextColumnHeading"/>
              <w:rPr>
                <w:lang w:bidi="fa-IR"/>
              </w:rPr>
            </w:pPr>
            <w:r w:rsidRPr="006A693A">
              <w:rPr>
                <w:lang w:bidi="fa-IR"/>
              </w:rPr>
              <w:t>Option 2</w:t>
            </w:r>
            <w:r>
              <w:rPr>
                <w:lang w:bidi="fa-IR"/>
              </w:rPr>
              <w:t xml:space="preserve"> or </w:t>
            </w:r>
            <w:r w:rsidRPr="006A693A">
              <w:rPr>
                <w:lang w:bidi="fa-IR"/>
              </w:rPr>
              <w:t>Option 3</w:t>
            </w:r>
          </w:p>
        </w:tc>
      </w:tr>
      <w:tr w:rsidR="001146A2" w:rsidRPr="008C26D0" w14:paraId="0580AAE9"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38D12345" w14:textId="77777777" w:rsidR="001146A2" w:rsidRPr="006A693A" w:rsidRDefault="001146A2" w:rsidP="00300B7C">
            <w:pPr>
              <w:pStyle w:val="TableTextEntries"/>
              <w:rPr>
                <w:lang w:bidi="fa-IR"/>
              </w:rPr>
            </w:pPr>
            <w:r w:rsidRPr="006A693A">
              <w:rPr>
                <w:lang w:bidi="fa-IR"/>
              </w:rPr>
              <w:t xml:space="preserve">Dwelling access and entry </w:t>
            </w:r>
          </w:p>
          <w:p w14:paraId="4A42F17F" w14:textId="77777777" w:rsidR="001146A2" w:rsidRPr="00410642" w:rsidRDefault="001146A2" w:rsidP="00300B7C">
            <w:pPr>
              <w:pStyle w:val="TableTextEntries"/>
              <w:rPr>
                <w:i/>
                <w:iCs/>
                <w:lang w:bidi="fa-IR"/>
              </w:rPr>
            </w:pP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05377067" w14:textId="77777777" w:rsidR="001146A2" w:rsidRDefault="001146A2" w:rsidP="00300B7C">
            <w:pPr>
              <w:pStyle w:val="TableListBullet"/>
              <w:rPr>
                <w:lang w:bidi="fa-IR"/>
              </w:rPr>
            </w:pPr>
            <w:r>
              <w:rPr>
                <w:lang w:bidi="fa-IR"/>
              </w:rPr>
              <w:t xml:space="preserve">Step-free dwelling access (via garage or </w:t>
            </w:r>
            <w:r w:rsidR="00921644">
              <w:rPr>
                <w:lang w:bidi="fa-IR"/>
              </w:rPr>
              <w:t xml:space="preserve">external </w:t>
            </w:r>
            <w:r>
              <w:rPr>
                <w:lang w:bidi="fa-IR"/>
              </w:rPr>
              <w:t>path)</w:t>
            </w:r>
          </w:p>
          <w:p w14:paraId="3ADFDC09" w14:textId="77777777" w:rsidR="001146A2" w:rsidRDefault="001146A2" w:rsidP="00300B7C">
            <w:pPr>
              <w:pStyle w:val="TableListBullet"/>
              <w:rPr>
                <w:lang w:bidi="fa-IR"/>
              </w:rPr>
            </w:pPr>
            <w:r>
              <w:rPr>
                <w:lang w:bidi="fa-IR"/>
              </w:rPr>
              <w:t>1000mm wide access path</w:t>
            </w:r>
          </w:p>
          <w:p w14:paraId="39091D16" w14:textId="77777777" w:rsidR="001146A2" w:rsidRDefault="001146A2" w:rsidP="00300B7C">
            <w:pPr>
              <w:pStyle w:val="TableListBullet"/>
              <w:rPr>
                <w:lang w:bidi="fa-IR"/>
              </w:rPr>
            </w:pPr>
            <w:r>
              <w:rPr>
                <w:lang w:bidi="fa-IR"/>
              </w:rPr>
              <w:t>Landing area of 1200mm</w:t>
            </w:r>
            <w:r w:rsidR="00D95ED6">
              <w:rPr>
                <w:lang w:bidi="fa-IR"/>
              </w:rPr>
              <w:t xml:space="preserve"> by </w:t>
            </w:r>
            <w:r>
              <w:rPr>
                <w:lang w:bidi="fa-IR"/>
              </w:rPr>
              <w:t>1200mm for front door</w:t>
            </w:r>
          </w:p>
          <w:p w14:paraId="2DADAA56" w14:textId="77777777" w:rsidR="001146A2" w:rsidRDefault="001146A2" w:rsidP="00300B7C">
            <w:pPr>
              <w:pStyle w:val="TableListBullet"/>
              <w:rPr>
                <w:lang w:bidi="fa-IR"/>
              </w:rPr>
            </w:pPr>
            <w:r>
              <w:rPr>
                <w:lang w:bidi="fa-IR"/>
              </w:rPr>
              <w:t>820mm clear opening front door</w:t>
            </w:r>
          </w:p>
          <w:p w14:paraId="7A6C7ACF" w14:textId="77777777" w:rsidR="001146A2" w:rsidRDefault="001146A2" w:rsidP="00300B7C">
            <w:pPr>
              <w:pStyle w:val="TableListBullet"/>
              <w:rPr>
                <w:lang w:bidi="fa-IR"/>
              </w:rPr>
            </w:pPr>
            <w:r>
              <w:rPr>
                <w:lang w:bidi="fa-IR"/>
              </w:rPr>
              <w:t>Maximum front door threshold: 56mm</w:t>
            </w:r>
          </w:p>
          <w:p w14:paraId="2EB041AC" w14:textId="77777777" w:rsidR="001146A2" w:rsidRPr="00410642" w:rsidRDefault="001146A2" w:rsidP="00300B7C">
            <w:pPr>
              <w:pStyle w:val="TableListBullet"/>
              <w:rPr>
                <w:lang w:bidi="fa-IR"/>
              </w:rPr>
            </w:pPr>
            <w:r>
              <w:rPr>
                <w:lang w:bidi="fa-IR"/>
              </w:rPr>
              <w:t>Carpark: 3200mm</w:t>
            </w:r>
            <w:r w:rsidR="00D95ED6">
              <w:rPr>
                <w:lang w:bidi="fa-IR"/>
              </w:rPr>
              <w:t xml:space="preserve"> by </w:t>
            </w:r>
            <w:r>
              <w:rPr>
                <w:lang w:bidi="fa-IR"/>
              </w:rPr>
              <w:t>5400mm</w:t>
            </w:r>
            <w:r w:rsidR="00921644">
              <w:rPr>
                <w:lang w:bidi="fa-IR"/>
              </w:rPr>
              <w:t xml:space="preserve"> (see Note)</w:t>
            </w:r>
          </w:p>
        </w:tc>
        <w:tc>
          <w:tcPr>
            <w:tcW w:w="3966" w:type="dxa"/>
            <w:tcBorders>
              <w:top w:val="single" w:sz="8" w:space="0" w:color="FFFFFF" w:themeColor="background1"/>
              <w:bottom w:val="single" w:sz="8" w:space="0" w:color="FFFFFF" w:themeColor="background1"/>
            </w:tcBorders>
            <w:shd w:val="clear" w:color="auto" w:fill="E9E8E5" w:themeFill="background2"/>
          </w:tcPr>
          <w:p w14:paraId="3AD441AB" w14:textId="77777777" w:rsidR="001146A2" w:rsidRDefault="001146A2" w:rsidP="00300B7C">
            <w:pPr>
              <w:pStyle w:val="TableListBullet"/>
              <w:rPr>
                <w:lang w:bidi="fa-IR"/>
              </w:rPr>
            </w:pPr>
            <w:r>
              <w:rPr>
                <w:lang w:bidi="fa-IR"/>
              </w:rPr>
              <w:t xml:space="preserve">Step-free dwelling access (via garage or </w:t>
            </w:r>
            <w:r w:rsidR="00921644">
              <w:rPr>
                <w:lang w:bidi="fa-IR"/>
              </w:rPr>
              <w:t xml:space="preserve">external </w:t>
            </w:r>
            <w:r>
              <w:rPr>
                <w:lang w:bidi="fa-IR"/>
              </w:rPr>
              <w:t>path)</w:t>
            </w:r>
          </w:p>
          <w:p w14:paraId="7BE82352" w14:textId="77777777" w:rsidR="001146A2" w:rsidRDefault="001146A2" w:rsidP="00300B7C">
            <w:pPr>
              <w:pStyle w:val="TableListBullet"/>
              <w:rPr>
                <w:lang w:bidi="fa-IR"/>
              </w:rPr>
            </w:pPr>
            <w:r>
              <w:rPr>
                <w:lang w:bidi="fa-IR"/>
              </w:rPr>
              <w:t>1100mm wide access path</w:t>
            </w:r>
          </w:p>
          <w:p w14:paraId="139FF7B4" w14:textId="77777777" w:rsidR="001146A2" w:rsidRDefault="001146A2" w:rsidP="00300B7C">
            <w:pPr>
              <w:pStyle w:val="TableListBullet"/>
              <w:rPr>
                <w:lang w:bidi="fa-IR"/>
              </w:rPr>
            </w:pPr>
            <w:r>
              <w:rPr>
                <w:lang w:bidi="fa-IR"/>
              </w:rPr>
              <w:t>Landing area of 1350mm</w:t>
            </w:r>
            <w:r w:rsidR="00D95ED6">
              <w:rPr>
                <w:lang w:bidi="fa-IR"/>
              </w:rPr>
              <w:t xml:space="preserve"> by </w:t>
            </w:r>
            <w:r>
              <w:rPr>
                <w:lang w:bidi="fa-IR"/>
              </w:rPr>
              <w:t>1350mm for front door</w:t>
            </w:r>
          </w:p>
          <w:p w14:paraId="7AEE720E" w14:textId="77777777" w:rsidR="001146A2" w:rsidRDefault="001146A2" w:rsidP="00300B7C">
            <w:pPr>
              <w:pStyle w:val="TableListBullet"/>
              <w:rPr>
                <w:lang w:bidi="fa-IR"/>
              </w:rPr>
            </w:pPr>
            <w:r>
              <w:rPr>
                <w:lang w:bidi="fa-IR"/>
              </w:rPr>
              <w:t>850mm clear opening front door</w:t>
            </w:r>
          </w:p>
          <w:p w14:paraId="289A6FBC" w14:textId="77777777" w:rsidR="001146A2" w:rsidRDefault="001146A2" w:rsidP="00300B7C">
            <w:pPr>
              <w:pStyle w:val="TableListBullet"/>
              <w:rPr>
                <w:lang w:bidi="fa-IR"/>
              </w:rPr>
            </w:pPr>
            <w:r>
              <w:rPr>
                <w:lang w:bidi="fa-IR"/>
              </w:rPr>
              <w:t>Maximum front door threshold: 56mm</w:t>
            </w:r>
          </w:p>
          <w:p w14:paraId="47BD4175" w14:textId="77777777" w:rsidR="001146A2" w:rsidRDefault="001146A2" w:rsidP="00300B7C">
            <w:pPr>
              <w:pStyle w:val="TableListBullet"/>
              <w:rPr>
                <w:lang w:bidi="fa-IR"/>
              </w:rPr>
            </w:pPr>
            <w:r w:rsidRPr="00602E15">
              <w:rPr>
                <w:lang w:bidi="fa-IR"/>
              </w:rPr>
              <w:t>Carpar</w:t>
            </w:r>
            <w:r w:rsidRPr="00B16DBB">
              <w:rPr>
                <w:lang w:bidi="fa-IR"/>
              </w:rPr>
              <w:t>k:</w:t>
            </w:r>
            <w:r w:rsidRPr="00EA655F">
              <w:rPr>
                <w:lang w:bidi="fa-IR"/>
              </w:rPr>
              <w:t xml:space="preserve"> </w:t>
            </w:r>
            <w:r w:rsidRPr="004F46AC">
              <w:rPr>
                <w:lang w:bidi="fa-IR"/>
              </w:rPr>
              <w:t>3200mm</w:t>
            </w:r>
            <w:r w:rsidR="00D95ED6">
              <w:rPr>
                <w:lang w:bidi="fa-IR"/>
              </w:rPr>
              <w:t xml:space="preserve"> by </w:t>
            </w:r>
            <w:r w:rsidRPr="004F46AC">
              <w:rPr>
                <w:lang w:bidi="fa-IR"/>
              </w:rPr>
              <w:t>5400mm</w:t>
            </w:r>
            <w:r w:rsidR="00921644">
              <w:rPr>
                <w:lang w:bidi="fa-IR"/>
              </w:rPr>
              <w:t xml:space="preserve"> (if parking space provided) (see Note below the table)</w:t>
            </w:r>
          </w:p>
          <w:p w14:paraId="42850E41" w14:textId="77777777" w:rsidR="001146A2" w:rsidRPr="00410642" w:rsidRDefault="001146A2" w:rsidP="00300B7C">
            <w:pPr>
              <w:pStyle w:val="TableListBullet"/>
              <w:rPr>
                <w:lang w:bidi="fa-IR"/>
              </w:rPr>
            </w:pPr>
            <w:r>
              <w:rPr>
                <w:lang w:bidi="fa-IR"/>
              </w:rPr>
              <w:t>Ve</w:t>
            </w:r>
            <w:r w:rsidR="00A01AFA">
              <w:rPr>
                <w:lang w:bidi="fa-IR"/>
              </w:rPr>
              <w:t>r</w:t>
            </w:r>
            <w:r>
              <w:rPr>
                <w:lang w:bidi="fa-IR"/>
              </w:rPr>
              <w:t>tical clearance</w:t>
            </w:r>
            <w:r w:rsidR="00921644">
              <w:rPr>
                <w:lang w:bidi="fa-IR"/>
              </w:rPr>
              <w:t xml:space="preserve"> above the parking space</w:t>
            </w:r>
            <w:r>
              <w:rPr>
                <w:lang w:bidi="fa-IR"/>
              </w:rPr>
              <w:t xml:space="preserve">: 2500mm </w:t>
            </w:r>
          </w:p>
        </w:tc>
      </w:tr>
      <w:tr w:rsidR="001146A2" w:rsidRPr="008C26D0" w14:paraId="169B8588"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tcPr>
          <w:p w14:paraId="34295136" w14:textId="77777777" w:rsidR="001146A2" w:rsidRPr="006A693A" w:rsidRDefault="001146A2" w:rsidP="00300B7C">
            <w:pPr>
              <w:pStyle w:val="TableTextEntries"/>
              <w:rPr>
                <w:lang w:bidi="fa-IR"/>
              </w:rPr>
            </w:pPr>
            <w:r w:rsidRPr="006A693A">
              <w:rPr>
                <w:lang w:bidi="fa-IR"/>
              </w:rPr>
              <w:t>Internal doors and corridors</w:t>
            </w:r>
          </w:p>
        </w:tc>
        <w:tc>
          <w:tcPr>
            <w:tcW w:w="2409" w:type="dxa"/>
            <w:tcBorders>
              <w:top w:val="single" w:sz="8" w:space="0" w:color="FFFFFF" w:themeColor="background1"/>
              <w:bottom w:val="single" w:sz="8" w:space="0" w:color="FFFFFF" w:themeColor="background1"/>
            </w:tcBorders>
            <w:shd w:val="clear" w:color="auto" w:fill="E9E8E5" w:themeFill="background2"/>
          </w:tcPr>
          <w:p w14:paraId="301D50AC" w14:textId="77777777" w:rsidR="001146A2" w:rsidRDefault="001146A2" w:rsidP="00300B7C">
            <w:pPr>
              <w:pStyle w:val="TableListBullet"/>
              <w:rPr>
                <w:lang w:bidi="fa-IR"/>
              </w:rPr>
            </w:pPr>
            <w:r>
              <w:rPr>
                <w:lang w:bidi="fa-IR"/>
              </w:rPr>
              <w:t>820mm clear opening doors</w:t>
            </w:r>
          </w:p>
          <w:p w14:paraId="6FAC97F8" w14:textId="77777777" w:rsidR="001146A2" w:rsidRDefault="001146A2" w:rsidP="00300B7C">
            <w:pPr>
              <w:pStyle w:val="TableListBullet"/>
              <w:rPr>
                <w:lang w:bidi="fa-IR"/>
              </w:rPr>
            </w:pPr>
            <w:r>
              <w:rPr>
                <w:lang w:bidi="fa-IR"/>
              </w:rPr>
              <w:t>1000mm clear width corridors</w:t>
            </w:r>
          </w:p>
          <w:p w14:paraId="4B4EFBDB" w14:textId="77777777" w:rsidR="001146A2" w:rsidRPr="00391104" w:rsidRDefault="001146A2" w:rsidP="001146A2">
            <w:pPr>
              <w:pStyle w:val="TableListBullet"/>
              <w:rPr>
                <w:i/>
                <w:iCs/>
                <w:lang w:bidi="fa-IR"/>
              </w:rPr>
            </w:pPr>
            <w:r>
              <w:rPr>
                <w:lang w:bidi="fa-IR"/>
              </w:rPr>
              <w:t>5mm threshold</w:t>
            </w:r>
          </w:p>
        </w:tc>
        <w:tc>
          <w:tcPr>
            <w:tcW w:w="3966" w:type="dxa"/>
            <w:tcBorders>
              <w:top w:val="single" w:sz="8" w:space="0" w:color="FFFFFF" w:themeColor="background1"/>
              <w:bottom w:val="single" w:sz="8" w:space="0" w:color="FFFFFF" w:themeColor="background1"/>
            </w:tcBorders>
            <w:shd w:val="clear" w:color="auto" w:fill="E9E8E5" w:themeFill="background2"/>
          </w:tcPr>
          <w:p w14:paraId="3020D6A7" w14:textId="77777777" w:rsidR="001146A2" w:rsidRDefault="001146A2" w:rsidP="00300B7C">
            <w:pPr>
              <w:pStyle w:val="TableListBullet"/>
              <w:rPr>
                <w:lang w:bidi="fa-IR"/>
              </w:rPr>
            </w:pPr>
            <w:r>
              <w:rPr>
                <w:lang w:bidi="fa-IR"/>
              </w:rPr>
              <w:t>850mm clear opening doors</w:t>
            </w:r>
          </w:p>
          <w:p w14:paraId="76D79331" w14:textId="77777777" w:rsidR="001146A2" w:rsidRDefault="001146A2" w:rsidP="00300B7C">
            <w:pPr>
              <w:pStyle w:val="TableListBullet"/>
              <w:rPr>
                <w:lang w:bidi="fa-IR"/>
              </w:rPr>
            </w:pPr>
            <w:r>
              <w:rPr>
                <w:lang w:bidi="fa-IR"/>
              </w:rPr>
              <w:t>1200mm clear width corridors</w:t>
            </w:r>
          </w:p>
          <w:p w14:paraId="4736A66D" w14:textId="77777777" w:rsidR="001146A2" w:rsidRPr="00391104" w:rsidRDefault="001146A2" w:rsidP="00CC74B7">
            <w:pPr>
              <w:pStyle w:val="TableListBullet"/>
              <w:rPr>
                <w:i/>
                <w:iCs/>
                <w:lang w:bidi="fa-IR"/>
              </w:rPr>
            </w:pPr>
            <w:r>
              <w:rPr>
                <w:lang w:bidi="fa-IR"/>
              </w:rPr>
              <w:t>5mm threshold</w:t>
            </w:r>
          </w:p>
        </w:tc>
      </w:tr>
      <w:tr w:rsidR="001146A2" w:rsidRPr="008C26D0" w14:paraId="1F380B1A"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tcPr>
          <w:p w14:paraId="675E7564" w14:textId="77777777" w:rsidR="001146A2" w:rsidRPr="006A693A" w:rsidRDefault="001146A2" w:rsidP="00300B7C">
            <w:pPr>
              <w:pStyle w:val="TableTextEntries"/>
              <w:rPr>
                <w:lang w:bidi="fa-IR"/>
              </w:rPr>
            </w:pPr>
            <w:r w:rsidRPr="006A693A">
              <w:rPr>
                <w:lang w:bidi="fa-IR"/>
              </w:rPr>
              <w:t>Toilet</w:t>
            </w:r>
          </w:p>
        </w:tc>
        <w:tc>
          <w:tcPr>
            <w:tcW w:w="2409" w:type="dxa"/>
            <w:tcBorders>
              <w:top w:val="single" w:sz="8" w:space="0" w:color="FFFFFF" w:themeColor="background1"/>
              <w:bottom w:val="single" w:sz="8" w:space="0" w:color="FFFFFF" w:themeColor="background1"/>
            </w:tcBorders>
            <w:shd w:val="clear" w:color="auto" w:fill="E9E8E5" w:themeFill="background2"/>
          </w:tcPr>
          <w:p w14:paraId="2DCA6601" w14:textId="77777777" w:rsidR="001146A2" w:rsidRDefault="001146A2" w:rsidP="00300B7C">
            <w:pPr>
              <w:pStyle w:val="TableListBullet"/>
              <w:rPr>
                <w:lang w:bidi="fa-IR"/>
              </w:rPr>
            </w:pPr>
            <w:r>
              <w:rPr>
                <w:lang w:bidi="fa-IR"/>
              </w:rPr>
              <w:t>Toilet on ground floor/level of entry</w:t>
            </w:r>
          </w:p>
          <w:p w14:paraId="48B804B0" w14:textId="77777777" w:rsidR="001146A2" w:rsidRDefault="001146A2" w:rsidP="00300B7C">
            <w:pPr>
              <w:pStyle w:val="TableListBullet"/>
              <w:rPr>
                <w:lang w:bidi="fa-IR"/>
              </w:rPr>
            </w:pPr>
            <w:r>
              <w:rPr>
                <w:lang w:bidi="fa-IR"/>
              </w:rPr>
              <w:t>1200mm between front edge of toilet and arc of door</w:t>
            </w:r>
          </w:p>
          <w:p w14:paraId="5698A2FC" w14:textId="77777777" w:rsidR="001146A2" w:rsidRDefault="001146A2" w:rsidP="00300B7C">
            <w:pPr>
              <w:pStyle w:val="TableListBullet"/>
              <w:rPr>
                <w:lang w:bidi="fa-IR"/>
              </w:rPr>
            </w:pPr>
            <w:r>
              <w:rPr>
                <w:lang w:bidi="fa-IR"/>
              </w:rPr>
              <w:t>900mm between side walls of toilet</w:t>
            </w:r>
          </w:p>
          <w:p w14:paraId="38B18F97" w14:textId="77777777" w:rsidR="001146A2" w:rsidRPr="00410642" w:rsidRDefault="001146A2" w:rsidP="00CC74B7">
            <w:pPr>
              <w:pStyle w:val="TableListBullet"/>
              <w:rPr>
                <w:i/>
                <w:iCs/>
                <w:lang w:bidi="fa-IR"/>
              </w:rPr>
            </w:pPr>
            <w:r>
              <w:rPr>
                <w:lang w:bidi="fa-IR"/>
              </w:rPr>
              <w:t>In bathroom, toilet installed in the corner</w:t>
            </w:r>
          </w:p>
        </w:tc>
        <w:tc>
          <w:tcPr>
            <w:tcW w:w="3966" w:type="dxa"/>
            <w:tcBorders>
              <w:top w:val="single" w:sz="8" w:space="0" w:color="FFFFFF" w:themeColor="background1"/>
              <w:bottom w:val="single" w:sz="8" w:space="0" w:color="FFFFFF" w:themeColor="background1"/>
            </w:tcBorders>
            <w:shd w:val="clear" w:color="auto" w:fill="E9E8E5" w:themeFill="background2"/>
          </w:tcPr>
          <w:p w14:paraId="0EDE58DE" w14:textId="77777777" w:rsidR="001146A2" w:rsidRDefault="001146A2" w:rsidP="00300B7C">
            <w:pPr>
              <w:pStyle w:val="TableListBullet"/>
              <w:rPr>
                <w:lang w:bidi="fa-IR"/>
              </w:rPr>
            </w:pPr>
            <w:r>
              <w:rPr>
                <w:lang w:bidi="fa-IR"/>
              </w:rPr>
              <w:t>Toilet on ground floor/level of entry</w:t>
            </w:r>
          </w:p>
          <w:p w14:paraId="0303FB4B" w14:textId="77777777" w:rsidR="001146A2" w:rsidRDefault="001146A2" w:rsidP="00300B7C">
            <w:pPr>
              <w:pStyle w:val="TableListBullet"/>
              <w:rPr>
                <w:lang w:bidi="fa-IR"/>
              </w:rPr>
            </w:pPr>
            <w:r>
              <w:rPr>
                <w:lang w:bidi="fa-IR"/>
              </w:rPr>
              <w:t>1200mm between front edge of toilet and arc of door</w:t>
            </w:r>
          </w:p>
          <w:p w14:paraId="4ACC1A07" w14:textId="77777777" w:rsidR="001146A2" w:rsidRDefault="001146A2" w:rsidP="00300B7C">
            <w:pPr>
              <w:pStyle w:val="TableListBullet"/>
              <w:rPr>
                <w:lang w:bidi="fa-IR"/>
              </w:rPr>
            </w:pPr>
            <w:r>
              <w:rPr>
                <w:lang w:bidi="fa-IR"/>
              </w:rPr>
              <w:t>1200mm between side walls of toilet</w:t>
            </w:r>
          </w:p>
          <w:p w14:paraId="130F57B7" w14:textId="77777777" w:rsidR="001146A2" w:rsidRDefault="001146A2" w:rsidP="00300B7C">
            <w:pPr>
              <w:pStyle w:val="TableListBullet"/>
              <w:rPr>
                <w:lang w:bidi="fa-IR"/>
              </w:rPr>
            </w:pPr>
            <w:r>
              <w:rPr>
                <w:lang w:bidi="fa-IR"/>
              </w:rPr>
              <w:t>In bathroom, toilet installed in the corner</w:t>
            </w:r>
          </w:p>
          <w:p w14:paraId="4EA4B171" w14:textId="77777777" w:rsidR="001146A2" w:rsidRPr="00410642" w:rsidRDefault="001146A2" w:rsidP="00300B7C">
            <w:pPr>
              <w:pStyle w:val="TableTextEntries"/>
              <w:rPr>
                <w:i/>
                <w:iCs/>
                <w:lang w:bidi="fa-IR"/>
              </w:rPr>
            </w:pPr>
          </w:p>
        </w:tc>
      </w:tr>
      <w:tr w:rsidR="001146A2" w:rsidRPr="008C26D0" w14:paraId="205C5B33"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440EB01F" w14:textId="77777777" w:rsidR="001146A2" w:rsidRPr="006A693A" w:rsidRDefault="001146A2" w:rsidP="00300B7C">
            <w:pPr>
              <w:pStyle w:val="TableTextEntries"/>
              <w:rPr>
                <w:lang w:bidi="fa-IR"/>
              </w:rPr>
            </w:pPr>
            <w:r w:rsidRPr="006A693A">
              <w:rPr>
                <w:lang w:bidi="fa-IR"/>
              </w:rPr>
              <w:t>Shower</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028780A3" w14:textId="77777777" w:rsidR="001146A2" w:rsidRDefault="001146A2" w:rsidP="00300B7C">
            <w:pPr>
              <w:pStyle w:val="TableListBullet"/>
              <w:rPr>
                <w:lang w:bidi="fa-IR"/>
              </w:rPr>
            </w:pPr>
            <w:r>
              <w:rPr>
                <w:lang w:bidi="fa-IR"/>
              </w:rPr>
              <w:t>Removable shower screen</w:t>
            </w:r>
          </w:p>
          <w:p w14:paraId="235EABDB" w14:textId="77777777" w:rsidR="001146A2" w:rsidRDefault="001146A2" w:rsidP="00300B7C">
            <w:pPr>
              <w:pStyle w:val="TableListBullet"/>
              <w:rPr>
                <w:lang w:bidi="fa-IR"/>
              </w:rPr>
            </w:pPr>
            <w:r>
              <w:rPr>
                <w:lang w:bidi="fa-IR"/>
              </w:rPr>
              <w:t>5mm transition for entry</w:t>
            </w:r>
          </w:p>
          <w:p w14:paraId="01F3C4B6" w14:textId="77777777" w:rsidR="001146A2" w:rsidRPr="00410642" w:rsidRDefault="001146A2" w:rsidP="00300B7C">
            <w:pPr>
              <w:pStyle w:val="TableTextEntries"/>
              <w:rPr>
                <w:i/>
                <w:iCs/>
                <w:lang w:bidi="fa-IR"/>
              </w:rPr>
            </w:pPr>
          </w:p>
        </w:tc>
        <w:tc>
          <w:tcPr>
            <w:tcW w:w="3966" w:type="dxa"/>
            <w:tcBorders>
              <w:top w:val="single" w:sz="8" w:space="0" w:color="FFFFFF" w:themeColor="background1"/>
              <w:bottom w:val="single" w:sz="8" w:space="0" w:color="FFFFFF" w:themeColor="background1"/>
            </w:tcBorders>
            <w:shd w:val="clear" w:color="auto" w:fill="E9E8E5" w:themeFill="background2"/>
            <w:hideMark/>
          </w:tcPr>
          <w:p w14:paraId="7FCE1D8E" w14:textId="77777777" w:rsidR="001146A2" w:rsidRDefault="001146A2" w:rsidP="00300B7C">
            <w:pPr>
              <w:pStyle w:val="TableListBullet"/>
              <w:rPr>
                <w:lang w:bidi="fa-IR"/>
              </w:rPr>
            </w:pPr>
            <w:r>
              <w:rPr>
                <w:lang w:bidi="fa-IR"/>
              </w:rPr>
              <w:t>Removable shower screen</w:t>
            </w:r>
          </w:p>
          <w:p w14:paraId="2150CD92" w14:textId="77777777" w:rsidR="001146A2" w:rsidRDefault="001146A2" w:rsidP="00300B7C">
            <w:pPr>
              <w:pStyle w:val="TableListBullet"/>
              <w:rPr>
                <w:lang w:bidi="fa-IR"/>
              </w:rPr>
            </w:pPr>
            <w:r>
              <w:rPr>
                <w:lang w:bidi="fa-IR"/>
              </w:rPr>
              <w:t>5mm transition for entry</w:t>
            </w:r>
          </w:p>
          <w:p w14:paraId="33EB23B2" w14:textId="77777777" w:rsidR="001146A2" w:rsidRDefault="001146A2" w:rsidP="00300B7C">
            <w:pPr>
              <w:pStyle w:val="TableListBullet"/>
              <w:rPr>
                <w:lang w:bidi="fa-IR"/>
              </w:rPr>
            </w:pPr>
            <w:r>
              <w:rPr>
                <w:lang w:bidi="fa-IR"/>
              </w:rPr>
              <w:t>Shower on ground floor/level of entry</w:t>
            </w:r>
          </w:p>
          <w:p w14:paraId="5EC52C58" w14:textId="77777777" w:rsidR="001146A2" w:rsidRDefault="001146A2" w:rsidP="00300B7C">
            <w:pPr>
              <w:pStyle w:val="TableListBullet"/>
              <w:rPr>
                <w:lang w:bidi="fa-IR"/>
              </w:rPr>
            </w:pPr>
            <w:r>
              <w:rPr>
                <w:lang w:bidi="fa-IR"/>
              </w:rPr>
              <w:t>900mm</w:t>
            </w:r>
            <w:r w:rsidR="00D95ED6">
              <w:rPr>
                <w:lang w:bidi="fa-IR"/>
              </w:rPr>
              <w:t xml:space="preserve"> by </w:t>
            </w:r>
            <w:r>
              <w:rPr>
                <w:lang w:bidi="fa-IR"/>
              </w:rPr>
              <w:t>900mm shower space</w:t>
            </w:r>
          </w:p>
          <w:p w14:paraId="4D430D26" w14:textId="77777777" w:rsidR="001146A2" w:rsidRPr="00410642" w:rsidRDefault="001146A2" w:rsidP="00CC74B7">
            <w:pPr>
              <w:pStyle w:val="TableListBullet"/>
              <w:rPr>
                <w:i/>
                <w:iCs/>
                <w:lang w:bidi="fa-IR"/>
              </w:rPr>
            </w:pPr>
            <w:r>
              <w:rPr>
                <w:lang w:bidi="fa-IR"/>
              </w:rPr>
              <w:t>1200mm</w:t>
            </w:r>
            <w:r w:rsidR="00D95ED6">
              <w:rPr>
                <w:lang w:bidi="fa-IR"/>
              </w:rPr>
              <w:t xml:space="preserve"> by </w:t>
            </w:r>
            <w:r>
              <w:rPr>
                <w:lang w:bidi="fa-IR"/>
              </w:rPr>
              <w:t>1200mm adjacent space</w:t>
            </w:r>
          </w:p>
        </w:tc>
      </w:tr>
      <w:tr w:rsidR="00850B31" w:rsidRPr="008C26D0" w14:paraId="180124BE"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122378B0" w14:textId="77777777" w:rsidR="00850B31" w:rsidRPr="006A693A" w:rsidRDefault="00850B31" w:rsidP="00300B7C">
            <w:pPr>
              <w:pStyle w:val="TableTextEntries"/>
              <w:rPr>
                <w:lang w:bidi="fa-IR"/>
              </w:rPr>
            </w:pPr>
            <w:r w:rsidRPr="006A693A">
              <w:rPr>
                <w:lang w:bidi="fa-IR"/>
              </w:rPr>
              <w:t>Reinforce walls for bathroom</w:t>
            </w:r>
          </w:p>
        </w:tc>
        <w:tc>
          <w:tcPr>
            <w:tcW w:w="2409" w:type="dxa"/>
            <w:tcBorders>
              <w:top w:val="single" w:sz="8" w:space="0" w:color="FFFFFF" w:themeColor="background1"/>
              <w:bottom w:val="single" w:sz="8" w:space="0" w:color="FFFFFF" w:themeColor="background1"/>
            </w:tcBorders>
            <w:shd w:val="clear" w:color="auto" w:fill="E9E8E5" w:themeFill="background2"/>
          </w:tcPr>
          <w:p w14:paraId="75D9C483" w14:textId="77777777" w:rsidR="00850B31" w:rsidRPr="006A693A" w:rsidRDefault="00850B31" w:rsidP="00300B7C">
            <w:pPr>
              <w:pStyle w:val="TableTextEntries"/>
              <w:rPr>
                <w:lang w:bidi="fa-IR"/>
              </w:rPr>
            </w:pPr>
            <w:r w:rsidRPr="006A693A">
              <w:rPr>
                <w:lang w:bidi="fa-IR"/>
              </w:rPr>
              <w:t>Two scenarios:</w:t>
            </w:r>
          </w:p>
          <w:p w14:paraId="3E54C7DB" w14:textId="77777777" w:rsidR="00850B31" w:rsidRDefault="00850B31" w:rsidP="00300B7C">
            <w:pPr>
              <w:pStyle w:val="TableListBullet"/>
              <w:rPr>
                <w:lang w:bidi="fa-IR"/>
              </w:rPr>
            </w:pPr>
            <w:r>
              <w:rPr>
                <w:lang w:bidi="fa-IR"/>
              </w:rPr>
              <w:t>Reinforced walls so rails can be installed in one position only; or</w:t>
            </w:r>
          </w:p>
          <w:p w14:paraId="5583F68C" w14:textId="77777777" w:rsidR="00850B31" w:rsidRPr="00410642" w:rsidRDefault="00850B31" w:rsidP="00300B7C">
            <w:pPr>
              <w:pStyle w:val="TableListBullet"/>
              <w:rPr>
                <w:i/>
                <w:iCs/>
                <w:lang w:bidi="fa-IR"/>
              </w:rPr>
            </w:pPr>
            <w:r>
              <w:rPr>
                <w:lang w:bidi="fa-IR"/>
              </w:rPr>
              <w:t>Reinforced walls so that rails and other fixtures can be installed in any location</w:t>
            </w:r>
          </w:p>
        </w:tc>
        <w:tc>
          <w:tcPr>
            <w:tcW w:w="3966" w:type="dxa"/>
            <w:tcBorders>
              <w:top w:val="single" w:sz="8" w:space="0" w:color="FFFFFF" w:themeColor="background1"/>
              <w:bottom w:val="single" w:sz="8" w:space="0" w:color="FFFFFF" w:themeColor="background1"/>
            </w:tcBorders>
            <w:shd w:val="clear" w:color="auto" w:fill="E9E8E5" w:themeFill="background2"/>
          </w:tcPr>
          <w:p w14:paraId="42963878" w14:textId="77777777" w:rsidR="00850B31" w:rsidRPr="00410642" w:rsidRDefault="00850B31" w:rsidP="00300B7C">
            <w:pPr>
              <w:pStyle w:val="TableTextEntries"/>
              <w:rPr>
                <w:i/>
                <w:iCs/>
                <w:lang w:bidi="fa-IR"/>
              </w:rPr>
            </w:pPr>
            <w:r w:rsidRPr="006A693A">
              <w:rPr>
                <w:lang w:bidi="fa-IR"/>
              </w:rPr>
              <w:t>Same as Option 1</w:t>
            </w:r>
          </w:p>
        </w:tc>
      </w:tr>
      <w:tr w:rsidR="001146A2" w:rsidRPr="008C26D0" w14:paraId="456AE672"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7EEB5BFF" w14:textId="77777777" w:rsidR="001146A2" w:rsidRPr="006A693A" w:rsidRDefault="001146A2" w:rsidP="00300B7C">
            <w:pPr>
              <w:pStyle w:val="TableTextEntries"/>
              <w:rPr>
                <w:lang w:bidi="fa-IR"/>
              </w:rPr>
            </w:pPr>
            <w:r w:rsidRPr="006A693A">
              <w:rPr>
                <w:lang w:bidi="fa-IR"/>
              </w:rPr>
              <w:t>Internal stairs</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263530B6" w14:textId="77777777" w:rsidR="001146A2" w:rsidRPr="006A693A" w:rsidRDefault="001146A2"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8" w:space="0" w:color="FFFFFF" w:themeColor="background1"/>
            </w:tcBorders>
            <w:shd w:val="clear" w:color="auto" w:fill="E9E8E5" w:themeFill="background2"/>
            <w:hideMark/>
          </w:tcPr>
          <w:p w14:paraId="619A7F52" w14:textId="77777777" w:rsidR="001146A2" w:rsidRDefault="001146A2" w:rsidP="00300B7C">
            <w:pPr>
              <w:pStyle w:val="TableListBullet"/>
              <w:rPr>
                <w:lang w:bidi="fa-IR"/>
              </w:rPr>
            </w:pPr>
            <w:r>
              <w:rPr>
                <w:lang w:bidi="fa-IR"/>
              </w:rPr>
              <w:t xml:space="preserve">Straight </w:t>
            </w:r>
            <w:r w:rsidR="00921644">
              <w:rPr>
                <w:lang w:bidi="fa-IR"/>
              </w:rPr>
              <w:t xml:space="preserve">flights </w:t>
            </w:r>
            <w:r>
              <w:rPr>
                <w:lang w:bidi="fa-IR"/>
              </w:rPr>
              <w:t>with landing</w:t>
            </w:r>
          </w:p>
          <w:p w14:paraId="7F135862" w14:textId="77777777" w:rsidR="001146A2" w:rsidRDefault="001146A2" w:rsidP="00300B7C">
            <w:pPr>
              <w:pStyle w:val="TableListBullet"/>
              <w:rPr>
                <w:lang w:bidi="fa-IR"/>
              </w:rPr>
            </w:pPr>
            <w:r>
              <w:rPr>
                <w:lang w:bidi="fa-IR"/>
              </w:rPr>
              <w:t>No winders in lieu of landing</w:t>
            </w:r>
          </w:p>
          <w:p w14:paraId="2432A183" w14:textId="77777777" w:rsidR="001146A2" w:rsidRPr="00410642" w:rsidRDefault="001146A2" w:rsidP="00300B7C">
            <w:pPr>
              <w:pStyle w:val="TableListBullet"/>
              <w:rPr>
                <w:i/>
                <w:iCs/>
                <w:lang w:bidi="fa-IR"/>
              </w:rPr>
            </w:pPr>
            <w:r>
              <w:rPr>
                <w:lang w:bidi="fa-IR"/>
              </w:rPr>
              <w:t>Adjoin wall that supports hand rail</w:t>
            </w:r>
          </w:p>
        </w:tc>
      </w:tr>
      <w:tr w:rsidR="00D95ED6" w:rsidRPr="008C26D0" w14:paraId="18BA014C"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311784AC" w14:textId="77777777" w:rsidR="00D95ED6" w:rsidRPr="006A693A" w:rsidRDefault="00D95ED6" w:rsidP="00300B7C">
            <w:pPr>
              <w:pStyle w:val="TableTextEntries"/>
              <w:rPr>
                <w:lang w:bidi="fa-IR"/>
              </w:rPr>
            </w:pPr>
            <w:r w:rsidRPr="006A693A">
              <w:rPr>
                <w:lang w:bidi="fa-IR"/>
              </w:rPr>
              <w:t>Kitchen</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6E498B7B" w14:textId="77777777" w:rsidR="00D95ED6" w:rsidRPr="006A693A" w:rsidRDefault="00D95ED6"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8" w:space="0" w:color="FFFFFF" w:themeColor="background1"/>
            </w:tcBorders>
            <w:shd w:val="clear" w:color="auto" w:fill="E9E8E5" w:themeFill="background2"/>
            <w:hideMark/>
          </w:tcPr>
          <w:p w14:paraId="1678D516" w14:textId="77777777" w:rsidR="00D95ED6" w:rsidRPr="00410642" w:rsidRDefault="00D95ED6" w:rsidP="00300B7C">
            <w:pPr>
              <w:pStyle w:val="TableListBullet"/>
              <w:rPr>
                <w:i/>
                <w:iCs/>
                <w:szCs w:val="18"/>
                <w:lang w:bidi="fa-IR"/>
              </w:rPr>
            </w:pPr>
            <w:r>
              <w:rPr>
                <w:lang w:bidi="fa-IR"/>
              </w:rPr>
              <w:t>1200mm clearance from benches (Option 2)</w:t>
            </w:r>
          </w:p>
          <w:p w14:paraId="349379F2" w14:textId="77777777" w:rsidR="00D95ED6" w:rsidRPr="00410642" w:rsidRDefault="00D95ED6" w:rsidP="00300B7C">
            <w:pPr>
              <w:pStyle w:val="TableListBullet"/>
              <w:rPr>
                <w:i/>
                <w:iCs/>
                <w:szCs w:val="18"/>
                <w:lang w:bidi="fa-IR"/>
              </w:rPr>
            </w:pPr>
            <w:r>
              <w:rPr>
                <w:lang w:bidi="fa-IR"/>
              </w:rPr>
              <w:t>1500mm clearance from benches (Option 3)</w:t>
            </w:r>
          </w:p>
        </w:tc>
      </w:tr>
      <w:tr w:rsidR="00F01E8A" w:rsidRPr="008C26D0" w14:paraId="4280287B"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tcPr>
          <w:p w14:paraId="32D085EB" w14:textId="77777777" w:rsidR="00F01E8A" w:rsidRPr="006A693A" w:rsidRDefault="00F01E8A" w:rsidP="00300B7C">
            <w:pPr>
              <w:pStyle w:val="TableTextEntries"/>
              <w:rPr>
                <w:lang w:bidi="fa-IR"/>
              </w:rPr>
            </w:pPr>
            <w:r w:rsidRPr="006A693A">
              <w:rPr>
                <w:lang w:bidi="fa-IR"/>
              </w:rPr>
              <w:t>Laundry</w:t>
            </w:r>
          </w:p>
        </w:tc>
        <w:tc>
          <w:tcPr>
            <w:tcW w:w="2409" w:type="dxa"/>
            <w:tcBorders>
              <w:top w:val="single" w:sz="8" w:space="0" w:color="FFFFFF" w:themeColor="background1"/>
              <w:bottom w:val="single" w:sz="8" w:space="0" w:color="FFFFFF" w:themeColor="background1"/>
            </w:tcBorders>
            <w:shd w:val="clear" w:color="auto" w:fill="E9E8E5" w:themeFill="background2"/>
          </w:tcPr>
          <w:p w14:paraId="04AE62E3" w14:textId="77777777" w:rsidR="00F01E8A" w:rsidRPr="006A693A" w:rsidRDefault="00F01E8A"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8" w:space="0" w:color="FFFFFF" w:themeColor="background1"/>
            </w:tcBorders>
            <w:shd w:val="clear" w:color="auto" w:fill="E9E8E5" w:themeFill="background2"/>
          </w:tcPr>
          <w:p w14:paraId="31146220" w14:textId="77777777" w:rsidR="00F01E8A" w:rsidRPr="00410642" w:rsidRDefault="00F01E8A" w:rsidP="00300B7C">
            <w:pPr>
              <w:pStyle w:val="TableListBullet"/>
              <w:rPr>
                <w:i/>
                <w:iCs/>
                <w:lang w:bidi="fa-IR"/>
              </w:rPr>
            </w:pPr>
            <w:r>
              <w:rPr>
                <w:lang w:bidi="fa-IR"/>
              </w:rPr>
              <w:t>1200mm clearance from benches (Option 2)</w:t>
            </w:r>
          </w:p>
          <w:p w14:paraId="76054049" w14:textId="77777777" w:rsidR="00F01E8A" w:rsidRPr="00410642" w:rsidRDefault="00F01E8A" w:rsidP="00300B7C">
            <w:pPr>
              <w:pStyle w:val="TableListBullet"/>
              <w:rPr>
                <w:i/>
                <w:iCs/>
                <w:lang w:bidi="fa-IR"/>
              </w:rPr>
            </w:pPr>
            <w:r>
              <w:rPr>
                <w:lang w:bidi="fa-IR"/>
              </w:rPr>
              <w:t>1500mm clearance from benches (Option 3)</w:t>
            </w:r>
          </w:p>
        </w:tc>
      </w:tr>
      <w:tr w:rsidR="00D95ED6" w:rsidRPr="008C26D0" w14:paraId="74664A58"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499DC92E" w14:textId="77777777" w:rsidR="00D95ED6" w:rsidRPr="006A693A" w:rsidRDefault="00D95ED6" w:rsidP="00300B7C">
            <w:pPr>
              <w:pStyle w:val="TableTextEntries"/>
              <w:rPr>
                <w:lang w:bidi="fa-IR"/>
              </w:rPr>
            </w:pPr>
            <w:r w:rsidRPr="006A693A">
              <w:rPr>
                <w:lang w:bidi="fa-IR"/>
              </w:rPr>
              <w:lastRenderedPageBreak/>
              <w:t>Space for bedroom on ground floor</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453BC307" w14:textId="77777777" w:rsidR="00D95ED6" w:rsidRPr="006A693A" w:rsidRDefault="00D95ED6"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8" w:space="0" w:color="FFFFFF" w:themeColor="background1"/>
            </w:tcBorders>
            <w:shd w:val="clear" w:color="auto" w:fill="E9E8E5" w:themeFill="background2"/>
          </w:tcPr>
          <w:p w14:paraId="20B5AACD" w14:textId="77777777" w:rsidR="00D95ED6" w:rsidRPr="00D95ED6" w:rsidRDefault="00D95ED6" w:rsidP="00D95ED6">
            <w:pPr>
              <w:pStyle w:val="TableTextEntries"/>
              <w:rPr>
                <w:lang w:bidi="fa-IR"/>
              </w:rPr>
            </w:pPr>
            <w:r w:rsidRPr="00D95ED6">
              <w:rPr>
                <w:lang w:bidi="fa-IR"/>
              </w:rPr>
              <w:t>Required</w:t>
            </w:r>
          </w:p>
        </w:tc>
      </w:tr>
      <w:tr w:rsidR="001146A2" w:rsidRPr="008C26D0" w14:paraId="4A8E50B7"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133F03F0" w14:textId="77777777" w:rsidR="001146A2" w:rsidRPr="006A693A" w:rsidRDefault="001146A2" w:rsidP="00300B7C">
            <w:pPr>
              <w:pStyle w:val="TableTextEntries"/>
              <w:rPr>
                <w:lang w:bidi="fa-IR"/>
              </w:rPr>
            </w:pPr>
            <w:r w:rsidRPr="006A693A">
              <w:rPr>
                <w:lang w:bidi="fa-IR"/>
              </w:rPr>
              <w:t>Height of light switches and power outlets</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7386CC4D" w14:textId="77777777" w:rsidR="001146A2" w:rsidRPr="006A693A" w:rsidRDefault="001146A2"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8" w:space="0" w:color="FFFFFF" w:themeColor="background1"/>
            </w:tcBorders>
            <w:shd w:val="clear" w:color="auto" w:fill="E9E8E5" w:themeFill="background2"/>
            <w:hideMark/>
          </w:tcPr>
          <w:p w14:paraId="15589611" w14:textId="77777777" w:rsidR="001146A2" w:rsidRPr="00366591" w:rsidRDefault="001146A2" w:rsidP="00300B7C">
            <w:pPr>
              <w:pStyle w:val="TableListBullet"/>
              <w:rPr>
                <w:i/>
                <w:iCs/>
                <w:lang w:bidi="fa-IR"/>
              </w:rPr>
            </w:pPr>
            <w:r>
              <w:rPr>
                <w:lang w:bidi="fa-IR"/>
              </w:rPr>
              <w:t>Light switches 900mm</w:t>
            </w:r>
            <w:r w:rsidR="00D95ED6">
              <w:rPr>
                <w:lang w:bidi="fa-IR"/>
              </w:rPr>
              <w:t xml:space="preserve"> to </w:t>
            </w:r>
            <w:r>
              <w:rPr>
                <w:lang w:bidi="fa-IR"/>
              </w:rPr>
              <w:t>1100mm above floor</w:t>
            </w:r>
          </w:p>
          <w:p w14:paraId="0281D9D4" w14:textId="77777777" w:rsidR="001146A2" w:rsidRPr="00D95ED6" w:rsidRDefault="001146A2" w:rsidP="00CC74B7">
            <w:pPr>
              <w:pStyle w:val="TableListBullet"/>
              <w:rPr>
                <w:lang w:bidi="fa-IR"/>
              </w:rPr>
            </w:pPr>
            <w:r w:rsidRPr="00D95ED6">
              <w:rPr>
                <w:lang w:bidi="fa-IR"/>
              </w:rPr>
              <w:t>Power outlet 300mm above floor</w:t>
            </w:r>
          </w:p>
        </w:tc>
      </w:tr>
      <w:tr w:rsidR="001146A2" w:rsidRPr="008C26D0" w14:paraId="59E46DDD" w14:textId="77777777" w:rsidTr="00CC5C24">
        <w:tc>
          <w:tcPr>
            <w:tcW w:w="1560" w:type="dxa"/>
            <w:tcBorders>
              <w:top w:val="single" w:sz="8" w:space="0" w:color="FFFFFF" w:themeColor="background1"/>
              <w:bottom w:val="single" w:sz="8" w:space="0" w:color="FFFFFF" w:themeColor="background1"/>
            </w:tcBorders>
            <w:shd w:val="clear" w:color="auto" w:fill="E9E8E5" w:themeFill="background2"/>
            <w:hideMark/>
          </w:tcPr>
          <w:p w14:paraId="50BB46E3" w14:textId="77777777" w:rsidR="001146A2" w:rsidRPr="006A693A" w:rsidRDefault="001146A2" w:rsidP="00300B7C">
            <w:pPr>
              <w:pStyle w:val="TableTextEntries"/>
              <w:rPr>
                <w:lang w:bidi="fa-IR"/>
              </w:rPr>
            </w:pPr>
            <w:r w:rsidRPr="006A693A">
              <w:rPr>
                <w:lang w:bidi="fa-IR"/>
              </w:rPr>
              <w:t>Height of door har</w:t>
            </w:r>
            <w:r w:rsidR="00A01AFA" w:rsidRPr="006A693A">
              <w:rPr>
                <w:lang w:bidi="fa-IR"/>
              </w:rPr>
              <w:t>d</w:t>
            </w:r>
            <w:r w:rsidRPr="006A693A">
              <w:rPr>
                <w:lang w:bidi="fa-IR"/>
              </w:rPr>
              <w:t>ware</w:t>
            </w:r>
          </w:p>
        </w:tc>
        <w:tc>
          <w:tcPr>
            <w:tcW w:w="2409" w:type="dxa"/>
            <w:tcBorders>
              <w:top w:val="single" w:sz="8" w:space="0" w:color="FFFFFF" w:themeColor="background1"/>
              <w:bottom w:val="single" w:sz="8" w:space="0" w:color="FFFFFF" w:themeColor="background1"/>
            </w:tcBorders>
            <w:shd w:val="clear" w:color="auto" w:fill="E9E8E5" w:themeFill="background2"/>
            <w:hideMark/>
          </w:tcPr>
          <w:p w14:paraId="3B9B4B1B" w14:textId="77777777" w:rsidR="001146A2" w:rsidRPr="006A693A" w:rsidRDefault="001146A2" w:rsidP="00300B7C">
            <w:pPr>
              <w:pStyle w:val="TableTextEntries"/>
              <w:rPr>
                <w:lang w:bidi="fa-IR"/>
              </w:rPr>
            </w:pPr>
            <w:r w:rsidRPr="006A693A">
              <w:rPr>
                <w:lang w:bidi="fa-IR"/>
              </w:rPr>
              <w:t>No requirement -</w:t>
            </w:r>
          </w:p>
        </w:tc>
        <w:tc>
          <w:tcPr>
            <w:tcW w:w="3966" w:type="dxa"/>
            <w:tcBorders>
              <w:top w:val="single" w:sz="8" w:space="0" w:color="FFFFFF" w:themeColor="background1"/>
              <w:bottom w:val="single" w:sz="8" w:space="0" w:color="FFFFFF" w:themeColor="background1"/>
            </w:tcBorders>
            <w:shd w:val="clear" w:color="auto" w:fill="E9E8E5" w:themeFill="background2"/>
            <w:hideMark/>
          </w:tcPr>
          <w:p w14:paraId="4F9D2014" w14:textId="77777777" w:rsidR="001146A2" w:rsidRPr="00410642" w:rsidRDefault="001146A2" w:rsidP="00300B7C">
            <w:pPr>
              <w:pStyle w:val="TableListBullet"/>
              <w:rPr>
                <w:i/>
                <w:iCs/>
                <w:lang w:bidi="fa-IR"/>
              </w:rPr>
            </w:pPr>
            <w:r w:rsidRPr="00410642">
              <w:rPr>
                <w:lang w:bidi="fa-IR"/>
              </w:rPr>
              <w:t>900mm</w:t>
            </w:r>
            <w:r w:rsidR="00D95ED6">
              <w:rPr>
                <w:lang w:bidi="fa-IR"/>
              </w:rPr>
              <w:t xml:space="preserve"> to </w:t>
            </w:r>
            <w:r w:rsidRPr="00410642">
              <w:rPr>
                <w:lang w:bidi="fa-IR"/>
              </w:rPr>
              <w:t>1100mm</w:t>
            </w:r>
            <w:r>
              <w:rPr>
                <w:lang w:bidi="fa-IR"/>
              </w:rPr>
              <w:t xml:space="preserve"> above floor</w:t>
            </w:r>
          </w:p>
        </w:tc>
      </w:tr>
      <w:tr w:rsidR="00D95ED6" w:rsidRPr="008C26D0" w14:paraId="1E3EB309" w14:textId="77777777" w:rsidTr="00CC5C24">
        <w:tc>
          <w:tcPr>
            <w:tcW w:w="1560" w:type="dxa"/>
            <w:tcBorders>
              <w:top w:val="single" w:sz="8" w:space="0" w:color="FFFFFF" w:themeColor="background1"/>
              <w:bottom w:val="single" w:sz="4" w:space="0" w:color="6F6652" w:themeColor="accent5"/>
            </w:tcBorders>
            <w:shd w:val="clear" w:color="auto" w:fill="E9E8E5" w:themeFill="background2"/>
            <w:hideMark/>
          </w:tcPr>
          <w:p w14:paraId="2B57A5E2" w14:textId="77777777" w:rsidR="00D95ED6" w:rsidRPr="006A693A" w:rsidRDefault="00D95ED6" w:rsidP="00300B7C">
            <w:pPr>
              <w:pStyle w:val="TableTextEntries"/>
              <w:rPr>
                <w:lang w:bidi="fa-IR"/>
              </w:rPr>
            </w:pPr>
            <w:r w:rsidRPr="006A693A">
              <w:rPr>
                <w:lang w:bidi="fa-IR"/>
              </w:rPr>
              <w:t>Specs of window sills</w:t>
            </w:r>
          </w:p>
        </w:tc>
        <w:tc>
          <w:tcPr>
            <w:tcW w:w="2409" w:type="dxa"/>
            <w:tcBorders>
              <w:top w:val="single" w:sz="8" w:space="0" w:color="FFFFFF" w:themeColor="background1"/>
              <w:bottom w:val="single" w:sz="4" w:space="0" w:color="6F6652" w:themeColor="accent5"/>
            </w:tcBorders>
            <w:shd w:val="clear" w:color="auto" w:fill="E9E8E5" w:themeFill="background2"/>
            <w:hideMark/>
          </w:tcPr>
          <w:p w14:paraId="5C838679" w14:textId="77777777" w:rsidR="00D95ED6" w:rsidRPr="006A693A" w:rsidRDefault="00D95ED6" w:rsidP="00300B7C">
            <w:pPr>
              <w:pStyle w:val="TableTextEntries"/>
              <w:rPr>
                <w:lang w:bidi="fa-IR"/>
              </w:rPr>
            </w:pPr>
            <w:r w:rsidRPr="006A693A">
              <w:rPr>
                <w:lang w:bidi="fa-IR"/>
              </w:rPr>
              <w:t>No requirement-</w:t>
            </w:r>
          </w:p>
        </w:tc>
        <w:tc>
          <w:tcPr>
            <w:tcW w:w="3966" w:type="dxa"/>
            <w:tcBorders>
              <w:top w:val="single" w:sz="8" w:space="0" w:color="FFFFFF" w:themeColor="background1"/>
              <w:bottom w:val="single" w:sz="4" w:space="0" w:color="6F6652" w:themeColor="accent5"/>
            </w:tcBorders>
            <w:shd w:val="clear" w:color="auto" w:fill="E9E8E5" w:themeFill="background2"/>
            <w:hideMark/>
          </w:tcPr>
          <w:p w14:paraId="3CCAB2B7" w14:textId="77777777" w:rsidR="00D95ED6" w:rsidRPr="00D95ED6" w:rsidRDefault="00D95ED6" w:rsidP="00D95ED6">
            <w:pPr>
              <w:pStyle w:val="TableListBullet"/>
              <w:rPr>
                <w:lang w:bidi="fa-IR"/>
              </w:rPr>
            </w:pPr>
            <w:r w:rsidRPr="00D95ED6">
              <w:rPr>
                <w:lang w:bidi="fa-IR"/>
              </w:rPr>
              <w:t>No requirement</w:t>
            </w:r>
            <w:r w:rsidR="00A13110">
              <w:rPr>
                <w:lang w:bidi="fa-IR"/>
              </w:rPr>
              <w:t xml:space="preserve"> </w:t>
            </w:r>
            <w:r>
              <w:rPr>
                <w:lang w:bidi="fa-IR"/>
              </w:rPr>
              <w:t>(Option 2)</w:t>
            </w:r>
          </w:p>
          <w:p w14:paraId="4736D964" w14:textId="77777777" w:rsidR="00D95ED6" w:rsidRPr="00410642" w:rsidRDefault="00D95ED6" w:rsidP="00300B7C">
            <w:pPr>
              <w:pStyle w:val="TableListBullet"/>
              <w:rPr>
                <w:i/>
                <w:iCs/>
                <w:lang w:bidi="fa-IR"/>
              </w:rPr>
            </w:pPr>
            <w:r>
              <w:rPr>
                <w:lang w:bidi="fa-IR"/>
              </w:rPr>
              <w:t xml:space="preserve">Sill </w:t>
            </w:r>
            <w:r w:rsidRPr="00410642">
              <w:rPr>
                <w:lang w:bidi="fa-IR"/>
              </w:rPr>
              <w:t>1</w:t>
            </w:r>
            <w:r>
              <w:rPr>
                <w:lang w:bidi="fa-IR"/>
              </w:rPr>
              <w:t>0</w:t>
            </w:r>
            <w:r w:rsidRPr="00410642">
              <w:rPr>
                <w:lang w:bidi="fa-IR"/>
              </w:rPr>
              <w:t>00mm</w:t>
            </w:r>
            <w:r>
              <w:rPr>
                <w:lang w:bidi="fa-IR"/>
              </w:rPr>
              <w:t xml:space="preserve"> above floor, allow for single-handed operation (Option 3)</w:t>
            </w:r>
          </w:p>
        </w:tc>
      </w:tr>
    </w:tbl>
    <w:p w14:paraId="666734B6" w14:textId="77777777" w:rsidR="00921644" w:rsidRPr="0066010E" w:rsidRDefault="00921644" w:rsidP="00921644">
      <w:pPr>
        <w:pStyle w:val="Note"/>
        <w:rPr>
          <w:iCs/>
          <w:lang w:bidi="fa-IR"/>
        </w:rPr>
      </w:pPr>
      <w:r w:rsidRPr="0066010E">
        <w:rPr>
          <w:iCs/>
        </w:rPr>
        <w:t>Note: Parking space dimensional requirements only apply if the parking space forms a part of the step-free access path into the dwelling.</w:t>
      </w:r>
    </w:p>
    <w:p w14:paraId="205E1F28" w14:textId="77777777" w:rsidR="00BD428A" w:rsidRPr="0066010E" w:rsidRDefault="00BD428A" w:rsidP="00BD428A">
      <w:pPr>
        <w:pStyle w:val="Source"/>
        <w:rPr>
          <w:iCs/>
          <w:lang w:bidi="fa-IR"/>
        </w:rPr>
      </w:pPr>
      <w:r w:rsidRPr="0066010E">
        <w:rPr>
          <w:iCs/>
          <w:lang w:bidi="fa-IR"/>
        </w:rPr>
        <w:t>Source: ABCB; CIE.</w:t>
      </w:r>
    </w:p>
    <w:p w14:paraId="55DE10BB" w14:textId="77777777" w:rsidR="00BD428A" w:rsidRDefault="00BD428A" w:rsidP="00BD428A">
      <w:pPr>
        <w:pStyle w:val="BodyText"/>
        <w:rPr>
          <w:lang w:bidi="fa-IR"/>
        </w:rPr>
      </w:pPr>
      <w:r w:rsidRPr="00300B7C">
        <w:rPr>
          <w:lang w:bidi="fa-IR"/>
        </w:rPr>
        <w:t xml:space="preserve">Under the ABCB’s proposed changes to the NCC, all new dwellings are required to have </w:t>
      </w:r>
      <w:r w:rsidR="000F3900">
        <w:rPr>
          <w:lang w:bidi="fa-IR"/>
        </w:rPr>
        <w:t xml:space="preserve">all </w:t>
      </w:r>
      <w:r w:rsidRPr="00300B7C">
        <w:rPr>
          <w:lang w:bidi="fa-IR"/>
        </w:rPr>
        <w:t xml:space="preserve">proposed accessibility features, other than features that relate to step-free access. </w:t>
      </w:r>
      <w:r w:rsidR="001648D2" w:rsidRPr="00300B7C">
        <w:rPr>
          <w:lang w:bidi="fa-IR"/>
        </w:rPr>
        <w:t>Step free access requirement</w:t>
      </w:r>
      <w:r w:rsidR="000F3900">
        <w:rPr>
          <w:lang w:bidi="fa-IR"/>
        </w:rPr>
        <w:t>s</w:t>
      </w:r>
      <w:r w:rsidR="001648D2" w:rsidRPr="00300B7C">
        <w:rPr>
          <w:lang w:bidi="fa-IR"/>
        </w:rPr>
        <w:t xml:space="preserve"> </w:t>
      </w:r>
      <w:r w:rsidR="000F3900">
        <w:rPr>
          <w:lang w:bidi="fa-IR"/>
        </w:rPr>
        <w:t xml:space="preserve">may </w:t>
      </w:r>
      <w:r w:rsidR="001648D2" w:rsidRPr="00300B7C">
        <w:rPr>
          <w:lang w:bidi="fa-IR"/>
        </w:rPr>
        <w:t xml:space="preserve">be exempted for Class 1a buildings if the site has excessive slope or it is not practical to provide step free access without significant costs and/or </w:t>
      </w:r>
      <w:r w:rsidR="00921644">
        <w:rPr>
          <w:lang w:bidi="fa-IR"/>
        </w:rPr>
        <w:t>exceeding</w:t>
      </w:r>
      <w:r w:rsidR="00921644" w:rsidRPr="00300B7C">
        <w:rPr>
          <w:lang w:bidi="fa-IR"/>
        </w:rPr>
        <w:t xml:space="preserve"> </w:t>
      </w:r>
      <w:r w:rsidR="001648D2" w:rsidRPr="00300B7C">
        <w:rPr>
          <w:lang w:bidi="fa-IR"/>
        </w:rPr>
        <w:t xml:space="preserve">ramping allowances </w:t>
      </w:r>
      <w:r w:rsidRPr="00300B7C">
        <w:rPr>
          <w:lang w:bidi="fa-IR"/>
        </w:rPr>
        <w:t xml:space="preserve">(set out below). Therefore, there are some dwellings that will not have step-free access but will have other accessibility features. This is intended to </w:t>
      </w:r>
      <w:r w:rsidR="00921644">
        <w:rPr>
          <w:lang w:bidi="fa-IR"/>
        </w:rPr>
        <w:t xml:space="preserve">discourage attempts </w:t>
      </w:r>
      <w:r w:rsidRPr="00300B7C">
        <w:rPr>
          <w:lang w:bidi="fa-IR"/>
        </w:rPr>
        <w:t xml:space="preserve">to avoid accessibility requirements all together by deliberately </w:t>
      </w:r>
      <w:r w:rsidR="00921644">
        <w:rPr>
          <w:lang w:bidi="fa-IR"/>
        </w:rPr>
        <w:t>design</w:t>
      </w:r>
      <w:r w:rsidR="00921644" w:rsidRPr="00300B7C">
        <w:rPr>
          <w:lang w:bidi="fa-IR"/>
        </w:rPr>
        <w:t xml:space="preserve">ing </w:t>
      </w:r>
      <w:r w:rsidRPr="00300B7C">
        <w:rPr>
          <w:lang w:bidi="fa-IR"/>
        </w:rPr>
        <w:t>homes where step-free access is not practicable.</w:t>
      </w:r>
    </w:p>
    <w:p w14:paraId="4334AF8C" w14:textId="77777777" w:rsidR="00921644" w:rsidRPr="00300B7C" w:rsidRDefault="00921644" w:rsidP="00BD428A">
      <w:pPr>
        <w:pStyle w:val="BodyText"/>
        <w:rPr>
          <w:lang w:bidi="fa-IR"/>
        </w:rPr>
      </w:pPr>
      <w:r>
        <w:rPr>
          <w:lang w:bidi="fa-IR"/>
        </w:rPr>
        <w:t xml:space="preserve">It is important to note however that application </w:t>
      </w:r>
      <w:r w:rsidR="00E25A63">
        <w:rPr>
          <w:lang w:bidi="fa-IR"/>
        </w:rPr>
        <w:t>for</w:t>
      </w:r>
      <w:r>
        <w:rPr>
          <w:lang w:bidi="fa-IR"/>
        </w:rPr>
        <w:t xml:space="preserve"> an exemption would be voluntary. Step-free access could still be provided by choice even if the proposed dwelling would otherwise be eligible for an exemption.</w:t>
      </w:r>
    </w:p>
    <w:p w14:paraId="573F70FD" w14:textId="58B71274" w:rsidR="00BD428A" w:rsidRPr="005331B4" w:rsidRDefault="00490F02" w:rsidP="00BD428A">
      <w:pPr>
        <w:pStyle w:val="Caption"/>
        <w:rPr>
          <w:i/>
          <w:iCs/>
        </w:rPr>
      </w:pPr>
      <w:bookmarkStart w:id="353" w:name="_Toc24977958"/>
      <w:bookmarkStart w:id="354" w:name="_Toc32321820"/>
      <w:bookmarkStart w:id="355" w:name="_Toc44598517"/>
      <w:bookmarkStart w:id="356" w:name="_Toc45654148"/>
      <w:bookmarkStart w:id="357" w:name="_Toc56174592"/>
      <w:bookmarkStart w:id="358" w:name="_Toc57643639"/>
      <w:bookmarkStart w:id="359" w:name="_Toc70505555"/>
      <w:r>
        <w:t>4.2</w:t>
      </w:r>
      <w:r w:rsidR="00BD428A" w:rsidRPr="005331B4">
        <w:rPr>
          <w:i/>
          <w:iCs/>
        </w:rPr>
        <w:tab/>
      </w:r>
      <w:r w:rsidR="00BD428A" w:rsidRPr="00F11AF4">
        <w:t>Cases where step-free access would not be required, or where exclusions apply</w:t>
      </w:r>
      <w:bookmarkEnd w:id="353"/>
      <w:bookmarkEnd w:id="354"/>
      <w:bookmarkEnd w:id="355"/>
      <w:bookmarkEnd w:id="356"/>
      <w:bookmarkEnd w:id="357"/>
      <w:bookmarkEnd w:id="358"/>
      <w:bookmarkEnd w:id="359"/>
      <w:r w:rsidR="00BD428A" w:rsidRPr="005331B4">
        <w:rPr>
          <w:i/>
          <w:iCs/>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4.2: Cases where step-free access would not be required, or where exclusions apply"/>
        <w:tblDescription w:val="This table lists exceptions where step-free access would not be required, although it could be provided voluntarily. Exceptions include townhouses on top of underground shared carparks and apartments (only dwellings on the entry level and apartments on floors served by a lift require step-free access), and detached and attached houses (step-free access is not required where it is not practical because of gradient, space limitations, or where the ground floor of the house is a garage). Further detail is given in the Discussion column."/>
      </w:tblPr>
      <w:tblGrid>
        <w:gridCol w:w="851"/>
        <w:gridCol w:w="3402"/>
        <w:gridCol w:w="3684"/>
      </w:tblGrid>
      <w:tr w:rsidR="00BD428A" w:rsidRPr="008C26D0" w14:paraId="2B994E97" w14:textId="77777777" w:rsidTr="00405F3D">
        <w:trPr>
          <w:tblHeader/>
        </w:trPr>
        <w:tc>
          <w:tcPr>
            <w:tcW w:w="851" w:type="dxa"/>
            <w:tcBorders>
              <w:bottom w:val="single" w:sz="8" w:space="0" w:color="FFFFFF" w:themeColor="background1"/>
            </w:tcBorders>
            <w:shd w:val="clear" w:color="auto" w:fill="6F6652" w:themeFill="accent5"/>
          </w:tcPr>
          <w:p w14:paraId="37DE7FAA" w14:textId="77777777" w:rsidR="00BD428A" w:rsidRPr="005331B4" w:rsidRDefault="00BD428A" w:rsidP="00405F3D">
            <w:pPr>
              <w:pStyle w:val="TableTextColumnHeading"/>
              <w:rPr>
                <w:i/>
                <w:iCs/>
                <w:lang w:bidi="fa-IR"/>
              </w:rPr>
            </w:pPr>
            <w:r w:rsidRPr="005331B4">
              <w:rPr>
                <w:i/>
                <w:iCs/>
                <w:lang w:bidi="fa-IR"/>
              </w:rPr>
              <w:t>Case</w:t>
            </w:r>
          </w:p>
        </w:tc>
        <w:tc>
          <w:tcPr>
            <w:tcW w:w="3402" w:type="dxa"/>
            <w:tcBorders>
              <w:bottom w:val="single" w:sz="8" w:space="0" w:color="FFFFFF" w:themeColor="background1"/>
            </w:tcBorders>
            <w:shd w:val="clear" w:color="auto" w:fill="6F6652" w:themeFill="accent5"/>
          </w:tcPr>
          <w:p w14:paraId="6DD469DB" w14:textId="77777777" w:rsidR="00BD428A" w:rsidRPr="005331B4" w:rsidRDefault="00BD428A" w:rsidP="00405F3D">
            <w:pPr>
              <w:pStyle w:val="TableTextColumnHeading"/>
              <w:rPr>
                <w:i/>
                <w:iCs/>
                <w:lang w:bidi="fa-IR"/>
              </w:rPr>
            </w:pPr>
            <w:r w:rsidRPr="005331B4">
              <w:rPr>
                <w:i/>
                <w:iCs/>
                <w:lang w:bidi="fa-IR"/>
              </w:rPr>
              <w:t>Exception</w:t>
            </w:r>
          </w:p>
        </w:tc>
        <w:tc>
          <w:tcPr>
            <w:tcW w:w="3684" w:type="dxa"/>
            <w:tcBorders>
              <w:bottom w:val="single" w:sz="8" w:space="0" w:color="FFFFFF" w:themeColor="background1"/>
            </w:tcBorders>
            <w:shd w:val="clear" w:color="auto" w:fill="6F6652" w:themeFill="accent5"/>
          </w:tcPr>
          <w:p w14:paraId="08EDF33E" w14:textId="77777777" w:rsidR="00BD428A" w:rsidRPr="005331B4" w:rsidRDefault="00BD428A" w:rsidP="00405F3D">
            <w:pPr>
              <w:pStyle w:val="TableTextColumnHeading"/>
              <w:rPr>
                <w:i/>
                <w:iCs/>
                <w:lang w:bidi="fa-IR"/>
              </w:rPr>
            </w:pPr>
            <w:r w:rsidRPr="005331B4">
              <w:rPr>
                <w:i/>
                <w:iCs/>
                <w:lang w:bidi="fa-IR"/>
              </w:rPr>
              <w:t>Discussion</w:t>
            </w:r>
          </w:p>
        </w:tc>
      </w:tr>
      <w:tr w:rsidR="00BD428A" w:rsidRPr="00B5349C" w14:paraId="5A665FBF" w14:textId="77777777" w:rsidTr="00405F3D">
        <w:tc>
          <w:tcPr>
            <w:tcW w:w="851" w:type="dxa"/>
            <w:tcBorders>
              <w:top w:val="single" w:sz="8" w:space="0" w:color="FFFFFF" w:themeColor="background1"/>
              <w:bottom w:val="single" w:sz="8" w:space="0" w:color="FFFFFF" w:themeColor="background1"/>
            </w:tcBorders>
            <w:shd w:val="clear" w:color="auto" w:fill="E9E8E5" w:themeFill="background2"/>
          </w:tcPr>
          <w:p w14:paraId="3368D21F" w14:textId="77777777" w:rsidR="00BD428A" w:rsidRPr="00B5349C" w:rsidRDefault="00BD428A" w:rsidP="00405F3D">
            <w:pPr>
              <w:pStyle w:val="TableTextEntries"/>
              <w:rPr>
                <w:lang w:bidi="fa-IR"/>
              </w:rPr>
            </w:pPr>
            <w:r w:rsidRPr="00B5349C">
              <w:rPr>
                <w:lang w:bidi="fa-IR"/>
              </w:rPr>
              <w:t>Class 2 dwellings</w:t>
            </w:r>
          </w:p>
        </w:tc>
        <w:tc>
          <w:tcPr>
            <w:tcW w:w="3402" w:type="dxa"/>
            <w:tcBorders>
              <w:top w:val="single" w:sz="8" w:space="0" w:color="FFFFFF" w:themeColor="background1"/>
              <w:bottom w:val="single" w:sz="8" w:space="0" w:color="FFFFFF" w:themeColor="background1"/>
            </w:tcBorders>
            <w:shd w:val="clear" w:color="auto" w:fill="E9E8E5" w:themeFill="background2"/>
          </w:tcPr>
          <w:p w14:paraId="5751ABE1" w14:textId="77777777" w:rsidR="00BD428A" w:rsidRPr="00B5349C" w:rsidRDefault="00BD428A" w:rsidP="00405F3D">
            <w:pPr>
              <w:pStyle w:val="TableTextEntries"/>
              <w:rPr>
                <w:lang w:bidi="fa-IR"/>
              </w:rPr>
            </w:pPr>
            <w:r w:rsidRPr="00B5349C">
              <w:rPr>
                <w:lang w:bidi="fa-IR"/>
              </w:rPr>
              <w:t>Class 2 dwellings are dwellings that sit on-top of another structure; it mostly covers:</w:t>
            </w:r>
          </w:p>
          <w:p w14:paraId="733BAE8D" w14:textId="77777777" w:rsidR="00BD428A" w:rsidRPr="00B5349C" w:rsidRDefault="00BD428A" w:rsidP="00405F3D">
            <w:pPr>
              <w:pStyle w:val="TableListBullet"/>
              <w:rPr>
                <w:lang w:bidi="fa-IR"/>
              </w:rPr>
            </w:pPr>
            <w:r w:rsidRPr="00B5349C">
              <w:rPr>
                <w:lang w:bidi="fa-IR"/>
              </w:rPr>
              <w:t xml:space="preserve">All types of apartments (buildings of 4 or more stories, which include lifts, and 3 or fewer stories, which do not or usually do not include lifts) </w:t>
            </w:r>
          </w:p>
          <w:p w14:paraId="53A452EE" w14:textId="77777777" w:rsidR="00BD428A" w:rsidRPr="00B5349C" w:rsidRDefault="00BD428A" w:rsidP="00405F3D">
            <w:pPr>
              <w:pStyle w:val="TableListBullet"/>
              <w:rPr>
                <w:lang w:bidi="fa-IR"/>
              </w:rPr>
            </w:pPr>
            <w:r w:rsidRPr="00B5349C">
              <w:rPr>
                <w:lang w:bidi="fa-IR"/>
              </w:rPr>
              <w:t>Townhouses (or single level apartments) that sit on-top of an underground, shared carpark (as the carpark itself is a structure)</w:t>
            </w:r>
          </w:p>
        </w:tc>
        <w:tc>
          <w:tcPr>
            <w:tcW w:w="3684" w:type="dxa"/>
            <w:tcBorders>
              <w:top w:val="single" w:sz="8" w:space="0" w:color="FFFFFF" w:themeColor="background1"/>
              <w:bottom w:val="single" w:sz="8" w:space="0" w:color="FFFFFF" w:themeColor="background1"/>
            </w:tcBorders>
            <w:shd w:val="clear" w:color="auto" w:fill="E9E8E5" w:themeFill="background2"/>
          </w:tcPr>
          <w:p w14:paraId="620E4A1A" w14:textId="77777777" w:rsidR="00BD428A" w:rsidRPr="00B5349C" w:rsidRDefault="00BD428A" w:rsidP="00405F3D">
            <w:pPr>
              <w:pStyle w:val="TableTextEntries"/>
              <w:rPr>
                <w:lang w:bidi="fa-IR"/>
              </w:rPr>
            </w:pPr>
            <w:r w:rsidRPr="00B5349C">
              <w:rPr>
                <w:lang w:bidi="fa-IR"/>
              </w:rPr>
              <w:t xml:space="preserve">The proposed changes to the NCC do not alter the ‘status quo’ for Class 2 dwellings, as existing NCC </w:t>
            </w:r>
            <w:r w:rsidR="00921644">
              <w:rPr>
                <w:lang w:bidi="fa-IR"/>
              </w:rPr>
              <w:t>accessibility requirements for common areas in Class 2 buildings</w:t>
            </w:r>
          </w:p>
          <w:p w14:paraId="593DB8E3" w14:textId="77777777" w:rsidR="00BD428A" w:rsidRPr="00B5349C" w:rsidRDefault="00BD428A" w:rsidP="00405F3D">
            <w:pPr>
              <w:pStyle w:val="TableTextEntries"/>
              <w:rPr>
                <w:lang w:bidi="fa-IR"/>
              </w:rPr>
            </w:pPr>
            <w:r w:rsidRPr="00B5349C">
              <w:rPr>
                <w:lang w:bidi="fa-IR"/>
              </w:rPr>
              <w:t>This means where there is no lift (townhouses on top of shared carparks, apartment buildings of 3 or fewer stories), only dwellings on the entry level require step-free access to dwellings (via ground level entrance; not via carpark); dwellings on other stories do not require step-free access</w:t>
            </w:r>
          </w:p>
          <w:p w14:paraId="2FEAB674" w14:textId="77777777" w:rsidR="00BD428A" w:rsidRPr="00B5349C" w:rsidRDefault="00BD428A" w:rsidP="00405F3D">
            <w:pPr>
              <w:pStyle w:val="TableTextEntries"/>
              <w:rPr>
                <w:rStyle w:val="DraftingNote"/>
              </w:rPr>
            </w:pPr>
            <w:r w:rsidRPr="00B5349C">
              <w:rPr>
                <w:lang w:bidi="fa-IR"/>
              </w:rPr>
              <w:t xml:space="preserve">Where there is a lift (generally in buildings of four or more stories) dwellings require step-free access if </w:t>
            </w:r>
            <w:r w:rsidR="00921644">
              <w:rPr>
                <w:lang w:bidi="fa-IR"/>
              </w:rPr>
              <w:t xml:space="preserve">located on a floor served by </w:t>
            </w:r>
            <w:r w:rsidRPr="00B5349C">
              <w:rPr>
                <w:lang w:bidi="fa-IR"/>
              </w:rPr>
              <w:t>the lift</w:t>
            </w:r>
          </w:p>
        </w:tc>
      </w:tr>
      <w:tr w:rsidR="00BD428A" w:rsidRPr="00B5349C" w14:paraId="49E496BE" w14:textId="77777777" w:rsidTr="00405F3D">
        <w:tc>
          <w:tcPr>
            <w:tcW w:w="851" w:type="dxa"/>
            <w:tcBorders>
              <w:top w:val="single" w:sz="8" w:space="0" w:color="FFFFFF" w:themeColor="background1"/>
              <w:bottom w:val="single" w:sz="4" w:space="0" w:color="6F6652" w:themeColor="accent5"/>
            </w:tcBorders>
            <w:shd w:val="clear" w:color="auto" w:fill="E9E8E5" w:themeFill="background2"/>
          </w:tcPr>
          <w:p w14:paraId="247419E6" w14:textId="77777777" w:rsidR="00BD428A" w:rsidRPr="00B5349C" w:rsidRDefault="00BD428A" w:rsidP="00405F3D">
            <w:pPr>
              <w:pStyle w:val="TableTextEntries"/>
              <w:rPr>
                <w:lang w:bidi="fa-IR"/>
              </w:rPr>
            </w:pPr>
            <w:r w:rsidRPr="00B5349C">
              <w:rPr>
                <w:lang w:bidi="fa-IR"/>
              </w:rPr>
              <w:t>Class 1</w:t>
            </w:r>
            <w:r w:rsidR="000F3900">
              <w:rPr>
                <w:lang w:bidi="fa-IR"/>
              </w:rPr>
              <w:t>a</w:t>
            </w:r>
            <w:r w:rsidRPr="00B5349C">
              <w:rPr>
                <w:lang w:bidi="fa-IR"/>
              </w:rPr>
              <w:t xml:space="preserve"> dwellings</w:t>
            </w:r>
          </w:p>
        </w:tc>
        <w:tc>
          <w:tcPr>
            <w:tcW w:w="3402" w:type="dxa"/>
            <w:tcBorders>
              <w:top w:val="single" w:sz="8" w:space="0" w:color="FFFFFF" w:themeColor="background1"/>
              <w:bottom w:val="single" w:sz="4" w:space="0" w:color="6F6652" w:themeColor="accent5"/>
            </w:tcBorders>
            <w:shd w:val="clear" w:color="auto" w:fill="E9E8E5" w:themeFill="background2"/>
          </w:tcPr>
          <w:p w14:paraId="15125B88" w14:textId="77777777" w:rsidR="00BD428A" w:rsidRPr="00B5349C" w:rsidRDefault="00BD428A" w:rsidP="00405F3D">
            <w:pPr>
              <w:pStyle w:val="TableTextEntries"/>
              <w:rPr>
                <w:lang w:bidi="fa-IR"/>
              </w:rPr>
            </w:pPr>
            <w:r w:rsidRPr="00B5349C">
              <w:rPr>
                <w:lang w:bidi="fa-IR"/>
              </w:rPr>
              <w:t>1a dwellings are detached houses and attached houses (including: townhouses, row/terrace houses, etc)</w:t>
            </w:r>
          </w:p>
          <w:p w14:paraId="7C4E351D" w14:textId="77777777" w:rsidR="00BD428A" w:rsidRPr="00B5349C" w:rsidRDefault="00BD428A" w:rsidP="00405F3D">
            <w:pPr>
              <w:pStyle w:val="TableTextEntries"/>
              <w:rPr>
                <w:lang w:bidi="fa-IR"/>
              </w:rPr>
            </w:pPr>
            <w:r w:rsidRPr="00B5349C">
              <w:rPr>
                <w:lang w:bidi="fa-IR"/>
              </w:rPr>
              <w:t>The</w:t>
            </w:r>
            <w:r w:rsidR="00921644">
              <w:rPr>
                <w:lang w:bidi="fa-IR"/>
              </w:rPr>
              <w:t xml:space="preserve"> following test is used to establish </w:t>
            </w:r>
            <w:r w:rsidRPr="00B5349C">
              <w:rPr>
                <w:lang w:bidi="fa-IR"/>
              </w:rPr>
              <w:t>where 1a houses do not require step-free access:</w:t>
            </w:r>
          </w:p>
          <w:p w14:paraId="5F588907" w14:textId="77777777" w:rsidR="001E2CD1" w:rsidRPr="00B5349C" w:rsidRDefault="001E2CD1" w:rsidP="00405F3D">
            <w:pPr>
              <w:pStyle w:val="TableListBullet"/>
              <w:rPr>
                <w:lang w:bidi="fa-IR"/>
              </w:rPr>
            </w:pPr>
            <w:r w:rsidRPr="00B5349C">
              <w:rPr>
                <w:lang w:bidi="fa-IR"/>
              </w:rPr>
              <w:t xml:space="preserve">It is not practicable to provide step-free access via a garage or parking space, </w:t>
            </w:r>
            <w:r w:rsidR="00BF6158">
              <w:rPr>
                <w:lang w:bidi="fa-IR"/>
              </w:rPr>
              <w:t>AND</w:t>
            </w:r>
          </w:p>
          <w:p w14:paraId="628DB62B" w14:textId="77777777" w:rsidR="001E2CD1" w:rsidRPr="00B5349C" w:rsidRDefault="001E2CD1" w:rsidP="00405F3D">
            <w:pPr>
              <w:pStyle w:val="TableListBullet"/>
              <w:rPr>
                <w:lang w:bidi="fa-IR"/>
              </w:rPr>
            </w:pPr>
            <w:r w:rsidRPr="00B5349C">
              <w:rPr>
                <w:lang w:bidi="fa-IR"/>
              </w:rPr>
              <w:lastRenderedPageBreak/>
              <w:t>One of the following is true:</w:t>
            </w:r>
          </w:p>
          <w:p w14:paraId="71928DA6" w14:textId="77777777" w:rsidR="001E2CD1" w:rsidRPr="00B5349C" w:rsidRDefault="001E2CD1" w:rsidP="001E2CD1">
            <w:pPr>
              <w:pStyle w:val="TableListBullet2"/>
              <w:rPr>
                <w:lang w:bidi="fa-IR"/>
              </w:rPr>
            </w:pPr>
            <w:r w:rsidRPr="00B5349C">
              <w:rPr>
                <w:lang w:bidi="fa-IR"/>
              </w:rPr>
              <w:t>(</w:t>
            </w:r>
            <w:r w:rsidR="00681F0E">
              <w:rPr>
                <w:lang w:bidi="fa-IR"/>
              </w:rPr>
              <w:t>i</w:t>
            </w:r>
            <w:r w:rsidRPr="00B5349C">
              <w:rPr>
                <w:lang w:bidi="fa-IR"/>
              </w:rPr>
              <w:t>) to provide an external step free access path would necessitate construction of ramping that exceeds the length and gradient allowed</w:t>
            </w:r>
          </w:p>
          <w:p w14:paraId="1E510714" w14:textId="77777777" w:rsidR="00BD428A" w:rsidRDefault="001E2CD1" w:rsidP="00510BF5">
            <w:pPr>
              <w:pStyle w:val="TableListBullet2"/>
              <w:rPr>
                <w:lang w:bidi="fa-IR"/>
              </w:rPr>
            </w:pPr>
            <w:r w:rsidRPr="00B5349C">
              <w:rPr>
                <w:lang w:bidi="fa-IR"/>
              </w:rPr>
              <w:t>(ii) there is insufficient space available on the site to accommodate</w:t>
            </w:r>
          </w:p>
          <w:p w14:paraId="258941CA" w14:textId="77777777" w:rsidR="00BF6158" w:rsidRPr="00B5349C" w:rsidRDefault="00BF6158" w:rsidP="00510BF5">
            <w:pPr>
              <w:pStyle w:val="TableListBullet2"/>
              <w:rPr>
                <w:lang w:bidi="fa-IR"/>
              </w:rPr>
            </w:pPr>
            <w:r>
              <w:rPr>
                <w:lang w:bidi="fa-IR"/>
              </w:rPr>
              <w:t>(iii) the ground on which the step free access would be located has a gradient exceeding 1;14.</w:t>
            </w:r>
          </w:p>
        </w:tc>
        <w:tc>
          <w:tcPr>
            <w:tcW w:w="3684" w:type="dxa"/>
            <w:tcBorders>
              <w:top w:val="single" w:sz="8" w:space="0" w:color="FFFFFF" w:themeColor="background1"/>
              <w:bottom w:val="single" w:sz="4" w:space="0" w:color="6F6652" w:themeColor="accent5"/>
            </w:tcBorders>
            <w:shd w:val="clear" w:color="auto" w:fill="E9E8E5" w:themeFill="background2"/>
          </w:tcPr>
          <w:p w14:paraId="1DADACB7" w14:textId="77777777" w:rsidR="00BD428A" w:rsidRPr="00B5349C" w:rsidRDefault="00BD428A" w:rsidP="00405F3D">
            <w:pPr>
              <w:pStyle w:val="TableTextEntries"/>
              <w:rPr>
                <w:lang w:bidi="fa-IR"/>
              </w:rPr>
            </w:pPr>
            <w:r w:rsidRPr="00B5349C">
              <w:rPr>
                <w:lang w:bidi="fa-IR"/>
              </w:rPr>
              <w:lastRenderedPageBreak/>
              <w:t>Queenslander style homes are raised for ventilation; where the required ramping would exceed the interval limits set-out in the proposed changes, this ramping is not required (step-free access is not required)</w:t>
            </w:r>
          </w:p>
          <w:p w14:paraId="2AC7A327" w14:textId="77777777" w:rsidR="00BD428A" w:rsidRPr="00B5349C" w:rsidRDefault="001E2CD1" w:rsidP="00405F3D">
            <w:pPr>
              <w:pStyle w:val="TableTextEntries"/>
              <w:rPr>
                <w:lang w:bidi="fa-IR"/>
              </w:rPr>
            </w:pPr>
            <w:r w:rsidRPr="00B5349C">
              <w:rPr>
                <w:lang w:bidi="fa-IR"/>
              </w:rPr>
              <w:lastRenderedPageBreak/>
              <w:t xml:space="preserve">For </w:t>
            </w:r>
            <w:r w:rsidR="00BD428A" w:rsidRPr="00B5349C">
              <w:rPr>
                <w:lang w:bidi="fa-IR"/>
              </w:rPr>
              <w:t>‘</w:t>
            </w:r>
            <w:r w:rsidRPr="00B5349C">
              <w:rPr>
                <w:lang w:bidi="fa-IR"/>
              </w:rPr>
              <w:t>smaller</w:t>
            </w:r>
            <w:r w:rsidR="00BD428A" w:rsidRPr="00B5349C">
              <w:rPr>
                <w:lang w:bidi="fa-IR"/>
              </w:rPr>
              <w:t xml:space="preserve"> blocks’ (usually inner-city) where dwelling access is via a step that is right on the edge of the lot (required by planning authorities), ramping is not practicable </w:t>
            </w:r>
            <w:r w:rsidRPr="00B5349C">
              <w:rPr>
                <w:lang w:bidi="fa-IR"/>
              </w:rPr>
              <w:t xml:space="preserve">as there is insufficient space </w:t>
            </w:r>
            <w:r w:rsidR="00BD428A" w:rsidRPr="00B5349C">
              <w:rPr>
                <w:lang w:bidi="fa-IR"/>
              </w:rPr>
              <w:t>and is therefore not required (step free access is not required)</w:t>
            </w:r>
          </w:p>
          <w:p w14:paraId="47CACB43" w14:textId="77777777" w:rsidR="00BD428A" w:rsidRPr="00B5349C" w:rsidRDefault="00BD428A" w:rsidP="00405F3D">
            <w:pPr>
              <w:pStyle w:val="TableTextEntries"/>
              <w:rPr>
                <w:lang w:bidi="fa-IR"/>
              </w:rPr>
            </w:pPr>
            <w:r w:rsidRPr="00B5349C">
              <w:rPr>
                <w:lang w:bidi="fa-IR"/>
              </w:rPr>
              <w:t xml:space="preserve">Where the ground floor of a dwelling is a garage, step-free access to the rest of the dwelling is not required </w:t>
            </w:r>
          </w:p>
        </w:tc>
      </w:tr>
    </w:tbl>
    <w:p w14:paraId="6177C2D9" w14:textId="77777777" w:rsidR="00BD428A" w:rsidRPr="0074547C" w:rsidRDefault="00BD428A" w:rsidP="00BD428A">
      <w:pPr>
        <w:pStyle w:val="Source"/>
        <w:rPr>
          <w:iCs/>
          <w:lang w:bidi="fa-IR"/>
        </w:rPr>
      </w:pPr>
      <w:r w:rsidRPr="0074547C">
        <w:rPr>
          <w:iCs/>
          <w:lang w:bidi="fa-IR"/>
        </w:rPr>
        <w:lastRenderedPageBreak/>
        <w:t>Source: CIE.</w:t>
      </w:r>
    </w:p>
    <w:p w14:paraId="4A7AF824" w14:textId="77777777" w:rsidR="00BD428A" w:rsidRDefault="00BD428A" w:rsidP="00BD428A">
      <w:pPr>
        <w:pStyle w:val="Heading3"/>
        <w:numPr>
          <w:ilvl w:val="2"/>
          <w:numId w:val="5"/>
        </w:numPr>
        <w:rPr>
          <w:lang w:bidi="fa-IR"/>
        </w:rPr>
      </w:pPr>
      <w:bookmarkStart w:id="360" w:name="_Toc24977929"/>
      <w:r>
        <w:rPr>
          <w:lang w:bidi="fa-IR"/>
        </w:rPr>
        <w:t>Other options</w:t>
      </w:r>
      <w:bookmarkEnd w:id="360"/>
    </w:p>
    <w:p w14:paraId="6A8E59D6" w14:textId="77777777" w:rsidR="00BD428A" w:rsidRDefault="00BD428A" w:rsidP="00BD428A">
      <w:pPr>
        <w:pStyle w:val="BodyText"/>
        <w:rPr>
          <w:lang w:bidi="fa-IR"/>
        </w:rPr>
      </w:pPr>
      <w:r>
        <w:rPr>
          <w:lang w:bidi="fa-IR"/>
        </w:rPr>
        <w:t xml:space="preserve">As identified above, there are a range of existing programs </w:t>
      </w:r>
      <w:r w:rsidR="000F3900">
        <w:rPr>
          <w:lang w:bidi="fa-IR"/>
        </w:rPr>
        <w:t xml:space="preserve">that seek </w:t>
      </w:r>
      <w:r>
        <w:rPr>
          <w:lang w:bidi="fa-IR"/>
        </w:rPr>
        <w:t>to address aspects of the problem. To the extent that existing measures do not fully address the issues, it is possible that expanding some existing programs could reduce the extent of the problem.</w:t>
      </w:r>
    </w:p>
    <w:p w14:paraId="721961FF" w14:textId="77777777" w:rsidR="00BD428A" w:rsidRDefault="00BD428A" w:rsidP="00BD428A">
      <w:pPr>
        <w:pStyle w:val="BodyText"/>
        <w:rPr>
          <w:lang w:bidi="fa-IR"/>
        </w:rPr>
      </w:pPr>
      <w:r>
        <w:rPr>
          <w:lang w:bidi="fa-IR"/>
        </w:rPr>
        <w:t xml:space="preserve">A key question raised by industry stakeholders during targeted consultations is </w:t>
      </w:r>
      <w:r w:rsidR="000F3900">
        <w:rPr>
          <w:lang w:bidi="fa-IR"/>
        </w:rPr>
        <w:t>that</w:t>
      </w:r>
      <w:r w:rsidR="009D7D16">
        <w:rPr>
          <w:lang w:bidi="fa-IR"/>
        </w:rPr>
        <w:t>,</w:t>
      </w:r>
      <w:r w:rsidR="000F3900">
        <w:rPr>
          <w:lang w:bidi="fa-IR"/>
        </w:rPr>
        <w:t xml:space="preserve"> noting the range of existing programs, is </w:t>
      </w:r>
      <w:r>
        <w:rPr>
          <w:lang w:bidi="fa-IR"/>
        </w:rPr>
        <w:t xml:space="preserve">there a need to apply accessibility standards to </w:t>
      </w:r>
      <w:r w:rsidRPr="00BA4B5F">
        <w:rPr>
          <w:b/>
          <w:bCs/>
          <w:lang w:bidi="fa-IR"/>
        </w:rPr>
        <w:t>all</w:t>
      </w:r>
      <w:r>
        <w:rPr>
          <w:lang w:bidi="fa-IR"/>
        </w:rPr>
        <w:t xml:space="preserve"> new dwellings.</w:t>
      </w:r>
    </w:p>
    <w:p w14:paraId="52D16C1F" w14:textId="77777777" w:rsidR="00BD428A" w:rsidRDefault="00BD428A" w:rsidP="00BD428A">
      <w:pPr>
        <w:pStyle w:val="Heading4"/>
        <w:rPr>
          <w:lang w:bidi="fa-IR"/>
        </w:rPr>
      </w:pPr>
      <w:r>
        <w:rPr>
          <w:lang w:bidi="fa-IR"/>
        </w:rPr>
        <w:t>Other options through the NCC</w:t>
      </w:r>
    </w:p>
    <w:p w14:paraId="472DBE19" w14:textId="77777777" w:rsidR="00BD428A" w:rsidRDefault="00BD428A" w:rsidP="00BD428A">
      <w:pPr>
        <w:pStyle w:val="BodyText"/>
        <w:rPr>
          <w:lang w:bidi="fa-IR"/>
        </w:rPr>
      </w:pPr>
      <w:r>
        <w:rPr>
          <w:lang w:bidi="fa-IR"/>
        </w:rPr>
        <w:t>As the NCC applies to all new buildings, there is limited scope to impose accessibility standards on only a proportion of new dwellings through the NCC. The proposed options currently include some exemptions; however, these generally apply where it is either not possible or impractical to apply all of the accessible design elements.</w:t>
      </w:r>
    </w:p>
    <w:p w14:paraId="40E2A0F2" w14:textId="77777777" w:rsidR="00BD428A" w:rsidRDefault="000F3900" w:rsidP="00BD428A">
      <w:pPr>
        <w:pStyle w:val="BodyText"/>
        <w:rPr>
          <w:lang w:bidi="fa-IR"/>
        </w:rPr>
      </w:pPr>
      <w:r>
        <w:rPr>
          <w:lang w:bidi="fa-IR"/>
        </w:rPr>
        <w:t>A</w:t>
      </w:r>
      <w:r w:rsidR="00BD428A">
        <w:rPr>
          <w:lang w:bidi="fa-IR"/>
        </w:rPr>
        <w:t>lternative policy options for addressing the problem, include applying accessibility standards to either:</w:t>
      </w:r>
    </w:p>
    <w:p w14:paraId="514531EA" w14:textId="77777777" w:rsidR="00BD428A" w:rsidRDefault="00BD428A" w:rsidP="00BD428A">
      <w:pPr>
        <w:pStyle w:val="ListBullet"/>
        <w:numPr>
          <w:ilvl w:val="0"/>
          <w:numId w:val="16"/>
        </w:numPr>
        <w:rPr>
          <w:lang w:bidi="fa-IR"/>
        </w:rPr>
      </w:pPr>
      <w:r>
        <w:rPr>
          <w:lang w:bidi="fa-IR"/>
        </w:rPr>
        <w:t>Class 1a dwellings only, or</w:t>
      </w:r>
    </w:p>
    <w:p w14:paraId="6698BB37" w14:textId="77777777" w:rsidR="00BD428A" w:rsidRDefault="00BD428A" w:rsidP="00BD428A">
      <w:pPr>
        <w:pStyle w:val="ListBullet"/>
        <w:numPr>
          <w:ilvl w:val="0"/>
          <w:numId w:val="16"/>
        </w:numPr>
        <w:rPr>
          <w:lang w:bidi="fa-IR"/>
        </w:rPr>
      </w:pPr>
      <w:r>
        <w:rPr>
          <w:lang w:bidi="fa-IR"/>
        </w:rPr>
        <w:t>Class 2 dwellings only.</w:t>
      </w:r>
    </w:p>
    <w:p w14:paraId="0C532BB0" w14:textId="77777777" w:rsidR="00BD428A" w:rsidRDefault="00BD428A" w:rsidP="00BD428A">
      <w:pPr>
        <w:pStyle w:val="Heading4"/>
        <w:rPr>
          <w:lang w:bidi="fa-IR"/>
        </w:rPr>
      </w:pPr>
      <w:r>
        <w:rPr>
          <w:lang w:bidi="fa-IR"/>
        </w:rPr>
        <w:t>Planning requirements</w:t>
      </w:r>
    </w:p>
    <w:p w14:paraId="6DBFB855" w14:textId="77777777" w:rsidR="00BD428A" w:rsidRDefault="001A34D1" w:rsidP="00BD428A">
      <w:pPr>
        <w:pStyle w:val="BodyText"/>
        <w:rPr>
          <w:lang w:bidi="fa-IR"/>
        </w:rPr>
      </w:pPr>
      <w:r>
        <w:rPr>
          <w:lang w:bidi="fa-IR"/>
        </w:rPr>
        <w:t>S</w:t>
      </w:r>
      <w:r w:rsidR="00BD428A">
        <w:rPr>
          <w:lang w:bidi="fa-IR"/>
        </w:rPr>
        <w:t>ome states increase the supply of accessible dwellings through mandated planning requirements or incentives through the planning system.</w:t>
      </w:r>
    </w:p>
    <w:p w14:paraId="6F0F73F6" w14:textId="77777777" w:rsidR="00BD428A" w:rsidRDefault="00BD428A" w:rsidP="00BD428A">
      <w:pPr>
        <w:pStyle w:val="ListBullet"/>
        <w:numPr>
          <w:ilvl w:val="0"/>
          <w:numId w:val="16"/>
        </w:numPr>
        <w:rPr>
          <w:lang w:bidi="fa-IR"/>
        </w:rPr>
      </w:pPr>
      <w:r>
        <w:rPr>
          <w:lang w:bidi="fa-IR"/>
        </w:rPr>
        <w:t>Mandated requirements generally apply to a proportion of dwellings and as such, can only be applied to multi</w:t>
      </w:r>
      <w:r>
        <w:rPr>
          <w:lang w:bidi="fa-IR"/>
        </w:rPr>
        <w:noBreakHyphen/>
        <w:t xml:space="preserve">dwelling developments. </w:t>
      </w:r>
    </w:p>
    <w:p w14:paraId="3EE0918A" w14:textId="77777777" w:rsidR="00BD428A" w:rsidRDefault="00BD428A" w:rsidP="00BD428A">
      <w:pPr>
        <w:pStyle w:val="ListBullet2"/>
        <w:numPr>
          <w:ilvl w:val="1"/>
          <w:numId w:val="16"/>
        </w:numPr>
        <w:ind w:left="568" w:hanging="284"/>
        <w:rPr>
          <w:lang w:bidi="fa-IR"/>
        </w:rPr>
      </w:pPr>
      <w:r>
        <w:rPr>
          <w:lang w:bidi="fa-IR"/>
        </w:rPr>
        <w:t xml:space="preserve">One potential advantage of this </w:t>
      </w:r>
      <w:r w:rsidR="004D4A3D">
        <w:rPr>
          <w:lang w:bidi="fa-IR"/>
        </w:rPr>
        <w:t xml:space="preserve">planning </w:t>
      </w:r>
      <w:r>
        <w:rPr>
          <w:lang w:bidi="fa-IR"/>
        </w:rPr>
        <w:t>approach (compared with the NCC) is that applying accessibility requirements to a proportion of dwellings can reduce compliance costs (as not all dwellings would need to comply).</w:t>
      </w:r>
    </w:p>
    <w:p w14:paraId="483C27A2" w14:textId="77777777" w:rsidR="00BD428A" w:rsidRDefault="00BD428A" w:rsidP="00BD428A">
      <w:pPr>
        <w:pStyle w:val="ListBullet2"/>
        <w:numPr>
          <w:ilvl w:val="1"/>
          <w:numId w:val="16"/>
        </w:numPr>
        <w:ind w:left="568" w:hanging="284"/>
        <w:rPr>
          <w:lang w:bidi="fa-IR"/>
        </w:rPr>
      </w:pPr>
      <w:r>
        <w:rPr>
          <w:lang w:bidi="fa-IR"/>
        </w:rPr>
        <w:t>On the downside, this approach will be less effective in increasing the stock of accessible dwellings.</w:t>
      </w:r>
    </w:p>
    <w:p w14:paraId="46C95D26" w14:textId="77777777" w:rsidR="00BD428A" w:rsidRDefault="00BD428A" w:rsidP="00BD428A">
      <w:pPr>
        <w:pStyle w:val="ListBullet2"/>
        <w:numPr>
          <w:ilvl w:val="1"/>
          <w:numId w:val="16"/>
        </w:numPr>
        <w:ind w:left="568" w:hanging="284"/>
        <w:rPr>
          <w:lang w:bidi="fa-IR"/>
        </w:rPr>
      </w:pPr>
      <w:r>
        <w:rPr>
          <w:lang w:bidi="fa-IR"/>
        </w:rPr>
        <w:t xml:space="preserve">Variations across </w:t>
      </w:r>
      <w:r w:rsidR="001638EE">
        <w:rPr>
          <w:lang w:bidi="fa-IR"/>
        </w:rPr>
        <w:t>Local Government Agencies (</w:t>
      </w:r>
      <w:r>
        <w:rPr>
          <w:lang w:bidi="fa-IR"/>
        </w:rPr>
        <w:t>LGAs</w:t>
      </w:r>
      <w:r w:rsidR="001638EE">
        <w:rPr>
          <w:lang w:bidi="fa-IR"/>
        </w:rPr>
        <w:t>)</w:t>
      </w:r>
      <w:r>
        <w:rPr>
          <w:lang w:bidi="fa-IR"/>
        </w:rPr>
        <w:t xml:space="preserve"> can also increase costs for builders and designers.</w:t>
      </w:r>
    </w:p>
    <w:p w14:paraId="360758D7" w14:textId="77777777" w:rsidR="00BD428A" w:rsidRDefault="00BD428A" w:rsidP="00BD428A">
      <w:pPr>
        <w:pStyle w:val="ListBullet"/>
        <w:numPr>
          <w:ilvl w:val="0"/>
          <w:numId w:val="16"/>
        </w:numPr>
        <w:rPr>
          <w:lang w:bidi="fa-IR"/>
        </w:rPr>
      </w:pPr>
      <w:r>
        <w:rPr>
          <w:lang w:bidi="fa-IR"/>
        </w:rPr>
        <w:lastRenderedPageBreak/>
        <w:t>Other incentives through the planning system could include:</w:t>
      </w:r>
    </w:p>
    <w:p w14:paraId="52E8085F" w14:textId="77777777" w:rsidR="00BD428A" w:rsidRDefault="00BD428A" w:rsidP="00BD428A">
      <w:pPr>
        <w:pStyle w:val="ListBullet2"/>
        <w:numPr>
          <w:ilvl w:val="1"/>
          <w:numId w:val="16"/>
        </w:numPr>
        <w:ind w:left="568" w:hanging="284"/>
        <w:rPr>
          <w:lang w:bidi="fa-IR"/>
        </w:rPr>
      </w:pPr>
      <w:r>
        <w:rPr>
          <w:lang w:bidi="fa-IR"/>
        </w:rPr>
        <w:t>exemptions from infrastructure charges</w:t>
      </w:r>
    </w:p>
    <w:p w14:paraId="2A95FD4E" w14:textId="77777777" w:rsidR="00BD428A" w:rsidRDefault="00BD428A" w:rsidP="00BD428A">
      <w:pPr>
        <w:pStyle w:val="ListBullet2"/>
        <w:numPr>
          <w:ilvl w:val="1"/>
          <w:numId w:val="16"/>
        </w:numPr>
        <w:ind w:left="568" w:hanging="284"/>
        <w:rPr>
          <w:lang w:bidi="fa-IR"/>
        </w:rPr>
      </w:pPr>
      <w:r>
        <w:rPr>
          <w:lang w:bidi="fa-IR"/>
        </w:rPr>
        <w:t>preferential approval pathways</w:t>
      </w:r>
    </w:p>
    <w:p w14:paraId="5723562D" w14:textId="77777777" w:rsidR="00BD428A" w:rsidRDefault="00BD428A" w:rsidP="00BD428A">
      <w:pPr>
        <w:pStyle w:val="ListBullet2"/>
        <w:numPr>
          <w:ilvl w:val="1"/>
          <w:numId w:val="16"/>
        </w:numPr>
        <w:ind w:left="568" w:hanging="284"/>
        <w:rPr>
          <w:lang w:bidi="fa-IR"/>
        </w:rPr>
      </w:pPr>
      <w:r>
        <w:rPr>
          <w:lang w:bidi="fa-IR"/>
        </w:rPr>
        <w:t>density bonuses (or similar).</w:t>
      </w:r>
    </w:p>
    <w:p w14:paraId="01ADE913" w14:textId="77777777" w:rsidR="00BD428A" w:rsidRDefault="00BD428A" w:rsidP="00BD428A">
      <w:pPr>
        <w:pStyle w:val="BodyText"/>
        <w:rPr>
          <w:lang w:bidi="fa-IR"/>
        </w:rPr>
      </w:pPr>
      <w:r>
        <w:rPr>
          <w:lang w:bidi="fa-IR"/>
        </w:rPr>
        <w:t>Unlike the NCC, planning requirements vary across states and in some cases LGAs. Planning frameworks vary significantly across states, making national consistency difficult to achieve. For example, in some states accessibility requirements for multi</w:t>
      </w:r>
      <w:r>
        <w:rPr>
          <w:lang w:bidi="fa-IR"/>
        </w:rPr>
        <w:noBreakHyphen/>
        <w:t>dwelling developments are applied through apartment design guidelines. However, not all states have apartment design guidelines.</w:t>
      </w:r>
    </w:p>
    <w:p w14:paraId="07D32086" w14:textId="77777777" w:rsidR="00BD428A" w:rsidRDefault="00BD428A" w:rsidP="00BD428A">
      <w:pPr>
        <w:pStyle w:val="BodyText"/>
        <w:rPr>
          <w:lang w:bidi="fa-IR"/>
        </w:rPr>
      </w:pPr>
      <w:r>
        <w:rPr>
          <w:lang w:bidi="fa-IR"/>
        </w:rPr>
        <w:t xml:space="preserve">There is currently no mechanism to apply nationally consistent planning requirements. Implementing this approach would require state </w:t>
      </w:r>
      <w:r w:rsidR="000F3900">
        <w:rPr>
          <w:lang w:bidi="fa-IR"/>
        </w:rPr>
        <w:t xml:space="preserve">and territory </w:t>
      </w:r>
      <w:r>
        <w:rPr>
          <w:lang w:bidi="fa-IR"/>
        </w:rPr>
        <w:t>governments to reach agreement and apply the agreed nationally consistent requirements through each state or territor</w:t>
      </w:r>
      <w:r w:rsidR="000F3900">
        <w:rPr>
          <w:lang w:bidi="fa-IR"/>
        </w:rPr>
        <w:t>y</w:t>
      </w:r>
      <w:r>
        <w:rPr>
          <w:lang w:bidi="fa-IR"/>
        </w:rPr>
        <w:t>’</w:t>
      </w:r>
      <w:r w:rsidR="000F3900">
        <w:rPr>
          <w:lang w:bidi="fa-IR"/>
        </w:rPr>
        <w:t>s</w:t>
      </w:r>
      <w:r>
        <w:rPr>
          <w:lang w:bidi="fa-IR"/>
        </w:rPr>
        <w:t xml:space="preserve"> planning framework.</w:t>
      </w:r>
    </w:p>
    <w:p w14:paraId="49936503" w14:textId="77777777" w:rsidR="00BD428A" w:rsidRDefault="00BD428A" w:rsidP="00BD428A">
      <w:pPr>
        <w:pStyle w:val="Heading4"/>
        <w:rPr>
          <w:lang w:bidi="fa-IR"/>
        </w:rPr>
      </w:pPr>
      <w:r>
        <w:rPr>
          <w:lang w:bidi="fa-IR"/>
        </w:rPr>
        <w:t>Social housing</w:t>
      </w:r>
    </w:p>
    <w:p w14:paraId="3696F4A1" w14:textId="77777777" w:rsidR="00BD428A" w:rsidRDefault="00BD428A" w:rsidP="00BD428A">
      <w:pPr>
        <w:pStyle w:val="BodyText"/>
        <w:rPr>
          <w:lang w:bidi="fa-IR"/>
        </w:rPr>
      </w:pPr>
      <w:r>
        <w:rPr>
          <w:lang w:bidi="fa-IR"/>
        </w:rPr>
        <w:t>One approach to improving the availability of accessible housing for people with a mobility</w:t>
      </w:r>
      <w:r>
        <w:rPr>
          <w:lang w:bidi="fa-IR"/>
        </w:rPr>
        <w:noBreakHyphen/>
        <w:t xml:space="preserve">related disability is through expanding accessible social housing. </w:t>
      </w:r>
    </w:p>
    <w:p w14:paraId="58339928" w14:textId="77777777" w:rsidR="00BD428A" w:rsidRDefault="00BD428A" w:rsidP="00BD428A">
      <w:pPr>
        <w:pStyle w:val="ListBullet"/>
        <w:numPr>
          <w:ilvl w:val="0"/>
          <w:numId w:val="16"/>
        </w:numPr>
        <w:rPr>
          <w:lang w:bidi="fa-IR"/>
        </w:rPr>
      </w:pPr>
      <w:r>
        <w:rPr>
          <w:lang w:bidi="fa-IR"/>
        </w:rPr>
        <w:t xml:space="preserve">A key advantage of this approach is </w:t>
      </w:r>
      <w:r w:rsidR="0027196F">
        <w:rPr>
          <w:lang w:bidi="fa-IR"/>
        </w:rPr>
        <w:t xml:space="preserve">that </w:t>
      </w:r>
      <w:r>
        <w:rPr>
          <w:lang w:bidi="fa-IR"/>
        </w:rPr>
        <w:t xml:space="preserve">it </w:t>
      </w:r>
      <w:r w:rsidR="0027196F">
        <w:rPr>
          <w:lang w:bidi="fa-IR"/>
        </w:rPr>
        <w:t xml:space="preserve">may be </w:t>
      </w:r>
      <w:r>
        <w:rPr>
          <w:lang w:bidi="fa-IR"/>
        </w:rPr>
        <w:t xml:space="preserve">more targeted </w:t>
      </w:r>
      <w:r w:rsidR="00BD14D5">
        <w:rPr>
          <w:lang w:bidi="fa-IR"/>
        </w:rPr>
        <w:t>to</w:t>
      </w:r>
      <w:r>
        <w:rPr>
          <w:lang w:bidi="fa-IR"/>
        </w:rPr>
        <w:t xml:space="preserve"> addressing the problem as state and territory housing authorities </w:t>
      </w:r>
      <w:r w:rsidR="0027196F">
        <w:rPr>
          <w:lang w:bidi="fa-IR"/>
        </w:rPr>
        <w:t>c</w:t>
      </w:r>
      <w:r>
        <w:rPr>
          <w:lang w:bidi="fa-IR"/>
        </w:rPr>
        <w:t>ould ensure that new accessible housing is allocated to people with a mobility impairment.</w:t>
      </w:r>
    </w:p>
    <w:p w14:paraId="4E87771C" w14:textId="77777777" w:rsidR="00BD428A" w:rsidRDefault="00BD428A" w:rsidP="00BD428A">
      <w:pPr>
        <w:pStyle w:val="ListBullet"/>
        <w:numPr>
          <w:ilvl w:val="0"/>
          <w:numId w:val="16"/>
        </w:numPr>
        <w:rPr>
          <w:lang w:bidi="fa-IR"/>
        </w:rPr>
      </w:pPr>
      <w:r>
        <w:rPr>
          <w:lang w:bidi="fa-IR"/>
        </w:rPr>
        <w:t xml:space="preserve">However, increased provision of accessible social housing would address only one aspect of the problem — the lack of accessible rental properties for those who are eligible for social housing. </w:t>
      </w:r>
    </w:p>
    <w:p w14:paraId="3DF1565F" w14:textId="77777777" w:rsidR="00BD428A" w:rsidRPr="006A3756" w:rsidRDefault="00BD428A" w:rsidP="00BD428A">
      <w:pPr>
        <w:pStyle w:val="Heading4"/>
        <w:rPr>
          <w:lang w:bidi="fa-IR"/>
        </w:rPr>
      </w:pPr>
      <w:r>
        <w:rPr>
          <w:lang w:bidi="fa-IR"/>
        </w:rPr>
        <w:t>Direct subsidies</w:t>
      </w:r>
    </w:p>
    <w:p w14:paraId="6E8B553F" w14:textId="77777777" w:rsidR="00BD428A" w:rsidRDefault="00BD428A" w:rsidP="00BD428A">
      <w:pPr>
        <w:pStyle w:val="BodyText"/>
        <w:rPr>
          <w:lang w:bidi="fa-IR"/>
        </w:rPr>
      </w:pPr>
      <w:r>
        <w:rPr>
          <w:lang w:bidi="fa-IR"/>
        </w:rPr>
        <w:t xml:space="preserve">During ABCB’s consultations, some stakeholders expressed a preference for direct subsidies to </w:t>
      </w:r>
      <w:r w:rsidRPr="00D130F6">
        <w:rPr>
          <w:lang w:bidi="fa-IR"/>
        </w:rPr>
        <w:t>build accessible dwellings</w:t>
      </w:r>
      <w:r>
        <w:rPr>
          <w:lang w:bidi="fa-IR"/>
        </w:rPr>
        <w:t xml:space="preserve">. Presumably, this approach would involve either the Commonwealth or state governments </w:t>
      </w:r>
      <w:r w:rsidRPr="00D130F6">
        <w:rPr>
          <w:lang w:bidi="fa-IR"/>
        </w:rPr>
        <w:t>funding developers or individuals</w:t>
      </w:r>
      <w:r>
        <w:rPr>
          <w:lang w:bidi="fa-IR"/>
        </w:rPr>
        <w:t xml:space="preserve"> to build dwellings that meet a specified accessibility standard.</w:t>
      </w:r>
    </w:p>
    <w:p w14:paraId="725250D0" w14:textId="77777777" w:rsidR="00BD428A" w:rsidRDefault="00BD428A" w:rsidP="00BD428A">
      <w:pPr>
        <w:pStyle w:val="BodyText"/>
        <w:rPr>
          <w:lang w:bidi="fa-IR"/>
        </w:rPr>
      </w:pPr>
      <w:r>
        <w:rPr>
          <w:lang w:bidi="fa-IR"/>
        </w:rPr>
        <w:t xml:space="preserve">While regulatory options would generally apply to all new buildings (unless specifically exempt), subsidies can have the advantage of being a more targeted approach to achieving the objectives. In particular, a subsidy program can potentially ensure that </w:t>
      </w:r>
      <w:r w:rsidRPr="00D130F6">
        <w:rPr>
          <w:lang w:bidi="fa-IR"/>
        </w:rPr>
        <w:t>accessible dwellings are allocated to households with accessibility needs</w:t>
      </w:r>
      <w:r>
        <w:rPr>
          <w:lang w:bidi="fa-IR"/>
        </w:rPr>
        <w:t xml:space="preserve"> through an administrative process.</w:t>
      </w:r>
    </w:p>
    <w:p w14:paraId="5AF33060" w14:textId="77777777" w:rsidR="00BD428A" w:rsidRDefault="00BD428A" w:rsidP="00BD428A">
      <w:pPr>
        <w:pStyle w:val="BodyText"/>
        <w:rPr>
          <w:lang w:bidi="fa-IR"/>
        </w:rPr>
      </w:pPr>
      <w:r>
        <w:rPr>
          <w:lang w:bidi="fa-IR"/>
        </w:rPr>
        <w:t>Providing subsidies to owner</w:t>
      </w:r>
      <w:r>
        <w:rPr>
          <w:lang w:bidi="fa-IR"/>
        </w:rPr>
        <w:noBreakHyphen/>
        <w:t>occupiers would not make additional accessible housing available to households with accessibility needs in the short</w:t>
      </w:r>
      <w:r>
        <w:rPr>
          <w:lang w:bidi="fa-IR"/>
        </w:rPr>
        <w:noBreakHyphen/>
        <w:t xml:space="preserve">term. </w:t>
      </w:r>
      <w:r w:rsidR="0027196F">
        <w:rPr>
          <w:lang w:bidi="fa-IR"/>
        </w:rPr>
        <w:t>O</w:t>
      </w:r>
      <w:r>
        <w:rPr>
          <w:lang w:bidi="fa-IR"/>
        </w:rPr>
        <w:t>wner</w:t>
      </w:r>
      <w:r>
        <w:rPr>
          <w:lang w:bidi="fa-IR"/>
        </w:rPr>
        <w:noBreakHyphen/>
        <w:t xml:space="preserve">occupiers </w:t>
      </w:r>
      <w:r w:rsidR="0027196F">
        <w:rPr>
          <w:lang w:bidi="fa-IR"/>
        </w:rPr>
        <w:t xml:space="preserve">with current accessibility needs would have incorporated accessible design features into the housing design already – without the subsidy. </w:t>
      </w:r>
      <w:r>
        <w:rPr>
          <w:lang w:bidi="fa-IR"/>
        </w:rPr>
        <w:t>Consequently, additional accessible housing would not become available to those with accessibility needs, unless offered for rent, or until the original owner moved out (or a household member acquires a disability). For these reasons, subsidising owner</w:t>
      </w:r>
      <w:r>
        <w:rPr>
          <w:lang w:bidi="fa-IR"/>
        </w:rPr>
        <w:noBreakHyphen/>
        <w:t xml:space="preserve">occupiers to incorporate universal design </w:t>
      </w:r>
      <w:r>
        <w:rPr>
          <w:lang w:bidi="fa-IR"/>
        </w:rPr>
        <w:lastRenderedPageBreak/>
        <w:t>principles into their dwelling design would not be a targeted approach to achieving the objectives.</w:t>
      </w:r>
    </w:p>
    <w:p w14:paraId="3E93B39C" w14:textId="77777777" w:rsidR="00BD428A" w:rsidRDefault="00BD428A" w:rsidP="00BD428A">
      <w:pPr>
        <w:pStyle w:val="BodyText"/>
        <w:rPr>
          <w:lang w:bidi="fa-IR"/>
        </w:rPr>
      </w:pPr>
      <w:r>
        <w:rPr>
          <w:lang w:bidi="fa-IR"/>
        </w:rPr>
        <w:t xml:space="preserve">Given the different barriers to the uptake of universal design principles for apartments, there is more logic in subsidising developers to build accessible apartments; however, there </w:t>
      </w:r>
      <w:r w:rsidR="0027196F">
        <w:rPr>
          <w:lang w:bidi="fa-IR"/>
        </w:rPr>
        <w:t xml:space="preserve">does not appear </w:t>
      </w:r>
      <w:r>
        <w:rPr>
          <w:lang w:bidi="fa-IR"/>
        </w:rPr>
        <w:t xml:space="preserve">to be an effective mechanism to ensure that these apartments are </w:t>
      </w:r>
      <w:r w:rsidRPr="00D130F6">
        <w:rPr>
          <w:lang w:bidi="fa-IR"/>
        </w:rPr>
        <w:t>a</w:t>
      </w:r>
      <w:r>
        <w:rPr>
          <w:lang w:bidi="fa-IR"/>
        </w:rPr>
        <w:t>ctually occupied by</w:t>
      </w:r>
      <w:r w:rsidRPr="00D130F6">
        <w:rPr>
          <w:lang w:bidi="fa-IR"/>
        </w:rPr>
        <w:t xml:space="preserve"> people with accessibility</w:t>
      </w:r>
      <w:r>
        <w:rPr>
          <w:lang w:bidi="fa-IR"/>
        </w:rPr>
        <w:t xml:space="preserve"> needs over the longer</w:t>
      </w:r>
      <w:r>
        <w:rPr>
          <w:lang w:bidi="fa-IR"/>
        </w:rPr>
        <w:noBreakHyphen/>
        <w:t>term.</w:t>
      </w:r>
    </w:p>
    <w:p w14:paraId="435E2E41" w14:textId="77777777" w:rsidR="00BD428A" w:rsidRDefault="00BD428A" w:rsidP="00BD428A">
      <w:pPr>
        <w:pStyle w:val="BodyText"/>
        <w:rPr>
          <w:lang w:bidi="fa-IR"/>
        </w:rPr>
      </w:pPr>
      <w:r>
        <w:rPr>
          <w:lang w:bidi="fa-IR"/>
        </w:rPr>
        <w:t>The most targeted approach would be to provide a subsidy to landlords that provide rental accommodation to households with specific accessibility needs. This is similar to the approach used for SDA, although presumably these subsidies would apply to some households that are not eligible for SDA (SDA is an insurance scheme that has stringent eligibility requirements).</w:t>
      </w:r>
    </w:p>
    <w:p w14:paraId="0F215180" w14:textId="77777777" w:rsidR="00BD428A" w:rsidRDefault="00BD428A" w:rsidP="00BD428A">
      <w:pPr>
        <w:pStyle w:val="ListBullet"/>
        <w:numPr>
          <w:ilvl w:val="0"/>
          <w:numId w:val="16"/>
        </w:numPr>
        <w:rPr>
          <w:lang w:bidi="fa-IR"/>
        </w:rPr>
      </w:pPr>
      <w:r>
        <w:rPr>
          <w:lang w:bidi="fa-IR"/>
        </w:rPr>
        <w:t xml:space="preserve">This approach would be specifically targeted </w:t>
      </w:r>
      <w:r w:rsidR="00D36196">
        <w:rPr>
          <w:lang w:bidi="fa-IR"/>
        </w:rPr>
        <w:t>to</w:t>
      </w:r>
      <w:r>
        <w:rPr>
          <w:lang w:bidi="fa-IR"/>
        </w:rPr>
        <w:t xml:space="preserve"> addressing the issue associated with a lack of accessible private rental properties.</w:t>
      </w:r>
    </w:p>
    <w:p w14:paraId="0C4065D5" w14:textId="77777777" w:rsidR="00BD428A" w:rsidRDefault="00BD428A" w:rsidP="00BD428A">
      <w:pPr>
        <w:pStyle w:val="ListBullet"/>
        <w:numPr>
          <w:ilvl w:val="0"/>
          <w:numId w:val="16"/>
        </w:numPr>
        <w:rPr>
          <w:lang w:bidi="fa-IR"/>
        </w:rPr>
      </w:pPr>
      <w:r>
        <w:rPr>
          <w:lang w:bidi="fa-IR"/>
        </w:rPr>
        <w:t>As there are already policies in place to support low</w:t>
      </w:r>
      <w:r w:rsidR="00C16C01">
        <w:rPr>
          <w:lang w:bidi="fa-IR"/>
        </w:rPr>
        <w:noBreakHyphen/>
      </w:r>
      <w:r>
        <w:rPr>
          <w:lang w:bidi="fa-IR"/>
        </w:rPr>
        <w:t xml:space="preserve">income households with accessibility needs (i.e. social housing) and households with care needs (i.e. SDA), this subsidy could be targeted at ensuring accessible rental stock is available, implying that rents could be charged at rates reflecting rents charged for similar properties (which may not have relevant accessibility features). That is, the subsidy would be designed to stimulate the market for accessible rental properties and would only cover the </w:t>
      </w:r>
      <w:r w:rsidRPr="00C16C01">
        <w:rPr>
          <w:b/>
          <w:bCs/>
          <w:lang w:bidi="fa-IR"/>
        </w:rPr>
        <w:t>additional</w:t>
      </w:r>
      <w:r>
        <w:rPr>
          <w:lang w:bidi="fa-IR"/>
        </w:rPr>
        <w:t xml:space="preserve"> cost of the relevant accessibility features.</w:t>
      </w:r>
    </w:p>
    <w:p w14:paraId="1D8F570D" w14:textId="77777777" w:rsidR="00BD428A" w:rsidRPr="00D130F6" w:rsidRDefault="00BD428A" w:rsidP="00BD428A">
      <w:pPr>
        <w:pStyle w:val="ListBullet"/>
        <w:numPr>
          <w:ilvl w:val="0"/>
          <w:numId w:val="16"/>
        </w:numPr>
        <w:rPr>
          <w:lang w:bidi="fa-IR"/>
        </w:rPr>
      </w:pPr>
      <w:r w:rsidRPr="00D130F6">
        <w:rPr>
          <w:lang w:bidi="fa-IR"/>
        </w:rPr>
        <w:t xml:space="preserve">A subsidy on accessible rental properties is a way of providing assistance to renters that </w:t>
      </w:r>
      <w:r w:rsidR="0027196F">
        <w:rPr>
          <w:lang w:bidi="fa-IR"/>
        </w:rPr>
        <w:t>may be</w:t>
      </w:r>
      <w:r w:rsidRPr="00D130F6">
        <w:rPr>
          <w:lang w:bidi="fa-IR"/>
        </w:rPr>
        <w:t xml:space="preserve"> unable to access the subsidies on home modifications provided to owner</w:t>
      </w:r>
      <w:r w:rsidRPr="00D130F6">
        <w:rPr>
          <w:lang w:bidi="fa-IR"/>
        </w:rPr>
        <w:noBreakHyphen/>
        <w:t>occupiers.</w:t>
      </w:r>
    </w:p>
    <w:p w14:paraId="1F0B49D1" w14:textId="77777777" w:rsidR="00BD428A" w:rsidRDefault="00BD428A" w:rsidP="00BD428A">
      <w:pPr>
        <w:pStyle w:val="Heading4"/>
        <w:rPr>
          <w:lang w:bidi="fa-IR"/>
        </w:rPr>
      </w:pPr>
      <w:r>
        <w:rPr>
          <w:lang w:bidi="fa-IR"/>
        </w:rPr>
        <w:t xml:space="preserve">Enhanced voluntary </w:t>
      </w:r>
      <w:r w:rsidR="0027196F">
        <w:rPr>
          <w:lang w:bidi="fa-IR"/>
        </w:rPr>
        <w:t>g</w:t>
      </w:r>
      <w:r>
        <w:rPr>
          <w:lang w:bidi="fa-IR"/>
        </w:rPr>
        <w:t>uidance</w:t>
      </w:r>
    </w:p>
    <w:p w14:paraId="0F1BA454" w14:textId="77777777" w:rsidR="00BD428A" w:rsidRDefault="00BD428A" w:rsidP="00BD428A">
      <w:pPr>
        <w:pStyle w:val="BodyText"/>
        <w:rPr>
          <w:lang w:bidi="fa-IR"/>
        </w:rPr>
      </w:pPr>
      <w:r>
        <w:rPr>
          <w:lang w:bidi="fa-IR"/>
        </w:rPr>
        <w:t xml:space="preserve">During the targeted consultations, some stakeholders </w:t>
      </w:r>
      <w:r w:rsidR="0027196F">
        <w:rPr>
          <w:lang w:bidi="fa-IR"/>
        </w:rPr>
        <w:t>suggest</w:t>
      </w:r>
      <w:r>
        <w:rPr>
          <w:lang w:bidi="fa-IR"/>
        </w:rPr>
        <w:t>ed that options for encouraging voluntary uptake of accessible housing designs</w:t>
      </w:r>
      <w:r w:rsidR="00A758FA">
        <w:rPr>
          <w:lang w:bidi="fa-IR"/>
        </w:rPr>
        <w:t xml:space="preserve"> could</w:t>
      </w:r>
      <w:r>
        <w:rPr>
          <w:lang w:bidi="fa-IR"/>
        </w:rPr>
        <w:t xml:space="preserve"> be fu</w:t>
      </w:r>
      <w:r w:rsidR="0027196F">
        <w:rPr>
          <w:lang w:bidi="fa-IR"/>
        </w:rPr>
        <w:t>rther</w:t>
      </w:r>
      <w:r>
        <w:rPr>
          <w:lang w:bidi="fa-IR"/>
        </w:rPr>
        <w:t xml:space="preserve"> explored</w:t>
      </w:r>
      <w:r w:rsidR="0027196F">
        <w:rPr>
          <w:lang w:bidi="fa-IR"/>
        </w:rPr>
        <w:t xml:space="preserve"> and that</w:t>
      </w:r>
      <w:r>
        <w:rPr>
          <w:lang w:bidi="fa-IR"/>
        </w:rPr>
        <w:t xml:space="preserve"> </w:t>
      </w:r>
      <w:r w:rsidR="00161E05">
        <w:rPr>
          <w:lang w:bidi="fa-IR"/>
        </w:rPr>
        <w:t xml:space="preserve">the availability of agreed standards could be enhanced if </w:t>
      </w:r>
      <w:r w:rsidR="001D0402">
        <w:rPr>
          <w:lang w:bidi="fa-IR"/>
        </w:rPr>
        <w:t xml:space="preserve">more resources were </w:t>
      </w:r>
      <w:r w:rsidR="0027196F">
        <w:rPr>
          <w:lang w:bidi="fa-IR"/>
        </w:rPr>
        <w:t xml:space="preserve">available </w:t>
      </w:r>
      <w:r w:rsidR="001D0402">
        <w:rPr>
          <w:lang w:bidi="fa-IR"/>
        </w:rPr>
        <w:t>to</w:t>
      </w:r>
      <w:r w:rsidR="00D96E10">
        <w:rPr>
          <w:lang w:bidi="fa-IR"/>
        </w:rPr>
        <w:t>:</w:t>
      </w:r>
    </w:p>
    <w:p w14:paraId="327BF658" w14:textId="77777777" w:rsidR="00BD428A" w:rsidRDefault="00BD428A" w:rsidP="00BD428A">
      <w:pPr>
        <w:pStyle w:val="ListBullet"/>
        <w:numPr>
          <w:ilvl w:val="0"/>
          <w:numId w:val="16"/>
        </w:numPr>
        <w:rPr>
          <w:lang w:bidi="fa-IR"/>
        </w:rPr>
      </w:pPr>
      <w:r>
        <w:rPr>
          <w:lang w:bidi="fa-IR"/>
        </w:rPr>
        <w:t>promot</w:t>
      </w:r>
      <w:r w:rsidR="0093333F">
        <w:rPr>
          <w:lang w:bidi="fa-IR"/>
        </w:rPr>
        <w:t>e</w:t>
      </w:r>
      <w:r>
        <w:rPr>
          <w:lang w:bidi="fa-IR"/>
        </w:rPr>
        <w:t xml:space="preserve"> the LHDG to both:</w:t>
      </w:r>
    </w:p>
    <w:p w14:paraId="58A660EA" w14:textId="77777777" w:rsidR="00BD428A" w:rsidRDefault="00BD428A" w:rsidP="00BD428A">
      <w:pPr>
        <w:pStyle w:val="ListBullet2"/>
        <w:numPr>
          <w:ilvl w:val="1"/>
          <w:numId w:val="16"/>
        </w:numPr>
        <w:ind w:left="568" w:hanging="284"/>
        <w:rPr>
          <w:lang w:bidi="fa-IR"/>
        </w:rPr>
      </w:pPr>
      <w:r>
        <w:rPr>
          <w:lang w:bidi="fa-IR"/>
        </w:rPr>
        <w:t>builders/developers, and</w:t>
      </w:r>
    </w:p>
    <w:p w14:paraId="01E0CDC6" w14:textId="77777777" w:rsidR="00BD428A" w:rsidRDefault="00BD428A" w:rsidP="00BD428A">
      <w:pPr>
        <w:pStyle w:val="ListBullet2"/>
        <w:numPr>
          <w:ilvl w:val="1"/>
          <w:numId w:val="16"/>
        </w:numPr>
        <w:ind w:left="568" w:hanging="284"/>
        <w:rPr>
          <w:lang w:bidi="fa-IR"/>
        </w:rPr>
      </w:pPr>
      <w:r>
        <w:rPr>
          <w:lang w:bidi="fa-IR"/>
        </w:rPr>
        <w:t>potential buyers</w:t>
      </w:r>
    </w:p>
    <w:p w14:paraId="2842D376" w14:textId="77777777" w:rsidR="00BD428A" w:rsidRDefault="00BD428A" w:rsidP="00BD428A">
      <w:pPr>
        <w:pStyle w:val="ListBullet"/>
        <w:numPr>
          <w:ilvl w:val="0"/>
          <w:numId w:val="16"/>
        </w:numPr>
        <w:rPr>
          <w:lang w:bidi="fa-IR"/>
        </w:rPr>
      </w:pPr>
      <w:r>
        <w:rPr>
          <w:lang w:bidi="fa-IR"/>
        </w:rPr>
        <w:t>promot</w:t>
      </w:r>
      <w:r w:rsidR="0093333F">
        <w:rPr>
          <w:lang w:bidi="fa-IR"/>
        </w:rPr>
        <w:t>e</w:t>
      </w:r>
      <w:r>
        <w:rPr>
          <w:lang w:bidi="fa-IR"/>
        </w:rPr>
        <w:t xml:space="preserve"> the existing </w:t>
      </w:r>
      <w:r w:rsidR="00BF2F02">
        <w:rPr>
          <w:lang w:bidi="fa-IR"/>
        </w:rPr>
        <w:t xml:space="preserve">LHA voluntary </w:t>
      </w:r>
      <w:r>
        <w:rPr>
          <w:lang w:bidi="fa-IR"/>
        </w:rPr>
        <w:t>certification scheme.</w:t>
      </w:r>
    </w:p>
    <w:p w14:paraId="26B727FE" w14:textId="77777777" w:rsidR="00C16C01" w:rsidRPr="006D47A3" w:rsidRDefault="00C16C01" w:rsidP="00C16C01">
      <w:pPr>
        <w:pStyle w:val="BodyText"/>
        <w:rPr>
          <w:lang w:eastAsia="en-US" w:bidi="fa-IR"/>
        </w:rPr>
      </w:pPr>
      <w:r w:rsidRPr="006D47A3">
        <w:rPr>
          <w:lang w:eastAsia="en-US" w:bidi="fa-IR"/>
        </w:rPr>
        <w:t xml:space="preserve">Voluntary certification schemes can </w:t>
      </w:r>
      <w:r w:rsidR="00FC302D" w:rsidRPr="006D47A3">
        <w:rPr>
          <w:lang w:eastAsia="en-US" w:bidi="fa-IR"/>
        </w:rPr>
        <w:t>help</w:t>
      </w:r>
      <w:r w:rsidRPr="006D47A3">
        <w:rPr>
          <w:lang w:eastAsia="en-US" w:bidi="fa-IR"/>
        </w:rPr>
        <w:t xml:space="preserve"> market</w:t>
      </w:r>
      <w:r w:rsidR="00FC302D" w:rsidRPr="006D47A3">
        <w:rPr>
          <w:lang w:eastAsia="en-US" w:bidi="fa-IR"/>
        </w:rPr>
        <w:t>s to</w:t>
      </w:r>
      <w:r w:rsidRPr="006D47A3">
        <w:rPr>
          <w:lang w:eastAsia="en-US" w:bidi="fa-IR"/>
        </w:rPr>
        <w:t xml:space="preserve"> operate more efficiently</w:t>
      </w:r>
      <w:r w:rsidR="00FC302D" w:rsidRPr="006D47A3">
        <w:rPr>
          <w:lang w:eastAsia="en-US" w:bidi="fa-IR"/>
        </w:rPr>
        <w:t xml:space="preserve"> through the provision of reliable information</w:t>
      </w:r>
      <w:r w:rsidRPr="006D47A3">
        <w:rPr>
          <w:lang w:eastAsia="en-US" w:bidi="fa-IR"/>
        </w:rPr>
        <w:t>.</w:t>
      </w:r>
    </w:p>
    <w:p w14:paraId="5B8608BF" w14:textId="77777777" w:rsidR="00C16C01" w:rsidRPr="006D47A3" w:rsidRDefault="00C16C01" w:rsidP="00C16C01">
      <w:pPr>
        <w:pStyle w:val="ListBullet"/>
        <w:rPr>
          <w:lang w:eastAsia="en-US" w:bidi="fa-IR"/>
        </w:rPr>
      </w:pPr>
      <w:r w:rsidRPr="006D47A3">
        <w:rPr>
          <w:lang w:eastAsia="en-US" w:bidi="fa-IR"/>
        </w:rPr>
        <w:t>Certification provides independent verification to buyers that a product meets a particular standard.</w:t>
      </w:r>
    </w:p>
    <w:p w14:paraId="400A808C" w14:textId="77777777" w:rsidR="00C16C01" w:rsidRPr="006D47A3" w:rsidRDefault="00C16C01" w:rsidP="00C16C01">
      <w:pPr>
        <w:pStyle w:val="ListBullet"/>
        <w:rPr>
          <w:lang w:eastAsia="en-US" w:bidi="fa-IR"/>
        </w:rPr>
      </w:pPr>
      <w:r w:rsidRPr="006D47A3">
        <w:rPr>
          <w:lang w:eastAsia="en-US" w:bidi="fa-IR"/>
        </w:rPr>
        <w:t>Suppliers can use voluntary certification to demonstrate that their product meets the standard. This can help them market their product and can have commercial benefits (particularly where buyers are willing to pay more for a product that meets the standard).</w:t>
      </w:r>
    </w:p>
    <w:p w14:paraId="6DF249AE" w14:textId="77777777" w:rsidR="00D96E10" w:rsidRDefault="00FC302D" w:rsidP="00BD428A">
      <w:pPr>
        <w:pStyle w:val="BodyText"/>
        <w:rPr>
          <w:lang w:bidi="fa-IR"/>
        </w:rPr>
      </w:pPr>
      <w:r>
        <w:rPr>
          <w:lang w:bidi="fa-IR"/>
        </w:rPr>
        <w:lastRenderedPageBreak/>
        <w:t xml:space="preserve">In principle, </w:t>
      </w:r>
      <w:r w:rsidR="00980FEC">
        <w:rPr>
          <w:lang w:bidi="fa-IR"/>
        </w:rPr>
        <w:t xml:space="preserve">a voluntary certification scheme for accessible houses could </w:t>
      </w:r>
      <w:r w:rsidR="00D96E10">
        <w:rPr>
          <w:lang w:bidi="fa-IR"/>
        </w:rPr>
        <w:t>encourage additional uptake of LHA</w:t>
      </w:r>
      <w:r w:rsidR="00D96E10">
        <w:rPr>
          <w:lang w:bidi="fa-IR"/>
        </w:rPr>
        <w:noBreakHyphen/>
        <w:t>compliant designs.</w:t>
      </w:r>
    </w:p>
    <w:p w14:paraId="03019BB7" w14:textId="77777777" w:rsidR="00D96E10" w:rsidRDefault="00D96E10" w:rsidP="00D96E10">
      <w:pPr>
        <w:pStyle w:val="ListBullet"/>
        <w:rPr>
          <w:lang w:bidi="fa-IR"/>
        </w:rPr>
      </w:pPr>
      <w:r>
        <w:rPr>
          <w:lang w:bidi="fa-IR"/>
        </w:rPr>
        <w:t>Buyers and renters may be willing to willing to pay more for certified dwellings if they are more confident that it will meet their current or future accessibility needs.</w:t>
      </w:r>
    </w:p>
    <w:p w14:paraId="6FBF6690" w14:textId="77777777" w:rsidR="00FC302D" w:rsidRDefault="00D96E10" w:rsidP="00D96E10">
      <w:pPr>
        <w:pStyle w:val="ListBullet"/>
        <w:rPr>
          <w:lang w:bidi="fa-IR"/>
        </w:rPr>
      </w:pPr>
      <w:r>
        <w:rPr>
          <w:lang w:bidi="fa-IR"/>
        </w:rPr>
        <w:t xml:space="preserve">Home builders/investors would therefore have more incentive to invest in accessible design features if there are future financial benefits (through either a higher future sale price, higher rents or </w:t>
      </w:r>
      <w:r w:rsidR="006D47A3">
        <w:rPr>
          <w:lang w:bidi="fa-IR"/>
        </w:rPr>
        <w:t>lower vacancy rates).</w:t>
      </w:r>
    </w:p>
    <w:p w14:paraId="1CCE8D2A" w14:textId="77777777" w:rsidR="006D47A3" w:rsidRPr="006D47A3" w:rsidRDefault="00D96E10" w:rsidP="006D47A3">
      <w:pPr>
        <w:pStyle w:val="BodyText"/>
        <w:rPr>
          <w:lang w:eastAsia="en-US" w:bidi="fa-IR"/>
        </w:rPr>
      </w:pPr>
      <w:r w:rsidRPr="006D47A3">
        <w:rPr>
          <w:lang w:bidi="fa-IR"/>
        </w:rPr>
        <w:t xml:space="preserve">However, </w:t>
      </w:r>
      <w:r w:rsidR="00A168BC">
        <w:rPr>
          <w:lang w:bidi="fa-IR"/>
        </w:rPr>
        <w:t xml:space="preserve">as highlighted in submissions, </w:t>
      </w:r>
      <w:r w:rsidR="006D47A3" w:rsidRPr="006D47A3">
        <w:rPr>
          <w:lang w:bidi="fa-IR"/>
        </w:rPr>
        <w:t>t</w:t>
      </w:r>
      <w:r w:rsidR="00FC302D" w:rsidRPr="006D47A3">
        <w:rPr>
          <w:lang w:bidi="fa-IR"/>
        </w:rPr>
        <w:t>he current LHA voluntary certification scheme</w:t>
      </w:r>
      <w:r w:rsidR="006D47A3" w:rsidRPr="006D47A3">
        <w:rPr>
          <w:lang w:bidi="fa-IR"/>
        </w:rPr>
        <w:t xml:space="preserve"> does not appear to have been effective in encouraging a significant increase in accessible dwellings.</w:t>
      </w:r>
      <w:r w:rsidR="00C65C3A">
        <w:rPr>
          <w:rStyle w:val="FootnoteReference"/>
          <w:lang w:bidi="fa-IR"/>
        </w:rPr>
        <w:footnoteReference w:id="185"/>
      </w:r>
      <w:r w:rsidR="006D47A3" w:rsidRPr="006D47A3">
        <w:rPr>
          <w:lang w:bidi="fa-IR"/>
        </w:rPr>
        <w:t xml:space="preserve"> </w:t>
      </w:r>
      <w:r w:rsidR="006D47A3" w:rsidRPr="006D47A3">
        <w:rPr>
          <w:lang w:eastAsia="en-US" w:bidi="fa-IR"/>
        </w:rPr>
        <w:t>Previous analysis by ANUHD</w:t>
      </w:r>
      <w:r w:rsidR="00197371">
        <w:rPr>
          <w:lang w:eastAsia="en-US" w:bidi="fa-IR"/>
        </w:rPr>
        <w:t xml:space="preserve"> and RI Australia</w:t>
      </w:r>
      <w:r w:rsidR="006D47A3" w:rsidRPr="006D47A3">
        <w:rPr>
          <w:lang w:eastAsia="en-US" w:bidi="fa-IR"/>
        </w:rPr>
        <w:t xml:space="preserve"> estimated that </w:t>
      </w:r>
      <w:r w:rsidR="00197371">
        <w:rPr>
          <w:lang w:eastAsia="en-US" w:bidi="fa-IR"/>
        </w:rPr>
        <w:t>less than</w:t>
      </w:r>
      <w:r w:rsidR="006D47A3" w:rsidRPr="006D47A3">
        <w:rPr>
          <w:lang w:eastAsia="en-US" w:bidi="fa-IR"/>
        </w:rPr>
        <w:t xml:space="preserve"> 5 per cent of new dwellings are built to </w:t>
      </w:r>
      <w:r w:rsidR="00197371">
        <w:rPr>
          <w:lang w:eastAsia="en-US" w:bidi="fa-IR"/>
        </w:rPr>
        <w:t xml:space="preserve">the </w:t>
      </w:r>
      <w:r w:rsidR="00E21F18">
        <w:rPr>
          <w:lang w:eastAsia="en-US" w:bidi="fa-IR"/>
        </w:rPr>
        <w:t>LHDG</w:t>
      </w:r>
      <w:r w:rsidR="006D47A3" w:rsidRPr="006D47A3">
        <w:rPr>
          <w:lang w:eastAsia="en-US" w:bidi="fa-IR"/>
        </w:rPr>
        <w:t xml:space="preserve"> standard,</w:t>
      </w:r>
      <w:r w:rsidR="00197371">
        <w:rPr>
          <w:rStyle w:val="FootnoteReference"/>
          <w:lang w:eastAsia="en-US" w:bidi="fa-IR"/>
        </w:rPr>
        <w:footnoteReference w:id="186"/>
      </w:r>
      <w:r w:rsidR="006D47A3" w:rsidRPr="006D47A3">
        <w:rPr>
          <w:lang w:eastAsia="en-US" w:bidi="fa-IR"/>
        </w:rPr>
        <w:t xml:space="preserve"> although industry stakeholders have argued that not all compliant dwellings are certified</w:t>
      </w:r>
      <w:r w:rsidR="00120928">
        <w:rPr>
          <w:lang w:eastAsia="en-US" w:bidi="fa-IR"/>
        </w:rPr>
        <w:t xml:space="preserve"> to the standard</w:t>
      </w:r>
      <w:r w:rsidR="006D47A3" w:rsidRPr="006D47A3">
        <w:rPr>
          <w:lang w:eastAsia="en-US" w:bidi="fa-IR"/>
        </w:rPr>
        <w:t>.</w:t>
      </w:r>
    </w:p>
    <w:p w14:paraId="3B0A4F90" w14:textId="77777777" w:rsidR="00BD428A" w:rsidRDefault="00BD428A" w:rsidP="00BD428A">
      <w:pPr>
        <w:pStyle w:val="BodyText"/>
        <w:rPr>
          <w:lang w:bidi="fa-IR"/>
        </w:rPr>
      </w:pPr>
      <w:r>
        <w:rPr>
          <w:lang w:bidi="fa-IR"/>
        </w:rPr>
        <w:t xml:space="preserve">An enhanced voluntary option </w:t>
      </w:r>
      <w:r w:rsidR="006D47A3">
        <w:rPr>
          <w:lang w:bidi="fa-IR"/>
        </w:rPr>
        <w:t xml:space="preserve">to improve the effectiveness of the current voluntary certification scheme </w:t>
      </w:r>
      <w:r>
        <w:rPr>
          <w:lang w:bidi="fa-IR"/>
        </w:rPr>
        <w:t>could include the following elements.</w:t>
      </w:r>
    </w:p>
    <w:p w14:paraId="159B0FD9" w14:textId="77777777" w:rsidR="00BD428A" w:rsidRDefault="00BD428A" w:rsidP="00BD428A">
      <w:pPr>
        <w:pStyle w:val="ListBullet"/>
        <w:numPr>
          <w:ilvl w:val="0"/>
          <w:numId w:val="16"/>
        </w:numPr>
        <w:rPr>
          <w:lang w:bidi="fa-IR"/>
        </w:rPr>
      </w:pPr>
      <w:r>
        <w:rPr>
          <w:lang w:bidi="fa-IR"/>
        </w:rPr>
        <w:t xml:space="preserve">A voluntary ABCB handbook —stakeholders </w:t>
      </w:r>
      <w:r w:rsidR="0027196F">
        <w:rPr>
          <w:lang w:bidi="fa-IR"/>
        </w:rPr>
        <w:t>suggest</w:t>
      </w:r>
      <w:r>
        <w:rPr>
          <w:lang w:bidi="fa-IR"/>
        </w:rPr>
        <w:t>ed that this would raise the profile of accessible housing and encourage uptake. If a voluntary ABCB handbook was developed, any state or local government requirement could refer to the voluntary standard</w:t>
      </w:r>
      <w:r w:rsidR="0027196F">
        <w:rPr>
          <w:lang w:bidi="fa-IR"/>
        </w:rPr>
        <w:t>,</w:t>
      </w:r>
      <w:r>
        <w:rPr>
          <w:lang w:bidi="fa-IR"/>
        </w:rPr>
        <w:t xml:space="preserve"> </w:t>
      </w:r>
      <w:r w:rsidR="0027196F">
        <w:rPr>
          <w:lang w:bidi="fa-IR"/>
        </w:rPr>
        <w:t xml:space="preserve">perhaps </w:t>
      </w:r>
      <w:r>
        <w:rPr>
          <w:lang w:bidi="fa-IR"/>
        </w:rPr>
        <w:t>improv</w:t>
      </w:r>
      <w:r w:rsidR="0027196F">
        <w:rPr>
          <w:lang w:bidi="fa-IR"/>
        </w:rPr>
        <w:t>ing</w:t>
      </w:r>
      <w:r>
        <w:rPr>
          <w:lang w:bidi="fa-IR"/>
        </w:rPr>
        <w:t xml:space="preserve"> the consistency of the standards </w:t>
      </w:r>
      <w:r w:rsidR="003E274B">
        <w:rPr>
          <w:lang w:bidi="fa-IR"/>
        </w:rPr>
        <w:t>applied across jurisdictions</w:t>
      </w:r>
      <w:r>
        <w:rPr>
          <w:lang w:bidi="fa-IR"/>
        </w:rPr>
        <w:t>.</w:t>
      </w:r>
    </w:p>
    <w:p w14:paraId="78BBA4B6" w14:textId="77777777" w:rsidR="00BD428A" w:rsidRDefault="00BD428A" w:rsidP="00BD428A">
      <w:pPr>
        <w:pStyle w:val="ListBullet"/>
        <w:numPr>
          <w:ilvl w:val="0"/>
          <w:numId w:val="16"/>
        </w:numPr>
        <w:rPr>
          <w:lang w:bidi="fa-IR"/>
        </w:rPr>
      </w:pPr>
      <w:r>
        <w:rPr>
          <w:lang w:bidi="fa-IR"/>
        </w:rPr>
        <w:t>Information provision at the point of sale — more information on the benefits of accessible housing could be provided at the point of sale to encourage more demand for accessible housing.</w:t>
      </w:r>
    </w:p>
    <w:p w14:paraId="51AAD2C0" w14:textId="77777777" w:rsidR="00BD428A" w:rsidRDefault="00BD428A" w:rsidP="00BD428A">
      <w:pPr>
        <w:pStyle w:val="ListBullet"/>
        <w:numPr>
          <w:ilvl w:val="0"/>
          <w:numId w:val="16"/>
        </w:numPr>
        <w:rPr>
          <w:lang w:bidi="fa-IR"/>
        </w:rPr>
      </w:pPr>
      <w:r>
        <w:rPr>
          <w:lang w:bidi="fa-IR"/>
        </w:rPr>
        <w:t>Better matching services — although there are some services available, matching buyers/sellers nevertheless has been identified as a problem. Options to improve these services could include the following.</w:t>
      </w:r>
    </w:p>
    <w:p w14:paraId="2163FAAD" w14:textId="77777777" w:rsidR="00BD428A" w:rsidRDefault="00BD428A" w:rsidP="00BD428A">
      <w:pPr>
        <w:pStyle w:val="ListBullet2"/>
        <w:numPr>
          <w:ilvl w:val="1"/>
          <w:numId w:val="16"/>
        </w:numPr>
        <w:ind w:left="568" w:hanging="284"/>
        <w:rPr>
          <w:lang w:bidi="fa-IR"/>
        </w:rPr>
      </w:pPr>
      <w:r>
        <w:rPr>
          <w:lang w:bidi="fa-IR"/>
        </w:rPr>
        <w:t>Developing a specialised web-based search facility.</w:t>
      </w:r>
    </w:p>
    <w:p w14:paraId="13947A0B" w14:textId="77777777" w:rsidR="00BD428A" w:rsidRDefault="00BD428A" w:rsidP="00BD428A">
      <w:pPr>
        <w:pStyle w:val="ListBullet2"/>
        <w:numPr>
          <w:ilvl w:val="1"/>
          <w:numId w:val="16"/>
        </w:numPr>
        <w:ind w:left="568" w:hanging="284"/>
        <w:rPr>
          <w:lang w:bidi="fa-IR"/>
        </w:rPr>
      </w:pPr>
      <w:r>
        <w:rPr>
          <w:lang w:bidi="fa-IR"/>
        </w:rPr>
        <w:t>Working with mainstream websites (such as realestate.com or domain) to enable people to search for certified accessible dwellings. This would also help to encourage better awareness and greater uptake of the certification scheme.</w:t>
      </w:r>
    </w:p>
    <w:p w14:paraId="421ABE81" w14:textId="77777777" w:rsidR="006D47A3" w:rsidRDefault="00A47715" w:rsidP="006D47A3">
      <w:pPr>
        <w:pStyle w:val="BodyText"/>
        <w:rPr>
          <w:lang w:bidi="fa-IR"/>
        </w:rPr>
      </w:pPr>
      <w:r>
        <w:rPr>
          <w:lang w:bidi="fa-IR"/>
        </w:rPr>
        <w:t xml:space="preserve">The </w:t>
      </w:r>
      <w:r w:rsidR="006D47A3">
        <w:rPr>
          <w:lang w:bidi="fa-IR"/>
        </w:rPr>
        <w:t xml:space="preserve">ABCB </w:t>
      </w:r>
      <w:r w:rsidR="00126672">
        <w:rPr>
          <w:lang w:bidi="fa-IR"/>
        </w:rPr>
        <w:t>would have responsibility for publishing a voluntary handbook; however,</w:t>
      </w:r>
      <w:r w:rsidR="006D47A3">
        <w:rPr>
          <w:lang w:bidi="fa-IR"/>
        </w:rPr>
        <w:t xml:space="preserve"> </w:t>
      </w:r>
      <w:r w:rsidR="00126672">
        <w:rPr>
          <w:lang w:bidi="fa-IR"/>
        </w:rPr>
        <w:t xml:space="preserve">the other </w:t>
      </w:r>
      <w:r w:rsidR="009753BF">
        <w:rPr>
          <w:lang w:bidi="fa-IR"/>
        </w:rPr>
        <w:t xml:space="preserve">elements of this option are outside of </w:t>
      </w:r>
      <w:r>
        <w:rPr>
          <w:lang w:bidi="fa-IR"/>
        </w:rPr>
        <w:t xml:space="preserve">the </w:t>
      </w:r>
      <w:r w:rsidR="009753BF">
        <w:rPr>
          <w:lang w:bidi="fa-IR"/>
        </w:rPr>
        <w:t>ABCB’s responsibility.</w:t>
      </w:r>
    </w:p>
    <w:p w14:paraId="170B31C8" w14:textId="77777777" w:rsidR="00BD428A" w:rsidRPr="005331B4" w:rsidRDefault="00BD428A" w:rsidP="00BD428A">
      <w:pPr>
        <w:pStyle w:val="Heading2"/>
        <w:numPr>
          <w:ilvl w:val="1"/>
          <w:numId w:val="5"/>
        </w:numPr>
        <w:rPr>
          <w:highlight w:val="yellow"/>
          <w:lang w:bidi="fa-IR"/>
        </w:rPr>
      </w:pPr>
      <w:bookmarkStart w:id="361" w:name="_Toc32321755"/>
      <w:bookmarkStart w:id="362" w:name="_Toc44598443"/>
      <w:bookmarkStart w:id="363" w:name="_Toc45654074"/>
      <w:bookmarkStart w:id="364" w:name="_Toc56174519"/>
      <w:bookmarkStart w:id="365" w:name="_Toc70505106"/>
      <w:r w:rsidRPr="008C26D0">
        <w:rPr>
          <w:lang w:bidi="fa-IR"/>
        </w:rPr>
        <w:t>Summary of options to be considered</w:t>
      </w:r>
      <w:bookmarkEnd w:id="361"/>
      <w:bookmarkEnd w:id="362"/>
      <w:bookmarkEnd w:id="363"/>
      <w:bookmarkEnd w:id="364"/>
      <w:bookmarkEnd w:id="365"/>
    </w:p>
    <w:p w14:paraId="2381941C" w14:textId="77777777" w:rsidR="00BD428A" w:rsidRPr="00F11AF4" w:rsidRDefault="00BD428A" w:rsidP="00BD428A">
      <w:pPr>
        <w:pStyle w:val="BodyText"/>
      </w:pPr>
      <w:r w:rsidRPr="00F11AF4">
        <w:t xml:space="preserve">A range of options have been developed based on those proposed through stakeholder consultation, including some not within </w:t>
      </w:r>
      <w:r w:rsidR="00A47715">
        <w:t xml:space="preserve">the </w:t>
      </w:r>
      <w:r w:rsidRPr="00F11AF4">
        <w:t>ABCB’s broad area of responsibility (e.g. Option 5 and the information provision and matching aspects of Option 6) and non-</w:t>
      </w:r>
      <w:r w:rsidRPr="00F11AF4">
        <w:lastRenderedPageBreak/>
        <w:t>regulatory alternatives as required under best practice guidelines. The RIS explicitly considers the impacts of the following options.</w:t>
      </w:r>
    </w:p>
    <w:p w14:paraId="3D1BB077" w14:textId="77777777" w:rsidR="00BD428A" w:rsidRPr="00F11AF4" w:rsidRDefault="00BD428A" w:rsidP="00BD428A">
      <w:pPr>
        <w:pStyle w:val="ListBullet"/>
        <w:numPr>
          <w:ilvl w:val="0"/>
          <w:numId w:val="16"/>
        </w:numPr>
        <w:rPr>
          <w:b/>
        </w:rPr>
      </w:pPr>
      <w:r w:rsidRPr="00F11AF4">
        <w:rPr>
          <w:b/>
        </w:rPr>
        <w:t>Status quo</w:t>
      </w:r>
      <w:r w:rsidR="006D47A3">
        <w:rPr>
          <w:b/>
        </w:rPr>
        <w:t xml:space="preserve">: </w:t>
      </w:r>
      <w:r w:rsidR="006D47A3" w:rsidRPr="006D47A3">
        <w:rPr>
          <w:bCs/>
        </w:rPr>
        <w:t>The status quo is used as the baseline against which the impacts of all other options are assessed.</w:t>
      </w:r>
    </w:p>
    <w:p w14:paraId="6A4DAB35" w14:textId="77777777" w:rsidR="006D47A3" w:rsidRPr="006D47A3" w:rsidRDefault="006D47A3" w:rsidP="00BD428A">
      <w:pPr>
        <w:pStyle w:val="ListBullet"/>
        <w:numPr>
          <w:ilvl w:val="0"/>
          <w:numId w:val="16"/>
        </w:numPr>
      </w:pPr>
      <w:r>
        <w:rPr>
          <w:b/>
        </w:rPr>
        <w:t xml:space="preserve">Regulatory options: </w:t>
      </w:r>
      <w:r w:rsidRPr="006D47A3">
        <w:rPr>
          <w:bCs/>
        </w:rPr>
        <w:t>The regulatory options (involving changes to the NCC) include the following.</w:t>
      </w:r>
    </w:p>
    <w:p w14:paraId="40ADF243" w14:textId="77777777" w:rsidR="00BD428A" w:rsidRPr="00F11AF4" w:rsidRDefault="00BD428A" w:rsidP="006D47A3">
      <w:pPr>
        <w:pStyle w:val="ListBullet2"/>
      </w:pPr>
      <w:r w:rsidRPr="00F11AF4">
        <w:rPr>
          <w:b/>
        </w:rPr>
        <w:t>Option 1:</w:t>
      </w:r>
      <w:r w:rsidRPr="00F11AF4">
        <w:t xml:space="preserve"> Accessibility standard, broadly reflecting LHDG silver standard, in the NCC applying to all new Class 1a and Class 2 buildings.</w:t>
      </w:r>
    </w:p>
    <w:p w14:paraId="6C33BE4B" w14:textId="77777777" w:rsidR="00BD428A" w:rsidRPr="00F11AF4" w:rsidRDefault="00BD428A" w:rsidP="006D47A3">
      <w:pPr>
        <w:pStyle w:val="ListBullet2"/>
      </w:pPr>
      <w:r w:rsidRPr="00F11AF4">
        <w:rPr>
          <w:b/>
        </w:rPr>
        <w:t>Option 2:</w:t>
      </w:r>
      <w:r w:rsidRPr="00F11AF4">
        <w:t xml:space="preserve"> Accessibility standard, broadly reflecting LHDG gold standard, in the NCC applying to all new Class 1a and Class 2 buildings.</w:t>
      </w:r>
    </w:p>
    <w:p w14:paraId="181827CD" w14:textId="77777777" w:rsidR="00BD428A" w:rsidRPr="00F11AF4" w:rsidRDefault="00BD428A" w:rsidP="006D47A3">
      <w:pPr>
        <w:pStyle w:val="ListBullet2"/>
      </w:pPr>
      <w:r w:rsidRPr="00F11AF4">
        <w:rPr>
          <w:b/>
        </w:rPr>
        <w:t>Option 3:</w:t>
      </w:r>
      <w:r w:rsidRPr="00F11AF4">
        <w:t xml:space="preserve"> Accessibility standard, broadly reflecting LHDG gold standard (plus some platinum features), in the NCC applying to all new Class 1a and Class 2 buildings.</w:t>
      </w:r>
    </w:p>
    <w:p w14:paraId="71BBB451" w14:textId="77777777" w:rsidR="00BD428A" w:rsidRPr="00F11AF4" w:rsidRDefault="00BD428A" w:rsidP="006D47A3">
      <w:pPr>
        <w:pStyle w:val="ListBullet2"/>
      </w:pPr>
      <w:r w:rsidRPr="00F11AF4">
        <w:rPr>
          <w:b/>
        </w:rPr>
        <w:t>Option 4:</w:t>
      </w:r>
      <w:r w:rsidRPr="00F11AF4">
        <w:t xml:space="preserve"> Accessibility standard, broadly reflecting LHDG gold standard, in the NCC applying to all new Class 2 buildings.</w:t>
      </w:r>
    </w:p>
    <w:p w14:paraId="49018741" w14:textId="77777777" w:rsidR="006D47A3" w:rsidRPr="006D47A3" w:rsidRDefault="006D47A3" w:rsidP="00BD428A">
      <w:pPr>
        <w:pStyle w:val="ListBullet"/>
        <w:numPr>
          <w:ilvl w:val="0"/>
          <w:numId w:val="16"/>
        </w:numPr>
      </w:pPr>
      <w:r w:rsidRPr="006D47A3">
        <w:rPr>
          <w:b/>
          <w:bCs/>
        </w:rPr>
        <w:t>Non</w:t>
      </w:r>
      <w:r w:rsidRPr="006D47A3">
        <w:rPr>
          <w:b/>
          <w:bCs/>
        </w:rPr>
        <w:noBreakHyphen/>
        <w:t>regulatory options:</w:t>
      </w:r>
      <w:r>
        <w:t xml:space="preserve"> These options are largely outside of </w:t>
      </w:r>
      <w:r w:rsidR="00A47715">
        <w:t xml:space="preserve">the </w:t>
      </w:r>
      <w:r>
        <w:t>ABCB’s responsibility</w:t>
      </w:r>
      <w:r w:rsidR="00126672">
        <w:t xml:space="preserve"> and are not therefore the primary focus of the RIS. However, they have been considered to comply with the requirements set out in the COAG RIS Guidelines to establish whether a change to the NCC is the most efficient approach to addressing the problems associated with a lack of accessible housing.</w:t>
      </w:r>
    </w:p>
    <w:p w14:paraId="5AAE9DF5" w14:textId="77777777" w:rsidR="00BD428A" w:rsidRPr="00F11AF4" w:rsidRDefault="00BD428A" w:rsidP="006D47A3">
      <w:pPr>
        <w:pStyle w:val="ListBullet2"/>
      </w:pPr>
      <w:r w:rsidRPr="00F11AF4">
        <w:rPr>
          <w:b/>
        </w:rPr>
        <w:t>Option 5:</w:t>
      </w:r>
      <w:r w:rsidRPr="00F11AF4">
        <w:t xml:space="preserve"> A </w:t>
      </w:r>
      <w:r w:rsidR="00164638">
        <w:t xml:space="preserve">generalised </w:t>
      </w:r>
      <w:r w:rsidRPr="00F11AF4">
        <w:t>subsidy program to encourage additional availability of accessible rental properties to LHDG Gold standard.</w:t>
      </w:r>
    </w:p>
    <w:p w14:paraId="77EE9592" w14:textId="77777777" w:rsidR="00BD428A" w:rsidRPr="00F11AF4" w:rsidRDefault="00BD428A" w:rsidP="006D47A3">
      <w:pPr>
        <w:pStyle w:val="ListBullet2"/>
      </w:pPr>
      <w:r w:rsidRPr="00F11AF4">
        <w:rPr>
          <w:b/>
        </w:rPr>
        <w:t>Option 6:</w:t>
      </w:r>
      <w:r w:rsidRPr="00F11AF4">
        <w:t xml:space="preserve"> An enhanced approach to voluntary guidance, including:</w:t>
      </w:r>
    </w:p>
    <w:p w14:paraId="16ECEC84" w14:textId="77777777" w:rsidR="00BD428A" w:rsidRPr="00F11AF4" w:rsidRDefault="00BD428A" w:rsidP="006D47A3">
      <w:pPr>
        <w:pStyle w:val="ListBullet3"/>
      </w:pPr>
      <w:r w:rsidRPr="00F11AF4">
        <w:t>a non-regulatory ABCB handbook</w:t>
      </w:r>
    </w:p>
    <w:p w14:paraId="1A3A3BC7" w14:textId="77777777" w:rsidR="00BD428A" w:rsidRPr="00F11AF4" w:rsidRDefault="00BD428A" w:rsidP="006D47A3">
      <w:pPr>
        <w:pStyle w:val="ListBullet3"/>
      </w:pPr>
      <w:r w:rsidRPr="00F11AF4">
        <w:t>information provision at the point of sale</w:t>
      </w:r>
    </w:p>
    <w:p w14:paraId="47140122" w14:textId="77777777" w:rsidR="00BD428A" w:rsidRPr="00F11AF4" w:rsidRDefault="00BD428A" w:rsidP="006D47A3">
      <w:pPr>
        <w:pStyle w:val="ListBullet3"/>
      </w:pPr>
      <w:r w:rsidRPr="00F11AF4">
        <w:t>better matching services.</w:t>
      </w:r>
    </w:p>
    <w:p w14:paraId="657C45E6" w14:textId="77777777" w:rsidR="00BD428A" w:rsidRPr="00F11AF4" w:rsidRDefault="00F47C00" w:rsidP="00BD428A">
      <w:pPr>
        <w:pStyle w:val="BodyText"/>
      </w:pPr>
      <w:r w:rsidRPr="00F11AF4">
        <w:t>O</w:t>
      </w:r>
      <w:r w:rsidR="00BD428A" w:rsidRPr="00F11AF4">
        <w:t>ptions 1</w:t>
      </w:r>
      <w:r w:rsidR="00BD428A" w:rsidRPr="00F11AF4">
        <w:noBreakHyphen/>
        <w:t xml:space="preserve">5 </w:t>
      </w:r>
      <w:r w:rsidRPr="00F11AF4">
        <w:t xml:space="preserve">are included </w:t>
      </w:r>
      <w:r w:rsidR="00BD428A" w:rsidRPr="00F11AF4">
        <w:t xml:space="preserve">in the CBA. Option 6 </w:t>
      </w:r>
      <w:r w:rsidRPr="00F11AF4">
        <w:t xml:space="preserve">is discussed </w:t>
      </w:r>
      <w:r w:rsidR="00BD428A" w:rsidRPr="00F11AF4">
        <w:t xml:space="preserve">qualitatively, </w:t>
      </w:r>
      <w:r w:rsidRPr="00F11AF4">
        <w:t xml:space="preserve">without </w:t>
      </w:r>
      <w:r w:rsidR="00BD428A" w:rsidRPr="00F11AF4">
        <w:t>quantify</w:t>
      </w:r>
      <w:r w:rsidRPr="00F11AF4">
        <w:t>ing</w:t>
      </w:r>
      <w:r w:rsidR="00BD428A" w:rsidRPr="00F11AF4">
        <w:t xml:space="preserve"> the costs and benefits.</w:t>
      </w:r>
    </w:p>
    <w:p w14:paraId="6B926C82" w14:textId="77777777" w:rsidR="00BD428A" w:rsidRDefault="003E274B" w:rsidP="00BD428A">
      <w:pPr>
        <w:pStyle w:val="Heading2"/>
        <w:numPr>
          <w:ilvl w:val="1"/>
          <w:numId w:val="5"/>
        </w:numPr>
      </w:pPr>
      <w:bookmarkStart w:id="366" w:name="_Toc56174520"/>
      <w:bookmarkStart w:id="367" w:name="_Toc70505107"/>
      <w:r>
        <w:t>Stakeholder feedback</w:t>
      </w:r>
      <w:r w:rsidR="00BD428A">
        <w:t xml:space="preserve"> on options</w:t>
      </w:r>
      <w:bookmarkEnd w:id="366"/>
      <w:bookmarkEnd w:id="367"/>
    </w:p>
    <w:p w14:paraId="6B599CE7" w14:textId="77777777" w:rsidR="00BD428A" w:rsidRDefault="00BD428A" w:rsidP="00BD428A">
      <w:pPr>
        <w:pStyle w:val="Heading3"/>
        <w:numPr>
          <w:ilvl w:val="2"/>
          <w:numId w:val="5"/>
        </w:numPr>
        <w:rPr>
          <w:lang w:bidi="fa-IR"/>
        </w:rPr>
      </w:pPr>
      <w:r>
        <w:rPr>
          <w:lang w:bidi="fa-IR"/>
        </w:rPr>
        <w:t>Feasible options</w:t>
      </w:r>
    </w:p>
    <w:p w14:paraId="67E5367D" w14:textId="77777777" w:rsidR="00BD428A" w:rsidRDefault="003E274B" w:rsidP="00BD428A">
      <w:pPr>
        <w:pStyle w:val="BodyText"/>
        <w:rPr>
          <w:lang w:bidi="fa-IR"/>
        </w:rPr>
      </w:pPr>
      <w:r>
        <w:rPr>
          <w:lang w:bidi="fa-IR"/>
        </w:rPr>
        <w:t xml:space="preserve">During public consultation, the consultation questionnaire asked a specific question about the feasibility of the options. </w:t>
      </w:r>
      <w:r w:rsidR="00BD428A">
        <w:rPr>
          <w:lang w:bidi="fa-IR"/>
        </w:rPr>
        <w:t xml:space="preserve">Among the </w:t>
      </w:r>
      <w:r w:rsidR="008C26D0">
        <w:rPr>
          <w:lang w:bidi="fa-IR"/>
        </w:rPr>
        <w:t xml:space="preserve">98 </w:t>
      </w:r>
      <w:r>
        <w:rPr>
          <w:lang w:bidi="fa-IR"/>
        </w:rPr>
        <w:t>responses to the question</w:t>
      </w:r>
      <w:r w:rsidR="00BD428A">
        <w:rPr>
          <w:lang w:bidi="fa-IR"/>
        </w:rPr>
        <w:t>, 83 respondents provided answers to th</w:t>
      </w:r>
      <w:r>
        <w:rPr>
          <w:lang w:bidi="fa-IR"/>
        </w:rPr>
        <w:t>at</w:t>
      </w:r>
      <w:r w:rsidR="00BD428A">
        <w:rPr>
          <w:lang w:bidi="fa-IR"/>
        </w:rPr>
        <w:t xml:space="preserve"> question (Question 15). Most respondents (63 out of 83) suggested more than one feasible option (chart </w:t>
      </w:r>
      <w:r w:rsidR="001F6960">
        <w:rPr>
          <w:lang w:bidi="fa-IR"/>
        </w:rPr>
        <w:t>4.3</w:t>
      </w:r>
      <w:r w:rsidR="00BD428A">
        <w:rPr>
          <w:lang w:bidi="fa-IR"/>
        </w:rPr>
        <w:t>).</w:t>
      </w:r>
    </w:p>
    <w:p w14:paraId="5F683AE4" w14:textId="77777777" w:rsidR="003E274B" w:rsidRDefault="003E274B" w:rsidP="00BD428A">
      <w:pPr>
        <w:pStyle w:val="BodyText"/>
        <w:rPr>
          <w:lang w:bidi="fa-IR"/>
        </w:rPr>
      </w:pPr>
      <w:r>
        <w:rPr>
          <w:lang w:bidi="fa-IR"/>
        </w:rPr>
        <w:t xml:space="preserve">These figures should be considered with caution as more than half of respondents did not provide an answer to this question and, some 15 respondents did not include their preferred option (for Question 19 discussed below) as one of </w:t>
      </w:r>
      <w:r w:rsidR="008D1901">
        <w:rPr>
          <w:lang w:bidi="fa-IR"/>
        </w:rPr>
        <w:t xml:space="preserve">the </w:t>
      </w:r>
      <w:r>
        <w:rPr>
          <w:lang w:bidi="fa-IR"/>
        </w:rPr>
        <w:t>feasible options in answering this question.</w:t>
      </w:r>
    </w:p>
    <w:p w14:paraId="3CA822BB" w14:textId="6262D585" w:rsidR="00BD428A" w:rsidRDefault="00490F02" w:rsidP="00BD428A">
      <w:pPr>
        <w:pStyle w:val="Caption"/>
      </w:pPr>
      <w:bookmarkStart w:id="368" w:name="_Toc56174593"/>
      <w:bookmarkStart w:id="369" w:name="_Toc57643640"/>
      <w:bookmarkStart w:id="370" w:name="_Toc70505556"/>
      <w:r>
        <w:lastRenderedPageBreak/>
        <w:t>4.3</w:t>
      </w:r>
      <w:r w:rsidR="00BD428A" w:rsidRPr="00695C93">
        <w:tab/>
      </w:r>
      <w:r w:rsidR="00BD428A">
        <w:t>Responses by number of feasible options</w:t>
      </w:r>
      <w:bookmarkEnd w:id="368"/>
      <w:bookmarkEnd w:id="369"/>
      <w:bookmarkEnd w:id="370"/>
    </w:p>
    <w:p w14:paraId="19493AF9" w14:textId="77777777" w:rsidR="00BD428A" w:rsidRPr="006A452A" w:rsidRDefault="00332AF8" w:rsidP="00BD428A">
      <w:pPr>
        <w:pStyle w:val="Note"/>
        <w:rPr>
          <w:iCs/>
        </w:rPr>
      </w:pPr>
      <w:r w:rsidRPr="007D2AB7">
        <w:rPr>
          <w:noProof/>
          <w:lang w:eastAsia="en-AU"/>
        </w:rPr>
        <w:drawing>
          <wp:inline distT="0" distB="0" distL="0" distR="0" wp14:anchorId="1A67BB6F" wp14:editId="188E6360">
            <wp:extent cx="5016500" cy="2508250"/>
            <wp:effectExtent l="76200" t="76200" r="69850" b="82550"/>
            <wp:docPr id="39" name="Picture 39" descr="The number of respondents indicating the feasibility of the options (listed in the text above the table under 'Summary of options to be considered'). Note that most respondents suggested more than one feasible option, and more than half of the respondents did not answer this question. " title="Chart 4.3: Responses by number of feasi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6500" cy="2508250"/>
                    </a:xfrm>
                    <a:prstGeom prst="rect">
                      <a:avLst/>
                    </a:prstGeom>
                    <a:noFill/>
                    <a:ln w="76200">
                      <a:solidFill>
                        <a:schemeClr val="bg2"/>
                      </a:solidFill>
                    </a:ln>
                  </pic:spPr>
                </pic:pic>
              </a:graphicData>
            </a:graphic>
          </wp:inline>
        </w:drawing>
      </w:r>
      <w:r w:rsidR="00BD428A" w:rsidRPr="006A452A">
        <w:rPr>
          <w:iCs/>
        </w:rPr>
        <w:t xml:space="preserve">Note: answers to Question 15 </w:t>
      </w:r>
    </w:p>
    <w:p w14:paraId="29683089" w14:textId="77777777" w:rsidR="00BD428A" w:rsidRPr="006A452A" w:rsidRDefault="00BD428A" w:rsidP="00BD428A">
      <w:pPr>
        <w:pStyle w:val="Source"/>
        <w:rPr>
          <w:iCs/>
        </w:rPr>
      </w:pPr>
      <w:r w:rsidRPr="006A452A">
        <w:rPr>
          <w:iCs/>
        </w:rPr>
        <w:t>Data source: Consultation Hub</w:t>
      </w:r>
    </w:p>
    <w:p w14:paraId="1D1AB596" w14:textId="77777777" w:rsidR="00BD428A" w:rsidRDefault="00BD428A" w:rsidP="00BD428A">
      <w:pPr>
        <w:pStyle w:val="BodyText"/>
        <w:rPr>
          <w:lang w:bidi="fa-IR"/>
        </w:rPr>
      </w:pPr>
      <w:r>
        <w:rPr>
          <w:lang w:bidi="fa-IR"/>
        </w:rPr>
        <w:t>As shown in chart </w:t>
      </w:r>
      <w:r w:rsidR="0032371F">
        <w:rPr>
          <w:lang w:bidi="fa-IR"/>
        </w:rPr>
        <w:t>4.4</w:t>
      </w:r>
      <w:r>
        <w:rPr>
          <w:lang w:bidi="fa-IR"/>
        </w:rPr>
        <w:t xml:space="preserve">, Option 5 has the highest count – </w:t>
      </w:r>
      <w:r w:rsidR="003F2D85">
        <w:rPr>
          <w:lang w:bidi="fa-IR"/>
        </w:rPr>
        <w:t xml:space="preserve">46 </w:t>
      </w:r>
      <w:r>
        <w:rPr>
          <w:lang w:bidi="fa-IR"/>
        </w:rPr>
        <w:t>respondents indicated it is feasible. It is followed by Option 6 (42 counts), Option 1 (36 counts), and Option 3 (30 counts).</w:t>
      </w:r>
    </w:p>
    <w:p w14:paraId="24B50FB7" w14:textId="273A1B5C" w:rsidR="00BD428A" w:rsidRDefault="00490F02" w:rsidP="00BD428A">
      <w:pPr>
        <w:pStyle w:val="Caption"/>
      </w:pPr>
      <w:bookmarkStart w:id="371" w:name="_Toc56174594"/>
      <w:bookmarkStart w:id="372" w:name="_Toc57643641"/>
      <w:bookmarkStart w:id="373" w:name="_Toc70505557"/>
      <w:r>
        <w:t>4.4</w:t>
      </w:r>
      <w:r w:rsidR="00BD428A" w:rsidRPr="00695C93">
        <w:tab/>
      </w:r>
      <w:r w:rsidR="00BD428A">
        <w:t>Feasible option counts</w:t>
      </w:r>
      <w:bookmarkEnd w:id="371"/>
      <w:bookmarkEnd w:id="372"/>
      <w:bookmarkEnd w:id="373"/>
    </w:p>
    <w:p w14:paraId="51289940" w14:textId="77777777" w:rsidR="00BD428A" w:rsidRPr="00A97BEC" w:rsidRDefault="00332AF8" w:rsidP="00BD428A">
      <w:pPr>
        <w:pStyle w:val="Note"/>
      </w:pPr>
      <w:r w:rsidRPr="003F2D85">
        <w:rPr>
          <w:noProof/>
          <w:lang w:eastAsia="en-AU"/>
        </w:rPr>
        <w:drawing>
          <wp:inline distT="0" distB="0" distL="0" distR="0" wp14:anchorId="29870962" wp14:editId="3C7FAE39">
            <wp:extent cx="5039995" cy="2540950"/>
            <wp:effectExtent l="76200" t="76200" r="84455" b="69215"/>
            <wp:docPr id="231" name="Picture 231" descr="This graph shows the number of respondents who indicated which option or options (listed in the text above, under the  section 'Summary of options to be considered') they thought were feasible. Option 5 has the highest count, followed by Option 6, 1, 3, 2, status quo and 4." title="Chart 4.4: Feasible option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2540950"/>
                    </a:xfrm>
                    <a:prstGeom prst="rect">
                      <a:avLst/>
                    </a:prstGeom>
                    <a:noFill/>
                    <a:ln w="76200">
                      <a:solidFill>
                        <a:schemeClr val="bg2"/>
                      </a:solidFill>
                    </a:ln>
                  </pic:spPr>
                </pic:pic>
              </a:graphicData>
            </a:graphic>
          </wp:inline>
        </w:drawing>
      </w:r>
      <w:r w:rsidR="00BD428A" w:rsidRPr="00A97BEC">
        <w:rPr>
          <w:i/>
        </w:rPr>
        <w:t>Note:</w:t>
      </w:r>
      <w:r w:rsidR="00BD428A">
        <w:rPr>
          <w:i/>
        </w:rPr>
        <w:t xml:space="preserve"> </w:t>
      </w:r>
      <w:r w:rsidR="00BD428A" w:rsidRPr="0030289E">
        <w:rPr>
          <w:iCs/>
        </w:rPr>
        <w:t>Answers to Question 15</w:t>
      </w:r>
      <w:r w:rsidR="0030289E">
        <w:rPr>
          <w:iCs/>
        </w:rPr>
        <w:t>.</w:t>
      </w:r>
      <w:r w:rsidR="00BD428A" w:rsidRPr="00A97BEC">
        <w:rPr>
          <w:i/>
        </w:rPr>
        <w:t xml:space="preserve"> </w:t>
      </w:r>
    </w:p>
    <w:p w14:paraId="1D8C07D1" w14:textId="77777777" w:rsidR="00BD428A" w:rsidRDefault="00BD428A" w:rsidP="00BD428A">
      <w:pPr>
        <w:pStyle w:val="Source"/>
      </w:pPr>
      <w:r>
        <w:rPr>
          <w:i/>
        </w:rPr>
        <w:t>Data source</w:t>
      </w:r>
      <w:r w:rsidRPr="00A67576">
        <w:rPr>
          <w:i/>
        </w:rPr>
        <w:t>:</w:t>
      </w:r>
      <w:r>
        <w:t xml:space="preserve"> Consultation Hub</w:t>
      </w:r>
      <w:r w:rsidR="0030289E">
        <w:t>.</w:t>
      </w:r>
    </w:p>
    <w:p w14:paraId="20148F0E" w14:textId="77777777" w:rsidR="00BD428A" w:rsidRDefault="00BD428A" w:rsidP="00BD428A">
      <w:pPr>
        <w:pStyle w:val="BodyText"/>
        <w:rPr>
          <w:lang w:bidi="fa-IR"/>
        </w:rPr>
      </w:pPr>
      <w:r>
        <w:rPr>
          <w:lang w:bidi="fa-IR"/>
        </w:rPr>
        <w:t xml:space="preserve">Some respondents believe that applying the accessibility standards to a part of the buildings or adopting </w:t>
      </w:r>
      <w:r w:rsidR="003E274B">
        <w:rPr>
          <w:lang w:bidi="fa-IR"/>
        </w:rPr>
        <w:t xml:space="preserve">a </w:t>
      </w:r>
      <w:r>
        <w:rPr>
          <w:lang w:bidi="fa-IR"/>
        </w:rPr>
        <w:t>different combination or a subset of LHDG elements in the NCC are feasible (chart </w:t>
      </w:r>
      <w:r w:rsidR="00DC45E9">
        <w:rPr>
          <w:lang w:bidi="fa-IR"/>
        </w:rPr>
        <w:t>4.5</w:t>
      </w:r>
      <w:r>
        <w:rPr>
          <w:lang w:bidi="fa-IR"/>
        </w:rPr>
        <w:t xml:space="preserve">). </w:t>
      </w:r>
    </w:p>
    <w:p w14:paraId="4FC0D36B" w14:textId="2F16889B" w:rsidR="00BD428A" w:rsidRDefault="00490F02" w:rsidP="00BD428A">
      <w:pPr>
        <w:pStyle w:val="Caption"/>
      </w:pPr>
      <w:bookmarkStart w:id="374" w:name="_Toc56174595"/>
      <w:bookmarkStart w:id="375" w:name="_Toc57643642"/>
      <w:bookmarkStart w:id="376" w:name="_Toc70505558"/>
      <w:r>
        <w:lastRenderedPageBreak/>
        <w:t>4.5</w:t>
      </w:r>
      <w:r w:rsidR="00BD428A" w:rsidRPr="00695C93">
        <w:tab/>
      </w:r>
      <w:r w:rsidR="00BD428A">
        <w:t>Other feasible options</w:t>
      </w:r>
      <w:bookmarkEnd w:id="374"/>
      <w:bookmarkEnd w:id="375"/>
      <w:bookmarkEnd w:id="376"/>
    </w:p>
    <w:p w14:paraId="337B86B7" w14:textId="77777777" w:rsidR="00332AF8" w:rsidRPr="00332AF8" w:rsidRDefault="00332AF8" w:rsidP="00332AF8">
      <w:pPr>
        <w:pStyle w:val="Subtitlebox"/>
      </w:pPr>
      <w:r w:rsidRPr="007619DC">
        <w:rPr>
          <w:noProof/>
        </w:rPr>
        <w:drawing>
          <wp:inline distT="0" distB="0" distL="0" distR="0" wp14:anchorId="094B8E56" wp14:editId="32A0339D">
            <wp:extent cx="5022850" cy="2508250"/>
            <wp:effectExtent l="76200" t="76200" r="82550" b="82550"/>
            <wp:docPr id="30" name="Picture 30" descr="This graph shows a summary of other feasible options from respondents (see paragraphs above and below chart for details)." title="Chart 4.5: Other feasi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2850" cy="2508250"/>
                    </a:xfrm>
                    <a:prstGeom prst="rect">
                      <a:avLst/>
                    </a:prstGeom>
                    <a:noFill/>
                    <a:ln w="76200">
                      <a:solidFill>
                        <a:schemeClr val="bg2"/>
                      </a:solidFill>
                    </a:ln>
                  </pic:spPr>
                </pic:pic>
              </a:graphicData>
            </a:graphic>
          </wp:inline>
        </w:drawing>
      </w:r>
    </w:p>
    <w:p w14:paraId="24EBE1F7" w14:textId="77777777" w:rsidR="00BD428A" w:rsidRPr="006A452A" w:rsidRDefault="00BD428A" w:rsidP="00BD428A">
      <w:pPr>
        <w:pStyle w:val="Note"/>
        <w:rPr>
          <w:iCs/>
        </w:rPr>
      </w:pPr>
      <w:r w:rsidRPr="006A452A">
        <w:rPr>
          <w:iCs/>
        </w:rPr>
        <w:t>Note: Answers to Question 16</w:t>
      </w:r>
      <w:r w:rsidR="0030289E">
        <w:rPr>
          <w:iCs/>
        </w:rPr>
        <w:t>.</w:t>
      </w:r>
    </w:p>
    <w:p w14:paraId="08487F26" w14:textId="77777777" w:rsidR="00BD428A" w:rsidRPr="006A452A" w:rsidRDefault="00BD428A" w:rsidP="00BD428A">
      <w:pPr>
        <w:pStyle w:val="Source"/>
        <w:rPr>
          <w:iCs/>
        </w:rPr>
      </w:pPr>
      <w:r w:rsidRPr="006A452A">
        <w:rPr>
          <w:iCs/>
        </w:rPr>
        <w:t>Data source: Consultation Hub</w:t>
      </w:r>
      <w:r w:rsidR="0030289E">
        <w:rPr>
          <w:iCs/>
        </w:rPr>
        <w:t>.</w:t>
      </w:r>
    </w:p>
    <w:p w14:paraId="6042940B" w14:textId="77777777" w:rsidR="00BD428A" w:rsidRDefault="00AD5708" w:rsidP="00BD428A">
      <w:pPr>
        <w:pStyle w:val="BodyText"/>
        <w:rPr>
          <w:lang w:bidi="fa-IR"/>
        </w:rPr>
      </w:pPr>
      <w:r>
        <w:t xml:space="preserve">It should be noted that none of these views could be verified, but </w:t>
      </w:r>
      <w:r>
        <w:rPr>
          <w:lang w:bidi="fa-IR"/>
        </w:rPr>
        <w:t>o</w:t>
      </w:r>
      <w:r w:rsidR="00BD428A">
        <w:rPr>
          <w:lang w:bidi="fa-IR"/>
        </w:rPr>
        <w:t>ther more specific suggestions include</w:t>
      </w:r>
      <w:r>
        <w:rPr>
          <w:lang w:bidi="fa-IR"/>
        </w:rPr>
        <w:t>d</w:t>
      </w:r>
      <w:r w:rsidR="00BD428A">
        <w:rPr>
          <w:lang w:bidi="fa-IR"/>
        </w:rPr>
        <w:t>:</w:t>
      </w:r>
    </w:p>
    <w:p w14:paraId="75364F85" w14:textId="77777777" w:rsidR="00BD428A" w:rsidRDefault="00BD428A" w:rsidP="00BD428A">
      <w:pPr>
        <w:pStyle w:val="ListBullet"/>
      </w:pPr>
      <w:r>
        <w:t xml:space="preserve">Use planning regulations such that changes only apply to a certain percentage of dwellings built because one-size-fits-all is difficult and should not apply to all dwellings (MBA), and the share should align with percentage of population who </w:t>
      </w:r>
      <w:r w:rsidR="003E274B">
        <w:t>require accessible housing</w:t>
      </w:r>
      <w:r>
        <w:t xml:space="preserve"> (Meriton).</w:t>
      </w:r>
    </w:p>
    <w:p w14:paraId="3F95A63D" w14:textId="77777777" w:rsidR="00BD428A" w:rsidRDefault="00BD428A" w:rsidP="00BD428A">
      <w:pPr>
        <w:pStyle w:val="ListBullet"/>
      </w:pPr>
      <w:r>
        <w:t xml:space="preserve">Introduce wider/more exemptions in addition to the current 1:14 slope exemption so that compliance is not required where it is impossible or unreasonably costly due to topography, gradients, flood risk and so on (PCA). </w:t>
      </w:r>
      <w:r w:rsidR="003E274B">
        <w:t xml:space="preserve">It was </w:t>
      </w:r>
      <w:r>
        <w:t>suggest</w:t>
      </w:r>
      <w:r w:rsidR="003E274B">
        <w:t>ed</w:t>
      </w:r>
      <w:r>
        <w:t xml:space="preserve"> that not all sites are suitable to develop to LHDG Standards at low or minimal cost (PowerHousing Australia)</w:t>
      </w:r>
      <w:r w:rsidR="00FC4BFA">
        <w:t>;</w:t>
      </w:r>
      <w:r>
        <w:t xml:space="preserve"> for example</w:t>
      </w:r>
      <w:r w:rsidR="0072710B">
        <w:t>,</w:t>
      </w:r>
      <w:r>
        <w:t xml:space="preserve"> AusBuild </w:t>
      </w:r>
      <w:r w:rsidR="003E274B">
        <w:t>suggested anecdotally that</w:t>
      </w:r>
      <w:r>
        <w:t xml:space="preserve"> around 32 per cent of lots created in </w:t>
      </w:r>
      <w:r w:rsidR="003E274B">
        <w:t xml:space="preserve">the </w:t>
      </w:r>
      <w:r>
        <w:t xml:space="preserve">last two years in Queensland are suitable for accessible </w:t>
      </w:r>
      <w:r w:rsidR="003E274B">
        <w:t>h</w:t>
      </w:r>
      <w:r>
        <w:t xml:space="preserve">ousing, and </w:t>
      </w:r>
      <w:r w:rsidR="00E8599C">
        <w:t xml:space="preserve">a submission </w:t>
      </w:r>
      <w:r w:rsidR="003E274B">
        <w:t>suggested</w:t>
      </w:r>
      <w:r>
        <w:t xml:space="preserve"> that the proposed changes are not feasible for lots less than </w:t>
      </w:r>
      <w:r w:rsidR="00E8599C">
        <w:t>350 </w:t>
      </w:r>
      <w:r>
        <w:t>m</w:t>
      </w:r>
      <w:r>
        <w:rPr>
          <w:vertAlign w:val="superscript"/>
        </w:rPr>
        <w:t>2</w:t>
      </w:r>
      <w:r>
        <w:t>.</w:t>
      </w:r>
      <w:r w:rsidR="00A56B54">
        <w:t xml:space="preserve"> </w:t>
      </w:r>
    </w:p>
    <w:p w14:paraId="6B1754FD" w14:textId="77777777" w:rsidR="00BD428A" w:rsidRDefault="00BD428A" w:rsidP="00BD428A">
      <w:pPr>
        <w:pStyle w:val="ListBullet"/>
      </w:pPr>
      <w:r>
        <w:t>Align voluntary options with existing planning policy</w:t>
      </w:r>
    </w:p>
    <w:p w14:paraId="79245E26" w14:textId="77777777" w:rsidR="00BD428A" w:rsidRDefault="00BD428A" w:rsidP="00BD428A">
      <w:pPr>
        <w:pStyle w:val="ListBullet"/>
      </w:pPr>
      <w:r>
        <w:t>Increase funding to LHA</w:t>
      </w:r>
    </w:p>
    <w:p w14:paraId="033CDBE8" w14:textId="77777777" w:rsidR="00BD428A" w:rsidRDefault="00BD428A" w:rsidP="00BD428A">
      <w:pPr>
        <w:pStyle w:val="ListBullet"/>
      </w:pPr>
      <w:r>
        <w:t>Increase information available, for example,</w:t>
      </w:r>
    </w:p>
    <w:p w14:paraId="50CD0FBF" w14:textId="77777777" w:rsidR="00BD428A" w:rsidRDefault="00BD428A" w:rsidP="00BD428A">
      <w:pPr>
        <w:pStyle w:val="ListBullet2"/>
      </w:pPr>
      <w:r>
        <w:t>voluntary handbook, self-declaration form as to the standard</w:t>
      </w:r>
    </w:p>
    <w:p w14:paraId="65E202A1" w14:textId="77777777" w:rsidR="00BD428A" w:rsidRDefault="00BD428A" w:rsidP="00BD428A">
      <w:pPr>
        <w:pStyle w:val="ListBullet2"/>
      </w:pPr>
      <w:r>
        <w:t xml:space="preserve">governments collect data on accessible housing and make </w:t>
      </w:r>
      <w:r w:rsidR="001A1F8F">
        <w:t>it</w:t>
      </w:r>
      <w:r>
        <w:t xml:space="preserve"> available</w:t>
      </w:r>
      <w:r w:rsidR="004D5FFA">
        <w:t>;</w:t>
      </w:r>
      <w:r>
        <w:t xml:space="preserve"> for example, create a publicly available national register of homes with accessibility features, including a simple process to confirm the validity of the original accessibility certificates</w:t>
      </w:r>
    </w:p>
    <w:p w14:paraId="2A8BCF14" w14:textId="77777777" w:rsidR="00BD428A" w:rsidRDefault="00AD5708" w:rsidP="00AD5708">
      <w:pPr>
        <w:pStyle w:val="ListBullet"/>
      </w:pPr>
      <w:r>
        <w:lastRenderedPageBreak/>
        <w:t>Add a matching service to achieve the benefits</w:t>
      </w:r>
      <w:r w:rsidR="001A1F8F">
        <w:t xml:space="preserve"> –</w:t>
      </w:r>
      <w:r>
        <w:t xml:space="preserve"> as</w:t>
      </w:r>
      <w:r w:rsidR="001A1F8F">
        <w:t xml:space="preserve"> </w:t>
      </w:r>
      <w:r>
        <w:t>put by one stakeholder</w:t>
      </w:r>
      <w:r w:rsidR="0093333F">
        <w:t>,</w:t>
      </w:r>
      <w:r w:rsidR="00E21F18">
        <w:t xml:space="preserve"> </w:t>
      </w:r>
      <w:r>
        <w:t>SDA is successful because it is generously funded and has a matching program</w:t>
      </w:r>
      <w:r w:rsidDel="00AD5708">
        <w:t xml:space="preserve"> </w:t>
      </w:r>
      <w:r w:rsidR="001D2766">
        <w:rPr>
          <w:rStyle w:val="FootnoteReference"/>
        </w:rPr>
        <w:footnoteReference w:id="187"/>
      </w:r>
      <w:r>
        <w:t xml:space="preserve"> </w:t>
      </w:r>
    </w:p>
    <w:p w14:paraId="5093FE04" w14:textId="77777777" w:rsidR="00BD428A" w:rsidRDefault="00BD428A" w:rsidP="00BD428A">
      <w:pPr>
        <w:pStyle w:val="ListBullet"/>
      </w:pPr>
      <w:r>
        <w:t>Provide incentives for developers, builders and purchasers</w:t>
      </w:r>
    </w:p>
    <w:p w14:paraId="5884D1CB" w14:textId="77777777" w:rsidR="00BD428A" w:rsidRDefault="00BD428A" w:rsidP="00BD428A">
      <w:pPr>
        <w:pStyle w:val="ListBullet"/>
      </w:pPr>
      <w:r>
        <w:t>Accreditation program for accessible builders</w:t>
      </w:r>
    </w:p>
    <w:p w14:paraId="7A7139A0" w14:textId="77777777" w:rsidR="00BD428A" w:rsidRDefault="00BD428A" w:rsidP="00BD428A">
      <w:pPr>
        <w:pStyle w:val="ListBullet"/>
      </w:pPr>
      <w:r>
        <w:t>Lowering transfer duties because the duties lead to low take-up of accessibility features by mobility impaired households</w:t>
      </w:r>
    </w:p>
    <w:p w14:paraId="64BCAA01" w14:textId="77777777" w:rsidR="00BD428A" w:rsidRDefault="00BD428A" w:rsidP="00BD428A">
      <w:pPr>
        <w:pStyle w:val="ListBullet"/>
      </w:pPr>
      <w:r>
        <w:t>Light-weight, cheap removable threshold ramps are an alternative</w:t>
      </w:r>
    </w:p>
    <w:p w14:paraId="34D2E45F" w14:textId="77777777" w:rsidR="00BD428A" w:rsidRDefault="00BD428A" w:rsidP="00BD428A">
      <w:pPr>
        <w:pStyle w:val="ListBullet"/>
      </w:pPr>
      <w:r>
        <w:t>Proposed changes should be expanded to help vision impaired people and mentally impaired people</w:t>
      </w:r>
      <w:r w:rsidR="00E1796C">
        <w:t>;</w:t>
      </w:r>
      <w:r>
        <w:t xml:space="preserve"> for example, better insulation in Class 2 units to cut down noise transfer which can be stressful </w:t>
      </w:r>
    </w:p>
    <w:p w14:paraId="198FDB98" w14:textId="77777777" w:rsidR="00BD428A" w:rsidRDefault="00BD428A" w:rsidP="00BD428A">
      <w:pPr>
        <w:pStyle w:val="Heading3"/>
        <w:numPr>
          <w:ilvl w:val="2"/>
          <w:numId w:val="5"/>
        </w:numPr>
        <w:rPr>
          <w:lang w:bidi="fa-IR"/>
        </w:rPr>
      </w:pPr>
      <w:r>
        <w:rPr>
          <w:lang w:bidi="fa-IR"/>
        </w:rPr>
        <w:t>Options to meet the objective</w:t>
      </w:r>
    </w:p>
    <w:p w14:paraId="3EE809D8" w14:textId="77777777" w:rsidR="00BD428A" w:rsidRDefault="001A1F8F" w:rsidP="00BD428A">
      <w:pPr>
        <w:pStyle w:val="BodyText"/>
        <w:rPr>
          <w:lang w:bidi="fa-IR"/>
        </w:rPr>
      </w:pPr>
      <w:r>
        <w:rPr>
          <w:lang w:bidi="fa-IR"/>
        </w:rPr>
        <w:t xml:space="preserve">Consultation questionnaire </w:t>
      </w:r>
      <w:r w:rsidR="00BD428A">
        <w:rPr>
          <w:lang w:bidi="fa-IR"/>
        </w:rPr>
        <w:t>Question 17 ask</w:t>
      </w:r>
      <w:r>
        <w:rPr>
          <w:lang w:bidi="fa-IR"/>
        </w:rPr>
        <w:t>ed</w:t>
      </w:r>
      <w:r w:rsidR="00BD428A">
        <w:rPr>
          <w:lang w:bidi="fa-IR"/>
        </w:rPr>
        <w:t xml:space="preserve"> which option can meet the objective. </w:t>
      </w:r>
      <w:r w:rsidR="007F2077">
        <w:rPr>
          <w:lang w:bidi="fa-IR"/>
        </w:rPr>
        <w:t>Eighty</w:t>
      </w:r>
      <w:r w:rsidR="00BD428A">
        <w:rPr>
          <w:lang w:bidi="fa-IR"/>
        </w:rPr>
        <w:t xml:space="preserve"> submissions provided answers to this question through the Consultation Hub. Chart </w:t>
      </w:r>
      <w:r w:rsidR="00E415AF">
        <w:rPr>
          <w:lang w:bidi="fa-IR"/>
        </w:rPr>
        <w:t>4.6</w:t>
      </w:r>
      <w:r w:rsidR="00BD428A">
        <w:rPr>
          <w:lang w:bidi="fa-IR"/>
        </w:rPr>
        <w:t xml:space="preserve"> compares the answers to the question about feasible options.</w:t>
      </w:r>
    </w:p>
    <w:p w14:paraId="66CE8313" w14:textId="77777777" w:rsidR="00BD428A" w:rsidRDefault="00BD428A" w:rsidP="00BD428A">
      <w:pPr>
        <w:pStyle w:val="BodyText"/>
        <w:rPr>
          <w:lang w:bidi="fa-IR"/>
        </w:rPr>
      </w:pPr>
      <w:r>
        <w:rPr>
          <w:lang w:bidi="fa-IR"/>
        </w:rPr>
        <w:t>It can be seen from chart</w:t>
      </w:r>
      <w:r w:rsidR="00EE579A">
        <w:rPr>
          <w:lang w:bidi="fa-IR"/>
        </w:rPr>
        <w:t xml:space="preserve"> 4.6</w:t>
      </w:r>
      <w:r>
        <w:rPr>
          <w:lang w:bidi="fa-IR"/>
        </w:rPr>
        <w:t xml:space="preserve"> that the number of respondents thinking one option </w:t>
      </w:r>
      <w:r w:rsidR="001A1F8F">
        <w:rPr>
          <w:lang w:bidi="fa-IR"/>
        </w:rPr>
        <w:t>ha</w:t>
      </w:r>
      <w:r>
        <w:rPr>
          <w:lang w:bidi="fa-IR"/>
        </w:rPr>
        <w:t xml:space="preserve">s the ability to meet the objective is slightly less than the number of respondents who thought </w:t>
      </w:r>
      <w:r w:rsidR="00DD627C">
        <w:rPr>
          <w:lang w:bidi="fa-IR"/>
        </w:rPr>
        <w:t xml:space="preserve">they </w:t>
      </w:r>
      <w:r w:rsidR="00086F5B">
        <w:rPr>
          <w:lang w:bidi="fa-IR"/>
        </w:rPr>
        <w:t>were feasible</w:t>
      </w:r>
      <w:r>
        <w:rPr>
          <w:lang w:bidi="fa-IR"/>
        </w:rPr>
        <w:t xml:space="preserve"> regulatory options (Options 1 to 4), while the gap is wider for the non-regulatory options (Options 5 and 6). </w:t>
      </w:r>
    </w:p>
    <w:p w14:paraId="1B87676A" w14:textId="77777777" w:rsidR="00BD428A" w:rsidRDefault="00BD428A" w:rsidP="00BD428A">
      <w:pPr>
        <w:pStyle w:val="BodyText"/>
        <w:rPr>
          <w:lang w:bidi="fa-IR"/>
        </w:rPr>
      </w:pPr>
      <w:r>
        <w:rPr>
          <w:lang w:bidi="fa-IR"/>
        </w:rPr>
        <w:t>It is interesting to note that more respondents thought that the Silver standard (Option 1) could meet the objective than the Gold (Option 2) and Gold Plus (Option 3), although the difference is not big.</w:t>
      </w:r>
    </w:p>
    <w:p w14:paraId="34971C7C" w14:textId="77777777" w:rsidR="00BD428A" w:rsidRDefault="001A1F8F" w:rsidP="00BD428A">
      <w:pPr>
        <w:pStyle w:val="BodyText"/>
        <w:rPr>
          <w:lang w:bidi="fa-IR"/>
        </w:rPr>
      </w:pPr>
      <w:r>
        <w:rPr>
          <w:lang w:bidi="fa-IR"/>
        </w:rPr>
        <w:t>A</w:t>
      </w:r>
      <w:r w:rsidR="00BD428A">
        <w:rPr>
          <w:lang w:bidi="fa-IR"/>
        </w:rPr>
        <w:t xml:space="preserve"> similar number of respondents </w:t>
      </w:r>
      <w:r>
        <w:rPr>
          <w:lang w:bidi="fa-IR"/>
        </w:rPr>
        <w:t>indicated they believed</w:t>
      </w:r>
      <w:r w:rsidR="00BD428A">
        <w:rPr>
          <w:lang w:bidi="fa-IR"/>
        </w:rPr>
        <w:t xml:space="preserve"> that an enhanced approach to voluntary guidance (Option 6) and the Gold Plus (Option 3) can meet the objective.</w:t>
      </w:r>
    </w:p>
    <w:p w14:paraId="242C85C2" w14:textId="68B4687D" w:rsidR="00BD428A" w:rsidRDefault="00490F02" w:rsidP="00BD428A">
      <w:pPr>
        <w:pStyle w:val="Caption"/>
      </w:pPr>
      <w:bookmarkStart w:id="377" w:name="_Toc56174596"/>
      <w:bookmarkStart w:id="378" w:name="_Toc57643643"/>
      <w:bookmarkStart w:id="379" w:name="_Toc70505559"/>
      <w:r>
        <w:lastRenderedPageBreak/>
        <w:t>4.6</w:t>
      </w:r>
      <w:r w:rsidR="00BD428A" w:rsidRPr="00695C93">
        <w:tab/>
      </w:r>
      <w:r w:rsidR="00BD428A">
        <w:t>Feasible options versus options meeting the objective</w:t>
      </w:r>
      <w:bookmarkEnd w:id="377"/>
      <w:bookmarkEnd w:id="378"/>
      <w:bookmarkEnd w:id="379"/>
    </w:p>
    <w:p w14:paraId="5B142C9B" w14:textId="77777777" w:rsidR="00BD428A" w:rsidRPr="006A452A" w:rsidRDefault="00332AF8" w:rsidP="0030289E">
      <w:pPr>
        <w:pStyle w:val="Note"/>
        <w:spacing w:before="0"/>
        <w:rPr>
          <w:iCs/>
        </w:rPr>
      </w:pPr>
      <w:r w:rsidRPr="007039DA">
        <w:rPr>
          <w:noProof/>
          <w:lang w:eastAsia="en-AU"/>
        </w:rPr>
        <w:drawing>
          <wp:inline distT="0" distB="0" distL="0" distR="0" wp14:anchorId="46E8D49E" wp14:editId="6D318F48">
            <wp:extent cx="5039995" cy="2535871"/>
            <wp:effectExtent l="76200" t="76200" r="84455" b="74295"/>
            <wp:docPr id="235" name="Picture 235" descr="This chart summarises the answers to questions 15 and 17 in the consultation RIS. &#10;The number of respondents thinking one option has the ability to meet the objective is slightly less than the number of respondents who thought the option is feasible for the regulatory options (Options 1 to 4), while the gap is wider for the non-regulatory options (Options 5 and 6). &#10;It is interesting to note that more respondents thought the Silver standard (Option 1) could meet the objective than the Gold (Option 2) and Gold Plus (Option 3) options, although the difference is not big." title="Chart 4.6: Feasible options versus options meeting the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2535871"/>
                    </a:xfrm>
                    <a:prstGeom prst="rect">
                      <a:avLst/>
                    </a:prstGeom>
                    <a:noFill/>
                    <a:ln w="76200">
                      <a:solidFill>
                        <a:schemeClr val="bg2"/>
                      </a:solidFill>
                    </a:ln>
                  </pic:spPr>
                </pic:pic>
              </a:graphicData>
            </a:graphic>
          </wp:inline>
        </w:drawing>
      </w:r>
      <w:r w:rsidR="00BD428A" w:rsidRPr="006A452A">
        <w:rPr>
          <w:iCs/>
        </w:rPr>
        <w:t>Note: Structured answers to Questions 15 and 17</w:t>
      </w:r>
      <w:r w:rsidR="0030289E">
        <w:rPr>
          <w:iCs/>
        </w:rPr>
        <w:t>.</w:t>
      </w:r>
    </w:p>
    <w:p w14:paraId="30001AF0" w14:textId="77777777" w:rsidR="00BD428A" w:rsidRPr="006A452A" w:rsidRDefault="00BD428A" w:rsidP="00BD428A">
      <w:pPr>
        <w:pStyle w:val="Source"/>
        <w:rPr>
          <w:iCs/>
        </w:rPr>
      </w:pPr>
      <w:r w:rsidRPr="006A452A">
        <w:rPr>
          <w:iCs/>
        </w:rPr>
        <w:t>Data source: Consultation Hub</w:t>
      </w:r>
      <w:r w:rsidR="0030289E">
        <w:rPr>
          <w:iCs/>
        </w:rPr>
        <w:t>.</w:t>
      </w:r>
    </w:p>
    <w:p w14:paraId="0F1640DB" w14:textId="77777777" w:rsidR="00BD428A" w:rsidRDefault="00BD428A" w:rsidP="00BD428A">
      <w:pPr>
        <w:pStyle w:val="Heading3"/>
        <w:numPr>
          <w:ilvl w:val="2"/>
          <w:numId w:val="5"/>
        </w:numPr>
        <w:rPr>
          <w:lang w:bidi="fa-IR"/>
        </w:rPr>
      </w:pPr>
      <w:r>
        <w:rPr>
          <w:lang w:bidi="fa-IR"/>
        </w:rPr>
        <w:t>Preferred option</w:t>
      </w:r>
    </w:p>
    <w:p w14:paraId="63C2D8F7" w14:textId="77777777" w:rsidR="00BD428A" w:rsidRDefault="00BD428A" w:rsidP="00BD428A">
      <w:pPr>
        <w:pStyle w:val="BodyText"/>
        <w:rPr>
          <w:lang w:bidi="fa-IR"/>
        </w:rPr>
      </w:pPr>
      <w:r>
        <w:rPr>
          <w:lang w:bidi="fa-IR"/>
        </w:rPr>
        <w:t>Chart </w:t>
      </w:r>
      <w:r w:rsidR="002A416E">
        <w:rPr>
          <w:lang w:bidi="fa-IR"/>
        </w:rPr>
        <w:t>4.7</w:t>
      </w:r>
      <w:r>
        <w:rPr>
          <w:lang w:bidi="fa-IR"/>
        </w:rPr>
        <w:t xml:space="preserve"> reports the count of </w:t>
      </w:r>
      <w:r w:rsidR="00053E5D">
        <w:rPr>
          <w:lang w:bidi="fa-IR"/>
        </w:rPr>
        <w:t xml:space="preserve">preferred options </w:t>
      </w:r>
      <w:r w:rsidR="001A1F8F">
        <w:rPr>
          <w:lang w:bidi="fa-IR"/>
        </w:rPr>
        <w:t>from</w:t>
      </w:r>
      <w:r w:rsidR="00053E5D">
        <w:rPr>
          <w:lang w:bidi="fa-IR"/>
        </w:rPr>
        <w:t xml:space="preserve"> </w:t>
      </w:r>
      <w:r w:rsidR="000579C4">
        <w:rPr>
          <w:lang w:bidi="fa-IR"/>
        </w:rPr>
        <w:t xml:space="preserve">the </w:t>
      </w:r>
      <w:r w:rsidR="008473CF">
        <w:rPr>
          <w:lang w:bidi="fa-IR"/>
        </w:rPr>
        <w:t>98</w:t>
      </w:r>
      <w:r w:rsidR="000579C4">
        <w:rPr>
          <w:lang w:bidi="fa-IR"/>
        </w:rPr>
        <w:t xml:space="preserve"> </w:t>
      </w:r>
      <w:r w:rsidR="001A1F8F">
        <w:rPr>
          <w:lang w:bidi="fa-IR"/>
        </w:rPr>
        <w:t xml:space="preserve">Consultation Hub </w:t>
      </w:r>
      <w:r w:rsidR="00053E5D">
        <w:rPr>
          <w:lang w:bidi="fa-IR"/>
        </w:rPr>
        <w:t>responses</w:t>
      </w:r>
      <w:r w:rsidR="001A1F8F">
        <w:rPr>
          <w:lang w:bidi="fa-IR"/>
        </w:rPr>
        <w:t>.</w:t>
      </w:r>
      <w:r w:rsidR="00053E5D">
        <w:rPr>
          <w:lang w:bidi="fa-IR"/>
        </w:rPr>
        <w:t xml:space="preserve"> </w:t>
      </w:r>
      <w:r w:rsidR="00ED587F">
        <w:rPr>
          <w:lang w:bidi="fa-IR"/>
        </w:rPr>
        <w:t xml:space="preserve">42 </w:t>
      </w:r>
      <w:r>
        <w:rPr>
          <w:lang w:bidi="fa-IR"/>
        </w:rPr>
        <w:t xml:space="preserve">respondents prefer a regulatory option with </w:t>
      </w:r>
      <w:r w:rsidR="00ED587F">
        <w:rPr>
          <w:lang w:bidi="fa-IR"/>
        </w:rPr>
        <w:t xml:space="preserve">11 </w:t>
      </w:r>
      <w:r>
        <w:rPr>
          <w:lang w:bidi="fa-IR"/>
        </w:rPr>
        <w:t xml:space="preserve">preferring Option 2 (Gold), while </w:t>
      </w:r>
      <w:r w:rsidR="00ED587F">
        <w:rPr>
          <w:lang w:bidi="fa-IR"/>
        </w:rPr>
        <w:t xml:space="preserve">30 </w:t>
      </w:r>
      <w:r>
        <w:rPr>
          <w:lang w:bidi="fa-IR"/>
        </w:rPr>
        <w:t>respondents prefer a non-regulatory option</w:t>
      </w:r>
      <w:r w:rsidR="000579C4">
        <w:rPr>
          <w:lang w:bidi="fa-IR"/>
        </w:rPr>
        <w:t xml:space="preserve">, </w:t>
      </w:r>
      <w:r w:rsidR="008E0164">
        <w:rPr>
          <w:lang w:bidi="fa-IR"/>
        </w:rPr>
        <w:t xml:space="preserve">and </w:t>
      </w:r>
      <w:r w:rsidR="000579C4">
        <w:rPr>
          <w:lang w:bidi="fa-IR"/>
        </w:rPr>
        <w:t>13 prefer other options</w:t>
      </w:r>
      <w:r>
        <w:rPr>
          <w:lang w:bidi="fa-IR"/>
        </w:rPr>
        <w:t>.</w:t>
      </w:r>
    </w:p>
    <w:p w14:paraId="450A598A" w14:textId="77777777" w:rsidR="001D2766" w:rsidRDefault="004D7713" w:rsidP="00BD428A">
      <w:pPr>
        <w:pStyle w:val="BodyText"/>
        <w:rPr>
          <w:lang w:bidi="fa-IR"/>
        </w:rPr>
      </w:pPr>
      <w:r>
        <w:rPr>
          <w:lang w:bidi="fa-IR"/>
        </w:rPr>
        <w:t>118</w:t>
      </w:r>
      <w:r w:rsidR="005A5063">
        <w:rPr>
          <w:lang w:bidi="fa-IR"/>
        </w:rPr>
        <w:t xml:space="preserve"> </w:t>
      </w:r>
      <w:r w:rsidR="00BD428A">
        <w:rPr>
          <w:lang w:bidi="fa-IR"/>
        </w:rPr>
        <w:t xml:space="preserve">respondents did not answer the question including those submitting their responses separately rather than through the Consultation Hub. By </w:t>
      </w:r>
      <w:r w:rsidR="001A1F8F">
        <w:rPr>
          <w:lang w:bidi="fa-IR"/>
        </w:rPr>
        <w:t>analysing stakeholder feedback outside the Consultation Hub</w:t>
      </w:r>
      <w:r w:rsidR="00BD428A">
        <w:rPr>
          <w:lang w:bidi="fa-IR"/>
        </w:rPr>
        <w:t>,</w:t>
      </w:r>
      <w:r w:rsidR="001A1F8F">
        <w:rPr>
          <w:lang w:bidi="fa-IR"/>
        </w:rPr>
        <w:t xml:space="preserve"> a</w:t>
      </w:r>
      <w:r w:rsidR="00BD428A">
        <w:rPr>
          <w:lang w:bidi="fa-IR"/>
        </w:rPr>
        <w:t xml:space="preserve"> further </w:t>
      </w:r>
      <w:r>
        <w:rPr>
          <w:lang w:bidi="fa-IR"/>
        </w:rPr>
        <w:t xml:space="preserve">82 </w:t>
      </w:r>
      <w:r w:rsidR="00BD428A">
        <w:rPr>
          <w:lang w:bidi="fa-IR"/>
        </w:rPr>
        <w:t xml:space="preserve">respondents with preferred options </w:t>
      </w:r>
      <w:r w:rsidR="00C60262">
        <w:rPr>
          <w:lang w:bidi="fa-IR"/>
        </w:rPr>
        <w:t>were</w:t>
      </w:r>
      <w:r w:rsidR="00BD428A">
        <w:rPr>
          <w:lang w:bidi="fa-IR"/>
        </w:rPr>
        <w:t xml:space="preserve"> identified. </w:t>
      </w:r>
      <w:r w:rsidR="001D2766">
        <w:rPr>
          <w:lang w:bidi="fa-IR"/>
        </w:rPr>
        <w:t xml:space="preserve">Chart 4.8 reports the simple count of preferred options </w:t>
      </w:r>
      <w:r w:rsidR="001A1F8F">
        <w:rPr>
          <w:lang w:bidi="fa-IR"/>
        </w:rPr>
        <w:t>from both the Consultation Hub submissions and those responding outside that mechanism</w:t>
      </w:r>
      <w:r w:rsidR="001D2766">
        <w:rPr>
          <w:lang w:bidi="fa-IR"/>
        </w:rPr>
        <w:t xml:space="preserve">. The total count in the chart is more than the </w:t>
      </w:r>
      <w:r w:rsidR="00DA7867">
        <w:rPr>
          <w:lang w:bidi="fa-IR"/>
        </w:rPr>
        <w:t xml:space="preserve">total </w:t>
      </w:r>
      <w:r w:rsidR="001D2766">
        <w:rPr>
          <w:lang w:bidi="fa-IR"/>
        </w:rPr>
        <w:t>number of responses</w:t>
      </w:r>
      <w:r w:rsidR="00DA7867">
        <w:rPr>
          <w:lang w:bidi="fa-IR"/>
        </w:rPr>
        <w:t xml:space="preserve"> as many submissions outside the Consultation Hub process provided multiple preferred options</w:t>
      </w:r>
      <w:r w:rsidR="001D2766">
        <w:rPr>
          <w:lang w:bidi="fa-IR"/>
        </w:rPr>
        <w:t>. The chart shows that Options 2 and 6 are the most preferred options – 55 and 50 counts respectively.</w:t>
      </w:r>
    </w:p>
    <w:p w14:paraId="3919ECDB" w14:textId="530988F9" w:rsidR="00BD428A" w:rsidRDefault="00490F02" w:rsidP="00BD428A">
      <w:pPr>
        <w:pStyle w:val="Caption"/>
      </w:pPr>
      <w:bookmarkStart w:id="380" w:name="_Toc56174597"/>
      <w:bookmarkStart w:id="381" w:name="_Toc57643644"/>
      <w:bookmarkStart w:id="382" w:name="_Toc70505560"/>
      <w:r>
        <w:lastRenderedPageBreak/>
        <w:t>4.7</w:t>
      </w:r>
      <w:r w:rsidR="00BD428A" w:rsidRPr="00695C93">
        <w:tab/>
      </w:r>
      <w:r w:rsidR="00BD428A">
        <w:t xml:space="preserve">Preferred option </w:t>
      </w:r>
      <w:r w:rsidR="00DA7867">
        <w:t xml:space="preserve">identified </w:t>
      </w:r>
      <w:r w:rsidR="00BD428A">
        <w:t>through Consultation Hub</w:t>
      </w:r>
      <w:bookmarkEnd w:id="380"/>
      <w:r w:rsidR="00C23FC8">
        <w:t xml:space="preserve"> </w:t>
      </w:r>
      <w:bookmarkEnd w:id="381"/>
      <w:r w:rsidR="00DA7867">
        <w:t>questionnaire</w:t>
      </w:r>
      <w:bookmarkEnd w:id="382"/>
    </w:p>
    <w:p w14:paraId="32A072B7" w14:textId="77777777" w:rsidR="00BD428A" w:rsidRPr="0030289E" w:rsidRDefault="00332AF8" w:rsidP="00BD428A">
      <w:pPr>
        <w:pStyle w:val="Note"/>
        <w:rPr>
          <w:iCs/>
        </w:rPr>
      </w:pPr>
      <w:r w:rsidRPr="00D34138">
        <w:rPr>
          <w:noProof/>
          <w:lang w:eastAsia="en-AU"/>
        </w:rPr>
        <w:drawing>
          <wp:inline distT="0" distB="0" distL="0" distR="0" wp14:anchorId="2152ADDA" wp14:editId="7BE43EDC">
            <wp:extent cx="5039995" cy="2540315"/>
            <wp:effectExtent l="76200" t="76200" r="84455" b="69850"/>
            <wp:docPr id="228" name="Picture 228" descr="Chart 4.7 reports the count of preferred options from the 98 Consultation Hub responses. 42 respondents prefer a regulatory option with 11 preferring Option 2 (Gold), while 30 respondents prefer a non-regulatory option, and 13 prefer other options." title="Chart 4.7: Preferred option identified through Consultation Hub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2540315"/>
                    </a:xfrm>
                    <a:prstGeom prst="rect">
                      <a:avLst/>
                    </a:prstGeom>
                    <a:noFill/>
                    <a:ln w="76200">
                      <a:solidFill>
                        <a:schemeClr val="bg2"/>
                      </a:solidFill>
                    </a:ln>
                  </pic:spPr>
                </pic:pic>
              </a:graphicData>
            </a:graphic>
          </wp:inline>
        </w:drawing>
      </w:r>
      <w:r w:rsidR="00BD428A" w:rsidRPr="00A97BEC">
        <w:rPr>
          <w:i/>
        </w:rPr>
        <w:t xml:space="preserve">Note: </w:t>
      </w:r>
      <w:r w:rsidR="00BD428A" w:rsidRPr="0030289E">
        <w:rPr>
          <w:iCs/>
        </w:rPr>
        <w:t>Structured answer to Question 19 through the Consultation Hub</w:t>
      </w:r>
      <w:r w:rsidR="0030289E">
        <w:rPr>
          <w:iCs/>
        </w:rPr>
        <w:t>.</w:t>
      </w:r>
    </w:p>
    <w:p w14:paraId="505D9233" w14:textId="77777777" w:rsidR="00BD428A" w:rsidRDefault="00BD428A" w:rsidP="00BD428A">
      <w:pPr>
        <w:pStyle w:val="Source"/>
      </w:pPr>
      <w:r>
        <w:rPr>
          <w:i/>
        </w:rPr>
        <w:t>Data source</w:t>
      </w:r>
      <w:r w:rsidRPr="00A67576">
        <w:rPr>
          <w:i/>
        </w:rPr>
        <w:t>:</w:t>
      </w:r>
      <w:r>
        <w:t xml:space="preserve"> Consultation Hub</w:t>
      </w:r>
      <w:r w:rsidR="0030289E">
        <w:t>.</w:t>
      </w:r>
    </w:p>
    <w:p w14:paraId="30BE7F73" w14:textId="5F62F24A" w:rsidR="001D2766" w:rsidRDefault="00490F02" w:rsidP="001D2766">
      <w:pPr>
        <w:pStyle w:val="Caption"/>
      </w:pPr>
      <w:bookmarkStart w:id="383" w:name="_Toc70505561"/>
      <w:r>
        <w:t>4.8</w:t>
      </w:r>
      <w:r w:rsidR="001D2766" w:rsidRPr="00695C93">
        <w:tab/>
      </w:r>
      <w:r w:rsidR="001D2766">
        <w:t>Preferred option in all submissions including multiple choices</w:t>
      </w:r>
      <w:bookmarkEnd w:id="383"/>
    </w:p>
    <w:p w14:paraId="172C3F36" w14:textId="77777777" w:rsidR="001D2766" w:rsidRPr="006A452A" w:rsidRDefault="00332AF8" w:rsidP="001D2766">
      <w:pPr>
        <w:pStyle w:val="Note"/>
        <w:rPr>
          <w:iCs/>
        </w:rPr>
      </w:pPr>
      <w:r w:rsidRPr="00DA12E8">
        <w:rPr>
          <w:noProof/>
          <w:lang w:eastAsia="en-AU"/>
        </w:rPr>
        <w:drawing>
          <wp:inline distT="0" distB="0" distL="0" distR="0" wp14:anchorId="7E4C86BD" wp14:editId="58D9F493">
            <wp:extent cx="5021580" cy="2499360"/>
            <wp:effectExtent l="76200" t="76200" r="83820" b="72390"/>
            <wp:docPr id="22" name="Picture 22" descr="Chart 4.8 reports the simple count of preferred options from both the Consultation Hub submissions and those responding outside that mechanism. The total count in the chart is more than the total number of responses as many submissions outside the Consultation Hub process provided multiple preferred options. The chart shows that Options 2 and 6 are the most preferred options – 55 and 50 counts respectively." title="Chart 4.8: Preferred option in all submissions including multipl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1580" cy="2499360"/>
                    </a:xfrm>
                    <a:prstGeom prst="rect">
                      <a:avLst/>
                    </a:prstGeom>
                    <a:noFill/>
                    <a:ln w="76200">
                      <a:solidFill>
                        <a:schemeClr val="bg2"/>
                      </a:solidFill>
                    </a:ln>
                  </pic:spPr>
                </pic:pic>
              </a:graphicData>
            </a:graphic>
          </wp:inline>
        </w:drawing>
      </w:r>
      <w:r w:rsidR="001D2766" w:rsidRPr="006A452A">
        <w:rPr>
          <w:iCs/>
        </w:rPr>
        <w:t>Note: Structured answer to Question 19 through the Consultation Hub</w:t>
      </w:r>
      <w:r w:rsidR="0030289E">
        <w:rPr>
          <w:iCs/>
        </w:rPr>
        <w:t>.</w:t>
      </w:r>
    </w:p>
    <w:p w14:paraId="1781CBB1" w14:textId="77777777" w:rsidR="001D2766" w:rsidRPr="006A452A" w:rsidRDefault="001D2766" w:rsidP="001D2766">
      <w:pPr>
        <w:pStyle w:val="Source"/>
        <w:rPr>
          <w:iCs/>
        </w:rPr>
      </w:pPr>
      <w:r w:rsidRPr="006A452A">
        <w:rPr>
          <w:iCs/>
        </w:rPr>
        <w:t>Data source: Consultation Hub</w:t>
      </w:r>
      <w:r w:rsidR="0030289E">
        <w:rPr>
          <w:iCs/>
        </w:rPr>
        <w:t>.</w:t>
      </w:r>
    </w:p>
    <w:p w14:paraId="69700D4E" w14:textId="77777777" w:rsidR="00E23BBA" w:rsidRPr="00E23BBA" w:rsidRDefault="00E23BBA" w:rsidP="00E23BBA">
      <w:pPr>
        <w:pStyle w:val="BodyText"/>
        <w:rPr>
          <w:lang w:eastAsia="en-US"/>
        </w:rPr>
      </w:pPr>
      <w:r>
        <w:rPr>
          <w:lang w:bidi="fa-IR"/>
        </w:rPr>
        <w:t xml:space="preserve">To resolve the multiple choices </w:t>
      </w:r>
      <w:r w:rsidR="00DA7867">
        <w:rPr>
          <w:lang w:bidi="fa-IR"/>
        </w:rPr>
        <w:t xml:space="preserve">provided </w:t>
      </w:r>
      <w:r>
        <w:rPr>
          <w:lang w:bidi="fa-IR"/>
        </w:rPr>
        <w:t xml:space="preserve">by </w:t>
      </w:r>
      <w:r w:rsidR="00DA7867">
        <w:rPr>
          <w:lang w:bidi="fa-IR"/>
        </w:rPr>
        <w:t>submissions outside the Consultation Hub</w:t>
      </w:r>
      <w:r>
        <w:rPr>
          <w:lang w:bidi="fa-IR"/>
        </w:rPr>
        <w:t xml:space="preserve">, the approach to interpreting stakeholder preferences </w:t>
      </w:r>
      <w:r w:rsidR="00DA7867">
        <w:rPr>
          <w:lang w:bidi="fa-IR"/>
        </w:rPr>
        <w:t xml:space="preserve">was </w:t>
      </w:r>
      <w:r>
        <w:rPr>
          <w:lang w:bidi="fa-IR"/>
        </w:rPr>
        <w:t>to allocate the more stringent of regulatory options (where a regulatory option was present) and least stringent of options where it was not. With this interpretation, chart 4.9 reports preferred option counts in all responses identifiable</w:t>
      </w:r>
      <w:r w:rsidR="00DA7867">
        <w:rPr>
          <w:lang w:bidi="fa-IR"/>
        </w:rPr>
        <w:t>, where each response is allocated only one choice</w:t>
      </w:r>
      <w:r>
        <w:rPr>
          <w:lang w:bidi="fa-IR"/>
        </w:rPr>
        <w:t xml:space="preserve">. 93 respondents prefer a regulatory option with 54 preferring Option 2, while 58 respondents prefer non-regulatory options with 49 preferring Option 6. There are 16 respondents who prefer other options. </w:t>
      </w:r>
    </w:p>
    <w:p w14:paraId="0ABB5888" w14:textId="0BC09EEE" w:rsidR="00BD428A" w:rsidRDefault="00490F02" w:rsidP="00BD428A">
      <w:pPr>
        <w:pStyle w:val="Caption"/>
      </w:pPr>
      <w:bookmarkStart w:id="384" w:name="_Toc56174598"/>
      <w:bookmarkStart w:id="385" w:name="_Toc57643645"/>
      <w:bookmarkStart w:id="386" w:name="_Toc70505562"/>
      <w:r>
        <w:lastRenderedPageBreak/>
        <w:t>4.9</w:t>
      </w:r>
      <w:r w:rsidR="00BD428A" w:rsidRPr="00695C93">
        <w:tab/>
      </w:r>
      <w:r w:rsidR="00BD428A">
        <w:t>Preferred options</w:t>
      </w:r>
      <w:bookmarkEnd w:id="384"/>
      <w:r w:rsidR="00C23FC8">
        <w:t xml:space="preserve"> in all responses</w:t>
      </w:r>
      <w:bookmarkEnd w:id="385"/>
      <w:bookmarkEnd w:id="386"/>
    </w:p>
    <w:p w14:paraId="50402229" w14:textId="77777777" w:rsidR="00BD428A" w:rsidRPr="006A452A" w:rsidRDefault="00332AF8" w:rsidP="00BD428A">
      <w:pPr>
        <w:pStyle w:val="Note"/>
        <w:rPr>
          <w:iCs/>
        </w:rPr>
      </w:pPr>
      <w:r w:rsidRPr="004D7713">
        <w:rPr>
          <w:noProof/>
          <w:lang w:eastAsia="en-AU"/>
        </w:rPr>
        <w:drawing>
          <wp:inline distT="0" distB="0" distL="0" distR="0" wp14:anchorId="3C88853E" wp14:editId="5C6C6D32">
            <wp:extent cx="5021580" cy="2499360"/>
            <wp:effectExtent l="76200" t="76200" r="83820" b="72390"/>
            <wp:docPr id="237" name="Picture 237" descr="Chart 4.9 reports preferred option counts in all responses identifiable, where each response is allocated only one choice. Some 93 respondents prefer a regulatory option with 54 preferring Option 2, while 58 respondents prefer non-regulatory options with 49 preferring Option 6. There are 16 respondents who prefer other options. " title="Chart 4.9: Preferred options in all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1580" cy="2499360"/>
                    </a:xfrm>
                    <a:prstGeom prst="rect">
                      <a:avLst/>
                    </a:prstGeom>
                    <a:noFill/>
                    <a:ln w="76200">
                      <a:solidFill>
                        <a:schemeClr val="bg2"/>
                      </a:solidFill>
                    </a:ln>
                  </pic:spPr>
                </pic:pic>
              </a:graphicData>
            </a:graphic>
          </wp:inline>
        </w:drawing>
      </w:r>
      <w:r w:rsidR="00BD428A" w:rsidRPr="006A452A">
        <w:rPr>
          <w:iCs/>
        </w:rPr>
        <w:t>Note: Answer to Question 19 through the Consultation Hub and other submissions</w:t>
      </w:r>
      <w:r w:rsidR="0030289E">
        <w:rPr>
          <w:iCs/>
        </w:rPr>
        <w:t>.</w:t>
      </w:r>
    </w:p>
    <w:p w14:paraId="476B670B" w14:textId="77777777" w:rsidR="00BD428A" w:rsidRPr="006A452A" w:rsidRDefault="00BD428A" w:rsidP="00BD428A">
      <w:pPr>
        <w:pStyle w:val="Source"/>
        <w:rPr>
          <w:iCs/>
        </w:rPr>
      </w:pPr>
      <w:r w:rsidRPr="006A452A">
        <w:rPr>
          <w:iCs/>
        </w:rPr>
        <w:t>Data source: CIE based on Consultation Hub</w:t>
      </w:r>
      <w:r w:rsidR="0030289E">
        <w:rPr>
          <w:iCs/>
        </w:rPr>
        <w:t>.</w:t>
      </w:r>
    </w:p>
    <w:p w14:paraId="7E5CFD44" w14:textId="77777777" w:rsidR="004E736E" w:rsidRPr="00F51AF6" w:rsidRDefault="004E736E" w:rsidP="005B0289">
      <w:pPr>
        <w:pStyle w:val="Heading1"/>
      </w:pPr>
      <w:bookmarkStart w:id="387" w:name="_Toc32321756"/>
      <w:bookmarkStart w:id="388" w:name="_Toc44598444"/>
      <w:bookmarkStart w:id="389" w:name="_Toc45654075"/>
      <w:bookmarkStart w:id="390" w:name="_Ref61363064"/>
      <w:bookmarkStart w:id="391" w:name="_Toc70505108"/>
      <w:r>
        <w:lastRenderedPageBreak/>
        <w:t>Impacts</w:t>
      </w:r>
      <w:bookmarkEnd w:id="387"/>
      <w:bookmarkEnd w:id="388"/>
      <w:bookmarkEnd w:id="389"/>
      <w:bookmarkEnd w:id="390"/>
      <w:bookmarkEnd w:id="391"/>
    </w:p>
    <w:p w14:paraId="506D0599" w14:textId="77777777" w:rsidR="00B06D40" w:rsidRPr="00736353" w:rsidRDefault="00B06D40" w:rsidP="00B06D40">
      <w:pPr>
        <w:pStyle w:val="BodyText"/>
      </w:pPr>
      <w:r>
        <w:t xml:space="preserve">This chapter identifies the impacts of the proposed options and sets out the </w:t>
      </w:r>
      <w:r w:rsidR="00311D17">
        <w:t>CBA</w:t>
      </w:r>
      <w:r>
        <w:t xml:space="preserve"> framework used to quantify these impacts.</w:t>
      </w:r>
    </w:p>
    <w:p w14:paraId="017CAE01" w14:textId="77777777" w:rsidR="00B06D40" w:rsidRDefault="00B06D40" w:rsidP="00B06D40">
      <w:pPr>
        <w:pStyle w:val="Heading2"/>
        <w:numPr>
          <w:ilvl w:val="1"/>
          <w:numId w:val="5"/>
        </w:numPr>
      </w:pPr>
      <w:bookmarkStart w:id="392" w:name="_Toc32321757"/>
      <w:bookmarkStart w:id="393" w:name="_Toc44598445"/>
      <w:bookmarkStart w:id="394" w:name="_Toc45654076"/>
      <w:bookmarkStart w:id="395" w:name="_Toc56174522"/>
      <w:bookmarkStart w:id="396" w:name="_Toc70505109"/>
      <w:r>
        <w:t>Impacts</w:t>
      </w:r>
      <w:bookmarkEnd w:id="392"/>
      <w:bookmarkEnd w:id="393"/>
      <w:bookmarkEnd w:id="394"/>
      <w:bookmarkEnd w:id="395"/>
      <w:bookmarkEnd w:id="396"/>
    </w:p>
    <w:p w14:paraId="272C13AA" w14:textId="77777777" w:rsidR="00B06D40" w:rsidRDefault="00B06D40" w:rsidP="00B06D40">
      <w:pPr>
        <w:pStyle w:val="BodyText"/>
      </w:pPr>
      <w:r>
        <w:t>The impacts (including costs and benefits) of the proposed options are identified below.</w:t>
      </w:r>
    </w:p>
    <w:p w14:paraId="60FB162E" w14:textId="77777777" w:rsidR="00B06D40" w:rsidRDefault="00B06D40" w:rsidP="00B06D40">
      <w:pPr>
        <w:pStyle w:val="Heading3"/>
        <w:numPr>
          <w:ilvl w:val="2"/>
          <w:numId w:val="5"/>
        </w:numPr>
      </w:pPr>
      <w:r>
        <w:t>Proposed changes to the National Construction Code</w:t>
      </w:r>
    </w:p>
    <w:p w14:paraId="1B8EDB9C" w14:textId="77777777" w:rsidR="00B06D40" w:rsidRDefault="00B06D40" w:rsidP="00B06D40">
      <w:pPr>
        <w:pStyle w:val="BodyText"/>
      </w:pPr>
      <w:r>
        <w:t xml:space="preserve">Under the options involving changes to the NCC, there would be an increase in the number of accessible dwellings and therefore an increase in the proportion of the stock of dwellings that are accessible for people with mobility limitations, including older people and people with </w:t>
      </w:r>
      <w:r w:rsidR="00D870C0">
        <w:t>disability</w:t>
      </w:r>
      <w:r>
        <w:t>.</w:t>
      </w:r>
    </w:p>
    <w:p w14:paraId="528BB940" w14:textId="77777777" w:rsidR="00B06D40" w:rsidRDefault="00B06D40" w:rsidP="00B06D40">
      <w:pPr>
        <w:pStyle w:val="Heading4"/>
      </w:pPr>
      <w:r>
        <w:t>Benefits</w:t>
      </w:r>
    </w:p>
    <w:p w14:paraId="554EB453" w14:textId="77777777" w:rsidR="00B06D40" w:rsidRDefault="00B06D40" w:rsidP="00B06D40">
      <w:pPr>
        <w:pStyle w:val="BodyText"/>
      </w:pPr>
      <w:r>
        <w:t>The benefits of the proposed changes to the NCC</w:t>
      </w:r>
      <w:r w:rsidR="006223E1">
        <w:t xml:space="preserve"> (Options 1-4)</w:t>
      </w:r>
      <w:r>
        <w:t xml:space="preserve"> essentially involve reducing the size of the problem estimated in chapter </w:t>
      </w:r>
      <w:r w:rsidR="004C7A95">
        <w:t>three</w:t>
      </w:r>
      <w:r>
        <w:t>. This includes:</w:t>
      </w:r>
    </w:p>
    <w:p w14:paraId="4768B975" w14:textId="77777777" w:rsidR="00B06D40" w:rsidRDefault="00B06D40" w:rsidP="00B06D40">
      <w:pPr>
        <w:pStyle w:val="ListBullet"/>
        <w:numPr>
          <w:ilvl w:val="0"/>
          <w:numId w:val="16"/>
        </w:numPr>
      </w:pPr>
      <w:r>
        <w:t>reduced costs associated with falls</w:t>
      </w:r>
    </w:p>
    <w:p w14:paraId="179F8729" w14:textId="77777777" w:rsidR="00B06D40" w:rsidRDefault="00B06D40" w:rsidP="00B06D40">
      <w:pPr>
        <w:pStyle w:val="ListBullet"/>
        <w:numPr>
          <w:ilvl w:val="0"/>
          <w:numId w:val="16"/>
        </w:numPr>
      </w:pPr>
      <w:r>
        <w:t>reduced carer needs</w:t>
      </w:r>
    </w:p>
    <w:p w14:paraId="5E10F893" w14:textId="77777777" w:rsidR="00B06D40" w:rsidRDefault="00B06D40" w:rsidP="00B06D40">
      <w:pPr>
        <w:pStyle w:val="ListBullet"/>
        <w:numPr>
          <w:ilvl w:val="0"/>
          <w:numId w:val="16"/>
        </w:numPr>
      </w:pPr>
      <w:r>
        <w:t>reduced cost of home modifications</w:t>
      </w:r>
    </w:p>
    <w:p w14:paraId="4C1D0095" w14:textId="77777777" w:rsidR="00B06D40" w:rsidRDefault="00B06D40" w:rsidP="00B06D40">
      <w:pPr>
        <w:pStyle w:val="ListBullet"/>
        <w:numPr>
          <w:ilvl w:val="0"/>
          <w:numId w:val="16"/>
        </w:numPr>
      </w:pPr>
      <w:r>
        <w:t>reduced stays in hospital and transition care</w:t>
      </w:r>
    </w:p>
    <w:p w14:paraId="0FAC4486" w14:textId="77777777" w:rsidR="00B06D40" w:rsidRDefault="00B06D40" w:rsidP="00B06D40">
      <w:pPr>
        <w:pStyle w:val="ListBullet"/>
        <w:numPr>
          <w:ilvl w:val="0"/>
          <w:numId w:val="16"/>
        </w:numPr>
      </w:pPr>
      <w:r>
        <w:t>reduced costs associated with social isolation and loneliness</w:t>
      </w:r>
    </w:p>
    <w:p w14:paraId="5ECD8DD6" w14:textId="77777777" w:rsidR="00B06D40" w:rsidRDefault="00B06D40" w:rsidP="00B06D40">
      <w:pPr>
        <w:pStyle w:val="ListBullet"/>
        <w:numPr>
          <w:ilvl w:val="0"/>
          <w:numId w:val="16"/>
        </w:numPr>
      </w:pPr>
      <w:r>
        <w:t>reduced premature and unnecessary entry into residential aged care</w:t>
      </w:r>
    </w:p>
    <w:p w14:paraId="0EC73DAF" w14:textId="77777777" w:rsidR="00B06D40" w:rsidRDefault="00B06D40" w:rsidP="00B06D40">
      <w:pPr>
        <w:pStyle w:val="ListBullet"/>
        <w:numPr>
          <w:ilvl w:val="0"/>
          <w:numId w:val="16"/>
        </w:numPr>
      </w:pPr>
      <w:r>
        <w:t>reduced costs associated with moving</w:t>
      </w:r>
    </w:p>
    <w:p w14:paraId="0C962E7B" w14:textId="77777777" w:rsidR="00B06D40" w:rsidRDefault="00B06D40" w:rsidP="00B06D40">
      <w:pPr>
        <w:pStyle w:val="ListBullet"/>
        <w:numPr>
          <w:ilvl w:val="0"/>
          <w:numId w:val="16"/>
        </w:numPr>
      </w:pPr>
      <w:r>
        <w:t>reduced costs for people with short-term injuries and families with young depend</w:t>
      </w:r>
      <w:r w:rsidR="003F2BCB">
        <w:t>a</w:t>
      </w:r>
      <w:r>
        <w:t>nts due to inaccessible housing</w:t>
      </w:r>
    </w:p>
    <w:p w14:paraId="7881D83B" w14:textId="77777777" w:rsidR="00B06D40" w:rsidRDefault="00B06D40" w:rsidP="00B06D40">
      <w:pPr>
        <w:pStyle w:val="ListBullet"/>
        <w:numPr>
          <w:ilvl w:val="0"/>
          <w:numId w:val="16"/>
        </w:numPr>
      </w:pPr>
      <w:r>
        <w:t>reduced adverse quality of life impacts</w:t>
      </w:r>
    </w:p>
    <w:p w14:paraId="28514E70" w14:textId="77777777" w:rsidR="00B06D40" w:rsidRDefault="00B06D40" w:rsidP="00B06D40">
      <w:pPr>
        <w:pStyle w:val="ListBullet"/>
        <w:numPr>
          <w:ilvl w:val="0"/>
          <w:numId w:val="16"/>
        </w:numPr>
      </w:pPr>
      <w:r>
        <w:t>societal benefits.</w:t>
      </w:r>
    </w:p>
    <w:p w14:paraId="523AF408" w14:textId="77777777" w:rsidR="00B06D40" w:rsidRDefault="00B06D40" w:rsidP="00B06D40">
      <w:pPr>
        <w:pStyle w:val="Heading4"/>
      </w:pPr>
      <w:r>
        <w:t>Costs</w:t>
      </w:r>
    </w:p>
    <w:p w14:paraId="3AB0AC7A" w14:textId="77777777" w:rsidR="00B06D40" w:rsidRDefault="00B06D40" w:rsidP="00B06D40">
      <w:pPr>
        <w:pStyle w:val="BodyText"/>
      </w:pPr>
      <w:r>
        <w:t>The costs of the proposed changes to the NCC (Options 1</w:t>
      </w:r>
      <w:r>
        <w:noBreakHyphen/>
        <w:t>4) could include the following</w:t>
      </w:r>
      <w:r w:rsidR="00576D6F">
        <w:t>.</w:t>
      </w:r>
    </w:p>
    <w:p w14:paraId="26D5886F" w14:textId="77777777" w:rsidR="00B06D40" w:rsidRDefault="00B06D40" w:rsidP="00B06D40">
      <w:pPr>
        <w:pStyle w:val="ListBullet"/>
        <w:numPr>
          <w:ilvl w:val="0"/>
          <w:numId w:val="16"/>
        </w:numPr>
      </w:pPr>
      <w:r>
        <w:t>The additional costs associated with complying with the proposed accessibility standards – these costs include:</w:t>
      </w:r>
    </w:p>
    <w:p w14:paraId="68DFC212" w14:textId="77777777" w:rsidR="00B06D40" w:rsidRDefault="00B06D40" w:rsidP="00B06D40">
      <w:pPr>
        <w:pStyle w:val="ListBullet2"/>
        <w:numPr>
          <w:ilvl w:val="1"/>
          <w:numId w:val="16"/>
        </w:numPr>
        <w:ind w:left="568" w:hanging="284"/>
      </w:pPr>
      <w:r>
        <w:t>Additional construction costs</w:t>
      </w:r>
    </w:p>
    <w:p w14:paraId="6B250BC5" w14:textId="77777777" w:rsidR="00B06D40" w:rsidRDefault="00B06D40" w:rsidP="00B06D40">
      <w:pPr>
        <w:pStyle w:val="ListBullet2"/>
        <w:numPr>
          <w:ilvl w:val="1"/>
          <w:numId w:val="16"/>
        </w:numPr>
        <w:ind w:left="568" w:hanging="284"/>
      </w:pPr>
      <w:r>
        <w:lastRenderedPageBreak/>
        <w:t>Loss of space – where some areas of a dwelling (such as bathrooms and hallways) expand to meet the proposed standards, this space must come from either:</w:t>
      </w:r>
    </w:p>
    <w:p w14:paraId="07417F9A" w14:textId="77777777" w:rsidR="00B06D40" w:rsidRDefault="00B06D40" w:rsidP="00B06D40">
      <w:pPr>
        <w:pStyle w:val="ListBullet3"/>
        <w:numPr>
          <w:ilvl w:val="2"/>
          <w:numId w:val="16"/>
        </w:numPr>
      </w:pPr>
      <w:r>
        <w:t>expanding the footprint of the building, which means either expanding lot sizes or loss of outdoor/garden space, or</w:t>
      </w:r>
    </w:p>
    <w:p w14:paraId="76C8F44F" w14:textId="77777777" w:rsidR="00B06D40" w:rsidRDefault="00B06D40" w:rsidP="00B06D40">
      <w:pPr>
        <w:pStyle w:val="ListBullet3"/>
        <w:numPr>
          <w:ilvl w:val="2"/>
          <w:numId w:val="16"/>
        </w:numPr>
      </w:pPr>
      <w:r>
        <w:t>loss of living and/or bedroom spaces where the additional hallway and bathroom space is accommodated within the existing building footprint.</w:t>
      </w:r>
    </w:p>
    <w:p w14:paraId="165171D7" w14:textId="77777777" w:rsidR="00B06D40" w:rsidRDefault="006223E1" w:rsidP="00B06D40">
      <w:pPr>
        <w:pStyle w:val="ListBullet"/>
        <w:numPr>
          <w:ilvl w:val="0"/>
          <w:numId w:val="16"/>
        </w:numPr>
      </w:pPr>
      <w:r>
        <w:t>C</w:t>
      </w:r>
      <w:r w:rsidR="00B06D40">
        <w:t>osts associated with additional excavation work on sloped lots.</w:t>
      </w:r>
    </w:p>
    <w:p w14:paraId="4D88F163" w14:textId="77777777" w:rsidR="00B06D40" w:rsidRDefault="00B06D40" w:rsidP="00B06D40">
      <w:pPr>
        <w:pStyle w:val="ListBullet"/>
        <w:numPr>
          <w:ilvl w:val="0"/>
          <w:numId w:val="16"/>
        </w:numPr>
      </w:pPr>
      <w:r>
        <w:t>Transition costs – this includes:</w:t>
      </w:r>
    </w:p>
    <w:p w14:paraId="19A14A38" w14:textId="77777777" w:rsidR="00B06D40" w:rsidRDefault="00B06D40" w:rsidP="00B06D40">
      <w:pPr>
        <w:pStyle w:val="ListBullet2"/>
        <w:numPr>
          <w:ilvl w:val="1"/>
          <w:numId w:val="16"/>
        </w:numPr>
        <w:ind w:left="568" w:hanging="284"/>
      </w:pPr>
      <w:r>
        <w:t>Transition costs for volume builders, including the costs associated with re</w:t>
      </w:r>
      <w:r>
        <w:noBreakHyphen/>
        <w:t>designing the standard offering and rebuilding display homes</w:t>
      </w:r>
    </w:p>
    <w:p w14:paraId="5BA9055B" w14:textId="77777777" w:rsidR="00B06D40" w:rsidRDefault="00B06D40" w:rsidP="00B06D40">
      <w:pPr>
        <w:pStyle w:val="ListBullet2"/>
        <w:numPr>
          <w:ilvl w:val="1"/>
          <w:numId w:val="16"/>
        </w:numPr>
        <w:ind w:left="568" w:hanging="284"/>
      </w:pPr>
      <w:r>
        <w:t>Other industry transition costs — this includes the cost of various industry professionals familiarising themselves with the new NCC requirements. This would include:</w:t>
      </w:r>
    </w:p>
    <w:p w14:paraId="7E3F6B0B" w14:textId="77777777" w:rsidR="00B06D40" w:rsidRDefault="00B06D40" w:rsidP="00B06D40">
      <w:pPr>
        <w:pStyle w:val="ListBullet3"/>
        <w:numPr>
          <w:ilvl w:val="2"/>
          <w:numId w:val="16"/>
        </w:numPr>
      </w:pPr>
      <w:r>
        <w:t>architects/building designers</w:t>
      </w:r>
    </w:p>
    <w:p w14:paraId="61FA6FEB" w14:textId="77777777" w:rsidR="00B06D40" w:rsidRDefault="00B06D40" w:rsidP="00B06D40">
      <w:pPr>
        <w:pStyle w:val="ListBullet3"/>
        <w:numPr>
          <w:ilvl w:val="2"/>
          <w:numId w:val="16"/>
        </w:numPr>
      </w:pPr>
      <w:r>
        <w:t>builders</w:t>
      </w:r>
    </w:p>
    <w:p w14:paraId="5FA46C00" w14:textId="77777777" w:rsidR="00B06D40" w:rsidRDefault="00B06D40" w:rsidP="00B06D40">
      <w:pPr>
        <w:pStyle w:val="ListBullet3"/>
        <w:numPr>
          <w:ilvl w:val="2"/>
          <w:numId w:val="16"/>
        </w:numPr>
      </w:pPr>
      <w:r>
        <w:t>certifiers.</w:t>
      </w:r>
    </w:p>
    <w:p w14:paraId="41D02FD7" w14:textId="77777777" w:rsidR="00B41C0E" w:rsidRPr="00B41C0E" w:rsidRDefault="00B41C0E" w:rsidP="00B41C0E">
      <w:pPr>
        <w:pStyle w:val="BodyText"/>
      </w:pPr>
      <w:r>
        <w:t xml:space="preserve">Transition costs are likely to be one-off costs due to the nature </w:t>
      </w:r>
      <w:r w:rsidR="005A5104">
        <w:t xml:space="preserve">of </w:t>
      </w:r>
      <w:r w:rsidR="006223E1">
        <w:t xml:space="preserve">industry </w:t>
      </w:r>
      <w:r>
        <w:t xml:space="preserve">adaptation </w:t>
      </w:r>
      <w:r w:rsidR="006223E1">
        <w:t>to</w:t>
      </w:r>
      <w:r>
        <w:t xml:space="preserve"> new requirement</w:t>
      </w:r>
      <w:r w:rsidR="006223E1">
        <w:t>s</w:t>
      </w:r>
      <w:r>
        <w:t>.</w:t>
      </w:r>
    </w:p>
    <w:p w14:paraId="6AC81DE6" w14:textId="77777777" w:rsidR="00B06D40" w:rsidRDefault="00B06D40" w:rsidP="00B06D40">
      <w:pPr>
        <w:pStyle w:val="Heading3"/>
        <w:numPr>
          <w:ilvl w:val="2"/>
          <w:numId w:val="5"/>
        </w:numPr>
      </w:pPr>
      <w:r>
        <w:t>Subsidy scheme</w:t>
      </w:r>
    </w:p>
    <w:p w14:paraId="1A2FF5BF" w14:textId="77777777" w:rsidR="00B06D40" w:rsidRDefault="00876CEE" w:rsidP="00B06D40">
      <w:pPr>
        <w:pStyle w:val="BodyText"/>
      </w:pPr>
      <w:r>
        <w:t>A</w:t>
      </w:r>
      <w:r w:rsidR="00B06D40">
        <w:t xml:space="preserve"> proposed subsidy (Option 5) would be provided to providers of accessible rental accommodation.</w:t>
      </w:r>
    </w:p>
    <w:p w14:paraId="3CF35729" w14:textId="77777777" w:rsidR="00B06D40" w:rsidRDefault="00B06D40" w:rsidP="00B06D40">
      <w:pPr>
        <w:pStyle w:val="ListBullet"/>
        <w:numPr>
          <w:ilvl w:val="0"/>
          <w:numId w:val="16"/>
        </w:numPr>
      </w:pPr>
      <w:r>
        <w:t xml:space="preserve">The benefits of this approach are the extent to which a subsidy scheme would address the problem (see </w:t>
      </w:r>
      <w:r w:rsidR="00876CEE">
        <w:t xml:space="preserve">chapter </w:t>
      </w:r>
      <w:r w:rsidR="004C7A95">
        <w:t>three</w:t>
      </w:r>
      <w:r>
        <w:t>). However, as the subsidy scheme would apply only to renters, this approach would address only the proportion of the problem relating to renters.</w:t>
      </w:r>
    </w:p>
    <w:p w14:paraId="5E639144" w14:textId="77777777" w:rsidR="00B06D40" w:rsidRDefault="00B06D40" w:rsidP="00B06D40">
      <w:pPr>
        <w:pStyle w:val="ListBullet"/>
        <w:numPr>
          <w:ilvl w:val="0"/>
          <w:numId w:val="16"/>
        </w:numPr>
      </w:pPr>
      <w:r>
        <w:t>The costs of this approach include the additional cost of providing accessible accommodation, either through building new dwellings or through refurbishing existing dwellings to meet the standard. One indicator of these additional costs is the subsidy required to encourage private landlords to provide the service.</w:t>
      </w:r>
    </w:p>
    <w:p w14:paraId="2CC8C196" w14:textId="77777777" w:rsidR="00182C4F" w:rsidRDefault="00182C4F" w:rsidP="00182C4F">
      <w:pPr>
        <w:pStyle w:val="BodyText"/>
      </w:pPr>
      <w:r>
        <w:t>Both the benefits and costs of the subsidy scheme would depend on the number of subsidised dwellings provided under such scheme. The extent to which private providers would take up the subsidy and provide accessible rental accommodation to people with accessibility needs is difficult to estimate.</w:t>
      </w:r>
    </w:p>
    <w:p w14:paraId="2CB74FD7" w14:textId="77777777" w:rsidR="00182C4F" w:rsidRDefault="00182C4F" w:rsidP="00182C4F">
      <w:pPr>
        <w:pStyle w:val="BodyText"/>
      </w:pPr>
      <w:r>
        <w:t>There are around 81 000 people living in unmodified private rental accommodation (i.e. excluding social housing) with limited mobility that require assistance or hav</w:t>
      </w:r>
      <w:r w:rsidR="009F5D68">
        <w:t>e</w:t>
      </w:r>
      <w:r>
        <w:t xml:space="preserve"> difficulty moving around their place of residence</w:t>
      </w:r>
      <w:r w:rsidR="00471F96">
        <w:t xml:space="preserve"> (suggesting that the dwelling does not meet their needs).</w:t>
      </w:r>
    </w:p>
    <w:p w14:paraId="0F7EB55D" w14:textId="77777777" w:rsidR="00182C4F" w:rsidRDefault="00471F96" w:rsidP="00182C4F">
      <w:pPr>
        <w:pStyle w:val="BodyText"/>
      </w:pPr>
      <w:r>
        <w:t>To provide an indicative estimate of the benefits and costs of a subsidy scheme, it is assumed that an additional 5</w:t>
      </w:r>
      <w:r w:rsidR="009A5F5B">
        <w:t xml:space="preserve"> </w:t>
      </w:r>
      <w:r>
        <w:t xml:space="preserve">000 accessible rental properties are provided each year that </w:t>
      </w:r>
      <w:r>
        <w:lastRenderedPageBreak/>
        <w:t>are leased to people whose existing rental accommodation is not meeting their accessibility needs.</w:t>
      </w:r>
    </w:p>
    <w:p w14:paraId="0B00647D" w14:textId="77777777" w:rsidR="00471F96" w:rsidRDefault="00E21F18" w:rsidP="00182C4F">
      <w:pPr>
        <w:pStyle w:val="BodyText"/>
      </w:pPr>
      <w:r>
        <w:t>Chart</w:t>
      </w:r>
      <w:r w:rsidR="00E70405">
        <w:t> 5.1 compares the assumed number of subsidised accessible rental properties compared with the number of people with accessibility needs living in inaccessible private rental accommodation.</w:t>
      </w:r>
    </w:p>
    <w:p w14:paraId="291BCFA0" w14:textId="6F306252" w:rsidR="00E70405" w:rsidRDefault="00490F02" w:rsidP="00490F02">
      <w:pPr>
        <w:pStyle w:val="Caption"/>
        <w:ind w:left="568" w:hanging="568"/>
      </w:pPr>
      <w:bookmarkStart w:id="397" w:name="_Toc70505563"/>
      <w:r>
        <w:t>5.1</w:t>
      </w:r>
      <w:r w:rsidR="00E70405" w:rsidRPr="00695C93">
        <w:tab/>
      </w:r>
      <w:r w:rsidR="00E70405">
        <w:t xml:space="preserve">Assumed number of subsidised rental properties compared with </w:t>
      </w:r>
      <w:r w:rsidR="00025646">
        <w:t xml:space="preserve">the </w:t>
      </w:r>
      <w:r w:rsidR="00E70405">
        <w:t>number of people living in inaccessible private rental accommodation</w:t>
      </w:r>
      <w:bookmarkEnd w:id="397"/>
    </w:p>
    <w:p w14:paraId="2AF8FA27" w14:textId="77777777" w:rsidR="00E70405" w:rsidRPr="006A452A" w:rsidRDefault="00F26459" w:rsidP="00E70405">
      <w:pPr>
        <w:pStyle w:val="Note"/>
        <w:rPr>
          <w:iCs/>
        </w:rPr>
      </w:pPr>
      <w:r w:rsidRPr="00E70405">
        <w:rPr>
          <w:noProof/>
          <w:lang w:eastAsia="en-AU"/>
        </w:rPr>
        <w:drawing>
          <wp:inline distT="0" distB="0" distL="0" distR="0" wp14:anchorId="46A5F08E" wp14:editId="670A45CF">
            <wp:extent cx="4886325" cy="2221865"/>
            <wp:effectExtent l="76200" t="76200" r="85725" b="83185"/>
            <wp:docPr id="11" name="Picture 11" descr="Chart 5.1 compares the assumed number of subsidised accessible rental properties compared with the number of people with accessibility needs living in inaccessible private rental accommodation from 2018 to 2031. The gap is projected to decrease, although the number of people living in inaccessible private rental accommodation will still well outstrip the number of subsidised accessible rental properties." title="Chart 5.1: Assumed number of subsidised rental properties compared with the number of people living in inaccessible private rental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619" r="3061"/>
                    <a:stretch/>
                  </pic:blipFill>
                  <pic:spPr bwMode="auto">
                    <a:xfrm>
                      <a:off x="0" y="0"/>
                      <a:ext cx="4886325" cy="2221865"/>
                    </a:xfrm>
                    <a:prstGeom prst="rect">
                      <a:avLst/>
                    </a:prstGeom>
                    <a:noFill/>
                    <a:ln w="76200">
                      <a:solidFill>
                        <a:schemeClr val="bg2"/>
                      </a:solidFill>
                    </a:ln>
                    <a:extLst>
                      <a:ext uri="{53640926-AAD7-44D8-BBD7-CCE9431645EC}">
                        <a14:shadowObscured xmlns:a14="http://schemas.microsoft.com/office/drawing/2010/main"/>
                      </a:ext>
                    </a:extLst>
                  </pic:spPr>
                </pic:pic>
              </a:graphicData>
            </a:graphic>
          </wp:inline>
        </w:drawing>
      </w:r>
      <w:r w:rsidR="00E70405" w:rsidRPr="006A452A">
        <w:rPr>
          <w:iCs/>
        </w:rPr>
        <w:t>Note: It is assumed that an additional 5000 accessible rental properties would be provided each year.</w:t>
      </w:r>
    </w:p>
    <w:p w14:paraId="2CA17985" w14:textId="77777777" w:rsidR="00E70405" w:rsidRPr="006A452A" w:rsidRDefault="00E70405" w:rsidP="00E70405">
      <w:pPr>
        <w:pStyle w:val="Source"/>
        <w:rPr>
          <w:iCs/>
        </w:rPr>
      </w:pPr>
      <w:r w:rsidRPr="006A452A">
        <w:rPr>
          <w:iCs/>
        </w:rPr>
        <w:t>Data source: ABS 2018 Survey of Disabilities, Ageing and Carers, TableBuilder, CIE.</w:t>
      </w:r>
    </w:p>
    <w:p w14:paraId="49BFA481" w14:textId="77777777" w:rsidR="00B06D40" w:rsidRDefault="00B06D40" w:rsidP="00B06D40">
      <w:pPr>
        <w:pStyle w:val="Heading3"/>
        <w:numPr>
          <w:ilvl w:val="2"/>
          <w:numId w:val="5"/>
        </w:numPr>
      </w:pPr>
      <w:r>
        <w:t xml:space="preserve">Enhanced voluntary </w:t>
      </w:r>
      <w:r w:rsidR="00876CEE">
        <w:t>g</w:t>
      </w:r>
      <w:r>
        <w:t xml:space="preserve">uidance </w:t>
      </w:r>
    </w:p>
    <w:p w14:paraId="5816C3C0" w14:textId="77777777" w:rsidR="00B06D40" w:rsidRDefault="00B06D40" w:rsidP="00B06D40">
      <w:pPr>
        <w:pStyle w:val="BodyText"/>
      </w:pPr>
      <w:r>
        <w:t>As well as a voluntary handbook, this option would include measures, such as:</w:t>
      </w:r>
    </w:p>
    <w:p w14:paraId="7C608340" w14:textId="77777777" w:rsidR="00B06D40" w:rsidRDefault="00B06D40" w:rsidP="00B06D40">
      <w:pPr>
        <w:pStyle w:val="ListBullet"/>
        <w:numPr>
          <w:ilvl w:val="0"/>
          <w:numId w:val="16"/>
        </w:numPr>
      </w:pPr>
      <w:r>
        <w:t>a centralised search engine for (certified) accessible housing</w:t>
      </w:r>
    </w:p>
    <w:p w14:paraId="1D981AAC" w14:textId="77777777" w:rsidR="00B06D40" w:rsidRDefault="00B06D40" w:rsidP="00B06D40">
      <w:pPr>
        <w:pStyle w:val="ListBullet"/>
        <w:numPr>
          <w:ilvl w:val="0"/>
          <w:numId w:val="16"/>
        </w:numPr>
      </w:pPr>
      <w:r>
        <w:t>information provision on accessible housing at the point of sale.</w:t>
      </w:r>
    </w:p>
    <w:p w14:paraId="6F440C07" w14:textId="77777777" w:rsidR="00B06D40" w:rsidRDefault="00B06D40" w:rsidP="00B06D40">
      <w:pPr>
        <w:pStyle w:val="Heading4"/>
      </w:pPr>
      <w:r>
        <w:t>Costs</w:t>
      </w:r>
    </w:p>
    <w:p w14:paraId="208E56B1" w14:textId="77777777" w:rsidR="00B06D40" w:rsidRDefault="00B06D40" w:rsidP="00B06D40">
      <w:pPr>
        <w:pStyle w:val="BodyText"/>
      </w:pPr>
      <w:r>
        <w:t>Costs associated with this option would include the following.</w:t>
      </w:r>
    </w:p>
    <w:p w14:paraId="0FA07861" w14:textId="77777777" w:rsidR="00B06D40" w:rsidRDefault="00B06D40" w:rsidP="00B06D40">
      <w:pPr>
        <w:pStyle w:val="ListBullet"/>
        <w:numPr>
          <w:ilvl w:val="0"/>
          <w:numId w:val="16"/>
        </w:numPr>
      </w:pPr>
      <w:r>
        <w:t>The costs associated with developing a voluntary handbook would be relatively low. The propos</w:t>
      </w:r>
      <w:r w:rsidR="00876CEE">
        <w:t>ed changes</w:t>
      </w:r>
      <w:r>
        <w:t xml:space="preserve"> (based on LHDG) could be reproduced (subject to permission of LHA), as a voluntary handbook at minimal cost.</w:t>
      </w:r>
    </w:p>
    <w:p w14:paraId="1A36DDEF" w14:textId="77777777" w:rsidR="00B06D40" w:rsidRDefault="00B06D40" w:rsidP="00B06D40">
      <w:pPr>
        <w:pStyle w:val="ListBullet"/>
        <w:numPr>
          <w:ilvl w:val="0"/>
          <w:numId w:val="16"/>
        </w:numPr>
      </w:pPr>
      <w:r>
        <w:t>There would be costs associated with developing a new search engine specifically for certified accessible housing or working with an existing provider to include the relevant functionality in their existing search engines. There may also be ongoing operating costs (or an increase in operating costs).</w:t>
      </w:r>
    </w:p>
    <w:p w14:paraId="45ECD23F" w14:textId="77777777" w:rsidR="00B06D40" w:rsidRDefault="00B06D40" w:rsidP="00B06D40">
      <w:pPr>
        <w:pStyle w:val="ListBullet"/>
        <w:numPr>
          <w:ilvl w:val="0"/>
          <w:numId w:val="16"/>
        </w:numPr>
      </w:pPr>
      <w:r>
        <w:t>There may also be modest costs associated with developing information material to be provided at the point</w:t>
      </w:r>
      <w:r w:rsidR="008B38C0">
        <w:t xml:space="preserve"> </w:t>
      </w:r>
      <w:r>
        <w:t>of</w:t>
      </w:r>
      <w:r w:rsidR="008B38C0">
        <w:t xml:space="preserve"> </w:t>
      </w:r>
      <w:r>
        <w:t>sale, a</w:t>
      </w:r>
      <w:r w:rsidR="00876CEE">
        <w:t>nd</w:t>
      </w:r>
      <w:r>
        <w:t xml:space="preserve"> modest costs associated with providing the relevant material (whether on a voluntary or mandatory basis).</w:t>
      </w:r>
    </w:p>
    <w:p w14:paraId="294A8C1C" w14:textId="77777777" w:rsidR="00B06D40" w:rsidRDefault="00B06D40" w:rsidP="00B06D40">
      <w:pPr>
        <w:pStyle w:val="ListBullet"/>
        <w:numPr>
          <w:ilvl w:val="0"/>
          <w:numId w:val="16"/>
        </w:numPr>
      </w:pPr>
      <w:r>
        <w:lastRenderedPageBreak/>
        <w:t>To the extent that these measures encourage additional uptake of universal design principles, there would also be the associated costs, including construction costs, the opportunity cost of space (where relevant) and possibly additional excavation costs. However, these costs would be incurred on a voluntary basis. A potential advantage of this approach, relative to a mandatory requirement, is that there is scope for consumers to make their own choices; where some consumers have a strong preference for non</w:t>
      </w:r>
      <w:r>
        <w:noBreakHyphen/>
        <w:t>compliant designs or the cost of complying with the standard is higher than average (due to the specific characteristics of the lot) they would be able to choose not to include accessible design features.</w:t>
      </w:r>
    </w:p>
    <w:p w14:paraId="2BEDE41E" w14:textId="77777777" w:rsidR="00B06D40" w:rsidRDefault="00B06D40" w:rsidP="00B06D40">
      <w:pPr>
        <w:pStyle w:val="Heading4"/>
      </w:pPr>
      <w:r>
        <w:t>Benefits</w:t>
      </w:r>
    </w:p>
    <w:p w14:paraId="6055137C" w14:textId="77777777" w:rsidR="00B06D40" w:rsidRDefault="00B06D40" w:rsidP="00B06D40">
      <w:pPr>
        <w:pStyle w:val="BodyText"/>
      </w:pPr>
      <w:r>
        <w:t>To the extent that this approach encourages additional uptake of universal design principles</w:t>
      </w:r>
      <w:r w:rsidR="00647D26">
        <w:t xml:space="preserve"> </w:t>
      </w:r>
      <w:r w:rsidR="00182C4F">
        <w:t>(</w:t>
      </w:r>
      <w:r w:rsidR="00647D26">
        <w:t>if at all</w:t>
      </w:r>
      <w:r w:rsidR="00182C4F">
        <w:t>)</w:t>
      </w:r>
      <w:r w:rsidR="00647D26">
        <w:t xml:space="preserve"> </w:t>
      </w:r>
      <w:r>
        <w:t>it could potentially reduce the size of the problem. As uptake would be significantly lower than under the mandatory requirements, the benefits would be commensurately smaller.</w:t>
      </w:r>
    </w:p>
    <w:p w14:paraId="3AD96BEA" w14:textId="77777777" w:rsidR="00B06D40" w:rsidRDefault="00B06D40" w:rsidP="00B06D40">
      <w:pPr>
        <w:pStyle w:val="Heading2"/>
        <w:numPr>
          <w:ilvl w:val="1"/>
          <w:numId w:val="5"/>
        </w:numPr>
      </w:pPr>
      <w:bookmarkStart w:id="398" w:name="_Toc56174523"/>
      <w:bookmarkStart w:id="399" w:name="_Toc70505110"/>
      <w:r>
        <w:t>Unin</w:t>
      </w:r>
      <w:r w:rsidR="006310E8">
        <w:t>t</w:t>
      </w:r>
      <w:r>
        <w:t>en</w:t>
      </w:r>
      <w:r w:rsidR="006310E8">
        <w:t>d</w:t>
      </w:r>
      <w:r>
        <w:t>ed consequences</w:t>
      </w:r>
      <w:bookmarkEnd w:id="398"/>
      <w:bookmarkEnd w:id="399"/>
    </w:p>
    <w:p w14:paraId="420DD11D" w14:textId="77777777" w:rsidR="00B06D40" w:rsidRDefault="00B06D40" w:rsidP="00B06D40">
      <w:pPr>
        <w:pStyle w:val="BodyText"/>
      </w:pPr>
      <w:r>
        <w:t xml:space="preserve">The public consultation </w:t>
      </w:r>
      <w:r w:rsidR="00125A70">
        <w:t>encourag</w:t>
      </w:r>
      <w:r>
        <w:t xml:space="preserve">ed respondents to </w:t>
      </w:r>
      <w:r w:rsidR="00125A70">
        <w:t>identify</w:t>
      </w:r>
      <w:r>
        <w:t xml:space="preserve"> less intuitive or unintended consequences of the proposed changes.</w:t>
      </w:r>
    </w:p>
    <w:p w14:paraId="271C2EF6" w14:textId="77777777" w:rsidR="00B06D40" w:rsidRDefault="00B06D40" w:rsidP="00FE4B98">
      <w:pPr>
        <w:pStyle w:val="Heading3"/>
        <w:rPr>
          <w:lang w:bidi="fa-IR"/>
        </w:rPr>
      </w:pPr>
      <w:r>
        <w:rPr>
          <w:lang w:bidi="fa-IR"/>
        </w:rPr>
        <w:t xml:space="preserve">Mis-alignment with state </w:t>
      </w:r>
      <w:r w:rsidR="00125A70">
        <w:rPr>
          <w:lang w:bidi="fa-IR"/>
        </w:rPr>
        <w:t>government</w:t>
      </w:r>
      <w:r>
        <w:rPr>
          <w:lang w:bidi="fa-IR"/>
        </w:rPr>
        <w:t xml:space="preserve"> policies</w:t>
      </w:r>
    </w:p>
    <w:p w14:paraId="7F425CA5" w14:textId="77777777" w:rsidR="00B06D40" w:rsidRDefault="00125A70" w:rsidP="00B06D40">
      <w:pPr>
        <w:pStyle w:val="BodyText"/>
        <w:rPr>
          <w:lang w:bidi="fa-IR"/>
        </w:rPr>
      </w:pPr>
      <w:r>
        <w:rPr>
          <w:lang w:bidi="fa-IR"/>
        </w:rPr>
        <w:t>One</w:t>
      </w:r>
      <w:r w:rsidR="00B243E7">
        <w:rPr>
          <w:lang w:bidi="fa-IR"/>
        </w:rPr>
        <w:t xml:space="preserve"> submission</w:t>
      </w:r>
      <w:r w:rsidR="00B06D40">
        <w:rPr>
          <w:lang w:bidi="fa-IR"/>
        </w:rPr>
        <w:t xml:space="preserve"> noted that the proposal </w:t>
      </w:r>
      <w:r>
        <w:rPr>
          <w:lang w:bidi="fa-IR"/>
        </w:rPr>
        <w:t>c</w:t>
      </w:r>
      <w:r w:rsidR="00B06D40">
        <w:rPr>
          <w:lang w:bidi="fa-IR"/>
        </w:rPr>
        <w:t xml:space="preserve">ould hinder design and housing product choice if adopted across all new homes and residential apartments. This </w:t>
      </w:r>
      <w:r w:rsidR="00B06D40" w:rsidRPr="00430377">
        <w:rPr>
          <w:lang w:bidi="fa-IR"/>
        </w:rPr>
        <w:t>broad approach does not align with state driven housing policies, such as NSW ‘missing middle’ which advocates for multi-level terrace style housing, smaller lot sizes, urban living and so forth. As inner city lots become smaller to accommodate housing affordability constraints, the proposed changes in the NCC seem to be at odds</w:t>
      </w:r>
      <w:r w:rsidR="0093333F">
        <w:rPr>
          <w:lang w:bidi="fa-IR"/>
        </w:rPr>
        <w:t xml:space="preserve"> with such policies</w:t>
      </w:r>
      <w:r w:rsidR="00B06D40" w:rsidRPr="00430377">
        <w:rPr>
          <w:lang w:bidi="fa-IR"/>
        </w:rPr>
        <w:t>.</w:t>
      </w:r>
    </w:p>
    <w:p w14:paraId="2FE91882" w14:textId="77777777" w:rsidR="00B06D40" w:rsidRDefault="00B06D40" w:rsidP="00B06D40">
      <w:pPr>
        <w:pStyle w:val="BodyText"/>
        <w:rPr>
          <w:lang w:bidi="fa-IR"/>
        </w:rPr>
      </w:pPr>
      <w:r>
        <w:rPr>
          <w:lang w:bidi="fa-IR"/>
        </w:rPr>
        <w:t xml:space="preserve">PCA </w:t>
      </w:r>
      <w:r w:rsidR="00125A70">
        <w:rPr>
          <w:lang w:bidi="fa-IR"/>
        </w:rPr>
        <w:t>suggest</w:t>
      </w:r>
      <w:r>
        <w:rPr>
          <w:lang w:bidi="fa-IR"/>
        </w:rPr>
        <w:t xml:space="preserve">ed that </w:t>
      </w:r>
      <w:r w:rsidRPr="00BD02DA">
        <w:rPr>
          <w:lang w:bidi="fa-IR"/>
        </w:rPr>
        <w:t>there is a risk of regulatory overlap</w:t>
      </w:r>
      <w:r>
        <w:rPr>
          <w:lang w:bidi="fa-IR"/>
        </w:rPr>
        <w:t xml:space="preserve"> g</w:t>
      </w:r>
      <w:r w:rsidRPr="00BD02DA">
        <w:rPr>
          <w:lang w:bidi="fa-IR"/>
        </w:rPr>
        <w:t>iven the prevalence and complexity of state, territory and local government regulation.</w:t>
      </w:r>
      <w:r>
        <w:rPr>
          <w:lang w:bidi="fa-IR"/>
        </w:rPr>
        <w:t xml:space="preserve"> It provided a list of </w:t>
      </w:r>
      <w:r w:rsidRPr="00BD02DA">
        <w:rPr>
          <w:lang w:bidi="fa-IR"/>
        </w:rPr>
        <w:t>accessib</w:t>
      </w:r>
      <w:r>
        <w:rPr>
          <w:lang w:bidi="fa-IR"/>
        </w:rPr>
        <w:t>i</w:t>
      </w:r>
      <w:r w:rsidRPr="00BD02DA">
        <w:rPr>
          <w:lang w:bidi="fa-IR"/>
        </w:rPr>
        <w:t>lity requirements in state and territory and local government areas</w:t>
      </w:r>
      <w:r>
        <w:rPr>
          <w:lang w:bidi="fa-IR"/>
        </w:rPr>
        <w:t>.</w:t>
      </w:r>
      <w:r w:rsidR="003B212C">
        <w:rPr>
          <w:rStyle w:val="FootnoteReference"/>
          <w:lang w:bidi="fa-IR"/>
        </w:rPr>
        <w:footnoteReference w:id="188"/>
      </w:r>
    </w:p>
    <w:p w14:paraId="1C5E02BA" w14:textId="77777777" w:rsidR="00B00D42" w:rsidRDefault="00405D21" w:rsidP="00B06D40">
      <w:pPr>
        <w:pStyle w:val="BodyText"/>
        <w:rPr>
          <w:lang w:bidi="fa-IR"/>
        </w:rPr>
      </w:pPr>
      <w:r>
        <w:rPr>
          <w:lang w:bidi="fa-IR"/>
        </w:rPr>
        <w:t>T</w:t>
      </w:r>
      <w:r w:rsidR="00B00D42">
        <w:rPr>
          <w:lang w:bidi="fa-IR"/>
        </w:rPr>
        <w:t xml:space="preserve">he NCC provides a national framework of </w:t>
      </w:r>
      <w:r w:rsidR="00355442">
        <w:rPr>
          <w:lang w:bidi="fa-IR"/>
        </w:rPr>
        <w:t xml:space="preserve">consistent </w:t>
      </w:r>
      <w:r w:rsidR="00B00D42">
        <w:rPr>
          <w:lang w:bidi="fa-IR"/>
        </w:rPr>
        <w:t>requirements and standards</w:t>
      </w:r>
      <w:r w:rsidR="00355442">
        <w:rPr>
          <w:lang w:bidi="fa-IR"/>
        </w:rPr>
        <w:t>. T</w:t>
      </w:r>
      <w:r w:rsidR="00B00D42">
        <w:rPr>
          <w:lang w:bidi="fa-IR"/>
        </w:rPr>
        <w:t>he adoption of the NCC requirements is the jurisdiction of each state and territory</w:t>
      </w:r>
      <w:r w:rsidR="00355442">
        <w:rPr>
          <w:lang w:bidi="fa-IR"/>
        </w:rPr>
        <w:t xml:space="preserve"> </w:t>
      </w:r>
      <w:r>
        <w:rPr>
          <w:lang w:bidi="fa-IR"/>
        </w:rPr>
        <w:t xml:space="preserve">and </w:t>
      </w:r>
      <w:r w:rsidR="00355442">
        <w:rPr>
          <w:lang w:bidi="fa-IR"/>
        </w:rPr>
        <w:t xml:space="preserve">also provides for benefits of harmonisation of standards across states </w:t>
      </w:r>
      <w:r>
        <w:rPr>
          <w:lang w:bidi="fa-IR"/>
        </w:rPr>
        <w:t xml:space="preserve">and territories </w:t>
      </w:r>
      <w:r w:rsidR="00355442">
        <w:rPr>
          <w:lang w:bidi="fa-IR"/>
        </w:rPr>
        <w:t>which are established under other reforms.</w:t>
      </w:r>
      <w:r w:rsidR="00B00D42">
        <w:rPr>
          <w:lang w:bidi="fa-IR"/>
        </w:rPr>
        <w:t xml:space="preserve"> When adopting the NCC, state and territory authorities would take </w:t>
      </w:r>
      <w:r>
        <w:rPr>
          <w:lang w:bidi="fa-IR"/>
        </w:rPr>
        <w:t xml:space="preserve">into </w:t>
      </w:r>
      <w:r w:rsidR="00B00D42">
        <w:rPr>
          <w:lang w:bidi="fa-IR"/>
        </w:rPr>
        <w:t xml:space="preserve">consideration </w:t>
      </w:r>
      <w:r>
        <w:rPr>
          <w:lang w:bidi="fa-IR"/>
        </w:rPr>
        <w:t>and manage</w:t>
      </w:r>
      <w:r w:rsidR="00B00D42">
        <w:rPr>
          <w:lang w:bidi="fa-IR"/>
        </w:rPr>
        <w:t xml:space="preserve"> any inconsistencies between the new NCC requirement</w:t>
      </w:r>
      <w:r w:rsidR="008933AA">
        <w:rPr>
          <w:lang w:bidi="fa-IR"/>
        </w:rPr>
        <w:t>s</w:t>
      </w:r>
      <w:r w:rsidR="00B00D42">
        <w:rPr>
          <w:lang w:bidi="fa-IR"/>
        </w:rPr>
        <w:t xml:space="preserve"> and existing state planning and other regulations. </w:t>
      </w:r>
      <w:r w:rsidR="00D75754">
        <w:rPr>
          <w:lang w:bidi="fa-IR"/>
        </w:rPr>
        <w:t xml:space="preserve">However, this may result in any consistencies being ‘managed’ by </w:t>
      </w:r>
      <w:r w:rsidR="00AF6DD3">
        <w:rPr>
          <w:lang w:bidi="fa-IR"/>
        </w:rPr>
        <w:t xml:space="preserve">a </w:t>
      </w:r>
      <w:r w:rsidR="00D75754">
        <w:rPr>
          <w:lang w:bidi="fa-IR"/>
        </w:rPr>
        <w:t>State or Territory varying or choosing not to adopt the NCC requirements.</w:t>
      </w:r>
    </w:p>
    <w:p w14:paraId="5D9B68B1" w14:textId="77777777" w:rsidR="00B06D40" w:rsidRDefault="00B06D40" w:rsidP="00FE4B98">
      <w:pPr>
        <w:pStyle w:val="Heading3"/>
        <w:rPr>
          <w:lang w:bidi="fa-IR"/>
        </w:rPr>
      </w:pPr>
      <w:r>
        <w:rPr>
          <w:lang w:bidi="fa-IR"/>
        </w:rPr>
        <w:lastRenderedPageBreak/>
        <w:t>Affordability</w:t>
      </w:r>
    </w:p>
    <w:p w14:paraId="2E0C4750" w14:textId="77777777" w:rsidR="00B06D40" w:rsidRDefault="00B06D40" w:rsidP="00B06D40">
      <w:pPr>
        <w:pStyle w:val="BodyText"/>
        <w:rPr>
          <w:lang w:bidi="fa-IR"/>
        </w:rPr>
      </w:pPr>
      <w:r>
        <w:rPr>
          <w:lang w:bidi="fa-IR"/>
        </w:rPr>
        <w:t xml:space="preserve">A number of submissions </w:t>
      </w:r>
      <w:r w:rsidR="00405D21">
        <w:rPr>
          <w:lang w:bidi="fa-IR"/>
        </w:rPr>
        <w:t>suggested that</w:t>
      </w:r>
      <w:r>
        <w:rPr>
          <w:lang w:bidi="fa-IR"/>
        </w:rPr>
        <w:t xml:space="preserve"> proposed changes would increase costs and thus impact housing affordability, especially for first home buyers. The higher cost </w:t>
      </w:r>
      <w:r w:rsidR="00405D21">
        <w:rPr>
          <w:lang w:bidi="fa-IR"/>
        </w:rPr>
        <w:t>c</w:t>
      </w:r>
      <w:r>
        <w:rPr>
          <w:lang w:bidi="fa-IR"/>
        </w:rPr>
        <w:t>ould result in a reduction in new dwelling demand.</w:t>
      </w:r>
    </w:p>
    <w:p w14:paraId="281888F4" w14:textId="77777777" w:rsidR="00B06D40" w:rsidRDefault="00B06D40" w:rsidP="00B06D40">
      <w:pPr>
        <w:pStyle w:val="BodyText"/>
        <w:rPr>
          <w:lang w:bidi="fa-IR"/>
        </w:rPr>
      </w:pPr>
      <w:r>
        <w:rPr>
          <w:lang w:bidi="fa-IR"/>
        </w:rPr>
        <w:t>F</w:t>
      </w:r>
      <w:r w:rsidR="00D75754">
        <w:rPr>
          <w:lang w:bidi="fa-IR"/>
        </w:rPr>
        <w:t>or instance,</w:t>
      </w:r>
      <w:r w:rsidR="00E6712B">
        <w:rPr>
          <w:lang w:bidi="fa-IR"/>
        </w:rPr>
        <w:t xml:space="preserve"> as a submission noted,</w:t>
      </w:r>
      <w:r w:rsidR="00D75754">
        <w:rPr>
          <w:lang w:bidi="fa-IR"/>
        </w:rPr>
        <w:t xml:space="preserve"> f</w:t>
      </w:r>
      <w:r>
        <w:rPr>
          <w:lang w:bidi="fa-IR"/>
        </w:rPr>
        <w:t>irst home buyers or persons with a limited budget may well be excluded from the new housing market due to the increase</w:t>
      </w:r>
      <w:r w:rsidR="00405D21">
        <w:rPr>
          <w:lang w:bidi="fa-IR"/>
        </w:rPr>
        <w:t>d</w:t>
      </w:r>
      <w:r>
        <w:rPr>
          <w:lang w:bidi="fa-IR"/>
        </w:rPr>
        <w:t xml:space="preserve"> costs which would generally not assist them directly. Affordable housing supply continues to be an increasing issue and introduction of additional measures across all new dwellings will further exacerbate this problem. It will result in an overall reduction in new housing demand</w:t>
      </w:r>
      <w:r w:rsidR="00AD7DF1">
        <w:rPr>
          <w:lang w:bidi="fa-IR"/>
        </w:rPr>
        <w:t>.</w:t>
      </w:r>
      <w:r w:rsidR="00AD7DF1">
        <w:rPr>
          <w:rStyle w:val="FootnoteReference"/>
          <w:lang w:bidi="fa-IR"/>
        </w:rPr>
        <w:footnoteReference w:id="189"/>
      </w:r>
    </w:p>
    <w:p w14:paraId="504AB7A8" w14:textId="77777777" w:rsidR="00B06D40" w:rsidRDefault="00405D21" w:rsidP="00B06D40">
      <w:pPr>
        <w:pStyle w:val="BodyText"/>
        <w:rPr>
          <w:lang w:bidi="fa-IR"/>
        </w:rPr>
      </w:pPr>
      <w:r>
        <w:rPr>
          <w:lang w:bidi="fa-IR"/>
        </w:rPr>
        <w:t>It was also suggested that p</w:t>
      </w:r>
      <w:r w:rsidR="00B06D40">
        <w:rPr>
          <w:lang w:bidi="fa-IR"/>
        </w:rPr>
        <w:t xml:space="preserve">eople with accessibility needs may actually be adversely affected because they are more likely </w:t>
      </w:r>
      <w:r>
        <w:rPr>
          <w:lang w:bidi="fa-IR"/>
        </w:rPr>
        <w:t xml:space="preserve">to </w:t>
      </w:r>
      <w:r w:rsidR="00B06D40">
        <w:rPr>
          <w:lang w:bidi="fa-IR"/>
        </w:rPr>
        <w:t>hav</w:t>
      </w:r>
      <w:r>
        <w:rPr>
          <w:lang w:bidi="fa-IR"/>
        </w:rPr>
        <w:t>e</w:t>
      </w:r>
      <w:r w:rsidR="00B06D40">
        <w:rPr>
          <w:lang w:bidi="fa-IR"/>
        </w:rPr>
        <w:t xml:space="preserve"> low income, and affordability is also important to them.</w:t>
      </w:r>
    </w:p>
    <w:p w14:paraId="5D7478A7" w14:textId="77777777" w:rsidR="00B06D40" w:rsidRDefault="00B06D40" w:rsidP="00B06D40">
      <w:pPr>
        <w:pStyle w:val="BodyText"/>
        <w:rPr>
          <w:lang w:bidi="fa-IR"/>
        </w:rPr>
      </w:pPr>
      <w:r>
        <w:rPr>
          <w:lang w:bidi="fa-IR"/>
        </w:rPr>
        <w:t xml:space="preserve">By contrast, </w:t>
      </w:r>
      <w:r w:rsidRPr="00025394">
        <w:rPr>
          <w:lang w:bidi="fa-IR"/>
        </w:rPr>
        <w:t xml:space="preserve">research </w:t>
      </w:r>
      <w:r w:rsidR="00C152E0">
        <w:rPr>
          <w:lang w:bidi="fa-IR"/>
        </w:rPr>
        <w:t xml:space="preserve">cited by </w:t>
      </w:r>
      <w:r w:rsidR="00405D21">
        <w:rPr>
          <w:lang w:bidi="fa-IR"/>
        </w:rPr>
        <w:t>an</w:t>
      </w:r>
      <w:r w:rsidR="008949E5">
        <w:rPr>
          <w:lang w:bidi="fa-IR"/>
        </w:rPr>
        <w:t>o</w:t>
      </w:r>
      <w:r w:rsidR="00405D21">
        <w:rPr>
          <w:lang w:bidi="fa-IR"/>
        </w:rPr>
        <w:t>ther</w:t>
      </w:r>
      <w:r w:rsidR="00C152E0">
        <w:rPr>
          <w:lang w:bidi="fa-IR"/>
        </w:rPr>
        <w:t xml:space="preserve"> submission</w:t>
      </w:r>
      <w:r w:rsidR="001E45D0" w:rsidRPr="00025394">
        <w:rPr>
          <w:lang w:bidi="fa-IR"/>
        </w:rPr>
        <w:t xml:space="preserve"> supports mechanisms that standardise local planning requirements as a way to reduce costs of construction and improve affordability</w:t>
      </w:r>
      <w:r w:rsidR="008949E5">
        <w:rPr>
          <w:rStyle w:val="FootnoteReference"/>
          <w:lang w:bidi="fa-IR"/>
        </w:rPr>
        <w:footnoteReference w:id="190"/>
      </w:r>
      <w:r w:rsidR="001E45D0" w:rsidRPr="00025394">
        <w:rPr>
          <w:lang w:bidi="fa-IR"/>
        </w:rPr>
        <w:t xml:space="preserve">. </w:t>
      </w:r>
      <w:r w:rsidR="00405D21">
        <w:rPr>
          <w:lang w:bidi="fa-IR"/>
        </w:rPr>
        <w:t>This view suggested</w:t>
      </w:r>
      <w:r w:rsidR="001E45D0" w:rsidRPr="00025394">
        <w:rPr>
          <w:lang w:bidi="fa-IR"/>
        </w:rPr>
        <w:t xml:space="preserve"> there may be benefits from having a national standard around accessible housing.</w:t>
      </w:r>
      <w:r w:rsidR="001E45D0">
        <w:rPr>
          <w:lang w:bidi="fa-IR"/>
        </w:rPr>
        <w:t xml:space="preserve"> It </w:t>
      </w:r>
      <w:r w:rsidR="00405D21">
        <w:rPr>
          <w:lang w:bidi="fa-IR"/>
        </w:rPr>
        <w:t>further</w:t>
      </w:r>
      <w:r w:rsidR="001E45D0">
        <w:rPr>
          <w:lang w:bidi="fa-IR"/>
        </w:rPr>
        <w:t xml:space="preserve"> proposed that construction cost increase</w:t>
      </w:r>
      <w:r w:rsidR="00C85C47">
        <w:rPr>
          <w:lang w:bidi="fa-IR"/>
        </w:rPr>
        <w:t>s</w:t>
      </w:r>
      <w:r w:rsidR="001E45D0">
        <w:rPr>
          <w:lang w:bidi="fa-IR"/>
        </w:rPr>
        <w:t xml:space="preserve"> for the lower end of the market be addressed by introducing specific mechanism</w:t>
      </w:r>
      <w:r w:rsidR="00C85C47">
        <w:rPr>
          <w:lang w:bidi="fa-IR"/>
        </w:rPr>
        <w:t>s</w:t>
      </w:r>
      <w:r w:rsidR="001E45D0">
        <w:rPr>
          <w:lang w:bidi="fa-IR"/>
        </w:rPr>
        <w:t xml:space="preserve"> to enable and support affordable housing inclusion and use of government cross-subsidy.</w:t>
      </w:r>
    </w:p>
    <w:p w14:paraId="58458997" w14:textId="77777777" w:rsidR="008949E5" w:rsidRDefault="00025646" w:rsidP="00B06D40">
      <w:pPr>
        <w:pStyle w:val="BodyText"/>
        <w:rPr>
          <w:lang w:bidi="fa-IR"/>
        </w:rPr>
      </w:pPr>
      <w:r>
        <w:rPr>
          <w:lang w:bidi="fa-IR"/>
        </w:rPr>
        <w:t xml:space="preserve">As such, views on affordability impacts were mixed in the submissions. </w:t>
      </w:r>
      <w:r w:rsidR="00695C1B">
        <w:rPr>
          <w:lang w:bidi="fa-IR"/>
        </w:rPr>
        <w:t>H</w:t>
      </w:r>
      <w:r w:rsidR="008949E5">
        <w:rPr>
          <w:lang w:bidi="fa-IR"/>
        </w:rPr>
        <w:t xml:space="preserve">ousing price and affordability are affected by many factors, of which the construction cost is only one factor. </w:t>
      </w:r>
      <w:r w:rsidR="00012E3E">
        <w:rPr>
          <w:lang w:bidi="fa-IR"/>
        </w:rPr>
        <w:t>I</w:t>
      </w:r>
      <w:r w:rsidR="00695C1B">
        <w:rPr>
          <w:lang w:bidi="fa-IR"/>
        </w:rPr>
        <w:t>n general, i</w:t>
      </w:r>
      <w:r w:rsidR="00012E3E">
        <w:rPr>
          <w:lang w:bidi="fa-IR"/>
        </w:rPr>
        <w:t xml:space="preserve">ncrease in construction cost </w:t>
      </w:r>
      <w:r w:rsidR="00695C1B">
        <w:rPr>
          <w:lang w:bidi="fa-IR"/>
        </w:rPr>
        <w:t>is</w:t>
      </w:r>
      <w:r w:rsidR="00012E3E">
        <w:rPr>
          <w:lang w:bidi="fa-IR"/>
        </w:rPr>
        <w:t xml:space="preserve"> not fully passed </w:t>
      </w:r>
      <w:r w:rsidR="00E6041E">
        <w:rPr>
          <w:lang w:bidi="fa-IR"/>
        </w:rPr>
        <w:t xml:space="preserve">on </w:t>
      </w:r>
      <w:r w:rsidR="00012E3E">
        <w:rPr>
          <w:lang w:bidi="fa-IR"/>
        </w:rPr>
        <w:t xml:space="preserve">to housing price due to demand and supply </w:t>
      </w:r>
      <w:r w:rsidR="00012E3E" w:rsidRPr="00977BE8">
        <w:rPr>
          <w:lang w:bidi="fa-IR"/>
        </w:rPr>
        <w:t>elasticities.</w:t>
      </w:r>
      <w:r w:rsidR="00012E3E">
        <w:rPr>
          <w:lang w:bidi="fa-IR"/>
        </w:rPr>
        <w:t xml:space="preserve"> In metropolitan area</w:t>
      </w:r>
      <w:r w:rsidR="00E6041E">
        <w:rPr>
          <w:lang w:bidi="fa-IR"/>
        </w:rPr>
        <w:t>s</w:t>
      </w:r>
      <w:r w:rsidR="00012E3E">
        <w:rPr>
          <w:lang w:bidi="fa-IR"/>
        </w:rPr>
        <w:t xml:space="preserve"> where land supply is limited and the housing supply is very inelastic, the increase in construction cost would be more likely absorbed by the industry (through reduction in land price premium).</w:t>
      </w:r>
    </w:p>
    <w:p w14:paraId="7EBC4769" w14:textId="77777777" w:rsidR="00695C1B" w:rsidRDefault="00695C1B" w:rsidP="00695C1B">
      <w:pPr>
        <w:pStyle w:val="BodyText"/>
        <w:rPr>
          <w:lang w:bidi="fa-IR"/>
        </w:rPr>
      </w:pPr>
      <w:r>
        <w:rPr>
          <w:lang w:bidi="fa-IR"/>
        </w:rPr>
        <w:t xml:space="preserve">The impact on housing price and affordability are discussed in more detail in the next chapter. </w:t>
      </w:r>
    </w:p>
    <w:p w14:paraId="180C7405" w14:textId="77777777" w:rsidR="00B06D40" w:rsidRDefault="00B06D40" w:rsidP="008749D8">
      <w:pPr>
        <w:pStyle w:val="Heading3"/>
        <w:rPr>
          <w:lang w:bidi="fa-IR"/>
        </w:rPr>
      </w:pPr>
      <w:r>
        <w:rPr>
          <w:lang w:bidi="fa-IR"/>
        </w:rPr>
        <w:t>Loss of architecture richness and diversity</w:t>
      </w:r>
    </w:p>
    <w:p w14:paraId="30CB9472" w14:textId="77777777" w:rsidR="00FE4B98" w:rsidRDefault="00287441" w:rsidP="00B06D40">
      <w:pPr>
        <w:pStyle w:val="BodyText"/>
        <w:rPr>
          <w:lang w:bidi="fa-IR"/>
        </w:rPr>
      </w:pPr>
      <w:r w:rsidRPr="00F11AF4">
        <w:rPr>
          <w:color w:val="000000"/>
        </w:rPr>
        <w:t xml:space="preserve">A number of submissions pointed out that some house designs will be no longer viable with the introduction of proposed accessible </w:t>
      </w:r>
      <w:r>
        <w:rPr>
          <w:color w:val="000000"/>
        </w:rPr>
        <w:t>requirement</w:t>
      </w:r>
      <w:r>
        <w:rPr>
          <w:b/>
          <w:bCs/>
          <w:color w:val="000000"/>
        </w:rPr>
        <w:t>s</w:t>
      </w:r>
      <w:r w:rsidRPr="00F11AF4">
        <w:rPr>
          <w:b/>
          <w:color w:val="000000"/>
        </w:rPr>
        <w:t xml:space="preserve"> </w:t>
      </w:r>
      <w:r w:rsidRPr="00F11AF4">
        <w:rPr>
          <w:color w:val="000000"/>
        </w:rPr>
        <w:t xml:space="preserve">in the </w:t>
      </w:r>
      <w:r>
        <w:rPr>
          <w:color w:val="000000"/>
        </w:rPr>
        <w:t>NCC</w:t>
      </w:r>
      <w:r w:rsidR="00B06D40">
        <w:rPr>
          <w:lang w:bidi="fa-IR"/>
        </w:rPr>
        <w:t>. For example, split level homes, those incorporating mezzanines, pole homes and traditional Queenslanders do not lend themselves to being very accessible by their nature</w:t>
      </w:r>
      <w:r w:rsidR="00387D6C">
        <w:rPr>
          <w:lang w:bidi="fa-IR"/>
        </w:rPr>
        <w:t>.</w:t>
      </w:r>
    </w:p>
    <w:p w14:paraId="0D0AAED6" w14:textId="77777777" w:rsidR="00B06D40" w:rsidRDefault="00FB10E4" w:rsidP="00B06D40">
      <w:pPr>
        <w:pStyle w:val="BodyText"/>
        <w:rPr>
          <w:lang w:bidi="fa-IR"/>
        </w:rPr>
      </w:pPr>
      <w:r>
        <w:rPr>
          <w:lang w:bidi="fa-IR"/>
        </w:rPr>
        <w:t>It should be noted that s</w:t>
      </w:r>
      <w:r w:rsidR="00FE4B98">
        <w:rPr>
          <w:lang w:bidi="fa-IR"/>
        </w:rPr>
        <w:t>ome of these impacts on architecture diversity</w:t>
      </w:r>
      <w:r w:rsidR="00B06D40">
        <w:rPr>
          <w:lang w:bidi="fa-IR"/>
        </w:rPr>
        <w:t xml:space="preserve"> </w:t>
      </w:r>
      <w:r>
        <w:rPr>
          <w:lang w:bidi="fa-IR"/>
        </w:rPr>
        <w:t>could</w:t>
      </w:r>
      <w:r w:rsidR="00FE4B98">
        <w:rPr>
          <w:lang w:bidi="fa-IR"/>
        </w:rPr>
        <w:t xml:space="preserve"> be </w:t>
      </w:r>
      <w:r>
        <w:rPr>
          <w:lang w:bidi="fa-IR"/>
        </w:rPr>
        <w:t xml:space="preserve">avoided or </w:t>
      </w:r>
      <w:r w:rsidR="00421A2F">
        <w:rPr>
          <w:lang w:bidi="fa-IR"/>
        </w:rPr>
        <w:t xml:space="preserve">alleviated through the </w:t>
      </w:r>
      <w:r w:rsidR="00FE4B98">
        <w:rPr>
          <w:lang w:bidi="fa-IR"/>
        </w:rPr>
        <w:t>exemption</w:t>
      </w:r>
      <w:r>
        <w:rPr>
          <w:lang w:bidi="fa-IR"/>
        </w:rPr>
        <w:t xml:space="preserve"> clause</w:t>
      </w:r>
      <w:r w:rsidR="00FE4B98">
        <w:rPr>
          <w:lang w:bidi="fa-IR"/>
        </w:rPr>
        <w:t>s</w:t>
      </w:r>
      <w:r>
        <w:rPr>
          <w:lang w:bidi="fa-IR"/>
        </w:rPr>
        <w:t xml:space="preserve"> in the proposal</w:t>
      </w:r>
      <w:r w:rsidR="00FE4B98">
        <w:rPr>
          <w:lang w:bidi="fa-IR"/>
        </w:rPr>
        <w:t>.</w:t>
      </w:r>
    </w:p>
    <w:p w14:paraId="6DE1FDEA" w14:textId="77777777" w:rsidR="00B06D40" w:rsidRDefault="00B06D40" w:rsidP="00FE4B98">
      <w:pPr>
        <w:pStyle w:val="Heading3"/>
        <w:rPr>
          <w:lang w:bidi="fa-IR"/>
        </w:rPr>
      </w:pPr>
      <w:r>
        <w:rPr>
          <w:lang w:bidi="fa-IR"/>
        </w:rPr>
        <w:lastRenderedPageBreak/>
        <w:t>Other safety concerns</w:t>
      </w:r>
    </w:p>
    <w:p w14:paraId="11D6E05D" w14:textId="77777777" w:rsidR="00B06D40" w:rsidRPr="00F30A57" w:rsidRDefault="004E2D7F" w:rsidP="00B06D40">
      <w:pPr>
        <w:pStyle w:val="BodyText"/>
      </w:pPr>
      <w:r>
        <w:rPr>
          <w:lang w:bidi="fa-IR"/>
        </w:rPr>
        <w:t>Registered Accommodation Association of Victoria (</w:t>
      </w:r>
      <w:r w:rsidR="00B06D40">
        <w:rPr>
          <w:lang w:bidi="fa-IR"/>
        </w:rPr>
        <w:t>RAAV</w:t>
      </w:r>
      <w:r>
        <w:rPr>
          <w:lang w:bidi="fa-IR"/>
        </w:rPr>
        <w:t>)</w:t>
      </w:r>
      <w:r w:rsidR="00B06D40">
        <w:rPr>
          <w:lang w:bidi="fa-IR"/>
        </w:rPr>
        <w:t xml:space="preserve"> </w:t>
      </w:r>
      <w:r w:rsidR="008E6925">
        <w:rPr>
          <w:lang w:bidi="fa-IR"/>
        </w:rPr>
        <w:t>highlighted</w:t>
      </w:r>
      <w:r w:rsidR="00B06D40">
        <w:rPr>
          <w:lang w:bidi="fa-IR"/>
        </w:rPr>
        <w:t xml:space="preserve"> a scenario where a non-wheelchair user uses a wheelchair accessible shower. Because the wheelchair accessible shower has no shower door, excessive water could spray across floor, increasing the risk of slips and falls.</w:t>
      </w:r>
      <w:r w:rsidR="006F557A">
        <w:rPr>
          <w:rStyle w:val="FootnoteReference"/>
          <w:lang w:bidi="fa-IR"/>
        </w:rPr>
        <w:footnoteReference w:id="191"/>
      </w:r>
    </w:p>
    <w:p w14:paraId="7B6A080E" w14:textId="77777777" w:rsidR="00B06D40" w:rsidRDefault="00B06D40" w:rsidP="00B06D40">
      <w:pPr>
        <w:pStyle w:val="Heading2"/>
        <w:numPr>
          <w:ilvl w:val="1"/>
          <w:numId w:val="5"/>
        </w:numPr>
      </w:pPr>
      <w:bookmarkStart w:id="400" w:name="_Toc32321758"/>
      <w:bookmarkStart w:id="401" w:name="_Toc44598446"/>
      <w:bookmarkStart w:id="402" w:name="_Toc45654077"/>
      <w:bookmarkStart w:id="403" w:name="_Toc56174524"/>
      <w:bookmarkStart w:id="404" w:name="_Toc70505111"/>
      <w:r>
        <w:t>Cost-benefit analysis framework</w:t>
      </w:r>
      <w:bookmarkEnd w:id="400"/>
      <w:bookmarkEnd w:id="401"/>
      <w:bookmarkEnd w:id="402"/>
      <w:bookmarkEnd w:id="403"/>
      <w:bookmarkEnd w:id="404"/>
    </w:p>
    <w:p w14:paraId="2DC3EABC" w14:textId="77777777" w:rsidR="00B06D40" w:rsidRDefault="00B06D40" w:rsidP="00B06D40">
      <w:pPr>
        <w:pStyle w:val="BodyText"/>
        <w:rPr>
          <w:lang w:bidi="fa-IR"/>
        </w:rPr>
      </w:pPr>
      <w:r>
        <w:rPr>
          <w:lang w:bidi="fa-IR"/>
        </w:rPr>
        <w:t>Cost</w:t>
      </w:r>
      <w:r>
        <w:rPr>
          <w:lang w:bidi="fa-IR"/>
        </w:rPr>
        <w:noBreakHyphen/>
        <w:t>benefit analysis</w:t>
      </w:r>
      <w:r w:rsidR="003D0C5A">
        <w:rPr>
          <w:lang w:bidi="fa-IR"/>
        </w:rPr>
        <w:t xml:space="preserve"> (CBA)</w:t>
      </w:r>
      <w:r>
        <w:rPr>
          <w:lang w:bidi="fa-IR"/>
        </w:rPr>
        <w:t xml:space="preserve"> is the COAG Guidelines recommended tool for weighing up the costs and benefits of a regulatory (or other) proposal in a systematic way. Where possible, all financial, social and environmental costs and benefits are estimated in a common metric (usually monetary terms) so they can be readily compared. The stream of future costs and benefits are ‘discounted’ back to their present value to ensure costs and benefits incurred in different periods are on a comparable basis.</w:t>
      </w:r>
    </w:p>
    <w:p w14:paraId="50110CA2" w14:textId="77777777" w:rsidR="00B06D40" w:rsidRDefault="00B06D40" w:rsidP="00B06D40">
      <w:pPr>
        <w:pStyle w:val="Heading3"/>
        <w:numPr>
          <w:ilvl w:val="2"/>
          <w:numId w:val="5"/>
        </w:numPr>
        <w:rPr>
          <w:lang w:bidi="fa-IR"/>
        </w:rPr>
      </w:pPr>
      <w:r>
        <w:rPr>
          <w:lang w:bidi="fa-IR"/>
        </w:rPr>
        <w:t>Baseline</w:t>
      </w:r>
    </w:p>
    <w:p w14:paraId="391E70A1" w14:textId="77777777" w:rsidR="00B06D40" w:rsidRDefault="00B06D40" w:rsidP="00B06D40">
      <w:pPr>
        <w:pStyle w:val="BodyText"/>
        <w:rPr>
          <w:lang w:bidi="fa-IR"/>
        </w:rPr>
      </w:pPr>
      <w:r>
        <w:rPr>
          <w:lang w:bidi="fa-IR"/>
        </w:rPr>
        <w:t>A key element of a CBA is establishing a ‘baseline’ against which the costs and benefits of each of the policy options are assessed. A typical baseline is a ‘business</w:t>
      </w:r>
      <w:r>
        <w:rPr>
          <w:lang w:bidi="fa-IR"/>
        </w:rPr>
        <w:noBreakHyphen/>
        <w:t>as</w:t>
      </w:r>
      <w:r>
        <w:rPr>
          <w:lang w:bidi="fa-IR"/>
        </w:rPr>
        <w:noBreakHyphen/>
        <w:t>usual’ case; that is, the scenario without the policy (or policies) in question.</w:t>
      </w:r>
    </w:p>
    <w:p w14:paraId="5FD398CB" w14:textId="77777777" w:rsidR="00B06D40" w:rsidRDefault="00B06D40" w:rsidP="00B06D40">
      <w:pPr>
        <w:pStyle w:val="BodyText"/>
        <w:rPr>
          <w:lang w:bidi="fa-IR"/>
        </w:rPr>
      </w:pPr>
      <w:r>
        <w:rPr>
          <w:lang w:bidi="fa-IR"/>
        </w:rPr>
        <w:t>As set out in chapter </w:t>
      </w:r>
      <w:r w:rsidR="004C7A95">
        <w:rPr>
          <w:lang w:bidi="fa-IR"/>
        </w:rPr>
        <w:t>three</w:t>
      </w:r>
      <w:r>
        <w:rPr>
          <w:lang w:bidi="fa-IR"/>
        </w:rPr>
        <w:t>, there are a significant number of policies aimed at ensuring that older Australians and people with disability have access to housing that meets their needs. The baseline scenario assumes that these policies will continue.</w:t>
      </w:r>
    </w:p>
    <w:p w14:paraId="53998873" w14:textId="77777777" w:rsidR="00B06D40" w:rsidRDefault="00B06D40" w:rsidP="00B06D40">
      <w:pPr>
        <w:pStyle w:val="BodyText"/>
        <w:rPr>
          <w:lang w:bidi="fa-IR"/>
        </w:rPr>
      </w:pPr>
      <w:r>
        <w:rPr>
          <w:lang w:bidi="fa-IR"/>
        </w:rPr>
        <w:t>The CBA is therefore assessing the incremental benefits and costs of each of the proposed options relative to existing policies.</w:t>
      </w:r>
    </w:p>
    <w:p w14:paraId="44148269" w14:textId="77777777" w:rsidR="00B06D40" w:rsidRDefault="003D0C5A" w:rsidP="00B06D40">
      <w:pPr>
        <w:pStyle w:val="BodyText"/>
        <w:rPr>
          <w:lang w:bidi="fa-IR"/>
        </w:rPr>
      </w:pPr>
      <w:r>
        <w:rPr>
          <w:lang w:bidi="fa-IR"/>
        </w:rPr>
        <w:t>With respect to</w:t>
      </w:r>
      <w:r w:rsidR="00B06D40">
        <w:rPr>
          <w:lang w:bidi="fa-IR"/>
        </w:rPr>
        <w:t xml:space="preserve"> construction costs and space requirement</w:t>
      </w:r>
      <w:r w:rsidR="00DD4E2B">
        <w:rPr>
          <w:lang w:bidi="fa-IR"/>
        </w:rPr>
        <w:t>s</w:t>
      </w:r>
      <w:r w:rsidR="00B06D40">
        <w:rPr>
          <w:lang w:bidi="fa-IR"/>
        </w:rPr>
        <w:t xml:space="preserve">, DCWC takes a two-step approach to define the baseline, reflecting the complexity of building type and design. </w:t>
      </w:r>
    </w:p>
    <w:p w14:paraId="61DBDFCB" w14:textId="77777777" w:rsidR="00B06D40" w:rsidRDefault="00B06D40" w:rsidP="00B06D40">
      <w:pPr>
        <w:pStyle w:val="BodyText"/>
        <w:rPr>
          <w:lang w:bidi="fa-IR"/>
        </w:rPr>
      </w:pPr>
      <w:r>
        <w:rPr>
          <w:lang w:bidi="fa-IR"/>
        </w:rPr>
        <w:t xml:space="preserve">First, for each design element, various scenarios are defined to reflect the different baselines. For example, some designs may already be compliant under the baseline, and thus the required changes incur zero cost. Some designs are not compliant in the baseline, and thus require changes to meet the standard, which incur additional construction costs. Furthermore, the compliance may be achieved through different design solutions. For example, to meet the toilet circulation space requirement, a design replacing a side hung door with a cavity sliding door would mean minimal cost, while in some cases this design is not feasible and bigger space is required to meet the standard, </w:t>
      </w:r>
      <w:r w:rsidR="005F701F">
        <w:rPr>
          <w:lang w:bidi="fa-IR"/>
        </w:rPr>
        <w:t>with</w:t>
      </w:r>
      <w:r>
        <w:rPr>
          <w:lang w:bidi="fa-IR"/>
        </w:rPr>
        <w:t xml:space="preserve"> higher costs. For Gold and/or Gold+ standards, more scenarios may be needed to define the baselines for those already me</w:t>
      </w:r>
      <w:r w:rsidR="00692AC1">
        <w:rPr>
          <w:lang w:bidi="fa-IR"/>
        </w:rPr>
        <w:t>e</w:t>
      </w:r>
      <w:r>
        <w:rPr>
          <w:lang w:bidi="fa-IR"/>
        </w:rPr>
        <w:t>t</w:t>
      </w:r>
      <w:r w:rsidR="00692AC1">
        <w:rPr>
          <w:lang w:bidi="fa-IR"/>
        </w:rPr>
        <w:t>ing the</w:t>
      </w:r>
      <w:r>
        <w:rPr>
          <w:lang w:bidi="fa-IR"/>
        </w:rPr>
        <w:t xml:space="preserve"> lower standard. </w:t>
      </w:r>
    </w:p>
    <w:p w14:paraId="4B254CEE" w14:textId="77777777" w:rsidR="00B06D40" w:rsidRDefault="00B06D40" w:rsidP="00B06D40">
      <w:pPr>
        <w:pStyle w:val="BodyText"/>
        <w:rPr>
          <w:lang w:bidi="fa-IR"/>
        </w:rPr>
      </w:pPr>
      <w:r>
        <w:rPr>
          <w:lang w:bidi="fa-IR"/>
        </w:rPr>
        <w:t>In the second step</w:t>
      </w:r>
      <w:r w:rsidR="00A02AC7">
        <w:rPr>
          <w:lang w:bidi="fa-IR"/>
        </w:rPr>
        <w:t>,</w:t>
      </w:r>
      <w:r>
        <w:rPr>
          <w:lang w:bidi="fa-IR"/>
        </w:rPr>
        <w:t xml:space="preserve"> weightings are given to each scenario to define the baseline for </w:t>
      </w:r>
      <w:r w:rsidR="00A02AC7">
        <w:rPr>
          <w:lang w:bidi="fa-IR"/>
        </w:rPr>
        <w:t xml:space="preserve">the </w:t>
      </w:r>
      <w:r>
        <w:rPr>
          <w:lang w:bidi="fa-IR"/>
        </w:rPr>
        <w:t>relevant elements and building types in the market.</w:t>
      </w:r>
    </w:p>
    <w:p w14:paraId="71052CA9" w14:textId="77777777" w:rsidR="00B06D40" w:rsidRDefault="00B06D40" w:rsidP="00B06D40">
      <w:pPr>
        <w:pStyle w:val="Heading3"/>
        <w:numPr>
          <w:ilvl w:val="2"/>
          <w:numId w:val="5"/>
        </w:numPr>
        <w:rPr>
          <w:lang w:bidi="fa-IR"/>
        </w:rPr>
      </w:pPr>
      <w:bookmarkStart w:id="405" w:name="_Ref61363043"/>
      <w:r>
        <w:rPr>
          <w:lang w:bidi="fa-IR"/>
        </w:rPr>
        <w:lastRenderedPageBreak/>
        <w:t>Time periods</w:t>
      </w:r>
      <w:bookmarkEnd w:id="405"/>
    </w:p>
    <w:p w14:paraId="6E8F464E" w14:textId="77777777" w:rsidR="00B06D40" w:rsidRDefault="00B06D40" w:rsidP="00B06D40">
      <w:pPr>
        <w:pStyle w:val="BodyText"/>
        <w:rPr>
          <w:lang w:bidi="fa-IR"/>
        </w:rPr>
      </w:pPr>
      <w:r>
        <w:rPr>
          <w:lang w:bidi="fa-IR"/>
        </w:rPr>
        <w:t xml:space="preserve">According to OBPR, the time period for a CBA needs to be long enough to capture all potential costs and benefits. As </w:t>
      </w:r>
      <w:r w:rsidR="00D579DC">
        <w:rPr>
          <w:lang w:bidi="fa-IR"/>
        </w:rPr>
        <w:t xml:space="preserve">with </w:t>
      </w:r>
      <w:r>
        <w:rPr>
          <w:lang w:bidi="fa-IR"/>
        </w:rPr>
        <w:t>previous ABCB RISs</w:t>
      </w:r>
      <w:r w:rsidR="001C4281">
        <w:rPr>
          <w:lang w:bidi="fa-IR"/>
        </w:rPr>
        <w:t>,</w:t>
      </w:r>
      <w:r>
        <w:rPr>
          <w:lang w:bidi="fa-IR"/>
        </w:rPr>
        <w:t xml:space="preserve"> a 10</w:t>
      </w:r>
      <w:r>
        <w:rPr>
          <w:lang w:bidi="fa-IR"/>
        </w:rPr>
        <w:noBreakHyphen/>
        <w:t>year regulatory period has been adopted. However, as buildings are long</w:t>
      </w:r>
      <w:r>
        <w:rPr>
          <w:lang w:bidi="fa-IR"/>
        </w:rPr>
        <w:noBreakHyphen/>
        <w:t>lived assets, accessible dwellings constructed over the 10</w:t>
      </w:r>
      <w:r>
        <w:rPr>
          <w:lang w:bidi="fa-IR"/>
        </w:rPr>
        <w:noBreakHyphen/>
        <w:t>year regulatory period will provide housing (and therefore benefits) over a much longer period. The benefits of the dwellings built over the 10</w:t>
      </w:r>
      <w:r>
        <w:rPr>
          <w:lang w:bidi="fa-IR"/>
        </w:rPr>
        <w:noBreakHyphen/>
        <w:t>year regulatory period have in the past been assessed over the life of the dwelling (generally assumed to be around 40 years).</w:t>
      </w:r>
    </w:p>
    <w:p w14:paraId="0989025E" w14:textId="77777777" w:rsidR="00B06D40" w:rsidRDefault="00B06D40" w:rsidP="00B06D40">
      <w:pPr>
        <w:pStyle w:val="BodyText"/>
        <w:rPr>
          <w:lang w:bidi="fa-IR"/>
        </w:rPr>
      </w:pPr>
      <w:r>
        <w:rPr>
          <w:lang w:bidi="fa-IR"/>
        </w:rPr>
        <w:t xml:space="preserve">One challenge with this </w:t>
      </w:r>
      <w:r w:rsidR="00A912ED">
        <w:rPr>
          <w:lang w:bidi="fa-IR"/>
        </w:rPr>
        <w:t>approach,</w:t>
      </w:r>
      <w:r>
        <w:rPr>
          <w:lang w:bidi="fa-IR"/>
        </w:rPr>
        <w:t xml:space="preserve"> in the context of the current RIS, is that (one of) </w:t>
      </w:r>
      <w:r w:rsidR="00DE3178">
        <w:rPr>
          <w:lang w:bidi="fa-IR"/>
        </w:rPr>
        <w:t>the</w:t>
      </w:r>
      <w:r>
        <w:rPr>
          <w:lang w:bidi="fa-IR"/>
        </w:rPr>
        <w:t xml:space="preserve"> approach(es) to quantifying benefits assumes that the extent to which the proposal addresses the problem (estimated in chapter </w:t>
      </w:r>
      <w:r w:rsidR="004C7A95">
        <w:rPr>
          <w:lang w:bidi="fa-IR"/>
        </w:rPr>
        <w:t>two</w:t>
      </w:r>
      <w:r>
        <w:rPr>
          <w:lang w:bidi="fa-IR"/>
        </w:rPr>
        <w:t>) is related to the share of accessible dwellings in the overall stock, rather than estimating the benefits for an individual dwelling and then extrapolating across the stock built under the new code. This is because most (but not all) of the benefits depend on whether a person with specific accessibility needs resides in the dwelling.</w:t>
      </w:r>
    </w:p>
    <w:p w14:paraId="682C9681" w14:textId="77777777" w:rsidR="00B06D40" w:rsidRDefault="00DE3178" w:rsidP="00B06D40">
      <w:pPr>
        <w:pStyle w:val="BodyText"/>
        <w:rPr>
          <w:lang w:bidi="fa-IR"/>
        </w:rPr>
      </w:pPr>
      <w:r>
        <w:rPr>
          <w:lang w:bidi="fa-IR"/>
        </w:rPr>
        <w:t>The</w:t>
      </w:r>
      <w:r w:rsidR="00B06D40">
        <w:rPr>
          <w:lang w:bidi="fa-IR"/>
        </w:rPr>
        <w:t xml:space="preserve"> approach therefore involves estimating the additional upfront costs associated with the dwellings constructed over the 10</w:t>
      </w:r>
      <w:r w:rsidR="00B06D40">
        <w:rPr>
          <w:lang w:bidi="fa-IR"/>
        </w:rPr>
        <w:noBreakHyphen/>
        <w:t xml:space="preserve">year regulatory period. The benefits escalate as the share of the stock that is accessible increases. </w:t>
      </w:r>
      <w:r w:rsidR="00CA0061">
        <w:rPr>
          <w:lang w:bidi="fa-IR"/>
        </w:rPr>
        <w:t>T</w:t>
      </w:r>
      <w:r w:rsidR="00B06D40">
        <w:rPr>
          <w:lang w:bidi="fa-IR"/>
        </w:rPr>
        <w:t xml:space="preserve">he benefits </w:t>
      </w:r>
      <w:r w:rsidR="00CA0061">
        <w:rPr>
          <w:lang w:bidi="fa-IR"/>
        </w:rPr>
        <w:t>are then held</w:t>
      </w:r>
      <w:r w:rsidR="00B06D40">
        <w:rPr>
          <w:lang w:bidi="fa-IR"/>
        </w:rPr>
        <w:t xml:space="preserve"> </w:t>
      </w:r>
      <w:r w:rsidR="009029E8">
        <w:rPr>
          <w:lang w:bidi="fa-IR"/>
        </w:rPr>
        <w:t xml:space="preserve">constant </w:t>
      </w:r>
      <w:r w:rsidR="00B06D40">
        <w:rPr>
          <w:lang w:bidi="fa-IR"/>
        </w:rPr>
        <w:t>at the end of the 10</w:t>
      </w:r>
      <w:r w:rsidR="00B06D40">
        <w:rPr>
          <w:lang w:bidi="fa-IR"/>
        </w:rPr>
        <w:noBreakHyphen/>
        <w:t>year regulatory period for an additional 30 years.</w:t>
      </w:r>
    </w:p>
    <w:p w14:paraId="1196C236" w14:textId="77777777" w:rsidR="00B06D40" w:rsidRDefault="00B06D40" w:rsidP="00B06D40">
      <w:pPr>
        <w:pStyle w:val="Heading3"/>
        <w:numPr>
          <w:ilvl w:val="2"/>
          <w:numId w:val="5"/>
        </w:numPr>
        <w:rPr>
          <w:lang w:bidi="fa-IR"/>
        </w:rPr>
      </w:pPr>
      <w:bookmarkStart w:id="406" w:name="_Ref61363052"/>
      <w:r>
        <w:rPr>
          <w:lang w:bidi="fa-IR"/>
        </w:rPr>
        <w:t>Discount rate</w:t>
      </w:r>
      <w:bookmarkEnd w:id="406"/>
    </w:p>
    <w:p w14:paraId="5FA541F2" w14:textId="77777777" w:rsidR="00B06D40" w:rsidRDefault="00B06D40" w:rsidP="00B06D40">
      <w:pPr>
        <w:pStyle w:val="BodyText"/>
        <w:rPr>
          <w:lang w:bidi="fa-IR"/>
        </w:rPr>
      </w:pPr>
      <w:r>
        <w:rPr>
          <w:lang w:bidi="fa-IR"/>
        </w:rPr>
        <w:t>As required by OBPR, all costs and benefits are discounted using an annual real discount rate of 7 per cent.</w:t>
      </w:r>
      <w:r>
        <w:rPr>
          <w:rStyle w:val="FootnoteReference"/>
          <w:lang w:bidi="fa-IR"/>
        </w:rPr>
        <w:footnoteReference w:id="192"/>
      </w:r>
      <w:r>
        <w:rPr>
          <w:lang w:bidi="fa-IR"/>
        </w:rPr>
        <w:t xml:space="preserve"> Alternative discount rates of 3 per cent, 5 per cent and 10 per cent are used in sensitivity testing.</w:t>
      </w:r>
    </w:p>
    <w:p w14:paraId="61DFC0D2" w14:textId="77777777" w:rsidR="00AD1046" w:rsidRDefault="00AD1046" w:rsidP="00AD1046">
      <w:pPr>
        <w:pStyle w:val="Heading3"/>
        <w:rPr>
          <w:lang w:bidi="fa-IR"/>
        </w:rPr>
      </w:pPr>
      <w:r>
        <w:rPr>
          <w:lang w:bidi="fa-IR"/>
        </w:rPr>
        <w:t xml:space="preserve">CBA summary </w:t>
      </w:r>
      <w:r w:rsidR="00120928">
        <w:rPr>
          <w:lang w:bidi="fa-IR"/>
        </w:rPr>
        <w:t>output</w:t>
      </w:r>
      <w:r>
        <w:rPr>
          <w:lang w:bidi="fa-IR"/>
        </w:rPr>
        <w:t>s</w:t>
      </w:r>
    </w:p>
    <w:p w14:paraId="5FF5254F" w14:textId="77777777" w:rsidR="00AD1046" w:rsidRDefault="00AD1046" w:rsidP="00B06D40">
      <w:pPr>
        <w:pStyle w:val="BodyText"/>
        <w:rPr>
          <w:lang w:bidi="fa-IR"/>
        </w:rPr>
      </w:pPr>
      <w:r>
        <w:rPr>
          <w:lang w:bidi="fa-IR"/>
        </w:rPr>
        <w:t xml:space="preserve">Key CBA summary </w:t>
      </w:r>
      <w:r w:rsidR="00120928">
        <w:rPr>
          <w:lang w:bidi="fa-IR"/>
        </w:rPr>
        <w:t>output</w:t>
      </w:r>
      <w:r>
        <w:rPr>
          <w:lang w:bidi="fa-IR"/>
        </w:rPr>
        <w:t>s are as follows</w:t>
      </w:r>
      <w:r w:rsidR="00DE3596">
        <w:rPr>
          <w:lang w:bidi="fa-IR"/>
        </w:rPr>
        <w:t>:</w:t>
      </w:r>
    </w:p>
    <w:p w14:paraId="5AA52C8D" w14:textId="77777777" w:rsidR="00AD1046" w:rsidRDefault="00AD1046" w:rsidP="00AD1046">
      <w:pPr>
        <w:pStyle w:val="ListBullet"/>
        <w:rPr>
          <w:lang w:bidi="fa-IR"/>
        </w:rPr>
      </w:pPr>
      <w:r>
        <w:rPr>
          <w:lang w:bidi="fa-IR"/>
        </w:rPr>
        <w:t xml:space="preserve">Net present value (NPV) — this </w:t>
      </w:r>
      <w:r w:rsidR="00120928">
        <w:rPr>
          <w:lang w:bidi="fa-IR"/>
        </w:rPr>
        <w:t>output</w:t>
      </w:r>
      <w:r>
        <w:rPr>
          <w:lang w:bidi="fa-IR"/>
        </w:rPr>
        <w:t xml:space="preserve"> represents the present value of the future benefits less the present value of future costs.</w:t>
      </w:r>
    </w:p>
    <w:p w14:paraId="0DAB09CC" w14:textId="77777777" w:rsidR="00AD1046" w:rsidRDefault="00AD1046" w:rsidP="003E5ECE">
      <w:pPr>
        <w:pStyle w:val="ListBullet2"/>
        <w:rPr>
          <w:lang w:bidi="fa-IR"/>
        </w:rPr>
      </w:pPr>
      <w:r>
        <w:rPr>
          <w:lang w:bidi="fa-IR"/>
        </w:rPr>
        <w:t xml:space="preserve">An NPV greater than zero indicates that the benefits </w:t>
      </w:r>
      <w:r w:rsidR="003E5ECE">
        <w:rPr>
          <w:lang w:bidi="fa-IR"/>
        </w:rPr>
        <w:t xml:space="preserve">of the proposal </w:t>
      </w:r>
      <w:r>
        <w:rPr>
          <w:lang w:bidi="fa-IR"/>
        </w:rPr>
        <w:t>outweigh the costs.</w:t>
      </w:r>
    </w:p>
    <w:p w14:paraId="75A39226" w14:textId="77777777" w:rsidR="00AD1046" w:rsidRDefault="00AD1046" w:rsidP="003E5ECE">
      <w:pPr>
        <w:pStyle w:val="ListBullet2"/>
        <w:rPr>
          <w:lang w:bidi="fa-IR"/>
        </w:rPr>
      </w:pPr>
      <w:r>
        <w:rPr>
          <w:lang w:bidi="fa-IR"/>
        </w:rPr>
        <w:t xml:space="preserve">An NPV less than zero indicates that the costs </w:t>
      </w:r>
      <w:r w:rsidR="003E5ECE">
        <w:rPr>
          <w:lang w:bidi="fa-IR"/>
        </w:rPr>
        <w:t xml:space="preserve">of the proposal </w:t>
      </w:r>
      <w:r>
        <w:rPr>
          <w:lang w:bidi="fa-IR"/>
        </w:rPr>
        <w:t>outweigh the benefits.</w:t>
      </w:r>
    </w:p>
    <w:p w14:paraId="1F2AC11B" w14:textId="77777777" w:rsidR="003E5ECE" w:rsidRDefault="00AD1046" w:rsidP="00AD1046">
      <w:pPr>
        <w:pStyle w:val="ListBullet"/>
        <w:rPr>
          <w:lang w:bidi="fa-IR"/>
        </w:rPr>
      </w:pPr>
      <w:r>
        <w:rPr>
          <w:lang w:bidi="fa-IR"/>
        </w:rPr>
        <w:t>Benefit</w:t>
      </w:r>
      <w:r>
        <w:rPr>
          <w:lang w:bidi="fa-IR"/>
        </w:rPr>
        <w:noBreakHyphen/>
        <w:t>cost ratio (BCR) — this represents the ratio of future benefits to costs (both in present value terms).</w:t>
      </w:r>
    </w:p>
    <w:p w14:paraId="463EE1AE" w14:textId="77777777" w:rsidR="00AD1046" w:rsidRDefault="00AD1046" w:rsidP="003E5ECE">
      <w:pPr>
        <w:pStyle w:val="ListBullet2"/>
        <w:rPr>
          <w:lang w:bidi="fa-IR"/>
        </w:rPr>
      </w:pPr>
      <w:r>
        <w:rPr>
          <w:lang w:bidi="fa-IR"/>
        </w:rPr>
        <w:t xml:space="preserve">A BCR greater than 1 indicates that the benefits </w:t>
      </w:r>
      <w:r w:rsidR="003E5ECE">
        <w:rPr>
          <w:lang w:bidi="fa-IR"/>
        </w:rPr>
        <w:t xml:space="preserve">of the proposal </w:t>
      </w:r>
      <w:r>
        <w:rPr>
          <w:lang w:bidi="fa-IR"/>
        </w:rPr>
        <w:t>outweigh</w:t>
      </w:r>
      <w:r w:rsidR="003E5ECE">
        <w:rPr>
          <w:lang w:bidi="fa-IR"/>
        </w:rPr>
        <w:t xml:space="preserve"> the costs</w:t>
      </w:r>
    </w:p>
    <w:p w14:paraId="7564A4E1" w14:textId="77777777" w:rsidR="003E5ECE" w:rsidRDefault="003E5ECE" w:rsidP="003E5ECE">
      <w:pPr>
        <w:pStyle w:val="ListBullet2"/>
        <w:rPr>
          <w:lang w:bidi="fa-IR"/>
        </w:rPr>
      </w:pPr>
      <w:r>
        <w:rPr>
          <w:lang w:bidi="fa-IR"/>
        </w:rPr>
        <w:t>A BCR less than 1 indicates that the costs of the proposal outweigh the benefits.</w:t>
      </w:r>
    </w:p>
    <w:p w14:paraId="31162F52" w14:textId="77777777" w:rsidR="00B06D40" w:rsidRDefault="00B06D40" w:rsidP="00B06D40">
      <w:pPr>
        <w:pStyle w:val="Heading2"/>
        <w:numPr>
          <w:ilvl w:val="1"/>
          <w:numId w:val="5"/>
        </w:numPr>
        <w:rPr>
          <w:lang w:bidi="fa-IR"/>
        </w:rPr>
      </w:pPr>
      <w:bookmarkStart w:id="407" w:name="_Toc32321759"/>
      <w:bookmarkStart w:id="408" w:name="_Toc44598447"/>
      <w:bookmarkStart w:id="409" w:name="_Toc45654078"/>
      <w:bookmarkStart w:id="410" w:name="_Toc56174525"/>
      <w:bookmarkStart w:id="411" w:name="_Toc70505112"/>
      <w:r>
        <w:rPr>
          <w:lang w:bidi="fa-IR"/>
        </w:rPr>
        <w:lastRenderedPageBreak/>
        <w:t>Projected dwelling construction</w:t>
      </w:r>
      <w:bookmarkEnd w:id="407"/>
      <w:bookmarkEnd w:id="408"/>
      <w:bookmarkEnd w:id="409"/>
      <w:bookmarkEnd w:id="410"/>
      <w:bookmarkEnd w:id="411"/>
    </w:p>
    <w:p w14:paraId="3B221FB3" w14:textId="77777777" w:rsidR="00B06D40" w:rsidRDefault="00B06D40" w:rsidP="00B06D40">
      <w:pPr>
        <w:pStyle w:val="BodyText"/>
        <w:rPr>
          <w:rStyle w:val="DraftingNote"/>
          <w:b w:val="0"/>
          <w:color w:val="auto"/>
          <w:u w:val="none"/>
        </w:rPr>
      </w:pPr>
      <w:r>
        <w:rPr>
          <w:rStyle w:val="DraftingNote"/>
          <w:b w:val="0"/>
          <w:color w:val="auto"/>
          <w:u w:val="none"/>
        </w:rPr>
        <w:t xml:space="preserve">A key driver of both benefits and costs is the level of new dwelling construction over the regulatory period. </w:t>
      </w:r>
      <w:r w:rsidRPr="00C65F4C">
        <w:rPr>
          <w:rStyle w:val="DraftingNote"/>
          <w:b w:val="0"/>
          <w:color w:val="auto"/>
          <w:u w:val="none"/>
        </w:rPr>
        <w:t>CIE</w:t>
      </w:r>
      <w:r>
        <w:rPr>
          <w:rStyle w:val="DraftingNote"/>
          <w:b w:val="0"/>
          <w:color w:val="auto"/>
          <w:u w:val="none"/>
        </w:rPr>
        <w:t>’s</w:t>
      </w:r>
      <w:r w:rsidRPr="00C65F4C">
        <w:rPr>
          <w:rStyle w:val="DraftingNote"/>
          <w:b w:val="0"/>
          <w:color w:val="auto"/>
          <w:u w:val="none"/>
        </w:rPr>
        <w:t xml:space="preserve"> dwelling projection sees completions </w:t>
      </w:r>
      <w:r>
        <w:rPr>
          <w:rStyle w:val="DraftingNote"/>
          <w:b w:val="0"/>
          <w:color w:val="auto"/>
          <w:u w:val="none"/>
        </w:rPr>
        <w:t>declining gradually from just above 200 000 in 2022 to around 182 000 by 2031 (chart </w:t>
      </w:r>
      <w:r w:rsidR="00A61853">
        <w:rPr>
          <w:rStyle w:val="DraftingNote"/>
          <w:b w:val="0"/>
          <w:color w:val="auto"/>
          <w:u w:val="none"/>
        </w:rPr>
        <w:t>5.</w:t>
      </w:r>
      <w:r w:rsidR="00C65C3A">
        <w:rPr>
          <w:rStyle w:val="DraftingNote"/>
          <w:b w:val="0"/>
          <w:color w:val="auto"/>
          <w:u w:val="none"/>
        </w:rPr>
        <w:t>2</w:t>
      </w:r>
      <w:r>
        <w:rPr>
          <w:rStyle w:val="DraftingNote"/>
          <w:b w:val="0"/>
          <w:color w:val="auto"/>
          <w:u w:val="none"/>
        </w:rPr>
        <w:t xml:space="preserve">). </w:t>
      </w:r>
    </w:p>
    <w:p w14:paraId="2726F7BC" w14:textId="168714BC" w:rsidR="00B06D40" w:rsidRDefault="00490F02" w:rsidP="00B06D40">
      <w:pPr>
        <w:pStyle w:val="Caption"/>
      </w:pPr>
      <w:bookmarkStart w:id="412" w:name="_Toc32321822"/>
      <w:bookmarkStart w:id="413" w:name="_Toc44598519"/>
      <w:bookmarkStart w:id="414" w:name="_Toc45654150"/>
      <w:bookmarkStart w:id="415" w:name="_Toc56174599"/>
      <w:bookmarkStart w:id="416" w:name="_Toc57643646"/>
      <w:bookmarkStart w:id="417" w:name="_Toc70505564"/>
      <w:r>
        <w:t>5.2</w:t>
      </w:r>
      <w:r w:rsidR="00B06D40" w:rsidRPr="00695C93">
        <w:tab/>
      </w:r>
      <w:r w:rsidR="00B06D40">
        <w:t>Projections for dwelling completions in Australia</w:t>
      </w:r>
      <w:bookmarkEnd w:id="412"/>
      <w:bookmarkEnd w:id="413"/>
      <w:bookmarkEnd w:id="414"/>
      <w:bookmarkEnd w:id="415"/>
      <w:bookmarkEnd w:id="416"/>
      <w:bookmarkEnd w:id="417"/>
    </w:p>
    <w:p w14:paraId="1CFABBBE" w14:textId="77777777" w:rsidR="00B06D40" w:rsidRDefault="00B06D40" w:rsidP="00B06D40">
      <w:pPr>
        <w:pStyle w:val="Subtitlebox"/>
      </w:pPr>
      <w:r w:rsidRPr="0035374E">
        <w:rPr>
          <w:noProof/>
        </w:rPr>
        <w:drawing>
          <wp:inline distT="0" distB="0" distL="0" distR="0" wp14:anchorId="10250851" wp14:editId="77BCD766">
            <wp:extent cx="5040000" cy="2563402"/>
            <wp:effectExtent l="57150" t="57150" r="65405" b="66040"/>
            <wp:docPr id="51" name="Picture 51" descr="This graph shows a gradual decline in new dwelling construction over the next 10 years. The most significant decline is in detached houses." title="Chart 5.2: Projections for dwelling comple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913"/>
                    <a:stretch/>
                  </pic:blipFill>
                  <pic:spPr bwMode="auto">
                    <a:xfrm>
                      <a:off x="0" y="0"/>
                      <a:ext cx="5040000" cy="2563402"/>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A0136B2" w14:textId="77777777" w:rsidR="00B06D40" w:rsidRDefault="00B06D40" w:rsidP="0030289E">
      <w:pPr>
        <w:pStyle w:val="Source"/>
        <w:spacing w:before="0"/>
      </w:pPr>
      <w:r>
        <w:rPr>
          <w:i/>
        </w:rPr>
        <w:t>Data source</w:t>
      </w:r>
      <w:r w:rsidRPr="00A67576">
        <w:rPr>
          <w:i/>
        </w:rPr>
        <w:t>:</w:t>
      </w:r>
      <w:r>
        <w:t xml:space="preserve"> CIE.</w:t>
      </w:r>
    </w:p>
    <w:p w14:paraId="7B9C4039" w14:textId="77777777" w:rsidR="00B06D40" w:rsidRDefault="00B06D40" w:rsidP="00B06D40">
      <w:pPr>
        <w:pStyle w:val="BodyText"/>
        <w:rPr>
          <w:lang w:eastAsia="en-US"/>
        </w:rPr>
      </w:pPr>
      <w:r>
        <w:rPr>
          <w:rStyle w:val="DraftingNote"/>
          <w:b w:val="0"/>
          <w:color w:val="auto"/>
          <w:u w:val="none"/>
        </w:rPr>
        <w:t>The underlying drivers of completions are population growth, the ratio of the dwelling stock to population and a demolition rate</w:t>
      </w:r>
      <w:r w:rsidRPr="00347F8F">
        <w:rPr>
          <w:rStyle w:val="DraftingNote"/>
          <w:b w:val="0"/>
          <w:color w:val="auto"/>
          <w:u w:val="none"/>
        </w:rPr>
        <w:t>.</w:t>
      </w:r>
      <w:r>
        <w:rPr>
          <w:rStyle w:val="DraftingNote"/>
          <w:b w:val="0"/>
          <w:color w:val="auto"/>
          <w:u w:val="none"/>
        </w:rPr>
        <w:t xml:space="preserve"> The ratio of the dwelling stock to population has been derived from state government projections for population and dwellings, and aggregated to the national level. </w:t>
      </w:r>
    </w:p>
    <w:p w14:paraId="3458CAB0" w14:textId="77777777" w:rsidR="00B06D40" w:rsidRDefault="00B06D40" w:rsidP="00B06D40">
      <w:pPr>
        <w:pStyle w:val="BodyText"/>
        <w:rPr>
          <w:lang w:bidi="fa-IR"/>
        </w:rPr>
      </w:pPr>
      <w:r>
        <w:rPr>
          <w:lang w:bidi="fa-IR"/>
        </w:rPr>
        <w:t>New dwellings constructed under a revised NCC would become an increasing share of the stock over time (chart </w:t>
      </w:r>
      <w:r w:rsidR="002471BB">
        <w:rPr>
          <w:lang w:bidi="fa-IR"/>
        </w:rPr>
        <w:t>5.</w:t>
      </w:r>
      <w:r w:rsidR="00C65C3A">
        <w:rPr>
          <w:lang w:bidi="fa-IR"/>
        </w:rPr>
        <w:t>3</w:t>
      </w:r>
      <w:r>
        <w:rPr>
          <w:lang w:bidi="fa-IR"/>
        </w:rPr>
        <w:t>). The share of accessible housing will increase accordingly.</w:t>
      </w:r>
    </w:p>
    <w:p w14:paraId="4D647EB4" w14:textId="1F1F6364" w:rsidR="00B06D40" w:rsidRDefault="00490F02" w:rsidP="00B06D40">
      <w:pPr>
        <w:pStyle w:val="Caption"/>
      </w:pPr>
      <w:bookmarkStart w:id="418" w:name="_Toc32321823"/>
      <w:bookmarkStart w:id="419" w:name="_Toc44598520"/>
      <w:bookmarkStart w:id="420" w:name="_Toc45654151"/>
      <w:bookmarkStart w:id="421" w:name="_Toc56174600"/>
      <w:bookmarkStart w:id="422" w:name="_Toc57643647"/>
      <w:bookmarkStart w:id="423" w:name="_Toc70505565"/>
      <w:r>
        <w:lastRenderedPageBreak/>
        <w:t>5.3</w:t>
      </w:r>
      <w:r w:rsidR="00B06D40" w:rsidRPr="0018379D">
        <w:tab/>
        <w:t xml:space="preserve">Share of the dwelling stock </w:t>
      </w:r>
      <w:r w:rsidR="00B06D40">
        <w:t xml:space="preserve">(by type) </w:t>
      </w:r>
      <w:r w:rsidR="00B06D40" w:rsidRPr="0018379D">
        <w:t xml:space="preserve">constructed under the new </w:t>
      </w:r>
      <w:r w:rsidR="00B06D40">
        <w:t>C</w:t>
      </w:r>
      <w:r w:rsidR="00B06D40" w:rsidRPr="0018379D">
        <w:t>ode</w:t>
      </w:r>
      <w:bookmarkEnd w:id="418"/>
      <w:bookmarkEnd w:id="419"/>
      <w:bookmarkEnd w:id="420"/>
      <w:bookmarkEnd w:id="421"/>
      <w:bookmarkEnd w:id="422"/>
      <w:bookmarkEnd w:id="423"/>
    </w:p>
    <w:p w14:paraId="235DA525" w14:textId="77777777" w:rsidR="00B06D40" w:rsidRDefault="00B06D40" w:rsidP="00B06D40">
      <w:pPr>
        <w:pStyle w:val="Subtitlebox"/>
      </w:pPr>
      <w:r w:rsidRPr="00ED598D">
        <w:rPr>
          <w:noProof/>
        </w:rPr>
        <w:drawing>
          <wp:inline distT="0" distB="0" distL="0" distR="0" wp14:anchorId="22A06B4D" wp14:editId="7F413D90">
            <wp:extent cx="4861560" cy="2383155"/>
            <wp:effectExtent l="57150" t="57150" r="53340" b="55245"/>
            <wp:docPr id="48" name="Picture 48" descr="This graph shows the types of new dwellings (detached, townhouse and apartment) as a percentage of stock over the next 10 years. New dwellings constructed under a revised NCC would become an increasing share of the stock over time - about 15% of total dwellings by 2031." title="Chart 5.3: Share of the dwelling stock (by type) constructed under the new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398" r="3553"/>
                    <a:stretch/>
                  </pic:blipFill>
                  <pic:spPr bwMode="auto">
                    <a:xfrm>
                      <a:off x="0" y="0"/>
                      <a:ext cx="4861560" cy="238315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A95498B" w14:textId="77777777" w:rsidR="00B06D40" w:rsidRPr="006A452A" w:rsidRDefault="00B06D40" w:rsidP="00B06D40">
      <w:pPr>
        <w:pStyle w:val="Source"/>
        <w:rPr>
          <w:iCs/>
        </w:rPr>
      </w:pPr>
      <w:r w:rsidRPr="006A452A">
        <w:rPr>
          <w:iCs/>
        </w:rPr>
        <w:t>Data source: CIE estimates.</w:t>
      </w:r>
    </w:p>
    <w:p w14:paraId="2C332FD1" w14:textId="77777777" w:rsidR="004E736E" w:rsidRPr="00007EE1" w:rsidRDefault="004E736E" w:rsidP="005B0289">
      <w:pPr>
        <w:pStyle w:val="Heading1"/>
      </w:pPr>
      <w:bookmarkStart w:id="424" w:name="_Toc32321760"/>
      <w:bookmarkStart w:id="425" w:name="_Toc44598448"/>
      <w:bookmarkStart w:id="426" w:name="_Toc45654079"/>
      <w:bookmarkStart w:id="427" w:name="_Ref56616057"/>
      <w:bookmarkStart w:id="428" w:name="_Toc70505113"/>
      <w:r w:rsidRPr="00007EE1">
        <w:lastRenderedPageBreak/>
        <w:t>Estimating costs</w:t>
      </w:r>
      <w:bookmarkEnd w:id="424"/>
      <w:bookmarkEnd w:id="425"/>
      <w:bookmarkEnd w:id="426"/>
      <w:bookmarkEnd w:id="427"/>
      <w:bookmarkEnd w:id="428"/>
    </w:p>
    <w:p w14:paraId="42BE21FE" w14:textId="77777777" w:rsidR="00853897" w:rsidRDefault="008A298E" w:rsidP="00853897">
      <w:pPr>
        <w:pStyle w:val="BodyText"/>
      </w:pPr>
      <w:r w:rsidRPr="00F11742">
        <w:t xml:space="preserve">This chapter </w:t>
      </w:r>
      <w:r w:rsidR="00B226FA">
        <w:t xml:space="preserve">presents the </w:t>
      </w:r>
      <w:r w:rsidR="00853897">
        <w:t>estimate</w:t>
      </w:r>
      <w:r w:rsidR="00B226FA">
        <w:t>s</w:t>
      </w:r>
      <w:r w:rsidR="00853897">
        <w:t xml:space="preserve"> </w:t>
      </w:r>
      <w:r w:rsidR="00B226FA">
        <w:t xml:space="preserve">of </w:t>
      </w:r>
      <w:r w:rsidR="00853897">
        <w:t>the costs associated with each of the options.</w:t>
      </w:r>
    </w:p>
    <w:p w14:paraId="132AE88A" w14:textId="77777777" w:rsidR="00853897" w:rsidRDefault="00853897" w:rsidP="00853897">
      <w:pPr>
        <w:pStyle w:val="Heading2"/>
        <w:numPr>
          <w:ilvl w:val="1"/>
          <w:numId w:val="5"/>
        </w:numPr>
      </w:pPr>
      <w:bookmarkStart w:id="429" w:name="_Toc32321761"/>
      <w:bookmarkStart w:id="430" w:name="_Toc44598449"/>
      <w:bookmarkStart w:id="431" w:name="_Toc45654080"/>
      <w:bookmarkStart w:id="432" w:name="_Toc70505114"/>
      <w:r>
        <w:t>Additional cost of complying with proposed standards</w:t>
      </w:r>
      <w:bookmarkEnd w:id="429"/>
      <w:bookmarkEnd w:id="430"/>
      <w:bookmarkEnd w:id="431"/>
      <w:bookmarkEnd w:id="432"/>
    </w:p>
    <w:p w14:paraId="7027B2BF" w14:textId="77777777" w:rsidR="00853897" w:rsidRDefault="00853897" w:rsidP="00853897">
      <w:pPr>
        <w:pStyle w:val="BodyText"/>
      </w:pPr>
      <w:r>
        <w:t xml:space="preserve">The impacts of the proposed standards on construction costs </w:t>
      </w:r>
      <w:r w:rsidR="008A298E" w:rsidRPr="00F11742">
        <w:t xml:space="preserve">will </w:t>
      </w:r>
      <w:r>
        <w:t xml:space="preserve">vary across dwellings based on factors such as: the type of dwelling, </w:t>
      </w:r>
      <w:r w:rsidRPr="00D130F6">
        <w:t>design choices</w:t>
      </w:r>
      <w:r>
        <w:t xml:space="preserve">, the </w:t>
      </w:r>
      <w:r w:rsidRPr="00D130F6">
        <w:t>approach to achieving compliance</w:t>
      </w:r>
      <w:r>
        <w:t>, the size and topography of the lot.</w:t>
      </w:r>
    </w:p>
    <w:p w14:paraId="3E014791" w14:textId="76B931C7" w:rsidR="00853897" w:rsidRDefault="00853897" w:rsidP="00853897">
      <w:pPr>
        <w:pStyle w:val="BodyText"/>
      </w:pPr>
      <w:r>
        <w:t xml:space="preserve">The </w:t>
      </w:r>
      <w:r w:rsidR="008A298E" w:rsidRPr="00F11742">
        <w:t xml:space="preserve">additional </w:t>
      </w:r>
      <w:r>
        <w:t>costs associated with complying with the proposed standards (including both additional construction costs and the opportunity cost of space) are estimated in Table </w:t>
      </w:r>
      <w:r w:rsidR="00DD5C35">
        <w:rPr>
          <w:noProof/>
        </w:rPr>
        <w:t>6.1.</w:t>
      </w:r>
    </w:p>
    <w:p w14:paraId="52235B05" w14:textId="6DB8A3A4" w:rsidR="00853897" w:rsidRDefault="00853897" w:rsidP="00853897">
      <w:pPr>
        <w:pStyle w:val="ListBullet"/>
        <w:numPr>
          <w:ilvl w:val="0"/>
          <w:numId w:val="16"/>
        </w:numPr>
        <w:spacing w:before="120"/>
      </w:pPr>
      <w:r>
        <w:t xml:space="preserve">DCWC, quantity surveyor, </w:t>
      </w:r>
      <w:r w:rsidR="009720AD">
        <w:t xml:space="preserve">has </w:t>
      </w:r>
      <w:r>
        <w:t>provided estimates of the additional construction costs of incorporating the proposed changes to the NCC into new builds.</w:t>
      </w:r>
      <w:r w:rsidR="00B87F9A">
        <w:rPr>
          <w:rStyle w:val="FootnoteReference"/>
        </w:rPr>
        <w:footnoteReference w:id="193"/>
      </w:r>
      <w:r>
        <w:t xml:space="preserve"> </w:t>
      </w:r>
      <w:r w:rsidR="009D4CFA">
        <w:t>DCWC costing is ‘a weighted cost that provides an indication of likely average cost impact on each architype</w:t>
      </w:r>
      <w:r w:rsidR="002354D6">
        <w:t xml:space="preserve"> [sic]</w:t>
      </w:r>
      <w:r w:rsidR="009D4CFA">
        <w:t xml:space="preserve">, averaged across the population of non-exempt dwellings constructed’. </w:t>
      </w:r>
      <w:r>
        <w:t>A summary of these costs is provided in the construction cost column of Table </w:t>
      </w:r>
      <w:r w:rsidR="00DD5C35">
        <w:t>6.1</w:t>
      </w:r>
      <w:r>
        <w:t>.</w:t>
      </w:r>
    </w:p>
    <w:p w14:paraId="3167A463" w14:textId="77777777" w:rsidR="008E697D" w:rsidRDefault="008E697D" w:rsidP="00853897">
      <w:pPr>
        <w:pStyle w:val="ListBullet"/>
        <w:numPr>
          <w:ilvl w:val="0"/>
          <w:numId w:val="16"/>
        </w:numPr>
        <w:spacing w:before="120"/>
      </w:pPr>
      <w:r>
        <w:t>DCWC’s cost estimates</w:t>
      </w:r>
      <w:r w:rsidR="004923B1">
        <w:t xml:space="preserve"> are based on construction costs in Canberra. </w:t>
      </w:r>
      <w:r w:rsidR="00064DDF">
        <w:t>C</w:t>
      </w:r>
      <w:r w:rsidR="004923B1">
        <w:t>onstruction costs in Canberra tend to be higher than the national average.</w:t>
      </w:r>
      <w:r w:rsidR="00064DDF">
        <w:t xml:space="preserve"> Rawlinson’s </w:t>
      </w:r>
      <w:r w:rsidR="00330BE7">
        <w:t>Australian Construction Handbook (2019) provides regional cost ind</w:t>
      </w:r>
      <w:r w:rsidR="00651197">
        <w:t>ic</w:t>
      </w:r>
      <w:r w:rsidR="00330BE7">
        <w:t>es for each state/territory capital and for regional areas. Weighting each capital city cost index by the number of dwelling completions in each state during 2018</w:t>
      </w:r>
      <w:r w:rsidR="00330BE7">
        <w:noBreakHyphen/>
        <w:t>19 suggests that construction costs in Canberra are around 5.4 per cent higher than the national average (table 6.2). So that the cost estimates reflect the national average cost, CIE has adjusted DCWC’s construction cost estimates accordingly.</w:t>
      </w:r>
    </w:p>
    <w:p w14:paraId="701A2E12" w14:textId="7F2AC81F" w:rsidR="00853897" w:rsidRDefault="00853897" w:rsidP="00853897">
      <w:pPr>
        <w:pStyle w:val="ListBullet"/>
        <w:numPr>
          <w:ilvl w:val="0"/>
          <w:numId w:val="16"/>
        </w:numPr>
        <w:spacing w:before="120"/>
      </w:pPr>
      <w:r>
        <w:t>DCWC ha</w:t>
      </w:r>
      <w:r w:rsidR="003D567A">
        <w:t>s</w:t>
      </w:r>
      <w:r>
        <w:t xml:space="preserve"> also provided an estimate of impact</w:t>
      </w:r>
      <w:r w:rsidR="006C2309">
        <w:t xml:space="preserve">s </w:t>
      </w:r>
      <w:r>
        <w:t xml:space="preserve">on space of the </w:t>
      </w:r>
      <w:r w:rsidR="00681572">
        <w:t xml:space="preserve">proposed </w:t>
      </w:r>
      <w:r>
        <w:t xml:space="preserve">changes (for example, where </w:t>
      </w:r>
      <w:r w:rsidR="006C2309">
        <w:t xml:space="preserve">the size of </w:t>
      </w:r>
      <w:r>
        <w:t>new homes need</w:t>
      </w:r>
      <w:r w:rsidR="009720AD">
        <w:t>s</w:t>
      </w:r>
      <w:r>
        <w:t xml:space="preserve"> to expand to incorporate the changes)</w:t>
      </w:r>
      <w:r w:rsidR="00BD1797">
        <w:t>, see table 6.</w:t>
      </w:r>
      <w:r w:rsidR="00C65C3A">
        <w:t xml:space="preserve">5 </w:t>
      </w:r>
      <w:r w:rsidR="00BD1797">
        <w:t>below</w:t>
      </w:r>
      <w:r>
        <w:t xml:space="preserve">. </w:t>
      </w:r>
      <w:r w:rsidRPr="00D130F6">
        <w:t xml:space="preserve">The net effect of space is the opportunity cost </w:t>
      </w:r>
      <w:r>
        <w:t xml:space="preserve">of </w:t>
      </w:r>
      <w:r w:rsidRPr="00D130F6">
        <w:t>the additional land required (developers have to buy more land for each new dwelling they create), offset by the value the new home-owner places on the additional space</w:t>
      </w:r>
      <w:r w:rsidR="00BD1797">
        <w:t xml:space="preserve"> (table 6.</w:t>
      </w:r>
      <w:r w:rsidR="00C65C3A">
        <w:t>8</w:t>
      </w:r>
      <w:r w:rsidR="00BD1797">
        <w:t>)</w:t>
      </w:r>
      <w:r w:rsidRPr="00D130F6">
        <w:t>.</w:t>
      </w:r>
      <w:r>
        <w:t xml:space="preserve"> </w:t>
      </w:r>
      <w:r w:rsidR="00A03CAC">
        <w:t>The</w:t>
      </w:r>
      <w:r>
        <w:t xml:space="preserve"> assumptions for the net effect of these impacts are noted </w:t>
      </w:r>
      <w:r w:rsidRPr="00BD1797">
        <w:t>in table </w:t>
      </w:r>
      <w:r w:rsidR="00DD5C35">
        <w:t>6.1</w:t>
      </w:r>
      <w:r w:rsidRPr="00BD1797">
        <w:t>.</w:t>
      </w:r>
    </w:p>
    <w:p w14:paraId="37666D03" w14:textId="5423037E" w:rsidR="00853897" w:rsidRDefault="00853897" w:rsidP="00853897">
      <w:pPr>
        <w:pStyle w:val="BodyText"/>
      </w:pPr>
      <w:r>
        <w:t xml:space="preserve">The summary cost results for the three building types in table </w:t>
      </w:r>
      <w:r w:rsidR="00DD5C35">
        <w:t xml:space="preserve">6.1 </w:t>
      </w:r>
      <w:r>
        <w:t xml:space="preserve">are aggregated from DCWC’s cost estimates for five different dwelling </w:t>
      </w:r>
      <w:r w:rsidR="00B91833">
        <w:t xml:space="preserve">types </w:t>
      </w:r>
      <w:r w:rsidR="002A4D70">
        <w:t>(</w:t>
      </w:r>
      <w:r>
        <w:t>archetypes</w:t>
      </w:r>
      <w:r w:rsidR="002A4D70">
        <w:t>)</w:t>
      </w:r>
      <w:r>
        <w:t xml:space="preserve"> using the following shares:</w:t>
      </w:r>
    </w:p>
    <w:p w14:paraId="6F70EB52" w14:textId="77777777" w:rsidR="00853897" w:rsidRDefault="00853897" w:rsidP="00853897">
      <w:pPr>
        <w:pStyle w:val="ListBullet"/>
        <w:numPr>
          <w:ilvl w:val="0"/>
          <w:numId w:val="16"/>
        </w:numPr>
      </w:pPr>
      <w:r>
        <w:lastRenderedPageBreak/>
        <w:t>Apartment buildings consist of 8 per cent of walk-up blocks and 92 per cent of 4+ storey building</w:t>
      </w:r>
      <w:r w:rsidR="006C2309">
        <w:t>s</w:t>
      </w:r>
      <w:r>
        <w:t xml:space="preserve"> (which would </w:t>
      </w:r>
      <w:r w:rsidR="00421A2F">
        <w:t>typically include</w:t>
      </w:r>
      <w:r>
        <w:t xml:space="preserve"> a lift), according to building approval data from ABS (Cat. 8731)</w:t>
      </w:r>
      <w:r w:rsidR="0030289E">
        <w:t>,</w:t>
      </w:r>
      <w:r>
        <w:t xml:space="preserve"> and</w:t>
      </w:r>
    </w:p>
    <w:p w14:paraId="5A00A3D2" w14:textId="77777777" w:rsidR="00853897" w:rsidRDefault="00853897" w:rsidP="00853897">
      <w:pPr>
        <w:pStyle w:val="ListBullet"/>
        <w:numPr>
          <w:ilvl w:val="0"/>
          <w:numId w:val="16"/>
        </w:numPr>
      </w:pPr>
      <w:r>
        <w:t>Detached houses consist of 57 per cent of volume builds and 43 per cent of custom builds according to DCWC.</w:t>
      </w:r>
    </w:p>
    <w:p w14:paraId="65999304" w14:textId="69278393" w:rsidR="00853897" w:rsidRDefault="00490F02" w:rsidP="00853897">
      <w:pPr>
        <w:pStyle w:val="Caption"/>
      </w:pPr>
      <w:bookmarkStart w:id="433" w:name="_Toc32321824"/>
      <w:bookmarkStart w:id="434" w:name="_Toc44598521"/>
      <w:bookmarkStart w:id="435" w:name="_Toc45654152"/>
      <w:bookmarkStart w:id="436" w:name="_Toc70505566"/>
      <w:r>
        <w:t>6.1</w:t>
      </w:r>
      <w:r w:rsidR="00853897" w:rsidRPr="00135BD9">
        <w:tab/>
        <w:t>Estimated additional compliance costs</w:t>
      </w:r>
      <w:bookmarkEnd w:id="433"/>
      <w:bookmarkEnd w:id="434"/>
      <w:bookmarkEnd w:id="435"/>
      <w:bookmarkEnd w:id="436"/>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 Estimated additional compliance costs"/>
        <w:tblDescription w:val="The additional costs associated with complying with the proposed standards (including both additional construction costs and the opportunity cost of space) are estimated in Table 6.1. The table is divided into Non-exemption properties and Exempt properties, with Options 1 (Silver), 2 (Gold) and 3 (Gold+) for each type. Column 2 lists the dwelling type (separate house, townhouse or apartment). Column 3 lists the estimated additional construction costs per dwelling to comply with the propsed changes to the NCC (based on building costs in Canberra). Column 4 lists an adjusted national average cost per dwelling, allowing for higher prices in Canberra compared to the national average. Column 5 lists the net opportunity cost of space per dwelling. Column 6 is a total of columns 4 and 5. Total additional compliance costs range from $3,874 to $37,742 for non-exemption properties. For exempt properties the range is between $3.247 and $19,451."/>
      </w:tblPr>
      <w:tblGrid>
        <w:gridCol w:w="1418"/>
        <w:gridCol w:w="1417"/>
        <w:gridCol w:w="1134"/>
        <w:gridCol w:w="1173"/>
        <w:gridCol w:w="1398"/>
        <w:gridCol w:w="1398"/>
      </w:tblGrid>
      <w:tr w:rsidR="008E697D" w14:paraId="1E6EC5F7" w14:textId="77777777" w:rsidTr="00FC0952">
        <w:trPr>
          <w:trHeight w:val="68"/>
          <w:tblHeader/>
        </w:trPr>
        <w:tc>
          <w:tcPr>
            <w:tcW w:w="1418" w:type="dxa"/>
            <w:tcBorders>
              <w:bottom w:val="single" w:sz="8" w:space="0" w:color="FFFFFF" w:themeColor="background1"/>
            </w:tcBorders>
            <w:shd w:val="clear" w:color="auto" w:fill="6F6652" w:themeFill="accent5"/>
          </w:tcPr>
          <w:p w14:paraId="4FA9F797" w14:textId="77777777" w:rsidR="008E697D" w:rsidRDefault="008E697D" w:rsidP="002856A0">
            <w:pPr>
              <w:pStyle w:val="TableDataColumnHeading"/>
              <w:jc w:val="left"/>
              <w:rPr>
                <w:lang w:val="en-GB"/>
              </w:rPr>
            </w:pPr>
            <w:r>
              <w:rPr>
                <w:lang w:val="en-GB"/>
              </w:rPr>
              <w:t>Option</w:t>
            </w:r>
          </w:p>
        </w:tc>
        <w:tc>
          <w:tcPr>
            <w:tcW w:w="1417" w:type="dxa"/>
            <w:tcBorders>
              <w:bottom w:val="single" w:sz="8" w:space="0" w:color="FFFFFF" w:themeColor="background1"/>
            </w:tcBorders>
            <w:shd w:val="clear" w:color="auto" w:fill="6F6652" w:themeFill="accent5"/>
          </w:tcPr>
          <w:p w14:paraId="468C2E5A" w14:textId="77777777" w:rsidR="008E697D" w:rsidRDefault="008E697D" w:rsidP="002856A0">
            <w:pPr>
              <w:pStyle w:val="TableDataColumnHeading"/>
              <w:jc w:val="left"/>
              <w:rPr>
                <w:lang w:val="en-GB"/>
              </w:rPr>
            </w:pPr>
            <w:r>
              <w:rPr>
                <w:lang w:val="en-GB"/>
              </w:rPr>
              <w:t>Dwelling</w:t>
            </w:r>
          </w:p>
        </w:tc>
        <w:tc>
          <w:tcPr>
            <w:tcW w:w="1134" w:type="dxa"/>
            <w:tcBorders>
              <w:bottom w:val="single" w:sz="8" w:space="0" w:color="FFFFFF" w:themeColor="background1"/>
            </w:tcBorders>
            <w:shd w:val="clear" w:color="auto" w:fill="6F6652" w:themeFill="accent5"/>
          </w:tcPr>
          <w:p w14:paraId="0ADB0C03" w14:textId="77777777" w:rsidR="008E697D" w:rsidRDefault="008E697D" w:rsidP="002856A0">
            <w:pPr>
              <w:pStyle w:val="TableDataColumnHeading"/>
              <w:rPr>
                <w:lang w:val="en-GB"/>
              </w:rPr>
            </w:pPr>
            <w:r>
              <w:rPr>
                <w:lang w:val="en-GB"/>
              </w:rPr>
              <w:t>Estimated construction costs</w:t>
            </w:r>
            <w:r>
              <w:rPr>
                <w:lang w:val="en-GB"/>
              </w:rPr>
              <w:br/>
              <w:t>($ per dwelling)</w:t>
            </w:r>
          </w:p>
        </w:tc>
        <w:tc>
          <w:tcPr>
            <w:tcW w:w="1173" w:type="dxa"/>
            <w:tcBorders>
              <w:bottom w:val="single" w:sz="8" w:space="0" w:color="FFFFFF" w:themeColor="background1"/>
            </w:tcBorders>
            <w:shd w:val="clear" w:color="auto" w:fill="6F6652" w:themeFill="accent5"/>
          </w:tcPr>
          <w:p w14:paraId="1068965A" w14:textId="77777777" w:rsidR="008E697D" w:rsidRDefault="008E697D" w:rsidP="002856A0">
            <w:pPr>
              <w:pStyle w:val="TableDataColumnHeading"/>
              <w:rPr>
                <w:lang w:val="en-GB"/>
              </w:rPr>
            </w:pPr>
            <w:r>
              <w:rPr>
                <w:lang w:val="en-GB"/>
              </w:rPr>
              <w:t>Adjusted costs</w:t>
            </w:r>
            <w:r w:rsidR="00655575" w:rsidRPr="00655575">
              <w:rPr>
                <w:rStyle w:val="NoteLabel"/>
              </w:rPr>
              <w:t>b</w:t>
            </w:r>
            <w:r w:rsidR="007C559F">
              <w:rPr>
                <w:lang w:val="en-GB"/>
              </w:rPr>
              <w:t xml:space="preserve"> </w:t>
            </w:r>
            <w:r>
              <w:rPr>
                <w:lang w:val="en-GB"/>
              </w:rPr>
              <w:t>($ per dwelling)</w:t>
            </w:r>
          </w:p>
        </w:tc>
        <w:tc>
          <w:tcPr>
            <w:tcW w:w="1398" w:type="dxa"/>
            <w:tcBorders>
              <w:bottom w:val="single" w:sz="8" w:space="0" w:color="FFFFFF" w:themeColor="background1"/>
            </w:tcBorders>
            <w:shd w:val="clear" w:color="auto" w:fill="6F6652" w:themeFill="accent5"/>
          </w:tcPr>
          <w:p w14:paraId="175CA435" w14:textId="77777777" w:rsidR="008E697D" w:rsidRDefault="008E697D" w:rsidP="002856A0">
            <w:pPr>
              <w:pStyle w:val="TableDataColumnHeading"/>
              <w:rPr>
                <w:lang w:val="en-GB"/>
              </w:rPr>
            </w:pPr>
            <w:r>
              <w:rPr>
                <w:lang w:val="en-GB"/>
              </w:rPr>
              <w:t>Net opportunity cost of space</w:t>
            </w:r>
            <w:r>
              <w:rPr>
                <w:lang w:val="en-GB"/>
              </w:rPr>
              <w:br/>
              <w:t>($ per dwelling)</w:t>
            </w:r>
          </w:p>
        </w:tc>
        <w:tc>
          <w:tcPr>
            <w:tcW w:w="1398" w:type="dxa"/>
            <w:tcBorders>
              <w:bottom w:val="single" w:sz="8" w:space="0" w:color="FFFFFF" w:themeColor="background1"/>
            </w:tcBorders>
            <w:shd w:val="clear" w:color="auto" w:fill="6F6652" w:themeFill="accent5"/>
          </w:tcPr>
          <w:p w14:paraId="581450DB" w14:textId="77777777" w:rsidR="008E697D" w:rsidRDefault="008E697D" w:rsidP="002856A0">
            <w:pPr>
              <w:pStyle w:val="TableDataColumnHeading"/>
              <w:rPr>
                <w:lang w:val="en-GB"/>
              </w:rPr>
            </w:pPr>
            <w:r>
              <w:rPr>
                <w:lang w:val="en-GB"/>
              </w:rPr>
              <w:t>Total</w:t>
            </w:r>
            <w:r>
              <w:rPr>
                <w:lang w:val="en-GB"/>
              </w:rPr>
              <w:br/>
              <w:t>($ per dwelling)</w:t>
            </w:r>
          </w:p>
        </w:tc>
      </w:tr>
      <w:tr w:rsidR="008E697D" w:rsidRPr="00F26459" w14:paraId="657C44EE"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4E0DA" w:themeFill="text2" w:themeFillTint="33"/>
          </w:tcPr>
          <w:p w14:paraId="1AAD577F" w14:textId="77777777" w:rsidR="008E697D" w:rsidRPr="00F26459" w:rsidRDefault="008E697D" w:rsidP="002856A0">
            <w:pPr>
              <w:pStyle w:val="TableDataEntries"/>
              <w:spacing w:before="60" w:after="60"/>
              <w:jc w:val="left"/>
              <w:rPr>
                <w:rFonts w:ascii="Franklin Gothic Demi" w:hAnsi="Franklin Gothic Demi"/>
                <w:color w:val="6F6652" w:themeColor="accent5"/>
                <w:lang w:val="en-GB"/>
              </w:rPr>
            </w:pPr>
            <w:r w:rsidRPr="00F26459">
              <w:rPr>
                <w:rFonts w:ascii="Franklin Gothic Demi" w:hAnsi="Franklin Gothic Demi"/>
                <w:color w:val="6F6652" w:themeColor="accent5"/>
                <w:lang w:val="en-GB"/>
              </w:rPr>
              <w:t>Non-exemption properties</w:t>
            </w:r>
          </w:p>
        </w:tc>
        <w:tc>
          <w:tcPr>
            <w:tcW w:w="1417" w:type="dxa"/>
            <w:tcBorders>
              <w:top w:val="single" w:sz="8" w:space="0" w:color="FFFFFF" w:themeColor="background1"/>
              <w:bottom w:val="single" w:sz="8" w:space="0" w:color="FFFFFF" w:themeColor="background1"/>
            </w:tcBorders>
            <w:shd w:val="clear" w:color="auto" w:fill="E4E0DA" w:themeFill="text2" w:themeFillTint="33"/>
          </w:tcPr>
          <w:p w14:paraId="0702508C" w14:textId="77777777" w:rsidR="008E697D" w:rsidRPr="00F26459" w:rsidRDefault="008E697D" w:rsidP="002856A0">
            <w:pPr>
              <w:pStyle w:val="TableDataEntries"/>
              <w:spacing w:before="60" w:after="60"/>
              <w:jc w:val="left"/>
              <w:rPr>
                <w:rFonts w:ascii="Franklin Gothic Demi" w:hAnsi="Franklin Gothic Demi"/>
                <w:color w:val="6F6652" w:themeColor="accent5"/>
                <w:lang w:val="en-GB"/>
              </w:rPr>
            </w:pPr>
          </w:p>
        </w:tc>
        <w:tc>
          <w:tcPr>
            <w:tcW w:w="1134" w:type="dxa"/>
            <w:tcBorders>
              <w:top w:val="single" w:sz="8" w:space="0" w:color="FFFFFF" w:themeColor="background1"/>
              <w:bottom w:val="single" w:sz="8" w:space="0" w:color="FFFFFF" w:themeColor="background1"/>
            </w:tcBorders>
            <w:shd w:val="clear" w:color="auto" w:fill="E4E0DA" w:themeFill="text2" w:themeFillTint="33"/>
          </w:tcPr>
          <w:p w14:paraId="7ED8C12E" w14:textId="77777777" w:rsidR="008E697D" w:rsidRPr="00F26459" w:rsidRDefault="008E697D" w:rsidP="002856A0">
            <w:pPr>
              <w:pStyle w:val="TableDataEntries"/>
              <w:rPr>
                <w:rFonts w:ascii="Franklin Gothic Demi" w:hAnsi="Franklin Gothic Demi"/>
                <w:color w:val="6F6652" w:themeColor="accent5"/>
              </w:rPr>
            </w:pPr>
          </w:p>
        </w:tc>
        <w:tc>
          <w:tcPr>
            <w:tcW w:w="1173" w:type="dxa"/>
            <w:tcBorders>
              <w:top w:val="single" w:sz="8" w:space="0" w:color="FFFFFF" w:themeColor="background1"/>
              <w:bottom w:val="single" w:sz="8" w:space="0" w:color="FFFFFF" w:themeColor="background1"/>
            </w:tcBorders>
            <w:shd w:val="clear" w:color="auto" w:fill="E4E0DA" w:themeFill="text2" w:themeFillTint="33"/>
          </w:tcPr>
          <w:p w14:paraId="5C77F600" w14:textId="77777777" w:rsidR="008E697D" w:rsidRPr="00F26459" w:rsidRDefault="008E697D" w:rsidP="008E697D">
            <w:pPr>
              <w:pStyle w:val="TableDataColumnHeading"/>
              <w:rPr>
                <w:color w:val="6F6652" w:themeColor="accent5"/>
                <w:lang w:val="en-GB"/>
              </w:rPr>
            </w:pPr>
          </w:p>
        </w:tc>
        <w:tc>
          <w:tcPr>
            <w:tcW w:w="1398" w:type="dxa"/>
            <w:tcBorders>
              <w:top w:val="single" w:sz="8" w:space="0" w:color="FFFFFF" w:themeColor="background1"/>
              <w:bottom w:val="single" w:sz="8" w:space="0" w:color="FFFFFF" w:themeColor="background1"/>
            </w:tcBorders>
            <w:shd w:val="clear" w:color="auto" w:fill="E4E0DA" w:themeFill="text2" w:themeFillTint="33"/>
          </w:tcPr>
          <w:p w14:paraId="0125343F" w14:textId="77777777" w:rsidR="008E697D" w:rsidRPr="00F26459" w:rsidRDefault="008E697D" w:rsidP="002856A0">
            <w:pPr>
              <w:pStyle w:val="TableDataEntries"/>
              <w:rPr>
                <w:rFonts w:ascii="Franklin Gothic Demi" w:hAnsi="Franklin Gothic Demi"/>
                <w:color w:val="6F6652" w:themeColor="accent5"/>
                <w:szCs w:val="16"/>
              </w:rPr>
            </w:pPr>
          </w:p>
        </w:tc>
        <w:tc>
          <w:tcPr>
            <w:tcW w:w="1398" w:type="dxa"/>
            <w:tcBorders>
              <w:top w:val="single" w:sz="8" w:space="0" w:color="FFFFFF" w:themeColor="background1"/>
              <w:bottom w:val="single" w:sz="8" w:space="0" w:color="FFFFFF" w:themeColor="background1"/>
            </w:tcBorders>
            <w:shd w:val="clear" w:color="auto" w:fill="E4E0DA" w:themeFill="text2" w:themeFillTint="33"/>
          </w:tcPr>
          <w:p w14:paraId="0B520AFD" w14:textId="77777777" w:rsidR="008E697D" w:rsidRPr="00F26459" w:rsidRDefault="008E697D" w:rsidP="002856A0">
            <w:pPr>
              <w:pStyle w:val="TableDataEntries"/>
              <w:rPr>
                <w:rFonts w:ascii="Franklin Gothic Demi" w:hAnsi="Franklin Gothic Demi"/>
                <w:color w:val="6F6652" w:themeColor="accent5"/>
                <w:szCs w:val="16"/>
              </w:rPr>
            </w:pPr>
          </w:p>
        </w:tc>
      </w:tr>
      <w:tr w:rsidR="004923B1" w:rsidRPr="00BD1797" w14:paraId="79B8AED4"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6B6D4C91" w14:textId="77777777" w:rsidR="004923B1" w:rsidRPr="00BD1797" w:rsidRDefault="004923B1" w:rsidP="004923B1">
            <w:pPr>
              <w:pStyle w:val="TableDataEntries"/>
              <w:spacing w:before="60" w:after="60"/>
              <w:jc w:val="left"/>
              <w:rPr>
                <w:lang w:val="en-GB"/>
              </w:rPr>
            </w:pPr>
            <w:r w:rsidRPr="00BD1797">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14:paraId="5B1F40A0" w14:textId="77777777" w:rsidR="004923B1" w:rsidRPr="00BD1797" w:rsidRDefault="004923B1" w:rsidP="004923B1">
            <w:pPr>
              <w:pStyle w:val="TableDataEntries"/>
              <w:spacing w:before="60" w:after="60"/>
              <w:jc w:val="left"/>
              <w:rPr>
                <w:lang w:val="en-GB"/>
              </w:rPr>
            </w:pPr>
            <w:r w:rsidRPr="00BD1797">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58FF0DF8" w14:textId="77777777" w:rsidR="004923B1" w:rsidRPr="004923B1" w:rsidRDefault="004923B1" w:rsidP="004923B1">
            <w:pPr>
              <w:pStyle w:val="TableDataEntries"/>
            </w:pPr>
            <w:r w:rsidRPr="004923B1">
              <w:t>4 055</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4BC7C6BF" w14:textId="77777777" w:rsidR="004923B1" w:rsidRPr="004923B1" w:rsidRDefault="004923B1" w:rsidP="004923B1">
            <w:pPr>
              <w:pStyle w:val="TableDataEntries"/>
            </w:pPr>
            <w:r w:rsidRPr="004923B1">
              <w:t>3 837</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A207D8E" w14:textId="77777777" w:rsidR="004923B1" w:rsidRPr="004923B1" w:rsidRDefault="004923B1" w:rsidP="004923B1">
            <w:pPr>
              <w:pStyle w:val="TableDataEntries"/>
            </w:pPr>
            <w:r w:rsidRPr="004923B1">
              <w:t xml:space="preserve"> 37</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5B7D8734" w14:textId="77777777" w:rsidR="004923B1" w:rsidRPr="004923B1" w:rsidRDefault="004923B1" w:rsidP="004923B1">
            <w:pPr>
              <w:pStyle w:val="TableDataEntries"/>
            </w:pPr>
            <w:r w:rsidRPr="004923B1">
              <w:t>3 874</w:t>
            </w:r>
          </w:p>
        </w:tc>
      </w:tr>
      <w:tr w:rsidR="004923B1" w:rsidRPr="00BD1797" w14:paraId="1F282160"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3D17EC28" w14:textId="77777777" w:rsidR="004923B1" w:rsidRPr="00BD1797" w:rsidRDefault="004923B1" w:rsidP="004923B1">
            <w:pPr>
              <w:pStyle w:val="TableDataEntries"/>
              <w:spacing w:before="60" w:after="60"/>
              <w:jc w:val="left"/>
              <w:rPr>
                <w:lang w:val="en-GB"/>
              </w:rPr>
            </w:pPr>
            <w:r w:rsidRPr="00BD1797">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14:paraId="59CB9F29" w14:textId="77777777" w:rsidR="004923B1" w:rsidRPr="00BD1797" w:rsidRDefault="004923B1" w:rsidP="004923B1">
            <w:pPr>
              <w:pStyle w:val="TableDataEntries"/>
              <w:spacing w:before="60" w:after="60"/>
              <w:jc w:val="left"/>
              <w:rPr>
                <w:lang w:val="en-GB"/>
              </w:rPr>
            </w:pPr>
            <w:r w:rsidRPr="00BD1797">
              <w:rPr>
                <w:lang w:val="en-GB"/>
              </w:rPr>
              <w:t>Townhouse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73A5BF8F" w14:textId="77777777" w:rsidR="004923B1" w:rsidRPr="004923B1" w:rsidRDefault="004923B1" w:rsidP="004923B1">
            <w:pPr>
              <w:pStyle w:val="TableDataEntries"/>
            </w:pPr>
            <w:r w:rsidRPr="004923B1">
              <w:t>4 385</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38B2BEB8" w14:textId="77777777" w:rsidR="004923B1" w:rsidRPr="004923B1" w:rsidRDefault="004923B1" w:rsidP="004923B1">
            <w:pPr>
              <w:pStyle w:val="TableDataEntries"/>
            </w:pPr>
            <w:r w:rsidRPr="004923B1">
              <w:t>4 150</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C4B76BB" w14:textId="77777777" w:rsidR="004923B1" w:rsidRPr="004923B1" w:rsidRDefault="004923B1" w:rsidP="004923B1">
            <w:pPr>
              <w:pStyle w:val="TableDataEntries"/>
            </w:pPr>
            <w:r w:rsidRPr="004923B1">
              <w:t xml:space="preserve"> 36</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616AE43" w14:textId="77777777" w:rsidR="004923B1" w:rsidRPr="004923B1" w:rsidRDefault="004923B1" w:rsidP="004923B1">
            <w:pPr>
              <w:pStyle w:val="TableDataEntries"/>
            </w:pPr>
            <w:r w:rsidRPr="004923B1">
              <w:t>4 186</w:t>
            </w:r>
          </w:p>
        </w:tc>
      </w:tr>
      <w:tr w:rsidR="004923B1" w:rsidRPr="00BD1797" w14:paraId="632F5DCC"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61951BF7" w14:textId="77777777" w:rsidR="004923B1" w:rsidRPr="00BD1797" w:rsidRDefault="004923B1" w:rsidP="004923B1">
            <w:pPr>
              <w:pStyle w:val="TableDataEntries"/>
              <w:spacing w:before="60" w:after="60"/>
              <w:jc w:val="left"/>
              <w:rPr>
                <w:lang w:val="en-GB"/>
              </w:rPr>
            </w:pPr>
            <w:r w:rsidRPr="00BD1797">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14:paraId="305EC67F" w14:textId="77777777" w:rsidR="004923B1" w:rsidRPr="00BD1797" w:rsidRDefault="004923B1" w:rsidP="004923B1">
            <w:pPr>
              <w:pStyle w:val="TableDataEntries"/>
              <w:spacing w:before="60" w:after="60"/>
              <w:jc w:val="left"/>
              <w:rPr>
                <w:lang w:val="en-GB"/>
              </w:rPr>
            </w:pPr>
            <w:r w:rsidRPr="00BD1797">
              <w:rPr>
                <w:lang w:val="en-GB"/>
              </w:rPr>
              <w:t>Apartment</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3EF1C1F7" w14:textId="77777777" w:rsidR="004923B1" w:rsidRPr="004923B1" w:rsidRDefault="004923B1" w:rsidP="004923B1">
            <w:pPr>
              <w:pStyle w:val="TableDataEntries"/>
            </w:pPr>
            <w:r w:rsidRPr="004923B1">
              <w:t>3 005</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5BAAF3AD" w14:textId="77777777" w:rsidR="004923B1" w:rsidRPr="004923B1" w:rsidRDefault="004923B1" w:rsidP="004923B1">
            <w:pPr>
              <w:pStyle w:val="TableDataEntries"/>
            </w:pPr>
            <w:r w:rsidRPr="004923B1">
              <w:t>2 843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853109C" w14:textId="77777777" w:rsidR="004923B1" w:rsidRPr="004923B1" w:rsidRDefault="004923B1" w:rsidP="004923B1">
            <w:pPr>
              <w:pStyle w:val="TableDataEntries"/>
            </w:pPr>
            <w:r w:rsidRPr="004923B1">
              <w:t>2 904</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5B10591" w14:textId="77777777" w:rsidR="004923B1" w:rsidRPr="004923B1" w:rsidRDefault="004923B1" w:rsidP="004923B1">
            <w:pPr>
              <w:pStyle w:val="TableDataEntries"/>
            </w:pPr>
            <w:r w:rsidRPr="004923B1">
              <w:t>5 748</w:t>
            </w:r>
          </w:p>
        </w:tc>
      </w:tr>
      <w:tr w:rsidR="004923B1" w:rsidRPr="00BD1797" w14:paraId="4FD8AA27"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2B2E37F2" w14:textId="77777777" w:rsidR="004923B1" w:rsidRPr="00BD1797" w:rsidRDefault="004923B1" w:rsidP="004923B1">
            <w:pPr>
              <w:pStyle w:val="TableDataEntries"/>
              <w:spacing w:before="60" w:after="60"/>
              <w:jc w:val="left"/>
              <w:rPr>
                <w:lang w:val="en-GB"/>
              </w:rPr>
            </w:pPr>
            <w:r w:rsidRPr="00BD1797">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27251AC7" w14:textId="77777777" w:rsidR="004923B1" w:rsidRPr="00BD1797" w:rsidRDefault="004923B1" w:rsidP="004923B1">
            <w:pPr>
              <w:pStyle w:val="TableDataEntries"/>
              <w:spacing w:before="60" w:after="60"/>
              <w:jc w:val="left"/>
              <w:rPr>
                <w:lang w:val="en-GB"/>
              </w:rPr>
            </w:pPr>
            <w:r w:rsidRPr="00BD1797">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5581124B" w14:textId="77777777" w:rsidR="004923B1" w:rsidRPr="004923B1" w:rsidRDefault="004923B1" w:rsidP="004923B1">
            <w:pPr>
              <w:pStyle w:val="TableDataEntries"/>
            </w:pPr>
            <w:r w:rsidRPr="004923B1">
              <w:t>12 221</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53A7A475" w14:textId="77777777" w:rsidR="004923B1" w:rsidRPr="004923B1" w:rsidRDefault="004923B1" w:rsidP="004923B1">
            <w:pPr>
              <w:pStyle w:val="TableDataEntries"/>
            </w:pPr>
            <w:r w:rsidRPr="004923B1">
              <w:t>11 565</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15CF4D8" w14:textId="77777777" w:rsidR="004923B1" w:rsidRPr="004923B1" w:rsidRDefault="004923B1" w:rsidP="004923B1">
            <w:pPr>
              <w:pStyle w:val="TableDataEntries"/>
            </w:pPr>
            <w:r w:rsidRPr="004923B1">
              <w:t xml:space="preserve"> 93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629E23A" w14:textId="77777777" w:rsidR="004923B1" w:rsidRPr="004923B1" w:rsidRDefault="004923B1" w:rsidP="004923B1">
            <w:pPr>
              <w:pStyle w:val="TableDataEntries"/>
            </w:pPr>
            <w:r w:rsidRPr="004923B1">
              <w:t>11 658</w:t>
            </w:r>
          </w:p>
        </w:tc>
      </w:tr>
      <w:tr w:rsidR="004923B1" w:rsidRPr="00BD1797" w14:paraId="0D62E437"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46048743" w14:textId="77777777" w:rsidR="004923B1" w:rsidRPr="00BD1797" w:rsidRDefault="004923B1" w:rsidP="004923B1">
            <w:pPr>
              <w:pStyle w:val="TableDataEntries"/>
              <w:spacing w:before="60" w:after="60"/>
              <w:jc w:val="left"/>
              <w:rPr>
                <w:lang w:val="en-GB"/>
              </w:rPr>
            </w:pPr>
            <w:r w:rsidRPr="00BD1797">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36C6012A" w14:textId="77777777" w:rsidR="004923B1" w:rsidRPr="00BD1797" w:rsidRDefault="004923B1" w:rsidP="004923B1">
            <w:pPr>
              <w:pStyle w:val="TableDataEntries"/>
              <w:spacing w:before="60" w:after="60"/>
              <w:jc w:val="left"/>
              <w:rPr>
                <w:lang w:val="en-GB"/>
              </w:rPr>
            </w:pPr>
            <w:r w:rsidRPr="00BD1797">
              <w:rPr>
                <w:lang w:val="en-GB"/>
              </w:rPr>
              <w:t>Townhouse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65276A58" w14:textId="77777777" w:rsidR="004923B1" w:rsidRPr="004923B1" w:rsidRDefault="004923B1" w:rsidP="004923B1">
            <w:pPr>
              <w:pStyle w:val="TableDataEntries"/>
            </w:pPr>
            <w:r w:rsidRPr="004923B1">
              <w:t>17 036</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342793C0" w14:textId="77777777" w:rsidR="004923B1" w:rsidRPr="004923B1" w:rsidRDefault="004923B1" w:rsidP="004923B1">
            <w:pPr>
              <w:pStyle w:val="TableDataEntries"/>
            </w:pPr>
            <w:r w:rsidRPr="004923B1">
              <w:t>16 121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D5C0829" w14:textId="77777777" w:rsidR="004923B1" w:rsidRPr="004923B1" w:rsidRDefault="004923B1" w:rsidP="004923B1">
            <w:pPr>
              <w:pStyle w:val="TableDataEntries"/>
            </w:pPr>
            <w:r w:rsidRPr="004923B1">
              <w:t xml:space="preserve"> 153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7EB1FDCF" w14:textId="77777777" w:rsidR="004923B1" w:rsidRPr="004923B1" w:rsidRDefault="004923B1" w:rsidP="004923B1">
            <w:pPr>
              <w:pStyle w:val="TableDataEntries"/>
            </w:pPr>
            <w:r w:rsidRPr="004923B1">
              <w:t>16 274</w:t>
            </w:r>
          </w:p>
        </w:tc>
      </w:tr>
      <w:tr w:rsidR="004923B1" w:rsidRPr="00BD1797" w14:paraId="47E07E78"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25D9C8C1" w14:textId="77777777" w:rsidR="004923B1" w:rsidRPr="00BD1797" w:rsidRDefault="004923B1" w:rsidP="004923B1">
            <w:pPr>
              <w:pStyle w:val="TableDataEntries"/>
              <w:spacing w:before="60" w:after="60"/>
              <w:jc w:val="left"/>
              <w:rPr>
                <w:lang w:val="en-GB"/>
              </w:rPr>
            </w:pPr>
            <w:r w:rsidRPr="00BD1797">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2EF7657D" w14:textId="77777777" w:rsidR="004923B1" w:rsidRPr="00BD1797" w:rsidRDefault="004923B1" w:rsidP="004923B1">
            <w:pPr>
              <w:pStyle w:val="TableDataEntries"/>
              <w:spacing w:before="60" w:after="60"/>
              <w:jc w:val="left"/>
              <w:rPr>
                <w:lang w:val="en-GB"/>
              </w:rPr>
            </w:pPr>
            <w:r w:rsidRPr="00BD1797">
              <w:rPr>
                <w:lang w:val="en-GB"/>
              </w:rPr>
              <w:t>Apartment</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63FD29ED" w14:textId="77777777" w:rsidR="004923B1" w:rsidRPr="004923B1" w:rsidRDefault="004923B1" w:rsidP="004923B1">
            <w:pPr>
              <w:pStyle w:val="TableDataEntries"/>
            </w:pPr>
            <w:r w:rsidRPr="004923B1">
              <w:t>11 850</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023E47D0" w14:textId="77777777" w:rsidR="004923B1" w:rsidRPr="004923B1" w:rsidRDefault="004923B1" w:rsidP="004923B1">
            <w:pPr>
              <w:pStyle w:val="TableDataEntries"/>
            </w:pPr>
            <w:r w:rsidRPr="004923B1">
              <w:t>11 214</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2A559A74" w14:textId="77777777" w:rsidR="004923B1" w:rsidRPr="004923B1" w:rsidRDefault="004923B1" w:rsidP="004923B1">
            <w:pPr>
              <w:pStyle w:val="TableDataEntries"/>
            </w:pPr>
            <w:r w:rsidRPr="004923B1">
              <w:t>18 126</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1132E35" w14:textId="77777777" w:rsidR="004923B1" w:rsidRPr="004923B1" w:rsidRDefault="004923B1" w:rsidP="004923B1">
            <w:pPr>
              <w:pStyle w:val="TableDataEntries"/>
            </w:pPr>
            <w:r w:rsidRPr="004923B1">
              <w:t>29 340</w:t>
            </w:r>
          </w:p>
        </w:tc>
      </w:tr>
      <w:tr w:rsidR="004923B1" w:rsidRPr="00BD1797" w14:paraId="280C8811"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0A60ABEC" w14:textId="77777777" w:rsidR="004923B1" w:rsidRPr="00BD1797" w:rsidRDefault="004923B1" w:rsidP="004923B1">
            <w:pPr>
              <w:pStyle w:val="TableDataEntries"/>
              <w:spacing w:before="60" w:after="60"/>
              <w:jc w:val="left"/>
              <w:rPr>
                <w:lang w:val="en-GB"/>
              </w:rPr>
            </w:pPr>
            <w:r w:rsidRPr="00BD1797">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39B0268C" w14:textId="77777777" w:rsidR="004923B1" w:rsidRPr="00BD1797" w:rsidRDefault="004923B1" w:rsidP="004923B1">
            <w:pPr>
              <w:pStyle w:val="TableDataEntries"/>
              <w:spacing w:before="60" w:after="60"/>
              <w:jc w:val="left"/>
              <w:rPr>
                <w:lang w:val="en-GB"/>
              </w:rPr>
            </w:pPr>
            <w:r w:rsidRPr="00BD1797">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35C389F9" w14:textId="77777777" w:rsidR="004923B1" w:rsidRPr="004923B1" w:rsidRDefault="004923B1" w:rsidP="004923B1">
            <w:pPr>
              <w:pStyle w:val="TableDataEntries"/>
            </w:pPr>
            <w:r w:rsidRPr="004923B1">
              <w:t>15 914</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2990E961" w14:textId="77777777" w:rsidR="004923B1" w:rsidRPr="004923B1" w:rsidRDefault="004923B1" w:rsidP="004923B1">
            <w:pPr>
              <w:pStyle w:val="TableDataEntries"/>
            </w:pPr>
            <w:r w:rsidRPr="004923B1">
              <w:t>15 060</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755F280" w14:textId="77777777" w:rsidR="004923B1" w:rsidRPr="004923B1" w:rsidRDefault="004923B1" w:rsidP="004923B1">
            <w:pPr>
              <w:pStyle w:val="TableDataEntries"/>
            </w:pPr>
            <w:r w:rsidRPr="004923B1">
              <w:t xml:space="preserve"> 124</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7744DE2E" w14:textId="77777777" w:rsidR="004923B1" w:rsidRPr="004923B1" w:rsidRDefault="004923B1" w:rsidP="004923B1">
            <w:pPr>
              <w:pStyle w:val="TableDataEntries"/>
            </w:pPr>
            <w:r w:rsidRPr="004923B1">
              <w:t>15 184</w:t>
            </w:r>
          </w:p>
        </w:tc>
      </w:tr>
      <w:tr w:rsidR="004923B1" w:rsidRPr="00BD1797" w14:paraId="4796DDAD"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03CCC9AC" w14:textId="77777777" w:rsidR="004923B1" w:rsidRPr="00BD1797" w:rsidRDefault="004923B1" w:rsidP="004923B1">
            <w:pPr>
              <w:pStyle w:val="TableDataEntries"/>
              <w:spacing w:before="60" w:after="60"/>
              <w:jc w:val="left"/>
              <w:rPr>
                <w:lang w:val="en-GB"/>
              </w:rPr>
            </w:pPr>
            <w:r w:rsidRPr="00BD1797">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626188A0" w14:textId="77777777" w:rsidR="004923B1" w:rsidRPr="00BD1797" w:rsidRDefault="004923B1" w:rsidP="004923B1">
            <w:pPr>
              <w:pStyle w:val="TableDataEntries"/>
              <w:spacing w:before="60" w:after="60"/>
              <w:jc w:val="left"/>
              <w:rPr>
                <w:lang w:val="en-GB"/>
              </w:rPr>
            </w:pPr>
            <w:r w:rsidRPr="00BD1797">
              <w:rPr>
                <w:lang w:val="en-GB"/>
              </w:rPr>
              <w:t>Townhouse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52C3445B" w14:textId="77777777" w:rsidR="004923B1" w:rsidRPr="004923B1" w:rsidRDefault="004923B1" w:rsidP="004923B1">
            <w:pPr>
              <w:pStyle w:val="TableDataEntries"/>
            </w:pPr>
            <w:r w:rsidRPr="004923B1">
              <w:t>21 500</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282235EB" w14:textId="77777777" w:rsidR="004923B1" w:rsidRPr="004923B1" w:rsidRDefault="004923B1" w:rsidP="004923B1">
            <w:pPr>
              <w:pStyle w:val="TableDataEntries"/>
            </w:pPr>
            <w:r w:rsidRPr="004923B1">
              <w:t>20 346</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37B5090" w14:textId="77777777" w:rsidR="004923B1" w:rsidRPr="004923B1" w:rsidRDefault="004923B1" w:rsidP="004923B1">
            <w:pPr>
              <w:pStyle w:val="TableDataEntries"/>
            </w:pPr>
            <w:r w:rsidRPr="004923B1">
              <w:t xml:space="preserve"> 195</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CCE7622" w14:textId="77777777" w:rsidR="004923B1" w:rsidRPr="004923B1" w:rsidRDefault="004923B1" w:rsidP="004923B1">
            <w:pPr>
              <w:pStyle w:val="TableDataEntries"/>
            </w:pPr>
            <w:r w:rsidRPr="004923B1">
              <w:t>20 541</w:t>
            </w:r>
          </w:p>
        </w:tc>
      </w:tr>
      <w:tr w:rsidR="004923B1" w:rsidRPr="00BD1797" w14:paraId="6BACE4FC"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01C32246" w14:textId="77777777" w:rsidR="004923B1" w:rsidRPr="00BD1797" w:rsidRDefault="004923B1" w:rsidP="004923B1">
            <w:pPr>
              <w:pStyle w:val="TableDataEntries"/>
              <w:spacing w:before="60" w:after="60"/>
              <w:jc w:val="left"/>
              <w:rPr>
                <w:lang w:val="en-GB"/>
              </w:rPr>
            </w:pPr>
            <w:r w:rsidRPr="00BD1797">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3606848A" w14:textId="77777777" w:rsidR="004923B1" w:rsidRPr="00BD1797" w:rsidRDefault="004923B1" w:rsidP="004923B1">
            <w:pPr>
              <w:pStyle w:val="TableDataEntries"/>
              <w:spacing w:before="60" w:after="60"/>
              <w:jc w:val="left"/>
              <w:rPr>
                <w:lang w:val="en-GB"/>
              </w:rPr>
            </w:pPr>
            <w:r w:rsidRPr="00BD1797">
              <w:rPr>
                <w:lang w:val="en-GB"/>
              </w:rPr>
              <w:t>Apartment</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331762F3" w14:textId="77777777" w:rsidR="004923B1" w:rsidRPr="004923B1" w:rsidRDefault="004923B1" w:rsidP="004923B1">
            <w:pPr>
              <w:pStyle w:val="TableDataEntries"/>
            </w:pPr>
            <w:r w:rsidRPr="004923B1">
              <w:t>16 571</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233BD354" w14:textId="77777777" w:rsidR="004923B1" w:rsidRPr="004923B1" w:rsidRDefault="004923B1" w:rsidP="004923B1">
            <w:pPr>
              <w:pStyle w:val="TableDataEntries"/>
            </w:pPr>
            <w:r w:rsidRPr="004923B1">
              <w:t>15 681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9270931" w14:textId="77777777" w:rsidR="004923B1" w:rsidRPr="004923B1" w:rsidRDefault="004923B1" w:rsidP="004923B1">
            <w:pPr>
              <w:pStyle w:val="TableDataEntries"/>
            </w:pPr>
            <w:r w:rsidRPr="004923B1">
              <w:t>22 061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7998882B" w14:textId="77777777" w:rsidR="004923B1" w:rsidRPr="004923B1" w:rsidRDefault="004923B1" w:rsidP="004923B1">
            <w:pPr>
              <w:pStyle w:val="TableDataEntries"/>
            </w:pPr>
            <w:r w:rsidRPr="004923B1">
              <w:t>37 742</w:t>
            </w:r>
          </w:p>
        </w:tc>
      </w:tr>
      <w:tr w:rsidR="00F26459" w:rsidRPr="00F26459" w14:paraId="335C112A"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4E0DA" w:themeFill="text2" w:themeFillTint="33"/>
          </w:tcPr>
          <w:p w14:paraId="62D9920E" w14:textId="77777777" w:rsidR="004923B1" w:rsidRPr="00F26459" w:rsidRDefault="004923B1" w:rsidP="004923B1">
            <w:pPr>
              <w:pStyle w:val="TableDataEntries"/>
              <w:spacing w:before="60" w:after="60"/>
              <w:jc w:val="left"/>
              <w:rPr>
                <w:rFonts w:ascii="Franklin Gothic Demi" w:hAnsi="Franklin Gothic Demi"/>
                <w:color w:val="6F6652" w:themeColor="accent5"/>
                <w:lang w:val="en-GB"/>
              </w:rPr>
            </w:pPr>
            <w:r w:rsidRPr="00F26459">
              <w:rPr>
                <w:rFonts w:ascii="Franklin Gothic Demi" w:hAnsi="Franklin Gothic Demi"/>
                <w:color w:val="6F6652" w:themeColor="accent5"/>
                <w:lang w:val="en-GB"/>
              </w:rPr>
              <w:t>Exempt properties</w:t>
            </w:r>
            <w:r w:rsidRPr="00F26459">
              <w:rPr>
                <w:rStyle w:val="NoteLabel"/>
                <w:color w:val="6F6652" w:themeColor="accent5"/>
              </w:rPr>
              <w:t xml:space="preserve"> a</w:t>
            </w:r>
          </w:p>
        </w:tc>
        <w:tc>
          <w:tcPr>
            <w:tcW w:w="1417" w:type="dxa"/>
            <w:tcBorders>
              <w:top w:val="single" w:sz="8" w:space="0" w:color="FFFFFF" w:themeColor="background1"/>
              <w:bottom w:val="single" w:sz="8" w:space="0" w:color="FFFFFF" w:themeColor="background1"/>
            </w:tcBorders>
            <w:shd w:val="clear" w:color="auto" w:fill="E4E0DA" w:themeFill="text2" w:themeFillTint="33"/>
          </w:tcPr>
          <w:p w14:paraId="4FC4FC53" w14:textId="77777777" w:rsidR="004923B1" w:rsidRPr="00F26459" w:rsidRDefault="004923B1" w:rsidP="004923B1">
            <w:pPr>
              <w:pStyle w:val="TableDataEntries"/>
              <w:spacing w:before="60" w:after="60"/>
              <w:jc w:val="left"/>
              <w:rPr>
                <w:rFonts w:ascii="Franklin Gothic Demi" w:hAnsi="Franklin Gothic Demi"/>
                <w:color w:val="6F6652" w:themeColor="accent5"/>
                <w:lang w:val="en-GB"/>
              </w:rPr>
            </w:pPr>
          </w:p>
        </w:tc>
        <w:tc>
          <w:tcPr>
            <w:tcW w:w="1134" w:type="dxa"/>
            <w:tcBorders>
              <w:top w:val="single" w:sz="8" w:space="0" w:color="FFFFFF" w:themeColor="background1"/>
              <w:bottom w:val="single" w:sz="8" w:space="0" w:color="FFFFFF" w:themeColor="background1"/>
            </w:tcBorders>
            <w:shd w:val="clear" w:color="auto" w:fill="E4E0DA" w:themeFill="text2" w:themeFillTint="33"/>
            <w:vAlign w:val="bottom"/>
          </w:tcPr>
          <w:p w14:paraId="5310E2CE" w14:textId="77777777" w:rsidR="004923B1" w:rsidRPr="00F26459" w:rsidRDefault="004923B1" w:rsidP="004923B1">
            <w:pPr>
              <w:pStyle w:val="TableDataEntries"/>
              <w:rPr>
                <w:color w:val="6F6652" w:themeColor="accent5"/>
              </w:rPr>
            </w:pPr>
          </w:p>
        </w:tc>
        <w:tc>
          <w:tcPr>
            <w:tcW w:w="1173" w:type="dxa"/>
            <w:tcBorders>
              <w:top w:val="single" w:sz="8" w:space="0" w:color="FFFFFF" w:themeColor="background1"/>
              <w:bottom w:val="single" w:sz="8" w:space="0" w:color="FFFFFF" w:themeColor="background1"/>
            </w:tcBorders>
            <w:shd w:val="clear" w:color="auto" w:fill="E4E0DA" w:themeFill="text2" w:themeFillTint="33"/>
            <w:vAlign w:val="bottom"/>
          </w:tcPr>
          <w:p w14:paraId="49D9CCD5" w14:textId="77777777" w:rsidR="004923B1" w:rsidRPr="00F26459" w:rsidRDefault="004923B1" w:rsidP="004923B1">
            <w:pPr>
              <w:pStyle w:val="TableDataEntries"/>
              <w:rPr>
                <w:color w:val="6F6652" w:themeColor="accent5"/>
              </w:rPr>
            </w:pPr>
          </w:p>
        </w:tc>
        <w:tc>
          <w:tcPr>
            <w:tcW w:w="1398" w:type="dxa"/>
            <w:tcBorders>
              <w:top w:val="single" w:sz="8" w:space="0" w:color="FFFFFF" w:themeColor="background1"/>
              <w:bottom w:val="single" w:sz="8" w:space="0" w:color="FFFFFF" w:themeColor="background1"/>
            </w:tcBorders>
            <w:shd w:val="clear" w:color="auto" w:fill="E4E0DA" w:themeFill="text2" w:themeFillTint="33"/>
            <w:vAlign w:val="bottom"/>
          </w:tcPr>
          <w:p w14:paraId="4393D29B" w14:textId="77777777" w:rsidR="004923B1" w:rsidRPr="00F26459" w:rsidRDefault="004923B1" w:rsidP="004923B1">
            <w:pPr>
              <w:pStyle w:val="TableDataEntries"/>
              <w:rPr>
                <w:color w:val="6F6652" w:themeColor="accent5"/>
              </w:rPr>
            </w:pPr>
          </w:p>
        </w:tc>
        <w:tc>
          <w:tcPr>
            <w:tcW w:w="1398" w:type="dxa"/>
            <w:tcBorders>
              <w:top w:val="single" w:sz="8" w:space="0" w:color="FFFFFF" w:themeColor="background1"/>
              <w:bottom w:val="single" w:sz="8" w:space="0" w:color="FFFFFF" w:themeColor="background1"/>
            </w:tcBorders>
            <w:shd w:val="clear" w:color="auto" w:fill="E4E0DA" w:themeFill="text2" w:themeFillTint="33"/>
            <w:vAlign w:val="bottom"/>
          </w:tcPr>
          <w:p w14:paraId="19036C3D" w14:textId="77777777" w:rsidR="004923B1" w:rsidRPr="00F26459" w:rsidRDefault="004923B1" w:rsidP="004923B1">
            <w:pPr>
              <w:pStyle w:val="TableDataEntries"/>
              <w:rPr>
                <w:color w:val="6F6652" w:themeColor="accent5"/>
              </w:rPr>
            </w:pPr>
          </w:p>
        </w:tc>
      </w:tr>
      <w:tr w:rsidR="004923B1" w:rsidRPr="00BD1797" w14:paraId="3A07CC51"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6E0B4A27" w14:textId="77777777" w:rsidR="004923B1" w:rsidRPr="00BD1797" w:rsidRDefault="004923B1" w:rsidP="004923B1">
            <w:pPr>
              <w:pStyle w:val="TableDataEntries"/>
              <w:spacing w:before="60" w:after="60"/>
              <w:jc w:val="left"/>
              <w:rPr>
                <w:lang w:val="en-GB"/>
              </w:rPr>
            </w:pPr>
            <w:r>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14:paraId="4228A876" w14:textId="77777777" w:rsidR="004923B1" w:rsidRPr="00BD1797" w:rsidRDefault="004923B1" w:rsidP="004923B1">
            <w:pPr>
              <w:pStyle w:val="TableDataEntries"/>
              <w:spacing w:before="60" w:after="60"/>
              <w:jc w:val="left"/>
              <w:rPr>
                <w:lang w:val="en-GB"/>
              </w:rPr>
            </w:pPr>
            <w:r>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2CD39F18" w14:textId="77777777" w:rsidR="004923B1" w:rsidRPr="004923B1" w:rsidRDefault="004923B1" w:rsidP="004923B1">
            <w:pPr>
              <w:pStyle w:val="TableDataEntries"/>
            </w:pPr>
            <w:r w:rsidRPr="004923B1">
              <w:t>3 414</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4D8B2898" w14:textId="77777777" w:rsidR="004923B1" w:rsidRPr="004923B1" w:rsidRDefault="004923B1" w:rsidP="004923B1">
            <w:pPr>
              <w:pStyle w:val="TableDataEntries"/>
            </w:pPr>
            <w:r w:rsidRPr="004923B1">
              <w:t>3 231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EA136FE" w14:textId="77777777" w:rsidR="004923B1" w:rsidRPr="004923B1" w:rsidRDefault="004923B1" w:rsidP="004923B1">
            <w:pPr>
              <w:pStyle w:val="TableDataEntries"/>
            </w:pPr>
            <w:r w:rsidRPr="004923B1">
              <w:t xml:space="preserve"> 33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39C79E11" w14:textId="77777777" w:rsidR="004923B1" w:rsidRPr="004923B1" w:rsidRDefault="004923B1" w:rsidP="004923B1">
            <w:pPr>
              <w:pStyle w:val="TableDataEntries"/>
            </w:pPr>
            <w:r w:rsidRPr="004923B1">
              <w:t>3 264</w:t>
            </w:r>
          </w:p>
        </w:tc>
      </w:tr>
      <w:tr w:rsidR="004923B1" w:rsidRPr="00BD1797" w14:paraId="450E4351"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5836069B" w14:textId="77777777" w:rsidR="004923B1" w:rsidRPr="00BD1797" w:rsidRDefault="004923B1" w:rsidP="004923B1">
            <w:pPr>
              <w:pStyle w:val="TableDataEntries"/>
              <w:spacing w:before="60" w:after="60"/>
              <w:jc w:val="left"/>
              <w:rPr>
                <w:lang w:val="en-GB"/>
              </w:rPr>
            </w:pPr>
            <w:r>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14:paraId="2BA85794" w14:textId="77777777" w:rsidR="004923B1" w:rsidRPr="00BD1797" w:rsidRDefault="004923B1" w:rsidP="004923B1">
            <w:pPr>
              <w:pStyle w:val="TableDataEntries"/>
              <w:spacing w:before="60" w:after="60"/>
              <w:jc w:val="left"/>
              <w:rPr>
                <w:lang w:val="en-GB"/>
              </w:rPr>
            </w:pPr>
            <w:r>
              <w:rPr>
                <w:lang w:val="en-GB"/>
              </w:rPr>
              <w:t>Townhouse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7434987D" w14:textId="77777777" w:rsidR="004923B1" w:rsidRPr="004923B1" w:rsidRDefault="004923B1" w:rsidP="004923B1">
            <w:pPr>
              <w:pStyle w:val="TableDataEntries"/>
            </w:pPr>
            <w:r w:rsidRPr="004923B1">
              <w:t>3 397</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20CAD771" w14:textId="77777777" w:rsidR="004923B1" w:rsidRPr="004923B1" w:rsidRDefault="004923B1" w:rsidP="004923B1">
            <w:pPr>
              <w:pStyle w:val="TableDataEntries"/>
            </w:pPr>
            <w:r w:rsidRPr="004923B1">
              <w:t>3 214</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20B7D069" w14:textId="77777777" w:rsidR="004923B1" w:rsidRPr="004923B1" w:rsidRDefault="004923B1" w:rsidP="004923B1">
            <w:pPr>
              <w:pStyle w:val="TableDataEntries"/>
            </w:pPr>
            <w:r w:rsidRPr="004923B1">
              <w:t xml:space="preserve"> 33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6C31520" w14:textId="77777777" w:rsidR="004923B1" w:rsidRPr="004923B1" w:rsidRDefault="004923B1" w:rsidP="004923B1">
            <w:pPr>
              <w:pStyle w:val="TableDataEntries"/>
            </w:pPr>
            <w:r w:rsidRPr="004923B1">
              <w:t>3 247</w:t>
            </w:r>
          </w:p>
        </w:tc>
      </w:tr>
      <w:tr w:rsidR="004923B1" w:rsidRPr="00BD1797" w14:paraId="540EB94A"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4F395A55" w14:textId="77777777" w:rsidR="004923B1" w:rsidRPr="00BD1797" w:rsidRDefault="004923B1" w:rsidP="004923B1">
            <w:pPr>
              <w:pStyle w:val="TableDataEntries"/>
              <w:spacing w:before="60" w:after="60"/>
              <w:jc w:val="left"/>
              <w:rPr>
                <w:lang w:val="en-GB"/>
              </w:rPr>
            </w:pPr>
            <w:r>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664B5BE6" w14:textId="77777777" w:rsidR="004923B1" w:rsidRPr="00BD1797" w:rsidRDefault="004923B1" w:rsidP="004923B1">
            <w:pPr>
              <w:pStyle w:val="TableDataEntries"/>
              <w:spacing w:before="60" w:after="60"/>
              <w:jc w:val="left"/>
              <w:rPr>
                <w:lang w:val="en-GB"/>
              </w:rPr>
            </w:pPr>
            <w:r>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74116B68" w14:textId="77777777" w:rsidR="004923B1" w:rsidRPr="004923B1" w:rsidRDefault="004923B1" w:rsidP="004923B1">
            <w:pPr>
              <w:pStyle w:val="TableDataEntries"/>
            </w:pPr>
            <w:r w:rsidRPr="004923B1">
              <w:t>11 280</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5B52615A" w14:textId="77777777" w:rsidR="004923B1" w:rsidRPr="004923B1" w:rsidRDefault="004923B1" w:rsidP="004923B1">
            <w:pPr>
              <w:pStyle w:val="TableDataEntries"/>
            </w:pPr>
            <w:r w:rsidRPr="004923B1">
              <w:t>10 674</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026D9B2E" w14:textId="77777777" w:rsidR="004923B1" w:rsidRPr="004923B1" w:rsidRDefault="004923B1" w:rsidP="004923B1">
            <w:pPr>
              <w:pStyle w:val="TableDataEntries"/>
            </w:pPr>
            <w:r w:rsidRPr="004923B1">
              <w:t xml:space="preserve"> 91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41E6F340" w14:textId="77777777" w:rsidR="004923B1" w:rsidRPr="004923B1" w:rsidRDefault="004923B1" w:rsidP="004923B1">
            <w:pPr>
              <w:pStyle w:val="TableDataEntries"/>
            </w:pPr>
            <w:r w:rsidRPr="004923B1">
              <w:t>10 765</w:t>
            </w:r>
          </w:p>
        </w:tc>
      </w:tr>
      <w:tr w:rsidR="004923B1" w:rsidRPr="00BD1797" w14:paraId="4F519E7B"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53E730F6" w14:textId="77777777" w:rsidR="004923B1" w:rsidRPr="00BD1797" w:rsidRDefault="004923B1" w:rsidP="004923B1">
            <w:pPr>
              <w:pStyle w:val="TableDataEntries"/>
              <w:spacing w:before="60" w:after="60"/>
              <w:jc w:val="left"/>
              <w:rPr>
                <w:lang w:val="en-GB"/>
              </w:rPr>
            </w:pPr>
            <w:r>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674E287A" w14:textId="77777777" w:rsidR="004923B1" w:rsidRPr="00BD1797" w:rsidRDefault="004923B1" w:rsidP="004923B1">
            <w:pPr>
              <w:pStyle w:val="TableDataEntries"/>
              <w:spacing w:before="60" w:after="60"/>
              <w:jc w:val="left"/>
              <w:rPr>
                <w:lang w:val="en-GB"/>
              </w:rPr>
            </w:pPr>
            <w:r>
              <w:rPr>
                <w:lang w:val="en-GB"/>
              </w:rPr>
              <w:t>Townhouse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3C73CBBA" w14:textId="77777777" w:rsidR="004923B1" w:rsidRPr="004923B1" w:rsidRDefault="004923B1" w:rsidP="004923B1">
            <w:pPr>
              <w:pStyle w:val="TableDataEntries"/>
            </w:pPr>
            <w:r w:rsidRPr="004923B1">
              <w:t>15 886</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415B7EA1" w14:textId="77777777" w:rsidR="004923B1" w:rsidRPr="004923B1" w:rsidRDefault="004923B1" w:rsidP="004923B1">
            <w:pPr>
              <w:pStyle w:val="TableDataEntries"/>
            </w:pPr>
            <w:r w:rsidRPr="004923B1">
              <w:t>15 033</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E15BB14" w14:textId="77777777" w:rsidR="004923B1" w:rsidRPr="004923B1" w:rsidRDefault="004923B1" w:rsidP="004923B1">
            <w:pPr>
              <w:pStyle w:val="TableDataEntries"/>
            </w:pPr>
            <w:r w:rsidRPr="004923B1">
              <w:t xml:space="preserve"> 151</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52B6F13D" w14:textId="77777777" w:rsidR="004923B1" w:rsidRPr="004923B1" w:rsidRDefault="004923B1" w:rsidP="004923B1">
            <w:pPr>
              <w:pStyle w:val="TableDataEntries"/>
            </w:pPr>
            <w:r w:rsidRPr="004923B1">
              <w:t>15 183</w:t>
            </w:r>
          </w:p>
        </w:tc>
      </w:tr>
      <w:tr w:rsidR="004923B1" w:rsidRPr="00BD1797" w14:paraId="44E3ACB6" w14:textId="77777777" w:rsidTr="00FC0952">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14:paraId="0939AF0D" w14:textId="77777777" w:rsidR="004923B1" w:rsidRPr="00BD1797" w:rsidRDefault="004923B1" w:rsidP="004923B1">
            <w:pPr>
              <w:pStyle w:val="TableDataEntries"/>
              <w:spacing w:before="60" w:after="60"/>
              <w:jc w:val="left"/>
              <w:rPr>
                <w:lang w:val="en-GB"/>
              </w:rPr>
            </w:pPr>
            <w:r>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14:paraId="04FD3B73" w14:textId="77777777" w:rsidR="004923B1" w:rsidRPr="00BD1797" w:rsidRDefault="004923B1" w:rsidP="004923B1">
            <w:pPr>
              <w:pStyle w:val="TableDataEntries"/>
              <w:spacing w:before="60" w:after="60"/>
              <w:jc w:val="left"/>
              <w:rPr>
                <w:lang w:val="en-GB"/>
              </w:rPr>
            </w:pPr>
            <w:r>
              <w:rPr>
                <w:lang w:val="en-GB"/>
              </w:rPr>
              <w:t>Separate house</w:t>
            </w:r>
          </w:p>
        </w:tc>
        <w:tc>
          <w:tcPr>
            <w:tcW w:w="1134" w:type="dxa"/>
            <w:tcBorders>
              <w:top w:val="single" w:sz="8" w:space="0" w:color="FFFFFF" w:themeColor="background1"/>
              <w:bottom w:val="single" w:sz="8" w:space="0" w:color="FFFFFF" w:themeColor="background1"/>
            </w:tcBorders>
            <w:shd w:val="clear" w:color="auto" w:fill="E9E8E5" w:themeFill="background2"/>
            <w:vAlign w:val="bottom"/>
          </w:tcPr>
          <w:p w14:paraId="01DE6753" w14:textId="77777777" w:rsidR="004923B1" w:rsidRPr="004923B1" w:rsidRDefault="004923B1" w:rsidP="004923B1">
            <w:pPr>
              <w:pStyle w:val="TableDataEntries"/>
            </w:pPr>
            <w:r w:rsidRPr="004923B1">
              <w:t>14 972</w:t>
            </w:r>
          </w:p>
        </w:tc>
        <w:tc>
          <w:tcPr>
            <w:tcW w:w="1173" w:type="dxa"/>
            <w:tcBorders>
              <w:top w:val="single" w:sz="8" w:space="0" w:color="FFFFFF" w:themeColor="background1"/>
              <w:bottom w:val="single" w:sz="8" w:space="0" w:color="FFFFFF" w:themeColor="background1"/>
            </w:tcBorders>
            <w:shd w:val="clear" w:color="auto" w:fill="E9E8E5" w:themeFill="background2"/>
            <w:vAlign w:val="bottom"/>
          </w:tcPr>
          <w:p w14:paraId="4C2E85A3" w14:textId="77777777" w:rsidR="004923B1" w:rsidRPr="004923B1" w:rsidRDefault="004923B1" w:rsidP="004923B1">
            <w:pPr>
              <w:pStyle w:val="TableDataEntries"/>
            </w:pPr>
            <w:r w:rsidRPr="004923B1">
              <w:t>14 168</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2FC997AF" w14:textId="77777777" w:rsidR="004923B1" w:rsidRPr="004923B1" w:rsidRDefault="004923B1" w:rsidP="004923B1">
            <w:pPr>
              <w:pStyle w:val="TableDataEntries"/>
            </w:pPr>
            <w:r w:rsidRPr="004923B1">
              <w:t xml:space="preserve"> 122</w:t>
            </w:r>
          </w:p>
        </w:tc>
        <w:tc>
          <w:tcPr>
            <w:tcW w:w="1398" w:type="dxa"/>
            <w:tcBorders>
              <w:top w:val="single" w:sz="8" w:space="0" w:color="FFFFFF" w:themeColor="background1"/>
              <w:bottom w:val="single" w:sz="8" w:space="0" w:color="FFFFFF" w:themeColor="background1"/>
            </w:tcBorders>
            <w:shd w:val="clear" w:color="auto" w:fill="E9E8E5" w:themeFill="background2"/>
            <w:vAlign w:val="bottom"/>
          </w:tcPr>
          <w:p w14:paraId="63CCDA68" w14:textId="77777777" w:rsidR="004923B1" w:rsidRPr="004923B1" w:rsidRDefault="004923B1" w:rsidP="004923B1">
            <w:pPr>
              <w:pStyle w:val="TableDataEntries"/>
            </w:pPr>
            <w:r w:rsidRPr="004923B1">
              <w:t>14 290</w:t>
            </w:r>
          </w:p>
        </w:tc>
      </w:tr>
      <w:tr w:rsidR="004923B1" w:rsidRPr="00BD1797" w14:paraId="74F9A0A3" w14:textId="77777777" w:rsidTr="00FC0952">
        <w:trPr>
          <w:trHeight w:val="230"/>
        </w:trPr>
        <w:tc>
          <w:tcPr>
            <w:tcW w:w="1418" w:type="dxa"/>
            <w:tcBorders>
              <w:top w:val="single" w:sz="8" w:space="0" w:color="FFFFFF" w:themeColor="background1"/>
              <w:bottom w:val="single" w:sz="4" w:space="0" w:color="6F6652" w:themeColor="accent5"/>
            </w:tcBorders>
            <w:shd w:val="clear" w:color="auto" w:fill="E9E8E5" w:themeFill="background2"/>
          </w:tcPr>
          <w:p w14:paraId="6D658F4A" w14:textId="77777777" w:rsidR="004923B1" w:rsidRPr="00BD1797" w:rsidRDefault="004923B1" w:rsidP="004923B1">
            <w:pPr>
              <w:pStyle w:val="TableDataEntries"/>
              <w:spacing w:before="60" w:after="60"/>
              <w:jc w:val="left"/>
              <w:rPr>
                <w:lang w:val="en-GB"/>
              </w:rPr>
            </w:pPr>
            <w:r>
              <w:rPr>
                <w:lang w:val="en-GB"/>
              </w:rPr>
              <w:t>Option 3 (Gold+)</w:t>
            </w:r>
          </w:p>
        </w:tc>
        <w:tc>
          <w:tcPr>
            <w:tcW w:w="1417" w:type="dxa"/>
            <w:tcBorders>
              <w:top w:val="single" w:sz="8" w:space="0" w:color="FFFFFF" w:themeColor="background1"/>
              <w:bottom w:val="single" w:sz="4" w:space="0" w:color="6F6652" w:themeColor="accent5"/>
            </w:tcBorders>
            <w:shd w:val="clear" w:color="auto" w:fill="E9E8E5" w:themeFill="background2"/>
          </w:tcPr>
          <w:p w14:paraId="6C370D88" w14:textId="77777777" w:rsidR="004923B1" w:rsidRPr="00BD1797" w:rsidRDefault="004923B1" w:rsidP="004923B1">
            <w:pPr>
              <w:pStyle w:val="TableDataEntries"/>
              <w:spacing w:before="60" w:after="60"/>
              <w:jc w:val="left"/>
              <w:rPr>
                <w:lang w:val="en-GB"/>
              </w:rPr>
            </w:pPr>
            <w:r>
              <w:rPr>
                <w:lang w:val="en-GB"/>
              </w:rPr>
              <w:t>Townhouse</w:t>
            </w:r>
          </w:p>
        </w:tc>
        <w:tc>
          <w:tcPr>
            <w:tcW w:w="1134" w:type="dxa"/>
            <w:tcBorders>
              <w:top w:val="single" w:sz="8" w:space="0" w:color="FFFFFF" w:themeColor="background1"/>
              <w:bottom w:val="single" w:sz="4" w:space="0" w:color="6F6652" w:themeColor="accent5"/>
            </w:tcBorders>
            <w:shd w:val="clear" w:color="auto" w:fill="E9E8E5" w:themeFill="background2"/>
            <w:vAlign w:val="bottom"/>
          </w:tcPr>
          <w:p w14:paraId="170EF9CB" w14:textId="77777777" w:rsidR="004923B1" w:rsidRPr="004923B1" w:rsidRDefault="004923B1" w:rsidP="004923B1">
            <w:pPr>
              <w:pStyle w:val="TableDataEntries"/>
            </w:pPr>
            <w:r w:rsidRPr="004923B1">
              <w:t>20 350</w:t>
            </w:r>
          </w:p>
        </w:tc>
        <w:tc>
          <w:tcPr>
            <w:tcW w:w="1173" w:type="dxa"/>
            <w:tcBorders>
              <w:top w:val="single" w:sz="8" w:space="0" w:color="FFFFFF" w:themeColor="background1"/>
              <w:bottom w:val="single" w:sz="4" w:space="0" w:color="6F6652" w:themeColor="accent5"/>
            </w:tcBorders>
            <w:shd w:val="clear" w:color="auto" w:fill="E9E8E5" w:themeFill="background2"/>
            <w:vAlign w:val="bottom"/>
          </w:tcPr>
          <w:p w14:paraId="34919D10" w14:textId="77777777" w:rsidR="004923B1" w:rsidRPr="004923B1" w:rsidRDefault="004923B1" w:rsidP="004923B1">
            <w:pPr>
              <w:pStyle w:val="TableDataEntries"/>
            </w:pPr>
            <w:r w:rsidRPr="004923B1">
              <w:t>19 258</w:t>
            </w:r>
          </w:p>
        </w:tc>
        <w:tc>
          <w:tcPr>
            <w:tcW w:w="1398" w:type="dxa"/>
            <w:tcBorders>
              <w:top w:val="single" w:sz="8" w:space="0" w:color="FFFFFF" w:themeColor="background1"/>
              <w:bottom w:val="single" w:sz="4" w:space="0" w:color="6F6652" w:themeColor="accent5"/>
            </w:tcBorders>
            <w:shd w:val="clear" w:color="auto" w:fill="E9E8E5" w:themeFill="background2"/>
            <w:vAlign w:val="bottom"/>
          </w:tcPr>
          <w:p w14:paraId="5143511E" w14:textId="77777777" w:rsidR="004923B1" w:rsidRPr="004923B1" w:rsidRDefault="004923B1" w:rsidP="004923B1">
            <w:pPr>
              <w:pStyle w:val="TableDataEntries"/>
            </w:pPr>
            <w:r w:rsidRPr="004923B1">
              <w:t xml:space="preserve"> 193</w:t>
            </w:r>
          </w:p>
        </w:tc>
        <w:tc>
          <w:tcPr>
            <w:tcW w:w="1398" w:type="dxa"/>
            <w:tcBorders>
              <w:top w:val="single" w:sz="8" w:space="0" w:color="FFFFFF" w:themeColor="background1"/>
              <w:bottom w:val="single" w:sz="4" w:space="0" w:color="6F6652" w:themeColor="accent5"/>
            </w:tcBorders>
            <w:shd w:val="clear" w:color="auto" w:fill="E9E8E5" w:themeFill="background2"/>
            <w:vAlign w:val="bottom"/>
          </w:tcPr>
          <w:p w14:paraId="1E8BD1BA" w14:textId="77777777" w:rsidR="004923B1" w:rsidRPr="004923B1" w:rsidRDefault="004923B1" w:rsidP="004923B1">
            <w:pPr>
              <w:pStyle w:val="TableDataEntries"/>
            </w:pPr>
            <w:r w:rsidRPr="004923B1">
              <w:t>19 451</w:t>
            </w:r>
          </w:p>
        </w:tc>
      </w:tr>
    </w:tbl>
    <w:p w14:paraId="279485C7" w14:textId="77777777" w:rsidR="002C0556" w:rsidRDefault="002C0556" w:rsidP="002C0556">
      <w:pPr>
        <w:pStyle w:val="Note"/>
      </w:pPr>
      <w:r w:rsidRPr="00E4232C">
        <w:rPr>
          <w:rStyle w:val="NoteLabel"/>
        </w:rPr>
        <w:t>a</w:t>
      </w:r>
      <w:r>
        <w:t xml:space="preserve"> Exemptions for level access are applicable to Class 1a buildings only</w:t>
      </w:r>
    </w:p>
    <w:p w14:paraId="07DCE0D0" w14:textId="77777777" w:rsidR="00655575" w:rsidRPr="00655575" w:rsidRDefault="00655575" w:rsidP="00655575">
      <w:pPr>
        <w:pStyle w:val="Source"/>
      </w:pPr>
      <w:r w:rsidRPr="00B23B3C">
        <w:rPr>
          <w:rStyle w:val="NoteLabel"/>
        </w:rPr>
        <w:t>b</w:t>
      </w:r>
      <w:r>
        <w:t xml:space="preserve"> DCWC cost estimates </w:t>
      </w:r>
      <w:r w:rsidR="009F0BEF">
        <w:t>were adjusted by the difference between C</w:t>
      </w:r>
      <w:r>
        <w:t>anberra</w:t>
      </w:r>
      <w:r w:rsidR="009F0BEF">
        <w:t xml:space="preserve"> and Australia’s weighted average </w:t>
      </w:r>
      <w:r>
        <w:t>construction costs</w:t>
      </w:r>
      <w:r w:rsidR="00B23B3C">
        <w:t xml:space="preserve"> index from Rawlinsons.</w:t>
      </w:r>
    </w:p>
    <w:p w14:paraId="3FA943E9" w14:textId="77777777" w:rsidR="00853897" w:rsidRDefault="00853897" w:rsidP="00853897">
      <w:pPr>
        <w:pStyle w:val="Source"/>
        <w:rPr>
          <w:iCs/>
        </w:rPr>
      </w:pPr>
      <w:r w:rsidRPr="00BD1797">
        <w:rPr>
          <w:i/>
        </w:rPr>
        <w:t xml:space="preserve">Note: </w:t>
      </w:r>
      <w:r w:rsidRPr="00BD1797">
        <w:rPr>
          <w:iCs/>
        </w:rPr>
        <w:t xml:space="preserve">Reported opportunity of space costs are derived with assumptions noted in </w:t>
      </w:r>
      <w:r w:rsidR="005B4AF7" w:rsidRPr="00BD1797">
        <w:rPr>
          <w:iCs/>
        </w:rPr>
        <w:t>t</w:t>
      </w:r>
      <w:r w:rsidRPr="00BD1797">
        <w:rPr>
          <w:iCs/>
        </w:rPr>
        <w:t xml:space="preserve">ables </w:t>
      </w:r>
      <w:r w:rsidR="00166F43" w:rsidRPr="00BD1797">
        <w:rPr>
          <w:iCs/>
        </w:rPr>
        <w:t>6.4</w:t>
      </w:r>
      <w:r w:rsidRPr="00BD1797">
        <w:rPr>
          <w:iCs/>
        </w:rPr>
        <w:t xml:space="preserve"> </w:t>
      </w:r>
      <w:r w:rsidR="005B4AF7" w:rsidRPr="00BD1797">
        <w:rPr>
          <w:iCs/>
        </w:rPr>
        <w:t xml:space="preserve">and </w:t>
      </w:r>
      <w:r w:rsidR="00166F43" w:rsidRPr="00BD1797">
        <w:rPr>
          <w:iCs/>
        </w:rPr>
        <w:t>6.5</w:t>
      </w:r>
      <w:r w:rsidRPr="00BD1797">
        <w:rPr>
          <w:iCs/>
        </w:rPr>
        <w:t xml:space="preserve"> </w:t>
      </w:r>
      <w:r w:rsidR="005B4AF7" w:rsidRPr="00BD1797">
        <w:rPr>
          <w:iCs/>
        </w:rPr>
        <w:t xml:space="preserve">net of capital value of bigger space noted in tables </w:t>
      </w:r>
      <w:r w:rsidR="002C0556">
        <w:rPr>
          <w:iCs/>
        </w:rPr>
        <w:t>6.6</w:t>
      </w:r>
    </w:p>
    <w:p w14:paraId="5B9F0BE6" w14:textId="77777777" w:rsidR="00853897" w:rsidRDefault="00853897" w:rsidP="00853897">
      <w:pPr>
        <w:pStyle w:val="Source"/>
      </w:pPr>
      <w:r>
        <w:rPr>
          <w:i/>
        </w:rPr>
        <w:t>Source</w:t>
      </w:r>
      <w:r w:rsidRPr="00E4232C">
        <w:rPr>
          <w:i/>
        </w:rPr>
        <w:t>:</w:t>
      </w:r>
      <w:r>
        <w:t xml:space="preserve"> </w:t>
      </w:r>
      <w:r w:rsidR="00BD1797">
        <w:t>Estimated construction costs is provided by DCWC (2020</w:t>
      </w:r>
      <w:r w:rsidR="006F7698">
        <w:t>)</w:t>
      </w:r>
      <w:r w:rsidR="00DB43B0">
        <w:t xml:space="preserve"> which are aggregated by CIE using market shares of each type of building</w:t>
      </w:r>
      <w:r w:rsidR="00710CD5">
        <w:t xml:space="preserve"> – see text preceding the table</w:t>
      </w:r>
      <w:r w:rsidR="00BD1797">
        <w:t>; Net opportunity of</w:t>
      </w:r>
      <w:r w:rsidR="00710CD5">
        <w:t xml:space="preserve"> </w:t>
      </w:r>
      <w:r w:rsidR="005324E6">
        <w:t>cost of space</w:t>
      </w:r>
      <w:r w:rsidR="00BD1797">
        <w:t xml:space="preserve"> is the space impact (provided in </w:t>
      </w:r>
      <w:r w:rsidR="002C0556">
        <w:t>t</w:t>
      </w:r>
      <w:r w:rsidR="00BD1797">
        <w:t xml:space="preserve">able 6.3 below) multiplied by the net opportunity cost of space (provided in </w:t>
      </w:r>
      <w:r w:rsidR="002C0556">
        <w:t>t</w:t>
      </w:r>
      <w:r w:rsidR="00BD1797">
        <w:t xml:space="preserve">able 6.6 below); </w:t>
      </w:r>
      <w:r>
        <w:t>CIE estimates.</w:t>
      </w:r>
    </w:p>
    <w:p w14:paraId="7F98509D" w14:textId="77777777" w:rsidR="0030289E" w:rsidRDefault="0030289E" w:rsidP="004923B1">
      <w:pPr>
        <w:pStyle w:val="Caption"/>
      </w:pPr>
      <w:r>
        <w:br w:type="page"/>
      </w:r>
    </w:p>
    <w:p w14:paraId="1159A3FA" w14:textId="24DB78C7" w:rsidR="004923B1" w:rsidRDefault="00490F02" w:rsidP="004923B1">
      <w:pPr>
        <w:pStyle w:val="Caption"/>
      </w:pPr>
      <w:bookmarkStart w:id="437" w:name="_Toc70505567"/>
      <w:r>
        <w:lastRenderedPageBreak/>
        <w:t>6.2</w:t>
      </w:r>
      <w:r w:rsidR="004923B1" w:rsidRPr="00695C93">
        <w:tab/>
      </w:r>
      <w:r w:rsidR="00EC6C62">
        <w:t>Cost adjustment</w:t>
      </w:r>
      <w:bookmarkEnd w:id="437"/>
    </w:p>
    <w:tbl>
      <w:tblPr>
        <w:tblW w:w="0" w:type="auto"/>
        <w:tblLayout w:type="fixed"/>
        <w:tblLook w:val="0000" w:firstRow="0" w:lastRow="0" w:firstColumn="0" w:lastColumn="0" w:noHBand="0" w:noVBand="0"/>
        <w:tblCaption w:val="Table 6.2: Cost adjustment"/>
        <w:tblDescription w:val="Table 6.2 compares cost indexes for each capital city in Australia. The column headings are: Capital city, Weight (%), Rawlinson's cost index (Sydney = 1.00) and Adjusted cost index (Canberra = 1.00). The weighted average of the adjusted cost index for all cities is 94.63."/>
      </w:tblPr>
      <w:tblGrid>
        <w:gridCol w:w="3472"/>
        <w:gridCol w:w="1489"/>
        <w:gridCol w:w="1489"/>
        <w:gridCol w:w="1487"/>
      </w:tblGrid>
      <w:tr w:rsidR="004923B1" w14:paraId="1B5D09F2" w14:textId="77777777" w:rsidTr="004923B1">
        <w:trPr>
          <w:trHeight w:val="902"/>
          <w:tblHeader/>
        </w:trPr>
        <w:tc>
          <w:tcPr>
            <w:tcW w:w="3472" w:type="dxa"/>
            <w:tcBorders>
              <w:bottom w:val="single" w:sz="8" w:space="0" w:color="FFFFFF" w:themeColor="background1"/>
            </w:tcBorders>
            <w:shd w:val="clear" w:color="auto" w:fill="6F6652"/>
            <w:tcMar>
              <w:left w:w="57" w:type="dxa"/>
              <w:right w:w="57" w:type="dxa"/>
            </w:tcMar>
          </w:tcPr>
          <w:p w14:paraId="36F47AEC" w14:textId="77777777" w:rsidR="004923B1" w:rsidRDefault="004923B1" w:rsidP="004923B1">
            <w:pPr>
              <w:pStyle w:val="TableDataColumnHeading"/>
              <w:jc w:val="left"/>
            </w:pPr>
            <w:r>
              <w:t>Capital city</w:t>
            </w:r>
          </w:p>
        </w:tc>
        <w:tc>
          <w:tcPr>
            <w:tcW w:w="1489" w:type="dxa"/>
            <w:tcBorders>
              <w:bottom w:val="single" w:sz="8" w:space="0" w:color="FFFFFF" w:themeColor="background1"/>
            </w:tcBorders>
            <w:shd w:val="clear" w:color="auto" w:fill="6F6652"/>
            <w:tcMar>
              <w:left w:w="57" w:type="dxa"/>
              <w:right w:w="57" w:type="dxa"/>
            </w:tcMar>
          </w:tcPr>
          <w:p w14:paraId="5C1C860D" w14:textId="77777777" w:rsidR="004923B1" w:rsidRDefault="004923B1" w:rsidP="004923B1">
            <w:pPr>
              <w:pStyle w:val="TableDataColumnHeading"/>
            </w:pPr>
            <w:r>
              <w:t>Weight (%)</w:t>
            </w:r>
          </w:p>
        </w:tc>
        <w:tc>
          <w:tcPr>
            <w:tcW w:w="1489" w:type="dxa"/>
            <w:tcBorders>
              <w:bottom w:val="single" w:sz="8" w:space="0" w:color="FFFFFF" w:themeColor="background1"/>
            </w:tcBorders>
            <w:shd w:val="clear" w:color="auto" w:fill="6F6652"/>
            <w:tcMar>
              <w:left w:w="57" w:type="dxa"/>
              <w:right w:w="57" w:type="dxa"/>
            </w:tcMar>
          </w:tcPr>
          <w:p w14:paraId="4D4F8427" w14:textId="77777777" w:rsidR="004923B1" w:rsidRDefault="004923B1" w:rsidP="004923B1">
            <w:pPr>
              <w:pStyle w:val="TableDataColumnHeading"/>
            </w:pPr>
            <w:r>
              <w:t>Rawlinson's cost index (Sydney = 1.00)</w:t>
            </w:r>
          </w:p>
        </w:tc>
        <w:tc>
          <w:tcPr>
            <w:tcW w:w="1487" w:type="dxa"/>
            <w:tcBorders>
              <w:bottom w:val="single" w:sz="8" w:space="0" w:color="FFFFFF" w:themeColor="background1"/>
            </w:tcBorders>
            <w:shd w:val="clear" w:color="auto" w:fill="6F6652"/>
            <w:tcMar>
              <w:left w:w="57" w:type="dxa"/>
              <w:right w:w="57" w:type="dxa"/>
            </w:tcMar>
          </w:tcPr>
          <w:p w14:paraId="7E8DA76D" w14:textId="77777777" w:rsidR="004923B1" w:rsidRDefault="004923B1" w:rsidP="004923B1">
            <w:pPr>
              <w:pStyle w:val="TableDataColumnHeading"/>
            </w:pPr>
            <w:r>
              <w:t>Adjusted cost index (Canberra = 1.00)</w:t>
            </w:r>
          </w:p>
        </w:tc>
      </w:tr>
      <w:tr w:rsidR="004923B1" w14:paraId="1EBEF8BF"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33A71" w14:textId="77777777" w:rsidR="004923B1" w:rsidRDefault="004923B1" w:rsidP="004923B1">
            <w:pPr>
              <w:pStyle w:val="TableDataEntries"/>
              <w:jc w:val="left"/>
            </w:pPr>
            <w:r>
              <w:t>Sydney</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F5DD5D" w14:textId="77777777" w:rsidR="004923B1" w:rsidRDefault="004923B1" w:rsidP="004923B1">
            <w:pPr>
              <w:pStyle w:val="TableDataEntries"/>
            </w:pPr>
            <w:r>
              <w:t xml:space="preserve"> 26.9</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3A0A3B" w14:textId="77777777" w:rsidR="004923B1" w:rsidRDefault="004923B1" w:rsidP="004923B1">
            <w:pPr>
              <w:pStyle w:val="TableDataEntries"/>
            </w:pPr>
            <w:r>
              <w:t xml:space="preserve"> 1.00</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A76448" w14:textId="77777777" w:rsidR="004923B1" w:rsidRDefault="004923B1" w:rsidP="004923B1">
            <w:pPr>
              <w:pStyle w:val="TableDataEntries"/>
            </w:pPr>
            <w:r>
              <w:t xml:space="preserve"> 99.01</w:t>
            </w:r>
          </w:p>
        </w:tc>
      </w:tr>
      <w:tr w:rsidR="004923B1" w14:paraId="34976D25"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598205" w14:textId="77777777" w:rsidR="004923B1" w:rsidRDefault="004923B1" w:rsidP="004923B1">
            <w:pPr>
              <w:pStyle w:val="TableDataEntries"/>
              <w:jc w:val="left"/>
            </w:pPr>
            <w:r>
              <w:t>Melbourne</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DA9FF" w14:textId="77777777" w:rsidR="004923B1" w:rsidRDefault="004923B1" w:rsidP="004923B1">
            <w:pPr>
              <w:pStyle w:val="TableDataEntries"/>
            </w:pPr>
            <w:r>
              <w:t xml:space="preserve"> 32.4</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F6D9C" w14:textId="77777777" w:rsidR="004923B1" w:rsidRDefault="004923B1" w:rsidP="004923B1">
            <w:pPr>
              <w:pStyle w:val="TableDataEntries"/>
            </w:pPr>
            <w:r>
              <w:t xml:space="preserve"> 0.92</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ACC892" w14:textId="77777777" w:rsidR="004923B1" w:rsidRDefault="004923B1" w:rsidP="004923B1">
            <w:pPr>
              <w:pStyle w:val="TableDataEntries"/>
            </w:pPr>
            <w:r>
              <w:t xml:space="preserve"> 91.09</w:t>
            </w:r>
          </w:p>
        </w:tc>
      </w:tr>
      <w:tr w:rsidR="004923B1" w14:paraId="4EC7897D"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42F1B2" w14:textId="77777777" w:rsidR="004923B1" w:rsidRDefault="004923B1" w:rsidP="004923B1">
            <w:pPr>
              <w:pStyle w:val="TableDataEntries"/>
              <w:jc w:val="left"/>
            </w:pPr>
            <w:r>
              <w:t>Brisbane</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3EF78F" w14:textId="77777777" w:rsidR="004923B1" w:rsidRDefault="004923B1" w:rsidP="004923B1">
            <w:pPr>
              <w:pStyle w:val="TableDataEntries"/>
            </w:pPr>
            <w:r>
              <w:t xml:space="preserve"> 20.0</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ABDDC5" w14:textId="77777777" w:rsidR="004923B1" w:rsidRDefault="004923B1" w:rsidP="004923B1">
            <w:pPr>
              <w:pStyle w:val="TableDataEntries"/>
            </w:pPr>
            <w:r>
              <w:t xml:space="preserve"> 0.91</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67D0F0" w14:textId="77777777" w:rsidR="004923B1" w:rsidRDefault="004923B1" w:rsidP="004923B1">
            <w:pPr>
              <w:pStyle w:val="TableDataEntries"/>
            </w:pPr>
            <w:r>
              <w:t xml:space="preserve"> 90.10</w:t>
            </w:r>
          </w:p>
        </w:tc>
      </w:tr>
      <w:tr w:rsidR="004923B1" w14:paraId="28A90DF7"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F25561" w14:textId="77777777" w:rsidR="004923B1" w:rsidRDefault="004923B1" w:rsidP="004923B1">
            <w:pPr>
              <w:pStyle w:val="TableDataEntries"/>
              <w:jc w:val="left"/>
            </w:pPr>
            <w:r>
              <w:t>Perth</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C24355" w14:textId="77777777" w:rsidR="004923B1" w:rsidRDefault="004923B1" w:rsidP="004923B1">
            <w:pPr>
              <w:pStyle w:val="TableDataEntries"/>
            </w:pPr>
            <w:r>
              <w:t xml:space="preserve"> 10.4</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DC63B" w14:textId="77777777" w:rsidR="004923B1" w:rsidRDefault="004923B1" w:rsidP="004923B1">
            <w:pPr>
              <w:pStyle w:val="TableDataEntries"/>
            </w:pPr>
            <w:r>
              <w:t xml:space="preserve"> 1.00</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CAA1AB" w14:textId="77777777" w:rsidR="004923B1" w:rsidRDefault="004923B1" w:rsidP="004923B1">
            <w:pPr>
              <w:pStyle w:val="TableDataEntries"/>
            </w:pPr>
            <w:r>
              <w:t xml:space="preserve"> 99.01</w:t>
            </w:r>
          </w:p>
        </w:tc>
      </w:tr>
      <w:tr w:rsidR="004923B1" w14:paraId="24C9FD8C"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89857C" w14:textId="77777777" w:rsidR="004923B1" w:rsidRDefault="004923B1" w:rsidP="004923B1">
            <w:pPr>
              <w:pStyle w:val="TableDataEntries"/>
              <w:jc w:val="left"/>
            </w:pPr>
            <w:r>
              <w:t>Adelaide</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D2CE32" w14:textId="77777777" w:rsidR="004923B1" w:rsidRDefault="004923B1" w:rsidP="004923B1">
            <w:pPr>
              <w:pStyle w:val="TableDataEntries"/>
            </w:pPr>
            <w:r>
              <w:t xml:space="preserve"> 6.7</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3D4097" w14:textId="77777777" w:rsidR="004923B1" w:rsidRDefault="004923B1" w:rsidP="004923B1">
            <w:pPr>
              <w:pStyle w:val="TableDataEntries"/>
            </w:pPr>
            <w:r>
              <w:t xml:space="preserve"> 0.99</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E38DF7" w14:textId="77777777" w:rsidR="004923B1" w:rsidRDefault="004923B1" w:rsidP="004923B1">
            <w:pPr>
              <w:pStyle w:val="TableDataEntries"/>
            </w:pPr>
            <w:r>
              <w:t xml:space="preserve"> 98.02</w:t>
            </w:r>
          </w:p>
        </w:tc>
      </w:tr>
      <w:tr w:rsidR="004923B1" w14:paraId="371D314F"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109BE7" w14:textId="77777777" w:rsidR="004923B1" w:rsidRDefault="004923B1" w:rsidP="004923B1">
            <w:pPr>
              <w:pStyle w:val="TableDataEntries"/>
              <w:jc w:val="left"/>
            </w:pPr>
            <w:r>
              <w:t>Hobart</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39E807" w14:textId="77777777" w:rsidR="004923B1" w:rsidRDefault="004923B1" w:rsidP="004923B1">
            <w:pPr>
              <w:pStyle w:val="TableDataEntries"/>
            </w:pPr>
            <w:r>
              <w:t xml:space="preserve"> 2.1</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8718CE" w14:textId="77777777" w:rsidR="004923B1" w:rsidRDefault="004923B1" w:rsidP="004923B1">
            <w:pPr>
              <w:pStyle w:val="TableDataEntries"/>
            </w:pPr>
            <w:r>
              <w:t xml:space="preserve"> 0.98</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F5C86" w14:textId="77777777" w:rsidR="004923B1" w:rsidRDefault="004923B1" w:rsidP="004923B1">
            <w:pPr>
              <w:pStyle w:val="TableDataEntries"/>
            </w:pPr>
            <w:r>
              <w:t xml:space="preserve"> 97.03</w:t>
            </w:r>
          </w:p>
        </w:tc>
      </w:tr>
      <w:tr w:rsidR="004923B1" w14:paraId="1FFDF95B"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F9791D" w14:textId="77777777" w:rsidR="004923B1" w:rsidRDefault="004923B1" w:rsidP="004923B1">
            <w:pPr>
              <w:pStyle w:val="TableDataEntries"/>
              <w:jc w:val="left"/>
            </w:pPr>
            <w:r>
              <w:t>Canberra</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8506E" w14:textId="77777777" w:rsidR="004923B1" w:rsidRDefault="004923B1" w:rsidP="004923B1">
            <w:pPr>
              <w:pStyle w:val="TableDataEntries"/>
            </w:pPr>
            <w:r>
              <w:t xml:space="preserve"> 1.1</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2298C1" w14:textId="77777777" w:rsidR="004923B1" w:rsidRDefault="004923B1" w:rsidP="004923B1">
            <w:pPr>
              <w:pStyle w:val="TableDataEntries"/>
            </w:pPr>
            <w:r>
              <w:t xml:space="preserve"> 1.01</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4AE347" w14:textId="77777777" w:rsidR="004923B1" w:rsidRDefault="004923B1" w:rsidP="004923B1">
            <w:pPr>
              <w:pStyle w:val="TableDataEntries"/>
            </w:pPr>
            <w:r>
              <w:t xml:space="preserve"> 100.00</w:t>
            </w:r>
          </w:p>
        </w:tc>
      </w:tr>
      <w:tr w:rsidR="004923B1" w14:paraId="3464DE17" w14:textId="77777777" w:rsidTr="004923B1">
        <w:trPr>
          <w:trHeight w:val="230"/>
        </w:trPr>
        <w:tc>
          <w:tcPr>
            <w:tcW w:w="34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53D460" w14:textId="77777777" w:rsidR="004923B1" w:rsidRDefault="004923B1" w:rsidP="004923B1">
            <w:pPr>
              <w:pStyle w:val="TableDataEntries"/>
              <w:jc w:val="left"/>
            </w:pPr>
            <w:r>
              <w:t>Darwin</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07492E" w14:textId="77777777" w:rsidR="004923B1" w:rsidRDefault="004923B1" w:rsidP="004923B1">
            <w:pPr>
              <w:pStyle w:val="TableDataEntries"/>
            </w:pPr>
            <w:r>
              <w:t xml:space="preserve"> 0.4</w:t>
            </w:r>
          </w:p>
        </w:tc>
        <w:tc>
          <w:tcPr>
            <w:tcW w:w="14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F4F89" w14:textId="77777777" w:rsidR="004923B1" w:rsidRDefault="004923B1" w:rsidP="004923B1">
            <w:pPr>
              <w:pStyle w:val="TableDataEntries"/>
            </w:pPr>
            <w:r>
              <w:t xml:space="preserve"> 1.15</w:t>
            </w:r>
          </w:p>
        </w:tc>
        <w:tc>
          <w:tcPr>
            <w:tcW w:w="14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EB3534" w14:textId="77777777" w:rsidR="004923B1" w:rsidRDefault="004923B1" w:rsidP="004923B1">
            <w:pPr>
              <w:pStyle w:val="TableDataEntries"/>
            </w:pPr>
            <w:r>
              <w:t xml:space="preserve"> 113.86</w:t>
            </w:r>
          </w:p>
        </w:tc>
      </w:tr>
      <w:tr w:rsidR="004923B1" w:rsidRPr="004923B1" w14:paraId="3ED54EBE" w14:textId="77777777" w:rsidTr="004923B1">
        <w:trPr>
          <w:trHeight w:val="230"/>
        </w:trPr>
        <w:tc>
          <w:tcPr>
            <w:tcW w:w="347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CA8D5CD" w14:textId="77777777" w:rsidR="004923B1" w:rsidRPr="004923B1" w:rsidRDefault="004923B1" w:rsidP="004923B1">
            <w:pPr>
              <w:pStyle w:val="TableDataEntries"/>
              <w:jc w:val="left"/>
              <w:rPr>
                <w:rFonts w:ascii="Franklin Gothic Demi" w:hAnsi="Franklin Gothic Demi"/>
              </w:rPr>
            </w:pPr>
            <w:r w:rsidRPr="004923B1">
              <w:rPr>
                <w:rFonts w:ascii="Franklin Gothic Demi" w:hAnsi="Franklin Gothic Demi"/>
              </w:rPr>
              <w:t>Total/weighted average</w:t>
            </w:r>
          </w:p>
        </w:tc>
        <w:tc>
          <w:tcPr>
            <w:tcW w:w="148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41ECADA" w14:textId="77777777" w:rsidR="004923B1" w:rsidRPr="004923B1" w:rsidRDefault="004923B1" w:rsidP="004923B1">
            <w:pPr>
              <w:pStyle w:val="TableDataEntries"/>
              <w:rPr>
                <w:rFonts w:ascii="Franklin Gothic Demi" w:hAnsi="Franklin Gothic Demi"/>
              </w:rPr>
            </w:pPr>
            <w:r w:rsidRPr="004923B1">
              <w:rPr>
                <w:rFonts w:ascii="Franklin Gothic Demi" w:hAnsi="Franklin Gothic Demi"/>
              </w:rPr>
              <w:t xml:space="preserve"> 100.0</w:t>
            </w:r>
          </w:p>
        </w:tc>
        <w:tc>
          <w:tcPr>
            <w:tcW w:w="148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C58DB91" w14:textId="77777777" w:rsidR="004923B1" w:rsidRPr="004923B1" w:rsidRDefault="004923B1" w:rsidP="004923B1">
            <w:pPr>
              <w:pStyle w:val="TableDataEntries"/>
              <w:rPr>
                <w:rFonts w:ascii="Franklin Gothic Demi" w:hAnsi="Franklin Gothic Demi"/>
              </w:rPr>
            </w:pPr>
          </w:p>
        </w:tc>
        <w:tc>
          <w:tcPr>
            <w:tcW w:w="148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7EC49BA" w14:textId="77777777" w:rsidR="004923B1" w:rsidRPr="004923B1" w:rsidRDefault="004923B1" w:rsidP="004923B1">
            <w:pPr>
              <w:pStyle w:val="TableDataEntries"/>
              <w:rPr>
                <w:rFonts w:ascii="Franklin Gothic Demi" w:hAnsi="Franklin Gothic Demi"/>
              </w:rPr>
            </w:pPr>
            <w:r w:rsidRPr="004923B1">
              <w:rPr>
                <w:rFonts w:ascii="Franklin Gothic Demi" w:hAnsi="Franklin Gothic Demi"/>
              </w:rPr>
              <w:t xml:space="preserve"> 94.63</w:t>
            </w:r>
          </w:p>
        </w:tc>
      </w:tr>
    </w:tbl>
    <w:p w14:paraId="183AB7B3" w14:textId="77777777" w:rsidR="00330BE7" w:rsidRDefault="004923B1" w:rsidP="00330BE7">
      <w:pPr>
        <w:pStyle w:val="Source"/>
        <w:rPr>
          <w:iCs/>
          <w:color w:val="1F497D"/>
        </w:rPr>
      </w:pPr>
      <w:r>
        <w:t>Source</w:t>
      </w:r>
      <w:r w:rsidRPr="00E4232C">
        <w:t>:</w:t>
      </w:r>
      <w:r>
        <w:t xml:space="preserve"> </w:t>
      </w:r>
      <w:r w:rsidR="00330BE7">
        <w:rPr>
          <w:iCs/>
          <w:color w:val="1F497D"/>
        </w:rPr>
        <w:t>Rawlinson’s Australian Construction Handbook 2019, p.911, CIE.</w:t>
      </w:r>
    </w:p>
    <w:p w14:paraId="1FA61E5A" w14:textId="77777777" w:rsidR="00751F87" w:rsidRDefault="00751F87" w:rsidP="00BD176C">
      <w:pPr>
        <w:pStyle w:val="BodyText"/>
        <w:spacing w:before="240"/>
        <w:rPr>
          <w:lang w:eastAsia="en-US"/>
        </w:rPr>
      </w:pPr>
      <w:r>
        <w:rPr>
          <w:lang w:eastAsia="en-US"/>
        </w:rPr>
        <w:t>The updated estimates of additional construction costs are higher than those prepared for the Consultation RIS due to the following main reasons:</w:t>
      </w:r>
    </w:p>
    <w:p w14:paraId="42E731BF" w14:textId="77777777" w:rsidR="00751F87" w:rsidRDefault="00751F87" w:rsidP="00751F87">
      <w:pPr>
        <w:pStyle w:val="ListBullet"/>
        <w:rPr>
          <w:lang w:eastAsia="en-US"/>
        </w:rPr>
      </w:pPr>
      <w:r>
        <w:rPr>
          <w:lang w:eastAsia="en-US"/>
        </w:rPr>
        <w:t>More stringent requirements are included in the proposal, for example single step entry is replaced by step-free access</w:t>
      </w:r>
      <w:r w:rsidR="006740E8">
        <w:rPr>
          <w:lang w:eastAsia="en-US"/>
        </w:rPr>
        <w:t>;</w:t>
      </w:r>
      <w:r>
        <w:rPr>
          <w:lang w:eastAsia="en-US"/>
        </w:rPr>
        <w:t xml:space="preserve"> door width, corridor width and internal door size are increased</w:t>
      </w:r>
    </w:p>
    <w:p w14:paraId="3A6C3811" w14:textId="77777777" w:rsidR="00751F87" w:rsidRDefault="00751F87" w:rsidP="00751F87">
      <w:pPr>
        <w:pStyle w:val="ListBullet"/>
        <w:rPr>
          <w:lang w:eastAsia="en-US"/>
        </w:rPr>
      </w:pPr>
      <w:r>
        <w:rPr>
          <w:lang w:eastAsia="en-US"/>
        </w:rPr>
        <w:t xml:space="preserve">New cost items considered in response to </w:t>
      </w:r>
      <w:r w:rsidR="0007362E">
        <w:rPr>
          <w:lang w:eastAsia="en-US"/>
        </w:rPr>
        <w:t>feedback during consultation</w:t>
      </w:r>
      <w:r w:rsidR="00A817C0">
        <w:rPr>
          <w:lang w:eastAsia="en-US"/>
        </w:rPr>
        <w:t>;</w:t>
      </w:r>
      <w:r w:rsidR="0007362E">
        <w:rPr>
          <w:lang w:eastAsia="en-US"/>
        </w:rPr>
        <w:t xml:space="preserve"> for example waterproofing for removable shower screen</w:t>
      </w:r>
      <w:r w:rsidR="00BD176C">
        <w:rPr>
          <w:lang w:eastAsia="en-US"/>
        </w:rPr>
        <w:t>,</w:t>
      </w:r>
      <w:r w:rsidR="0007362E">
        <w:rPr>
          <w:lang w:eastAsia="en-US"/>
        </w:rPr>
        <w:t xml:space="preserve"> and</w:t>
      </w:r>
    </w:p>
    <w:p w14:paraId="64AFA92F" w14:textId="77777777" w:rsidR="0007362E" w:rsidRDefault="0007362E" w:rsidP="00751F87">
      <w:pPr>
        <w:pStyle w:val="ListBullet"/>
        <w:rPr>
          <w:lang w:eastAsia="en-US"/>
        </w:rPr>
      </w:pPr>
      <w:r>
        <w:rPr>
          <w:lang w:eastAsia="en-US"/>
        </w:rPr>
        <w:t xml:space="preserve">Different consideration </w:t>
      </w:r>
      <w:r w:rsidR="007C09DB">
        <w:rPr>
          <w:lang w:eastAsia="en-US"/>
        </w:rPr>
        <w:t>given</w:t>
      </w:r>
      <w:r>
        <w:rPr>
          <w:lang w:eastAsia="en-US"/>
        </w:rPr>
        <w:t xml:space="preserve"> to the approach to complying with some of the new requirements</w:t>
      </w:r>
      <w:r w:rsidR="009C7FEF">
        <w:rPr>
          <w:lang w:eastAsia="en-US"/>
        </w:rPr>
        <w:t>;</w:t>
      </w:r>
      <w:r>
        <w:rPr>
          <w:lang w:eastAsia="en-US"/>
        </w:rPr>
        <w:t xml:space="preserve"> for example, changed share of owner/developer electing to use cavity slider doors for main bathroom at ground floor level/entry level, </w:t>
      </w:r>
      <w:r w:rsidR="00421A2F">
        <w:rPr>
          <w:lang w:eastAsia="en-US"/>
        </w:rPr>
        <w:t xml:space="preserve">assumed </w:t>
      </w:r>
      <w:r>
        <w:rPr>
          <w:lang w:eastAsia="en-US"/>
        </w:rPr>
        <w:t xml:space="preserve">ply bracing changed from set flush to full height for the reinforcement of bathroom walls. </w:t>
      </w:r>
    </w:p>
    <w:p w14:paraId="41FA5514" w14:textId="77777777" w:rsidR="0007362E" w:rsidRDefault="0007362E" w:rsidP="00853897">
      <w:pPr>
        <w:pStyle w:val="BodyText"/>
        <w:rPr>
          <w:lang w:eastAsia="en-US"/>
        </w:rPr>
      </w:pPr>
      <w:r>
        <w:rPr>
          <w:lang w:eastAsia="en-US"/>
        </w:rPr>
        <w:t>For more details please see the accompanying costing report prepared by DCWC.</w:t>
      </w:r>
    </w:p>
    <w:p w14:paraId="3B9EB469" w14:textId="77777777" w:rsidR="003D567A" w:rsidRDefault="00C27ED9" w:rsidP="00853897">
      <w:pPr>
        <w:pStyle w:val="BodyText"/>
        <w:rPr>
          <w:lang w:eastAsia="en-US"/>
        </w:rPr>
      </w:pPr>
      <w:r>
        <w:rPr>
          <w:lang w:eastAsia="en-US"/>
        </w:rPr>
        <w:t>Table 6.</w:t>
      </w:r>
      <w:r w:rsidR="00C65C3A">
        <w:rPr>
          <w:lang w:eastAsia="en-US"/>
        </w:rPr>
        <w:t xml:space="preserve">3 </w:t>
      </w:r>
      <w:r>
        <w:rPr>
          <w:lang w:eastAsia="en-US"/>
        </w:rPr>
        <w:t xml:space="preserve">compares additional construction cost estimates by DCWC with some estimates provided by responses </w:t>
      </w:r>
      <w:r w:rsidR="009720AD">
        <w:rPr>
          <w:lang w:eastAsia="en-US"/>
        </w:rPr>
        <w:t>received during</w:t>
      </w:r>
      <w:r>
        <w:rPr>
          <w:lang w:eastAsia="en-US"/>
        </w:rPr>
        <w:t xml:space="preserve"> public consultation. DCWC estimates are within the range of and closer to the lower end of those other estimates.</w:t>
      </w:r>
    </w:p>
    <w:p w14:paraId="527BF94F" w14:textId="74E02F94" w:rsidR="003D567A" w:rsidRDefault="00490F02" w:rsidP="0030289E">
      <w:pPr>
        <w:pStyle w:val="Caption"/>
        <w:ind w:left="568" w:hanging="568"/>
      </w:pPr>
      <w:bookmarkStart w:id="438" w:name="_Toc70505568"/>
      <w:bookmarkStart w:id="439" w:name="_Hlk52369838"/>
      <w:r>
        <w:t>6.3</w:t>
      </w:r>
      <w:r w:rsidR="003D567A" w:rsidRPr="00695C93">
        <w:tab/>
      </w:r>
      <w:r w:rsidR="00AC4174">
        <w:t>Comparison of e</w:t>
      </w:r>
      <w:r w:rsidR="003D567A">
        <w:t>stimate</w:t>
      </w:r>
      <w:r w:rsidR="00AC4174">
        <w:t>d</w:t>
      </w:r>
      <w:r w:rsidR="003D567A">
        <w:t xml:space="preserve"> additional construction cost to achieve relevant standard in new build</w:t>
      </w:r>
      <w:bookmarkEnd w:id="438"/>
    </w:p>
    <w:tbl>
      <w:tblPr>
        <w:tblW w:w="7938" w:type="dxa"/>
        <w:tblLook w:val="04A0" w:firstRow="1" w:lastRow="0" w:firstColumn="1" w:lastColumn="0" w:noHBand="0" w:noVBand="1"/>
        <w:tblCaption w:val="Table 6.3: Comparison of estimated additional construction cost to achieve relevant standard in new build"/>
        <w:tblDescription w:val="Table 6.3 compares additional construction cost estimates by DCWC with some estimates provided by responses received during public consultation. DCWC estimates are within the range of and closer to the lower end of those other estimates. The range of estimated additional costs for Silver is between $600 and $55,000, with the DCWC estimate being $3,800. For Gold the range is $5,000 to $55,000, with the DCWC estimate being $12,800. The only figure given for Gold+ is the DCWC estimate, which is $16,900."/>
      </w:tblPr>
      <w:tblGrid>
        <w:gridCol w:w="3828"/>
        <w:gridCol w:w="1742"/>
        <w:gridCol w:w="1184"/>
        <w:gridCol w:w="1184"/>
      </w:tblGrid>
      <w:tr w:rsidR="003D567A" w:rsidRPr="003D567A" w14:paraId="1F671925" w14:textId="77777777" w:rsidTr="00BD176C">
        <w:trPr>
          <w:trHeight w:val="252"/>
          <w:tblHeader/>
        </w:trPr>
        <w:tc>
          <w:tcPr>
            <w:tcW w:w="3828" w:type="dxa"/>
            <w:tcBorders>
              <w:bottom w:val="single" w:sz="8" w:space="0" w:color="FFFFFF" w:themeColor="background1"/>
            </w:tcBorders>
            <w:shd w:val="clear" w:color="auto" w:fill="6F6652"/>
            <w:noWrap/>
            <w:tcMar>
              <w:left w:w="57" w:type="dxa"/>
              <w:right w:w="57" w:type="dxa"/>
            </w:tcMar>
            <w:hideMark/>
          </w:tcPr>
          <w:p w14:paraId="79182B61" w14:textId="77777777" w:rsidR="003D567A" w:rsidRPr="00F66FEE" w:rsidRDefault="00367D1F" w:rsidP="00AC4174">
            <w:pPr>
              <w:pStyle w:val="TableDataColumnHeading"/>
              <w:jc w:val="left"/>
            </w:pPr>
            <w:r>
              <w:t>Source of costs</w:t>
            </w:r>
          </w:p>
        </w:tc>
        <w:tc>
          <w:tcPr>
            <w:tcW w:w="1742" w:type="dxa"/>
            <w:tcBorders>
              <w:bottom w:val="single" w:sz="8" w:space="0" w:color="FFFFFF" w:themeColor="background1"/>
            </w:tcBorders>
            <w:shd w:val="clear" w:color="auto" w:fill="6F6652"/>
            <w:noWrap/>
            <w:tcMar>
              <w:left w:w="57" w:type="dxa"/>
              <w:right w:w="57" w:type="dxa"/>
            </w:tcMar>
            <w:hideMark/>
          </w:tcPr>
          <w:p w14:paraId="2F4526B8" w14:textId="77777777" w:rsidR="003D567A" w:rsidRPr="003D567A" w:rsidRDefault="003D567A" w:rsidP="003D567A">
            <w:pPr>
              <w:pStyle w:val="TableDataColumnHeading"/>
              <w:rPr>
                <w:szCs w:val="16"/>
              </w:rPr>
            </w:pPr>
            <w:r w:rsidRPr="003D567A">
              <w:rPr>
                <w:szCs w:val="16"/>
              </w:rPr>
              <w:t>Silver</w:t>
            </w:r>
            <w:r>
              <w:rPr>
                <w:szCs w:val="16"/>
              </w:rPr>
              <w:br/>
            </w:r>
            <w:r w:rsidR="00851E1C">
              <w:rPr>
                <w:szCs w:val="16"/>
              </w:rPr>
              <w:t>(</w:t>
            </w:r>
            <w:r>
              <w:rPr>
                <w:szCs w:val="16"/>
              </w:rPr>
              <w:t>$ 000)</w:t>
            </w:r>
          </w:p>
        </w:tc>
        <w:tc>
          <w:tcPr>
            <w:tcW w:w="1184" w:type="dxa"/>
            <w:tcBorders>
              <w:bottom w:val="single" w:sz="8" w:space="0" w:color="FFFFFF" w:themeColor="background1"/>
            </w:tcBorders>
            <w:shd w:val="clear" w:color="auto" w:fill="6F6652"/>
            <w:noWrap/>
            <w:tcMar>
              <w:left w:w="57" w:type="dxa"/>
              <w:right w:w="57" w:type="dxa"/>
            </w:tcMar>
            <w:hideMark/>
          </w:tcPr>
          <w:p w14:paraId="0AEB2BB3" w14:textId="77777777" w:rsidR="003D567A" w:rsidRPr="003D567A" w:rsidRDefault="003D567A" w:rsidP="00AC4174">
            <w:pPr>
              <w:pStyle w:val="TableDataColumnHeading"/>
              <w:rPr>
                <w:szCs w:val="16"/>
              </w:rPr>
            </w:pPr>
            <w:r w:rsidRPr="003D567A">
              <w:rPr>
                <w:szCs w:val="16"/>
              </w:rPr>
              <w:t>Gold</w:t>
            </w:r>
            <w:r w:rsidR="00582365">
              <w:rPr>
                <w:szCs w:val="16"/>
              </w:rPr>
              <w:br/>
              <w:t>($ 000)</w:t>
            </w:r>
          </w:p>
        </w:tc>
        <w:tc>
          <w:tcPr>
            <w:tcW w:w="1184" w:type="dxa"/>
            <w:tcBorders>
              <w:bottom w:val="single" w:sz="8" w:space="0" w:color="FFFFFF" w:themeColor="background1"/>
            </w:tcBorders>
            <w:shd w:val="clear" w:color="auto" w:fill="6F6652"/>
            <w:noWrap/>
            <w:tcMar>
              <w:left w:w="57" w:type="dxa"/>
              <w:right w:w="57" w:type="dxa"/>
            </w:tcMar>
            <w:hideMark/>
          </w:tcPr>
          <w:p w14:paraId="7AF8371C" w14:textId="77777777" w:rsidR="003D567A" w:rsidRPr="003D567A" w:rsidRDefault="003D567A" w:rsidP="00AC4174">
            <w:pPr>
              <w:pStyle w:val="TableDataColumnHeading"/>
              <w:rPr>
                <w:szCs w:val="16"/>
              </w:rPr>
            </w:pPr>
            <w:r w:rsidRPr="003D567A">
              <w:rPr>
                <w:szCs w:val="16"/>
              </w:rPr>
              <w:t>Gold+</w:t>
            </w:r>
            <w:r w:rsidR="00582365">
              <w:rPr>
                <w:szCs w:val="16"/>
              </w:rPr>
              <w:br/>
              <w:t>($ 000)</w:t>
            </w:r>
          </w:p>
        </w:tc>
      </w:tr>
      <w:tr w:rsidR="003D567A" w:rsidRPr="00F66FEE" w14:paraId="1739BD83"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13C708A" w14:textId="77777777" w:rsidR="003D567A" w:rsidRPr="00F66FEE" w:rsidRDefault="003D567A" w:rsidP="00AC4174">
            <w:pPr>
              <w:pStyle w:val="TableUnit"/>
              <w:jc w:val="left"/>
            </w:pPr>
            <w:r w:rsidRPr="00F66FEE">
              <w:t>DCWC</w:t>
            </w:r>
            <w:r w:rsidRPr="00E4232C">
              <w:rPr>
                <w:rStyle w:val="NoteLabel"/>
              </w:rPr>
              <w:t xml:space="preserve"> a</w:t>
            </w:r>
          </w:p>
        </w:tc>
        <w:tc>
          <w:tcPr>
            <w:tcW w:w="174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6B63EA5" w14:textId="77777777" w:rsidR="003D567A" w:rsidRPr="00F66FEE" w:rsidRDefault="003D567A" w:rsidP="00AC4174">
            <w:pPr>
              <w:pStyle w:val="TableUnit"/>
            </w:pPr>
            <w:r>
              <w:t>3.8</w:t>
            </w:r>
          </w:p>
        </w:tc>
        <w:tc>
          <w:tcPr>
            <w:tcW w:w="118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88DF19E" w14:textId="77777777" w:rsidR="003D567A" w:rsidRPr="00F66FEE" w:rsidRDefault="003D567A" w:rsidP="00AC4174">
            <w:pPr>
              <w:pStyle w:val="TableUnit"/>
            </w:pPr>
            <w:r>
              <w:t>12.8</w:t>
            </w:r>
          </w:p>
        </w:tc>
        <w:tc>
          <w:tcPr>
            <w:tcW w:w="118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87B24A6" w14:textId="77777777" w:rsidR="003D567A" w:rsidRPr="00F66FEE" w:rsidRDefault="003D567A" w:rsidP="00AC4174">
            <w:pPr>
              <w:pStyle w:val="TableUnit"/>
            </w:pPr>
            <w:r>
              <w:t>16.9</w:t>
            </w:r>
          </w:p>
        </w:tc>
      </w:tr>
      <w:tr w:rsidR="003D567A" w:rsidRPr="00F66FEE" w14:paraId="0ABAF408"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280FD3" w14:textId="77777777" w:rsidR="003D567A" w:rsidRPr="00F66FEE" w:rsidRDefault="003D567A" w:rsidP="00AC4174">
            <w:pPr>
              <w:pStyle w:val="TableDataEntries"/>
              <w:jc w:val="left"/>
            </w:pPr>
            <w:r w:rsidRPr="00F66FEE">
              <w:t>WA Gov</w:t>
            </w:r>
            <w:r w:rsidR="00E8599C">
              <w:t>ernment</w:t>
            </w:r>
            <w:r w:rsidRPr="00F66FEE">
              <w:t xml:space="preserve"> social/comm housing</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F3E533" w14:textId="77777777" w:rsidR="003D567A" w:rsidRPr="00F66FEE" w:rsidRDefault="003D567A" w:rsidP="00AC4174">
            <w:pPr>
              <w:pStyle w:val="TableDataEntries"/>
            </w:pPr>
            <w:r>
              <w:t>0.6-2.5</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AC9D4F" w14:textId="77777777" w:rsidR="003D567A" w:rsidRPr="00F66FEE" w:rsidRDefault="003D567A" w:rsidP="00AC4174">
            <w:pPr>
              <w:pStyle w:val="TableDataEntries"/>
            </w:pPr>
            <w:r w:rsidRPr="00F66FEE">
              <w:t>-</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1BB9FC" w14:textId="77777777" w:rsidR="003D567A" w:rsidRPr="00F66FEE" w:rsidRDefault="003D567A" w:rsidP="00AC4174">
            <w:pPr>
              <w:pStyle w:val="TableDataEntries"/>
            </w:pPr>
            <w:r w:rsidRPr="00F66FEE">
              <w:t>-</w:t>
            </w:r>
          </w:p>
        </w:tc>
      </w:tr>
      <w:tr w:rsidR="003D567A" w:rsidRPr="00F66FEE" w14:paraId="1C76D60A"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309792" w14:textId="77777777" w:rsidR="003D567A" w:rsidRPr="00F66FEE" w:rsidRDefault="003D567A" w:rsidP="00AC4174">
            <w:pPr>
              <w:pStyle w:val="TableDataEntries"/>
              <w:jc w:val="left"/>
            </w:pPr>
            <w:r w:rsidRPr="00F66FEE">
              <w:t xml:space="preserve">Murphy </w:t>
            </w:r>
            <w:r w:rsidR="00E8599C">
              <w:t>H</w:t>
            </w:r>
            <w:r w:rsidR="00E8599C" w:rsidRPr="00F66FEE">
              <w:t>omes</w:t>
            </w:r>
            <w:r w:rsidR="00E8599C">
              <w:t xml:space="preserve"> </w:t>
            </w:r>
            <w:r>
              <w:t>(reported by P2P QLD)</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338C84" w14:textId="77777777" w:rsidR="003D567A" w:rsidRPr="00F66FEE" w:rsidRDefault="003D567A" w:rsidP="00AC4174">
            <w:pPr>
              <w:pStyle w:val="TableDataEntries"/>
            </w:pPr>
            <w:r w:rsidRPr="00F66FEE">
              <w:t>3</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A25A93" w14:textId="77777777" w:rsidR="003D567A" w:rsidRPr="00F66FEE" w:rsidRDefault="003D567A" w:rsidP="00AC4174">
            <w:pPr>
              <w:pStyle w:val="TableDataEntries"/>
            </w:pPr>
            <w:r w:rsidRPr="00F66FEE">
              <w:t>-</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79A333" w14:textId="77777777" w:rsidR="003D567A" w:rsidRPr="00F66FEE" w:rsidRDefault="003D567A" w:rsidP="00AC4174">
            <w:pPr>
              <w:pStyle w:val="TableDataEntries"/>
            </w:pPr>
            <w:r w:rsidRPr="00F66FEE">
              <w:t>-</w:t>
            </w:r>
          </w:p>
        </w:tc>
      </w:tr>
      <w:tr w:rsidR="003D567A" w:rsidRPr="00F66FEE" w14:paraId="5D21AF9B"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FDF083" w14:textId="77777777" w:rsidR="003D567A" w:rsidRPr="00F66FEE" w:rsidRDefault="00C27ED9" w:rsidP="00AC4174">
            <w:pPr>
              <w:pStyle w:val="TableTextEntries"/>
            </w:pPr>
            <w:r>
              <w:t>C</w:t>
            </w:r>
            <w:r w:rsidR="003D567A">
              <w:t xml:space="preserve">ommunity Housing Industry Association </w:t>
            </w:r>
            <w:r>
              <w:t>(CHIA)</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0091E1" w14:textId="77777777" w:rsidR="003D567A" w:rsidRPr="00F66FEE" w:rsidRDefault="00C27ED9" w:rsidP="00AC4174">
            <w:pPr>
              <w:pStyle w:val="TableDataEntries"/>
            </w:pPr>
            <w:r>
              <w:t>5.4-</w:t>
            </w:r>
            <w:r w:rsidR="003D567A" w:rsidRPr="00F66FEE">
              <w:t>6</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E938BC" w14:textId="77777777" w:rsidR="003D567A" w:rsidRPr="00F66FEE" w:rsidRDefault="00C27ED9" w:rsidP="00AC4174">
            <w:pPr>
              <w:pStyle w:val="TableDataEntries"/>
            </w:pPr>
            <w:r>
              <w:t>27</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324F87" w14:textId="77777777" w:rsidR="003D567A" w:rsidRPr="00F66FEE" w:rsidRDefault="003D567A" w:rsidP="00AC4174">
            <w:pPr>
              <w:pStyle w:val="TableDataEntries"/>
            </w:pPr>
            <w:r w:rsidRPr="00F66FEE">
              <w:t>-</w:t>
            </w:r>
          </w:p>
        </w:tc>
      </w:tr>
      <w:tr w:rsidR="003D567A" w:rsidRPr="00F66FEE" w14:paraId="6EE1B56F"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05AA4AC" w14:textId="77777777" w:rsidR="003D567A" w:rsidRDefault="003D567A" w:rsidP="00AC4174">
            <w:pPr>
              <w:pStyle w:val="TableDataEntries"/>
              <w:jc w:val="left"/>
            </w:pPr>
            <w:r>
              <w:t>Individual HIA member</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06C52BE" w14:textId="77777777" w:rsidR="003D567A" w:rsidRDefault="003D567A" w:rsidP="00AC4174">
            <w:pPr>
              <w:pStyle w:val="TableDataEntries"/>
            </w:pPr>
            <w:r>
              <w:t>15</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6AF3165" w14:textId="77777777" w:rsidR="003D567A" w:rsidRDefault="003D567A" w:rsidP="00AC4174">
            <w:pPr>
              <w:pStyle w:val="TableDataEntries"/>
            </w:pP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A06B885" w14:textId="77777777" w:rsidR="003D567A" w:rsidRPr="00F66FEE" w:rsidRDefault="003D567A" w:rsidP="00AC4174">
            <w:pPr>
              <w:pStyle w:val="TableDataEntries"/>
            </w:pPr>
          </w:p>
        </w:tc>
      </w:tr>
      <w:tr w:rsidR="003D567A" w:rsidRPr="00F66FEE" w14:paraId="1469FB0A"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FA4B8C" w14:textId="77777777" w:rsidR="003D567A" w:rsidRPr="00F66FEE" w:rsidRDefault="00E8599C" w:rsidP="00AC4174">
            <w:pPr>
              <w:pStyle w:val="TableDataEntries"/>
              <w:jc w:val="left"/>
            </w:pPr>
            <w:r>
              <w:t xml:space="preserve">A </w:t>
            </w:r>
            <w:r w:rsidR="003D567A">
              <w:t>home</w:t>
            </w:r>
            <w:r>
              <w:t xml:space="preserve"> builder</w:t>
            </w:r>
            <w:r w:rsidR="003D567A">
              <w:rPr>
                <w:rStyle w:val="NoteLabel"/>
              </w:rPr>
              <w:t xml:space="preserve"> b</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312D2D" w14:textId="77777777" w:rsidR="003D567A" w:rsidRPr="00F66FEE" w:rsidRDefault="003D567A" w:rsidP="00AC4174">
            <w:pPr>
              <w:pStyle w:val="TableDataEntries"/>
            </w:pPr>
            <w:r w:rsidRPr="00F66FEE">
              <w:t>-</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9EDFBB" w14:textId="77777777" w:rsidR="003D567A" w:rsidRPr="00F66FEE" w:rsidRDefault="003D567A" w:rsidP="00AC4174">
            <w:pPr>
              <w:pStyle w:val="TableDataEntries"/>
            </w:pPr>
            <w:r>
              <w:t>20</w:t>
            </w:r>
            <w:r>
              <w:rPr>
                <w:rStyle w:val="NoteLabel"/>
              </w:rPr>
              <w:t xml:space="preserve"> b</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9CE3F" w14:textId="77777777" w:rsidR="003D567A" w:rsidRPr="00F66FEE" w:rsidRDefault="003D567A" w:rsidP="00AC4174">
            <w:pPr>
              <w:pStyle w:val="TableDataEntries"/>
            </w:pPr>
            <w:r w:rsidRPr="00F66FEE">
              <w:t>-</w:t>
            </w:r>
          </w:p>
        </w:tc>
      </w:tr>
      <w:tr w:rsidR="00C27ED9" w:rsidRPr="00F66FEE" w14:paraId="6B236342"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0D0724B" w14:textId="77777777" w:rsidR="00C27ED9" w:rsidRDefault="00C27ED9" w:rsidP="00AC4174">
            <w:pPr>
              <w:pStyle w:val="TableDataEntries"/>
              <w:jc w:val="left"/>
            </w:pPr>
            <w:r>
              <w:t>Meriton</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7BD81EA" w14:textId="77777777" w:rsidR="00C27ED9" w:rsidRDefault="00C27ED9" w:rsidP="00AC4174">
            <w:pPr>
              <w:pStyle w:val="TableDataEntries"/>
            </w:pP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C2D993D" w14:textId="77777777" w:rsidR="00C27ED9" w:rsidRDefault="00C27ED9" w:rsidP="00AC4174">
            <w:pPr>
              <w:pStyle w:val="TableDataEntries"/>
            </w:pPr>
            <w:r>
              <w:t>36.5-41</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C5CB1F1" w14:textId="77777777" w:rsidR="00C27ED9" w:rsidRPr="00F66FEE" w:rsidRDefault="00C27ED9" w:rsidP="00AC4174">
            <w:pPr>
              <w:pStyle w:val="TableDataEntries"/>
            </w:pPr>
          </w:p>
        </w:tc>
      </w:tr>
      <w:tr w:rsidR="003D567A" w:rsidRPr="00F66FEE" w14:paraId="5E65C32F" w14:textId="77777777" w:rsidTr="00E8599C">
        <w:trPr>
          <w:trHeight w:val="252"/>
        </w:trPr>
        <w:tc>
          <w:tcPr>
            <w:tcW w:w="38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7A3CCB8" w14:textId="77777777" w:rsidR="003D567A" w:rsidRDefault="003D567A" w:rsidP="00AC4174">
            <w:pPr>
              <w:pStyle w:val="TableDataEntries"/>
              <w:jc w:val="left"/>
            </w:pPr>
            <w:r>
              <w:lastRenderedPageBreak/>
              <w:t>HIA members (summary across members)</w:t>
            </w:r>
          </w:p>
        </w:tc>
        <w:tc>
          <w:tcPr>
            <w:tcW w:w="17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1F17E7D" w14:textId="77777777" w:rsidR="003D567A" w:rsidRPr="00F66FEE" w:rsidRDefault="003D567A" w:rsidP="00AC4174">
            <w:pPr>
              <w:pStyle w:val="TableDataEntries"/>
            </w:pPr>
            <w:r>
              <w:t>5-40</w:t>
            </w:r>
            <w:r>
              <w:rPr>
                <w:rStyle w:val="NoteLabel"/>
              </w:rPr>
              <w:t xml:space="preserve"> c</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88E84D5" w14:textId="77777777" w:rsidR="003D567A" w:rsidRPr="00F66FEE" w:rsidRDefault="003D567A" w:rsidP="00AC4174">
            <w:pPr>
              <w:pStyle w:val="TableDataEntries"/>
            </w:pPr>
            <w:r>
              <w:t>5-40</w:t>
            </w:r>
            <w:r>
              <w:rPr>
                <w:rStyle w:val="NoteLabel"/>
              </w:rPr>
              <w:t xml:space="preserve"> c</w:t>
            </w:r>
          </w:p>
        </w:tc>
        <w:tc>
          <w:tcPr>
            <w:tcW w:w="11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E8AD04B" w14:textId="77777777" w:rsidR="003D567A" w:rsidRPr="00F66FEE" w:rsidRDefault="003D567A" w:rsidP="00AC4174">
            <w:pPr>
              <w:pStyle w:val="TableDataEntries"/>
            </w:pPr>
          </w:p>
        </w:tc>
      </w:tr>
      <w:tr w:rsidR="003D567A" w:rsidRPr="00F66FEE" w14:paraId="2BE6B92D" w14:textId="77777777" w:rsidTr="00E8599C">
        <w:trPr>
          <w:trHeight w:val="252"/>
        </w:trPr>
        <w:tc>
          <w:tcPr>
            <w:tcW w:w="3828"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00FDB852" w14:textId="77777777" w:rsidR="003D567A" w:rsidRPr="00F66FEE" w:rsidRDefault="00E8599C" w:rsidP="00AC4174">
            <w:pPr>
              <w:pStyle w:val="TableDataEntries"/>
              <w:jc w:val="left"/>
            </w:pPr>
            <w:r>
              <w:t>Industry</w:t>
            </w:r>
            <w:r w:rsidR="003D567A" w:rsidRPr="00F66FEE">
              <w:t xml:space="preserve"> members</w:t>
            </w:r>
            <w:r w:rsidR="003D567A">
              <w:t xml:space="preserve"> </w:t>
            </w:r>
          </w:p>
        </w:tc>
        <w:tc>
          <w:tcPr>
            <w:tcW w:w="1742"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2094D7E4" w14:textId="77777777" w:rsidR="003D567A" w:rsidRPr="00F66FEE" w:rsidRDefault="003D567A" w:rsidP="00AC4174">
            <w:pPr>
              <w:pStyle w:val="TableDataEntries"/>
            </w:pPr>
            <w:r>
              <w:t>&gt;55</w:t>
            </w:r>
            <w:r>
              <w:rPr>
                <w:rStyle w:val="NoteLabel"/>
              </w:rPr>
              <w:t xml:space="preserve"> c</w:t>
            </w:r>
          </w:p>
        </w:tc>
        <w:tc>
          <w:tcPr>
            <w:tcW w:w="1184"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092AFEDA" w14:textId="77777777" w:rsidR="003D567A" w:rsidRPr="00F66FEE" w:rsidRDefault="003D567A" w:rsidP="00AC4174">
            <w:pPr>
              <w:pStyle w:val="TableDataEntries"/>
            </w:pPr>
            <w:r>
              <w:t>&gt;55</w:t>
            </w:r>
            <w:r>
              <w:rPr>
                <w:rStyle w:val="NoteLabel"/>
              </w:rPr>
              <w:t xml:space="preserve"> c</w:t>
            </w:r>
          </w:p>
        </w:tc>
        <w:tc>
          <w:tcPr>
            <w:tcW w:w="1184"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517FB8F0" w14:textId="77777777" w:rsidR="003D567A" w:rsidRPr="00F66FEE" w:rsidRDefault="003D567A" w:rsidP="00AC4174">
            <w:pPr>
              <w:pStyle w:val="TableDataEntries"/>
            </w:pPr>
          </w:p>
        </w:tc>
      </w:tr>
    </w:tbl>
    <w:p w14:paraId="4D5AB762" w14:textId="77777777" w:rsidR="003D567A" w:rsidRPr="00E4232C" w:rsidRDefault="003D567A" w:rsidP="003D567A">
      <w:pPr>
        <w:pStyle w:val="Note"/>
      </w:pPr>
      <w:r w:rsidRPr="00E4232C">
        <w:rPr>
          <w:rStyle w:val="NoteLabel"/>
        </w:rPr>
        <w:t>a</w:t>
      </w:r>
      <w:r>
        <w:t xml:space="preserve"> weighted average across dwelling types</w:t>
      </w:r>
    </w:p>
    <w:p w14:paraId="2C3A01BF" w14:textId="77777777" w:rsidR="003D567A" w:rsidRDefault="003D567A" w:rsidP="003D567A">
      <w:pPr>
        <w:pStyle w:val="Note"/>
      </w:pPr>
      <w:r>
        <w:rPr>
          <w:rStyle w:val="NoteLabel"/>
        </w:rPr>
        <w:t>b</w:t>
      </w:r>
      <w:r>
        <w:t xml:space="preserve"> </w:t>
      </w:r>
      <w:r w:rsidRPr="00F66FEE">
        <w:t>upgrade home to AS128.</w:t>
      </w:r>
      <w:r>
        <w:t>1</w:t>
      </w:r>
    </w:p>
    <w:p w14:paraId="4861B961" w14:textId="77777777" w:rsidR="003D567A" w:rsidRPr="00145547" w:rsidRDefault="003D567A" w:rsidP="003D567A">
      <w:pPr>
        <w:pStyle w:val="Note"/>
      </w:pPr>
      <w:r>
        <w:rPr>
          <w:rStyle w:val="NoteLabel"/>
        </w:rPr>
        <w:t>c</w:t>
      </w:r>
      <w:r>
        <w:t xml:space="preserve"> It</w:t>
      </w:r>
      <w:r w:rsidR="00145547">
        <w:t>’</w:t>
      </w:r>
      <w:r>
        <w:t xml:space="preserve">s </w:t>
      </w:r>
      <w:r w:rsidRPr="00145547">
        <w:t>unclear which standard-level these estimates refer to</w:t>
      </w:r>
    </w:p>
    <w:p w14:paraId="68119288" w14:textId="77777777" w:rsidR="003D567A" w:rsidRPr="00145547" w:rsidRDefault="003D567A" w:rsidP="003D567A">
      <w:pPr>
        <w:pStyle w:val="Source"/>
        <w:rPr>
          <w:lang w:bidi="fa-IR"/>
        </w:rPr>
      </w:pPr>
      <w:r w:rsidRPr="00145547">
        <w:rPr>
          <w:lang w:bidi="fa-IR"/>
        </w:rPr>
        <w:t>Note: Basis of estimates (houses, apartments) vary across submitters and in some cases it Is not clear</w:t>
      </w:r>
    </w:p>
    <w:p w14:paraId="052F5283" w14:textId="77777777" w:rsidR="003D567A" w:rsidRPr="00145547" w:rsidRDefault="003D567A" w:rsidP="003D567A">
      <w:pPr>
        <w:pStyle w:val="Source"/>
        <w:rPr>
          <w:lang w:bidi="fa-IR"/>
        </w:rPr>
      </w:pPr>
      <w:r w:rsidRPr="00145547">
        <w:rPr>
          <w:lang w:bidi="fa-IR"/>
        </w:rPr>
        <w:t>Source: CIE</w:t>
      </w:r>
      <w:bookmarkEnd w:id="439"/>
      <w:r w:rsidR="001122BD" w:rsidRPr="00145547">
        <w:rPr>
          <w:lang w:bidi="fa-IR"/>
        </w:rPr>
        <w:t xml:space="preserve"> based on DCWC and submissions</w:t>
      </w:r>
    </w:p>
    <w:p w14:paraId="037D1CAC" w14:textId="77777777" w:rsidR="002C0556" w:rsidRPr="00461CAD" w:rsidRDefault="00853897" w:rsidP="00853897">
      <w:pPr>
        <w:pStyle w:val="BodyText"/>
        <w:rPr>
          <w:lang w:eastAsia="en-US"/>
        </w:rPr>
      </w:pPr>
      <w:r>
        <w:rPr>
          <w:lang w:eastAsia="en-US"/>
        </w:rPr>
        <w:t xml:space="preserve">The </w:t>
      </w:r>
      <w:r w:rsidR="009720AD">
        <w:rPr>
          <w:lang w:eastAsia="en-US"/>
        </w:rPr>
        <w:t xml:space="preserve">estimated </w:t>
      </w:r>
      <w:r>
        <w:rPr>
          <w:lang w:eastAsia="en-US"/>
        </w:rPr>
        <w:t xml:space="preserve">aggregate costs over time are </w:t>
      </w:r>
      <w:r w:rsidR="009720AD">
        <w:rPr>
          <w:lang w:eastAsia="en-US"/>
        </w:rPr>
        <w:t>calculat</w:t>
      </w:r>
      <w:r>
        <w:rPr>
          <w:lang w:eastAsia="en-US"/>
        </w:rPr>
        <w:t xml:space="preserve">ed by multiplying these per dwelling cost estimates by the </w:t>
      </w:r>
      <w:r w:rsidR="009720AD">
        <w:rPr>
          <w:lang w:eastAsia="en-US"/>
        </w:rPr>
        <w:t xml:space="preserve">number of </w:t>
      </w:r>
      <w:r>
        <w:rPr>
          <w:lang w:eastAsia="en-US"/>
        </w:rPr>
        <w:t>dwelling</w:t>
      </w:r>
      <w:r w:rsidR="009720AD">
        <w:rPr>
          <w:lang w:eastAsia="en-US"/>
        </w:rPr>
        <w:t>s</w:t>
      </w:r>
      <w:r>
        <w:rPr>
          <w:lang w:eastAsia="en-US"/>
        </w:rPr>
        <w:t xml:space="preserve"> </w:t>
      </w:r>
      <w:r w:rsidR="009720AD">
        <w:rPr>
          <w:lang w:eastAsia="en-US"/>
        </w:rPr>
        <w:t xml:space="preserve">expected to be built as projected and shown </w:t>
      </w:r>
      <w:r w:rsidR="006C2309">
        <w:rPr>
          <w:lang w:eastAsia="en-US"/>
        </w:rPr>
        <w:t xml:space="preserve">in </w:t>
      </w:r>
      <w:r w:rsidR="00624AB5">
        <w:rPr>
          <w:lang w:eastAsia="en-US"/>
        </w:rPr>
        <w:t>c</w:t>
      </w:r>
      <w:r>
        <w:rPr>
          <w:lang w:eastAsia="en-US"/>
        </w:rPr>
        <w:t xml:space="preserve">hart </w:t>
      </w:r>
      <w:r w:rsidR="0024138D">
        <w:rPr>
          <w:lang w:eastAsia="en-US"/>
        </w:rPr>
        <w:t>5</w:t>
      </w:r>
      <w:r>
        <w:rPr>
          <w:lang w:eastAsia="en-US"/>
        </w:rPr>
        <w:t>.</w:t>
      </w:r>
      <w:r w:rsidR="00C65C3A">
        <w:rPr>
          <w:lang w:eastAsia="en-US"/>
        </w:rPr>
        <w:t xml:space="preserve">2 </w:t>
      </w:r>
      <w:r w:rsidR="006C2309">
        <w:rPr>
          <w:lang w:eastAsia="en-US"/>
        </w:rPr>
        <w:t>in the previous chapter</w:t>
      </w:r>
      <w:r>
        <w:rPr>
          <w:lang w:eastAsia="en-US"/>
        </w:rPr>
        <w:t>).</w:t>
      </w:r>
    </w:p>
    <w:p w14:paraId="71C1A4FC" w14:textId="77777777" w:rsidR="00853897" w:rsidRDefault="00853897" w:rsidP="00853897">
      <w:pPr>
        <w:pStyle w:val="Heading3"/>
        <w:numPr>
          <w:ilvl w:val="2"/>
          <w:numId w:val="5"/>
        </w:numPr>
      </w:pPr>
      <w:r>
        <w:t>Additional construction costs</w:t>
      </w:r>
    </w:p>
    <w:p w14:paraId="2CE341B9" w14:textId="77777777" w:rsidR="00853897" w:rsidRDefault="00853897" w:rsidP="00853897">
      <w:pPr>
        <w:pStyle w:val="BodyText"/>
      </w:pPr>
      <w:r>
        <w:t xml:space="preserve">A key challenge in estimating the additional costs associated with complying with the proposed standards is sufficiently capturing variation across dwellings. </w:t>
      </w:r>
      <w:r w:rsidR="005A3AAC">
        <w:t>While i</w:t>
      </w:r>
      <w:r>
        <w:t xml:space="preserve">t is </w:t>
      </w:r>
      <w:r w:rsidR="005A3AAC">
        <w:t>difficult</w:t>
      </w:r>
      <w:r>
        <w:t xml:space="preserve"> to capture all of the variation</w:t>
      </w:r>
      <w:r w:rsidR="0090406D">
        <w:t>s</w:t>
      </w:r>
      <w:r w:rsidR="005A3AAC">
        <w:t>,</w:t>
      </w:r>
      <w:r>
        <w:t xml:space="preserve"> it is important that the estimates are broadly representative of the additional costs across dwellings.</w:t>
      </w:r>
    </w:p>
    <w:p w14:paraId="255D1885" w14:textId="77777777" w:rsidR="00853897" w:rsidRDefault="00853897" w:rsidP="00853897">
      <w:pPr>
        <w:pStyle w:val="Heading4"/>
      </w:pPr>
      <w:r>
        <w:t>Approach to costings</w:t>
      </w:r>
    </w:p>
    <w:p w14:paraId="7F8276A3" w14:textId="77777777" w:rsidR="00853897" w:rsidRDefault="00853897" w:rsidP="00853897">
      <w:pPr>
        <w:pStyle w:val="BodyText"/>
      </w:pPr>
      <w:r>
        <w:t xml:space="preserve">The </w:t>
      </w:r>
      <w:r w:rsidR="005B4AF7">
        <w:t>ABCB</w:t>
      </w:r>
      <w:r>
        <w:t xml:space="preserve"> engaged DCWC to prepare estimates of the additional cost of meeting the proposed accessibility standards. DCWC ha</w:t>
      </w:r>
      <w:r w:rsidR="005A3AAC">
        <w:t>s</w:t>
      </w:r>
      <w:r>
        <w:t xml:space="preserve"> estimated the additional costs for 5 different dwelling archetypes:</w:t>
      </w:r>
    </w:p>
    <w:p w14:paraId="4B0E40A1" w14:textId="77777777" w:rsidR="00853897" w:rsidRDefault="00853897" w:rsidP="00853897">
      <w:pPr>
        <w:pStyle w:val="ListBullet"/>
        <w:numPr>
          <w:ilvl w:val="0"/>
          <w:numId w:val="16"/>
        </w:numPr>
      </w:pPr>
      <w:r>
        <w:t>2 separate houses</w:t>
      </w:r>
      <w:r w:rsidR="0090406D">
        <w:t xml:space="preserve"> (</w:t>
      </w:r>
      <w:r w:rsidR="00623FE0">
        <w:t>C</w:t>
      </w:r>
      <w:r w:rsidR="0090406D">
        <w:t>lass 1a dwellings)</w:t>
      </w:r>
      <w:r>
        <w:t>, including:</w:t>
      </w:r>
    </w:p>
    <w:p w14:paraId="7CD22C3D" w14:textId="77777777" w:rsidR="00853897" w:rsidRDefault="00853897" w:rsidP="00853897">
      <w:pPr>
        <w:pStyle w:val="ListBullet2"/>
        <w:numPr>
          <w:ilvl w:val="1"/>
          <w:numId w:val="16"/>
        </w:numPr>
        <w:ind w:left="568" w:hanging="284"/>
      </w:pPr>
      <w:r>
        <w:t>a ‘custom built’ house</w:t>
      </w:r>
    </w:p>
    <w:p w14:paraId="25F81281" w14:textId="77777777" w:rsidR="00853897" w:rsidRDefault="00853897" w:rsidP="00853897">
      <w:pPr>
        <w:pStyle w:val="ListBullet2"/>
        <w:numPr>
          <w:ilvl w:val="1"/>
          <w:numId w:val="16"/>
        </w:numPr>
        <w:ind w:left="568" w:hanging="284"/>
      </w:pPr>
      <w:r>
        <w:t>a typical volume builder house</w:t>
      </w:r>
    </w:p>
    <w:p w14:paraId="38EA9988" w14:textId="77777777" w:rsidR="00853897" w:rsidRDefault="00853897" w:rsidP="00853897">
      <w:pPr>
        <w:pStyle w:val="ListBullet"/>
        <w:numPr>
          <w:ilvl w:val="0"/>
          <w:numId w:val="16"/>
        </w:numPr>
      </w:pPr>
      <w:r>
        <w:t>a townhouse</w:t>
      </w:r>
      <w:r w:rsidR="0090406D">
        <w:t xml:space="preserve"> (</w:t>
      </w:r>
      <w:r w:rsidR="00623FE0">
        <w:t>C</w:t>
      </w:r>
      <w:r w:rsidR="0090406D">
        <w:t>lass 1a dwelling)</w:t>
      </w:r>
    </w:p>
    <w:p w14:paraId="1B10D8DD" w14:textId="77777777" w:rsidR="00853897" w:rsidRDefault="00853897" w:rsidP="00853897">
      <w:pPr>
        <w:pStyle w:val="ListBullet"/>
        <w:numPr>
          <w:ilvl w:val="0"/>
          <w:numId w:val="16"/>
        </w:numPr>
      </w:pPr>
      <w:r>
        <w:t>2 apartments</w:t>
      </w:r>
      <w:r w:rsidR="0090406D">
        <w:t xml:space="preserve"> (</w:t>
      </w:r>
      <w:r w:rsidR="00623FE0">
        <w:t>C</w:t>
      </w:r>
      <w:r w:rsidR="0090406D">
        <w:t>lass 2 dwellings)</w:t>
      </w:r>
      <w:r>
        <w:t>, including</w:t>
      </w:r>
    </w:p>
    <w:p w14:paraId="705C63AF" w14:textId="77777777" w:rsidR="00853897" w:rsidRDefault="00853897" w:rsidP="00853897">
      <w:pPr>
        <w:pStyle w:val="ListBullet2"/>
        <w:numPr>
          <w:ilvl w:val="1"/>
          <w:numId w:val="16"/>
        </w:numPr>
        <w:ind w:left="568" w:hanging="284"/>
      </w:pPr>
      <w:r>
        <w:t>an apartment in a 3</w:t>
      </w:r>
      <w:r>
        <w:noBreakHyphen/>
        <w:t>storey ‘walk</w:t>
      </w:r>
      <w:r>
        <w:noBreakHyphen/>
        <w:t xml:space="preserve">up’ </w:t>
      </w:r>
    </w:p>
    <w:p w14:paraId="236922C4" w14:textId="77777777" w:rsidR="00853897" w:rsidRDefault="00853897" w:rsidP="00853897">
      <w:pPr>
        <w:pStyle w:val="ListBullet2"/>
        <w:numPr>
          <w:ilvl w:val="1"/>
          <w:numId w:val="16"/>
        </w:numPr>
        <w:ind w:left="568" w:hanging="284"/>
      </w:pPr>
      <w:r>
        <w:t xml:space="preserve">an apartment in a 4+ storey building (which would </w:t>
      </w:r>
      <w:r w:rsidR="00421A2F">
        <w:t xml:space="preserve">typically include </w:t>
      </w:r>
      <w:r>
        <w:t>a lift).</w:t>
      </w:r>
    </w:p>
    <w:p w14:paraId="13678C27" w14:textId="77777777" w:rsidR="00853897" w:rsidRDefault="00853897" w:rsidP="00853897">
      <w:pPr>
        <w:pStyle w:val="BodyText"/>
      </w:pPr>
      <w:r>
        <w:t>To account for the variation across buildings within each building type</w:t>
      </w:r>
      <w:r w:rsidR="00102087">
        <w:t xml:space="preserve"> (archetype)</w:t>
      </w:r>
      <w:r>
        <w:t>, DCWC estimated the weighted average cost of complying with each design element covered by the relevant standard. DCWC</w:t>
      </w:r>
      <w:r w:rsidR="00AA67C8">
        <w:t>:</w:t>
      </w:r>
    </w:p>
    <w:p w14:paraId="06786A92" w14:textId="77777777" w:rsidR="00853897" w:rsidRDefault="00853897" w:rsidP="00853897">
      <w:pPr>
        <w:pStyle w:val="ListBullet"/>
        <w:numPr>
          <w:ilvl w:val="0"/>
          <w:numId w:val="16"/>
        </w:numPr>
      </w:pPr>
      <w:r>
        <w:t xml:space="preserve">identified a range of scenarios (reflecting the </w:t>
      </w:r>
      <w:r w:rsidR="0090406D">
        <w:t>current</w:t>
      </w:r>
      <w:r>
        <w:t xml:space="preserve"> levels of compliance under the baseline, e.g. non-compliant, Silver compliant, or Gold and Gold+ compliant, and different ways to achieve compliance</w:t>
      </w:r>
      <w:r w:rsidR="0090406D">
        <w:t xml:space="preserve"> at these levels</w:t>
      </w:r>
      <w:r>
        <w:t>)</w:t>
      </w:r>
    </w:p>
    <w:p w14:paraId="549D1192" w14:textId="77777777" w:rsidR="00853897" w:rsidRDefault="00853897" w:rsidP="00853897">
      <w:pPr>
        <w:pStyle w:val="ListBullet"/>
        <w:numPr>
          <w:ilvl w:val="0"/>
          <w:numId w:val="16"/>
        </w:numPr>
      </w:pPr>
      <w:r>
        <w:t>estimated the cost of complying with the relevant standard under each scenario</w:t>
      </w:r>
    </w:p>
    <w:p w14:paraId="28B7E02A" w14:textId="77777777" w:rsidR="00853897" w:rsidRDefault="00853897" w:rsidP="00853897">
      <w:pPr>
        <w:pStyle w:val="ListBullet"/>
        <w:numPr>
          <w:ilvl w:val="0"/>
          <w:numId w:val="16"/>
        </w:numPr>
      </w:pPr>
      <w:r>
        <w:t xml:space="preserve">estimated the share of dwellings that </w:t>
      </w:r>
      <w:r w:rsidR="005A3AAC">
        <w:t>are represented by</w:t>
      </w:r>
      <w:r>
        <w:t xml:space="preserve"> each scenario (these estimates were used as weightings to estimate the weighted average cost across the various scenarios)</w:t>
      </w:r>
      <w:r w:rsidR="00102087">
        <w:t xml:space="preserve"> for each design element in each archetype</w:t>
      </w:r>
      <w:r>
        <w:t>.</w:t>
      </w:r>
    </w:p>
    <w:p w14:paraId="311F61BB" w14:textId="77777777" w:rsidR="00853897" w:rsidRDefault="00853897" w:rsidP="00853897">
      <w:pPr>
        <w:pStyle w:val="Heading4"/>
      </w:pPr>
      <w:r>
        <w:lastRenderedPageBreak/>
        <w:t>DCWC cost estimates</w:t>
      </w:r>
    </w:p>
    <w:p w14:paraId="1BF51ECC" w14:textId="77777777" w:rsidR="00853897" w:rsidRDefault="00853897" w:rsidP="00853897">
      <w:pPr>
        <w:pStyle w:val="BodyText"/>
      </w:pPr>
      <w:r w:rsidRPr="00307D48">
        <w:t>DCWC</w:t>
      </w:r>
      <w:r w:rsidR="006C5646" w:rsidRPr="00307D48">
        <w:t xml:space="preserve"> ha</w:t>
      </w:r>
      <w:r w:rsidRPr="00307D48">
        <w:t xml:space="preserve">s </w:t>
      </w:r>
      <w:r w:rsidR="006C5646" w:rsidRPr="00307D48">
        <w:t xml:space="preserve">provided detailed </w:t>
      </w:r>
      <w:r w:rsidRPr="00307D48">
        <w:t xml:space="preserve">cost estimates </w:t>
      </w:r>
      <w:r w:rsidR="006C5646" w:rsidRPr="00307D48">
        <w:t xml:space="preserve">and discussion </w:t>
      </w:r>
      <w:r w:rsidRPr="00307D48">
        <w:t>in the</w:t>
      </w:r>
      <w:r w:rsidR="006C5646" w:rsidRPr="00307D48">
        <w:t>ir</w:t>
      </w:r>
      <w:r w:rsidRPr="00307D48">
        <w:t xml:space="preserve"> accompanying report.</w:t>
      </w:r>
      <w:r w:rsidR="006C5646" w:rsidRPr="00307D48">
        <w:rPr>
          <w:rStyle w:val="FootnoteReference"/>
        </w:rPr>
        <w:footnoteReference w:id="194"/>
      </w:r>
      <w:r w:rsidR="0090406D">
        <w:t xml:space="preserve"> </w:t>
      </w:r>
    </w:p>
    <w:p w14:paraId="25AB461D" w14:textId="77777777" w:rsidR="00853897" w:rsidRDefault="00853897" w:rsidP="00853897">
      <w:pPr>
        <w:pStyle w:val="Heading3"/>
        <w:numPr>
          <w:ilvl w:val="2"/>
          <w:numId w:val="5"/>
        </w:numPr>
      </w:pPr>
      <w:r>
        <w:t>Space</w:t>
      </w:r>
      <w:r>
        <w:noBreakHyphen/>
        <w:t>related costs</w:t>
      </w:r>
    </w:p>
    <w:p w14:paraId="36AD7D62" w14:textId="77777777" w:rsidR="00853897" w:rsidRDefault="00853897" w:rsidP="00853897">
      <w:pPr>
        <w:pStyle w:val="BodyText"/>
      </w:pPr>
      <w:r>
        <w:t xml:space="preserve">Several accessible design elements have the effect of widening entry passages and increasing garages and bathroom sizes, compared to existing practice. </w:t>
      </w:r>
    </w:p>
    <w:p w14:paraId="38AFF0F1" w14:textId="77777777" w:rsidR="00853897" w:rsidRDefault="00853897" w:rsidP="00853897">
      <w:pPr>
        <w:pStyle w:val="BodyText"/>
      </w:pPr>
      <w:r>
        <w:t xml:space="preserve">There are </w:t>
      </w:r>
      <w:r w:rsidR="00120C99">
        <w:t>generally two</w:t>
      </w:r>
      <w:r>
        <w:t xml:space="preserve"> ways that these additional space requirements could be accommodated:</w:t>
      </w:r>
    </w:p>
    <w:p w14:paraId="50BB2D4F" w14:textId="77777777" w:rsidR="00853897" w:rsidRDefault="00853897" w:rsidP="00853897">
      <w:pPr>
        <w:pStyle w:val="ListBullet"/>
        <w:numPr>
          <w:ilvl w:val="0"/>
          <w:numId w:val="16"/>
        </w:numPr>
      </w:pPr>
      <w:r>
        <w:t>Expanding the footprint of the building – this means the additional space must come from either:</w:t>
      </w:r>
    </w:p>
    <w:p w14:paraId="37C60EC9" w14:textId="77777777" w:rsidR="00853897" w:rsidRDefault="00853897" w:rsidP="00853897">
      <w:pPr>
        <w:pStyle w:val="ListBullet2"/>
        <w:numPr>
          <w:ilvl w:val="1"/>
          <w:numId w:val="16"/>
        </w:numPr>
        <w:ind w:left="568" w:hanging="284"/>
      </w:pPr>
      <w:r>
        <w:t>a loss of outdoor (garden) space, or</w:t>
      </w:r>
    </w:p>
    <w:p w14:paraId="4431FBC0" w14:textId="77777777" w:rsidR="00853897" w:rsidRDefault="00853897" w:rsidP="00853897">
      <w:pPr>
        <w:pStyle w:val="ListBullet2"/>
        <w:numPr>
          <w:ilvl w:val="1"/>
          <w:numId w:val="16"/>
        </w:numPr>
        <w:ind w:left="568" w:hanging="284"/>
      </w:pPr>
      <w:r>
        <w:t>an increase in lot size/width, which implies fewer lots in any given development area. This would mean that the value of the additional lots would be foregone.</w:t>
      </w:r>
    </w:p>
    <w:p w14:paraId="4C93E092" w14:textId="77777777" w:rsidR="00853897" w:rsidRDefault="00853897" w:rsidP="00853897">
      <w:pPr>
        <w:pStyle w:val="ListBullet"/>
        <w:numPr>
          <w:ilvl w:val="0"/>
          <w:numId w:val="16"/>
        </w:numPr>
      </w:pPr>
      <w:r>
        <w:t>Accommodating the additional space requirements within the existing footprint of the building — this implies a loss of living (or bedroom</w:t>
      </w:r>
      <w:r w:rsidR="0090406D">
        <w:t>)</w:t>
      </w:r>
      <w:r>
        <w:t xml:space="preserve"> space</w:t>
      </w:r>
      <w:r w:rsidR="003B2B17">
        <w:t>, for example</w:t>
      </w:r>
      <w:r>
        <w:t>.</w:t>
      </w:r>
    </w:p>
    <w:p w14:paraId="601B297D" w14:textId="77777777" w:rsidR="00853897" w:rsidRDefault="00853897" w:rsidP="00853897">
      <w:pPr>
        <w:pStyle w:val="BodyText"/>
      </w:pPr>
      <w:r>
        <w:t>For Class 1a separate dwellings, increasing the building footprint to accommodate accessible design elements may be possible on larger lots. However, there may be more significant impacts on some smaller lots.</w:t>
      </w:r>
    </w:p>
    <w:p w14:paraId="0D138232" w14:textId="77777777" w:rsidR="00853897" w:rsidRDefault="00853897" w:rsidP="00853897">
      <w:pPr>
        <w:pStyle w:val="ListBullet"/>
        <w:numPr>
          <w:ilvl w:val="0"/>
          <w:numId w:val="16"/>
        </w:numPr>
      </w:pPr>
      <w:r>
        <w:t>There has been a recent trend towards smaller lots for greenfield housing (chart </w:t>
      </w:r>
      <w:r w:rsidR="00F900D4">
        <w:rPr>
          <w:noProof/>
        </w:rPr>
        <w:t>6.</w:t>
      </w:r>
      <w:r w:rsidR="00C65C3A">
        <w:rPr>
          <w:noProof/>
        </w:rPr>
        <w:t>4</w:t>
      </w:r>
      <w:r>
        <w:t>).</w:t>
      </w:r>
    </w:p>
    <w:p w14:paraId="40766D37" w14:textId="77777777" w:rsidR="00E44158" w:rsidRDefault="00E44158" w:rsidP="00853897">
      <w:pPr>
        <w:pStyle w:val="ListBullet"/>
        <w:numPr>
          <w:ilvl w:val="0"/>
          <w:numId w:val="16"/>
        </w:numPr>
      </w:pPr>
      <w:r>
        <w:t>Submissions suggest that ‘every millimetre’ is utilised to achieve an affordable product in multiunit and townhouse developments.</w:t>
      </w:r>
      <w:r>
        <w:rPr>
          <w:rStyle w:val="FootnoteReference"/>
        </w:rPr>
        <w:footnoteReference w:id="195"/>
      </w:r>
    </w:p>
    <w:p w14:paraId="1A48A189" w14:textId="3EDF81D2" w:rsidR="00853897" w:rsidRDefault="00490F02" w:rsidP="00853897">
      <w:pPr>
        <w:pStyle w:val="Caption"/>
      </w:pPr>
      <w:bookmarkStart w:id="440" w:name="_Toc24977962"/>
      <w:bookmarkStart w:id="441" w:name="_Toc32321827"/>
      <w:bookmarkStart w:id="442" w:name="_Toc44598525"/>
      <w:bookmarkStart w:id="443" w:name="_Toc45654156"/>
      <w:bookmarkStart w:id="444" w:name="_Toc70505569"/>
      <w:r>
        <w:lastRenderedPageBreak/>
        <w:t>6.4</w:t>
      </w:r>
      <w:r w:rsidR="00853897" w:rsidRPr="00695C93">
        <w:tab/>
      </w:r>
      <w:r w:rsidR="00853897">
        <w:t>Median lot size</w:t>
      </w:r>
      <w:bookmarkEnd w:id="440"/>
      <w:bookmarkEnd w:id="441"/>
      <w:bookmarkEnd w:id="442"/>
      <w:bookmarkEnd w:id="443"/>
      <w:bookmarkEnd w:id="444"/>
    </w:p>
    <w:p w14:paraId="6F69D457" w14:textId="77777777" w:rsidR="00853897" w:rsidRDefault="00853897" w:rsidP="00853897">
      <w:pPr>
        <w:pStyle w:val="Subtitlebox"/>
      </w:pPr>
      <w:r>
        <w:rPr>
          <w:noProof/>
        </w:rPr>
        <w:drawing>
          <wp:inline distT="0" distB="0" distL="0" distR="0" wp14:anchorId="04E3C04B" wp14:editId="30549DD7">
            <wp:extent cx="5040000" cy="2478095"/>
            <wp:effectExtent l="57150" t="57150" r="65405" b="55880"/>
            <wp:docPr id="238" name="Picture 238" descr="Chart 6.4 illustrates the trend towards smaller lots for greenfield housing in most regions. The regions plotted in the graph are Sydney, South-east Queensland, Perth, Adelaide, ACT and Melbourne. In 2009, the range of median lot sizes in those regions was from about 450 square metres to 620 square metres. By 2017 this had declined to a range between about 375 square metres to 500 square metres." title="Chart 6.4: Median lo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6604.tmp"/>
                    <pic:cNvPicPr/>
                  </pic:nvPicPr>
                  <pic:blipFill>
                    <a:blip r:embed="rId60">
                      <a:extLst>
                        <a:ext uri="{28A0092B-C50C-407E-A947-70E740481C1C}">
                          <a14:useLocalDpi xmlns:a14="http://schemas.microsoft.com/office/drawing/2010/main" val="0"/>
                        </a:ext>
                      </a:extLst>
                    </a:blip>
                    <a:stretch>
                      <a:fillRect/>
                    </a:stretch>
                  </pic:blipFill>
                  <pic:spPr>
                    <a:xfrm>
                      <a:off x="0" y="0"/>
                      <a:ext cx="5040000" cy="2478095"/>
                    </a:xfrm>
                    <a:prstGeom prst="rect">
                      <a:avLst/>
                    </a:prstGeom>
                    <a:ln w="57150">
                      <a:solidFill>
                        <a:schemeClr val="bg2"/>
                      </a:solidFill>
                    </a:ln>
                  </pic:spPr>
                </pic:pic>
              </a:graphicData>
            </a:graphic>
          </wp:inline>
        </w:drawing>
      </w:r>
    </w:p>
    <w:p w14:paraId="4A040A10" w14:textId="77777777" w:rsidR="00853897" w:rsidRPr="00145547" w:rsidRDefault="00853897" w:rsidP="00853897">
      <w:pPr>
        <w:pStyle w:val="Source"/>
        <w:rPr>
          <w:iCs/>
        </w:rPr>
      </w:pPr>
      <w:r w:rsidRPr="00145547">
        <w:rPr>
          <w:iCs/>
        </w:rPr>
        <w:t>Data source: Urban Development Institute of Australia, State of the Land 2018, National Residential Greenfield and Multi-Unit Market Study, p. 11.</w:t>
      </w:r>
    </w:p>
    <w:p w14:paraId="1802D66A" w14:textId="77777777" w:rsidR="00853897" w:rsidRDefault="00853897" w:rsidP="00853897">
      <w:pPr>
        <w:pStyle w:val="BodyText"/>
      </w:pPr>
      <w:r>
        <w:t>Consequently, it may not always be possible (or straightforward) to increase the building footprint.</w:t>
      </w:r>
    </w:p>
    <w:p w14:paraId="3FE868BD" w14:textId="77777777" w:rsidR="00853897" w:rsidRDefault="00853897" w:rsidP="00853897">
      <w:pPr>
        <w:pStyle w:val="ListBullet"/>
        <w:numPr>
          <w:ilvl w:val="0"/>
          <w:numId w:val="16"/>
        </w:numPr>
      </w:pPr>
      <w:r>
        <w:t>This could mean that some commonly used dwelling designs may not be possible on smaller lots, resulting in less</w:t>
      </w:r>
      <w:r>
        <w:noBreakHyphen/>
        <w:t xml:space="preserve">preferred designs, such as designs with smaller living (or other) areas to offset increased floorspace elsewhere to meet minimum </w:t>
      </w:r>
      <w:r w:rsidR="00DE7D58">
        <w:t xml:space="preserve">accessibility </w:t>
      </w:r>
      <w:r>
        <w:t>standards.</w:t>
      </w:r>
    </w:p>
    <w:p w14:paraId="5206F865" w14:textId="77777777" w:rsidR="00853897" w:rsidRDefault="00853897" w:rsidP="00853897">
      <w:pPr>
        <w:pStyle w:val="ListBullet"/>
        <w:numPr>
          <w:ilvl w:val="0"/>
          <w:numId w:val="16"/>
        </w:numPr>
      </w:pPr>
      <w:r>
        <w:t>Alternatively, developers and planning authorities may need to widen lot sizes to accommodate accessible dwellings, leading to fewer lots on a given subdivision</w:t>
      </w:r>
      <w:r w:rsidR="00DB05CD">
        <w:t>.</w:t>
      </w:r>
      <w:r w:rsidR="00414277">
        <w:t xml:space="preserve"> T</w:t>
      </w:r>
      <w:r>
        <w:t xml:space="preserve">his could also </w:t>
      </w:r>
      <w:r w:rsidR="00DE7D58">
        <w:t xml:space="preserve">have the effect of </w:t>
      </w:r>
      <w:r>
        <w:t>reduc</w:t>
      </w:r>
      <w:r w:rsidR="00DE7D58">
        <w:t>ing</w:t>
      </w:r>
      <w:r>
        <w:t xml:space="preserve"> the viability of some developments</w:t>
      </w:r>
      <w:r w:rsidR="00E6041E">
        <w:t xml:space="preserve"> because fewer lots would be offered and thus there would be less revenue</w:t>
      </w:r>
      <w:r>
        <w:t>.</w:t>
      </w:r>
    </w:p>
    <w:p w14:paraId="70741D72" w14:textId="77777777" w:rsidR="00853897" w:rsidRDefault="00853897" w:rsidP="00853897">
      <w:pPr>
        <w:pStyle w:val="ListBullet"/>
        <w:numPr>
          <w:ilvl w:val="0"/>
          <w:numId w:val="16"/>
        </w:numPr>
      </w:pPr>
      <w:r>
        <w:t>Even when it is possible to expand the footprint of the building on a smaller block, this would reduce the (already limited) outdoor spa</w:t>
      </w:r>
      <w:r w:rsidRPr="004765C0">
        <w:t>ce.</w:t>
      </w:r>
    </w:p>
    <w:p w14:paraId="319A87B1" w14:textId="77777777" w:rsidR="00853897" w:rsidRDefault="00853897" w:rsidP="00853897">
      <w:pPr>
        <w:pStyle w:val="BodyText"/>
      </w:pPr>
      <w:r>
        <w:t xml:space="preserve">These space requirements may also affect some apartment developments and multi-dwelling townhouse developments. As with separate Class 1a buildings, </w:t>
      </w:r>
      <w:r w:rsidR="00175471">
        <w:t>creating</w:t>
      </w:r>
      <w:r>
        <w:t xml:space="preserve"> additional space in the dwelling to comply with the minimum standards would require either:</w:t>
      </w:r>
    </w:p>
    <w:p w14:paraId="10544CB9" w14:textId="77777777" w:rsidR="00853897" w:rsidRDefault="00853897" w:rsidP="00853897">
      <w:pPr>
        <w:pStyle w:val="ListBullet"/>
        <w:numPr>
          <w:ilvl w:val="0"/>
          <w:numId w:val="16"/>
        </w:numPr>
      </w:pPr>
      <w:r>
        <w:t xml:space="preserve">offsetting reduction in floor space in other interior spaces (such as living areas), reducing amenity and possibly </w:t>
      </w:r>
      <w:r w:rsidR="00175471">
        <w:t>impacting on the value of the dwelling</w:t>
      </w:r>
      <w:r>
        <w:t>;</w:t>
      </w:r>
    </w:p>
    <w:p w14:paraId="0D100A42" w14:textId="77777777" w:rsidR="00853897" w:rsidRDefault="00853897" w:rsidP="00853897">
      <w:pPr>
        <w:pStyle w:val="ListBullet"/>
        <w:numPr>
          <w:ilvl w:val="0"/>
          <w:numId w:val="16"/>
        </w:numPr>
      </w:pPr>
      <w:r>
        <w:t>fewer dwellings within a given building envelope (for apartments) or subdivision area (for townhouses). As above, this could affect the viability of some developments</w:t>
      </w:r>
      <w:r w:rsidR="00552D4B">
        <w:t xml:space="preserve"> because sale price increase per dwelling would not offset the loss of the number of dwellings</w:t>
      </w:r>
      <w:r>
        <w:t>.</w:t>
      </w:r>
    </w:p>
    <w:p w14:paraId="3B665088" w14:textId="77777777" w:rsidR="00853897" w:rsidRDefault="00853897" w:rsidP="00853897">
      <w:pPr>
        <w:pStyle w:val="Heading4"/>
      </w:pPr>
      <w:r>
        <w:t>Estimated impact on space</w:t>
      </w:r>
    </w:p>
    <w:p w14:paraId="5F2C40FB" w14:textId="77777777" w:rsidR="00853897" w:rsidRPr="00135BD9" w:rsidRDefault="00D40333" w:rsidP="00853897">
      <w:pPr>
        <w:pStyle w:val="BodyText"/>
      </w:pPr>
      <w:r>
        <w:t>DCWC’s estimates for the space impacts</w:t>
      </w:r>
      <w:r w:rsidR="00853897">
        <w:t xml:space="preserve"> are noted in </w:t>
      </w:r>
      <w:r w:rsidR="00166F43">
        <w:t>t</w:t>
      </w:r>
      <w:r w:rsidR="00853897" w:rsidRPr="00E36739">
        <w:t>able</w:t>
      </w:r>
      <w:r w:rsidR="00166F43">
        <w:t xml:space="preserve"> </w:t>
      </w:r>
      <w:r w:rsidR="00F900D4">
        <w:t>6.</w:t>
      </w:r>
      <w:r w:rsidR="00C65C3A">
        <w:t>5</w:t>
      </w:r>
      <w:r>
        <w:t>.</w:t>
      </w:r>
    </w:p>
    <w:p w14:paraId="3FC5B347" w14:textId="4D2A6B22" w:rsidR="00853897" w:rsidRDefault="00490F02" w:rsidP="00853897">
      <w:pPr>
        <w:pStyle w:val="Caption"/>
      </w:pPr>
      <w:bookmarkStart w:id="445" w:name="_Toc32321828"/>
      <w:bookmarkStart w:id="446" w:name="_Toc44598526"/>
      <w:bookmarkStart w:id="447" w:name="_Toc45654157"/>
      <w:bookmarkStart w:id="448" w:name="_Toc70505570"/>
      <w:r>
        <w:lastRenderedPageBreak/>
        <w:t>6.5</w:t>
      </w:r>
      <w:r w:rsidR="00853897" w:rsidRPr="00135BD9">
        <w:tab/>
        <w:t>Estimated space impacts of complying with proposed changes to NCC</w:t>
      </w:r>
      <w:bookmarkEnd w:id="445"/>
      <w:bookmarkEnd w:id="446"/>
      <w:bookmarkEnd w:id="447"/>
      <w:bookmarkEnd w:id="44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5: Estimated space impacts of complying with proposed changes to NCC"/>
        <w:tblDescription w:val="Table 6.5 lists DCWC's estimates for the space impacts of complying with the proposed NCC changes. Column 1 lists Options 1-3 for Silver, Gold and Gold+ levels. Column 2 lists the dwelling type (separate house, townhouse and apartment). Column 3 lists the estimated space impacts in square metres. Column 4 lists the share of dwelling footprint as a percentage. The estimated space impacts range from 0.8 to 7.8 square metres. The share of dwelling footprint ranges from 0.6% to 7.4%."/>
      </w:tblPr>
      <w:tblGrid>
        <w:gridCol w:w="1524"/>
        <w:gridCol w:w="1525"/>
        <w:gridCol w:w="2445"/>
        <w:gridCol w:w="2444"/>
      </w:tblGrid>
      <w:tr w:rsidR="00853897" w14:paraId="61E9D33B" w14:textId="77777777" w:rsidTr="002856A0">
        <w:trPr>
          <w:trHeight w:val="68"/>
          <w:tblHeader/>
        </w:trPr>
        <w:tc>
          <w:tcPr>
            <w:tcW w:w="1524" w:type="dxa"/>
            <w:shd w:val="clear" w:color="auto" w:fill="6F6652" w:themeFill="accent5"/>
          </w:tcPr>
          <w:p w14:paraId="1E7B7952" w14:textId="77777777" w:rsidR="00853897" w:rsidRDefault="00853897" w:rsidP="002856A0">
            <w:pPr>
              <w:pStyle w:val="TableDataColumnHeading"/>
              <w:jc w:val="left"/>
              <w:rPr>
                <w:lang w:val="en-GB"/>
              </w:rPr>
            </w:pPr>
            <w:r>
              <w:rPr>
                <w:lang w:val="en-GB"/>
              </w:rPr>
              <w:t>Option</w:t>
            </w:r>
          </w:p>
        </w:tc>
        <w:tc>
          <w:tcPr>
            <w:tcW w:w="1525" w:type="dxa"/>
            <w:shd w:val="clear" w:color="auto" w:fill="6F6652" w:themeFill="accent5"/>
          </w:tcPr>
          <w:p w14:paraId="01EA000E" w14:textId="77777777" w:rsidR="00853897" w:rsidRDefault="00853897" w:rsidP="002856A0">
            <w:pPr>
              <w:pStyle w:val="TableDataColumnHeading"/>
              <w:jc w:val="left"/>
              <w:rPr>
                <w:lang w:val="en-GB"/>
              </w:rPr>
            </w:pPr>
            <w:r>
              <w:rPr>
                <w:lang w:val="en-GB"/>
              </w:rPr>
              <w:t>Building</w:t>
            </w:r>
          </w:p>
        </w:tc>
        <w:tc>
          <w:tcPr>
            <w:tcW w:w="2445" w:type="dxa"/>
            <w:shd w:val="clear" w:color="auto" w:fill="6F6652" w:themeFill="accent5"/>
          </w:tcPr>
          <w:p w14:paraId="0910D495" w14:textId="77777777" w:rsidR="00853897" w:rsidRDefault="00853897" w:rsidP="002856A0">
            <w:pPr>
              <w:pStyle w:val="TableDataColumnHeading"/>
              <w:rPr>
                <w:lang w:val="en-GB"/>
              </w:rPr>
            </w:pPr>
            <w:r>
              <w:rPr>
                <w:lang w:val="en-GB"/>
              </w:rPr>
              <w:t>Estimated space impacts</w:t>
            </w:r>
            <w:r>
              <w:rPr>
                <w:lang w:val="en-GB"/>
              </w:rPr>
              <w:br/>
              <w:t>(m</w:t>
            </w:r>
            <w:r w:rsidRPr="006373D7">
              <w:rPr>
                <w:vertAlign w:val="superscript"/>
                <w:lang w:val="en-GB"/>
              </w:rPr>
              <w:t>2</w:t>
            </w:r>
            <w:r>
              <w:rPr>
                <w:lang w:val="en-GB"/>
              </w:rPr>
              <w:t>)</w:t>
            </w:r>
          </w:p>
        </w:tc>
        <w:tc>
          <w:tcPr>
            <w:tcW w:w="2444" w:type="dxa"/>
            <w:shd w:val="clear" w:color="auto" w:fill="6F6652" w:themeFill="accent5"/>
          </w:tcPr>
          <w:p w14:paraId="65B81426" w14:textId="77777777" w:rsidR="00853897" w:rsidRDefault="00853897" w:rsidP="002856A0">
            <w:pPr>
              <w:pStyle w:val="TableDataColumnHeading"/>
              <w:rPr>
                <w:lang w:val="en-GB"/>
              </w:rPr>
            </w:pPr>
            <w:r>
              <w:rPr>
                <w:lang w:val="en-GB"/>
              </w:rPr>
              <w:t>Share of dwelling footprint</w:t>
            </w:r>
            <w:r>
              <w:rPr>
                <w:lang w:val="en-GB"/>
              </w:rPr>
              <w:br/>
              <w:t>(per cent)</w:t>
            </w:r>
          </w:p>
        </w:tc>
      </w:tr>
      <w:tr w:rsidR="00B34E3B" w14:paraId="0617CF38"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62595C64" w14:textId="77777777" w:rsidR="00B34E3B" w:rsidRDefault="00B34E3B" w:rsidP="00B34E3B">
            <w:pPr>
              <w:pStyle w:val="TableDataEntries"/>
              <w:jc w:val="left"/>
              <w:rPr>
                <w:lang w:val="en-GB"/>
              </w:rPr>
            </w:pPr>
            <w:r>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14:paraId="193A5FFE" w14:textId="77777777" w:rsidR="00B34E3B" w:rsidRDefault="00B34E3B" w:rsidP="00B34E3B">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6F8149D2" w14:textId="77777777" w:rsidR="00B34E3B" w:rsidRPr="00B34E3B" w:rsidRDefault="00B34E3B" w:rsidP="00B34E3B">
            <w:pPr>
              <w:pStyle w:val="TableDataEntries"/>
              <w:rPr>
                <w:szCs w:val="16"/>
              </w:rPr>
            </w:pPr>
            <w:r w:rsidRPr="00B34E3B">
              <w:rPr>
                <w:szCs w:val="16"/>
              </w:rPr>
              <w:t>1.5</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4DF9E01E" w14:textId="77777777" w:rsidR="00B34E3B" w:rsidRPr="00B34E3B" w:rsidRDefault="00B34E3B" w:rsidP="00B34E3B">
            <w:pPr>
              <w:pStyle w:val="TableDataEntries"/>
              <w:rPr>
                <w:szCs w:val="16"/>
              </w:rPr>
            </w:pPr>
            <w:r w:rsidRPr="00B34E3B">
              <w:rPr>
                <w:szCs w:val="16"/>
              </w:rPr>
              <w:t>1.0</w:t>
            </w:r>
          </w:p>
        </w:tc>
      </w:tr>
      <w:tr w:rsidR="00B34E3B" w14:paraId="52492FFC"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5A755588" w14:textId="77777777" w:rsidR="00B34E3B" w:rsidRDefault="00B34E3B" w:rsidP="00B34E3B">
            <w:pPr>
              <w:pStyle w:val="TableDataEntries"/>
              <w:jc w:val="left"/>
              <w:rPr>
                <w:lang w:val="en-GB"/>
              </w:rPr>
            </w:pPr>
            <w:r w:rsidRPr="00170CE3">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14:paraId="625F3977" w14:textId="77777777" w:rsidR="00B34E3B" w:rsidRDefault="00B34E3B" w:rsidP="00B34E3B">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7A2C7C1E" w14:textId="77777777" w:rsidR="00B34E3B" w:rsidRPr="00B34E3B" w:rsidRDefault="00B34E3B" w:rsidP="00B34E3B">
            <w:pPr>
              <w:pStyle w:val="TableDataEntries"/>
              <w:rPr>
                <w:szCs w:val="16"/>
              </w:rPr>
            </w:pPr>
            <w:r w:rsidRPr="00B34E3B">
              <w:rPr>
                <w:szCs w:val="16"/>
              </w:rPr>
              <w:t>1.4</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17A28EB3" w14:textId="77777777" w:rsidR="00B34E3B" w:rsidRPr="00B34E3B" w:rsidRDefault="00B34E3B" w:rsidP="00B34E3B">
            <w:pPr>
              <w:pStyle w:val="TableDataEntries"/>
              <w:rPr>
                <w:szCs w:val="16"/>
              </w:rPr>
            </w:pPr>
            <w:r w:rsidRPr="00B34E3B">
              <w:rPr>
                <w:szCs w:val="16"/>
              </w:rPr>
              <w:t>1.4</w:t>
            </w:r>
          </w:p>
        </w:tc>
      </w:tr>
      <w:tr w:rsidR="00B34E3B" w14:paraId="6484082E"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5CC2B0E9" w14:textId="77777777" w:rsidR="00B34E3B" w:rsidRDefault="00B34E3B" w:rsidP="00B34E3B">
            <w:pPr>
              <w:pStyle w:val="TableDataEntries"/>
              <w:jc w:val="left"/>
              <w:rPr>
                <w:lang w:val="en-GB"/>
              </w:rPr>
            </w:pPr>
            <w:r w:rsidRPr="00170CE3">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14:paraId="3409B6BC" w14:textId="77777777" w:rsidR="00B34E3B" w:rsidRDefault="00B34E3B" w:rsidP="00B34E3B">
            <w:pPr>
              <w:pStyle w:val="TableDataEntries"/>
              <w:jc w:val="left"/>
              <w:rPr>
                <w:lang w:val="en-GB"/>
              </w:rPr>
            </w:pPr>
            <w:r>
              <w:rPr>
                <w:lang w:val="en-GB"/>
              </w:rPr>
              <w:t>Apartment</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73B406D6" w14:textId="77777777" w:rsidR="00B34E3B" w:rsidRPr="00B34E3B" w:rsidRDefault="00B34E3B" w:rsidP="00B34E3B">
            <w:pPr>
              <w:pStyle w:val="TableDataEntries"/>
              <w:rPr>
                <w:szCs w:val="16"/>
              </w:rPr>
            </w:pPr>
            <w:r w:rsidRPr="00B34E3B">
              <w:rPr>
                <w:szCs w:val="16"/>
              </w:rPr>
              <w:t>0.8</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5C7736F4" w14:textId="77777777" w:rsidR="00B34E3B" w:rsidRPr="00B34E3B" w:rsidRDefault="00B34E3B" w:rsidP="00B34E3B">
            <w:pPr>
              <w:pStyle w:val="TableDataEntries"/>
              <w:rPr>
                <w:szCs w:val="16"/>
              </w:rPr>
            </w:pPr>
            <w:r w:rsidRPr="00B34E3B">
              <w:rPr>
                <w:szCs w:val="16"/>
              </w:rPr>
              <w:t>0.6</w:t>
            </w:r>
          </w:p>
        </w:tc>
      </w:tr>
      <w:tr w:rsidR="00B34E3B" w14:paraId="3ED31740"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383AA8E0" w14:textId="77777777" w:rsidR="00B34E3B" w:rsidRDefault="00B34E3B" w:rsidP="00B34E3B">
            <w:pPr>
              <w:pStyle w:val="TableDataEntries"/>
              <w:jc w:val="left"/>
              <w:rPr>
                <w:lang w:val="en-GB"/>
              </w:rPr>
            </w:pPr>
            <w:r>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14:paraId="3D6D5CE3" w14:textId="77777777" w:rsidR="00B34E3B" w:rsidRDefault="00B34E3B" w:rsidP="00B34E3B">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27913D31" w14:textId="77777777" w:rsidR="00B34E3B" w:rsidRPr="00B34E3B" w:rsidRDefault="00B34E3B" w:rsidP="00B34E3B">
            <w:pPr>
              <w:pStyle w:val="TableDataEntries"/>
              <w:rPr>
                <w:szCs w:val="16"/>
              </w:rPr>
            </w:pPr>
            <w:r w:rsidRPr="00B34E3B">
              <w:rPr>
                <w:szCs w:val="16"/>
              </w:rPr>
              <w:t>3.7</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09E55AA5" w14:textId="77777777" w:rsidR="00B34E3B" w:rsidRPr="00B34E3B" w:rsidRDefault="00B34E3B" w:rsidP="00B34E3B">
            <w:pPr>
              <w:pStyle w:val="TableDataEntries"/>
              <w:rPr>
                <w:szCs w:val="16"/>
              </w:rPr>
            </w:pPr>
            <w:r w:rsidRPr="00B34E3B">
              <w:rPr>
                <w:szCs w:val="16"/>
              </w:rPr>
              <w:t>2.4</w:t>
            </w:r>
          </w:p>
        </w:tc>
      </w:tr>
      <w:tr w:rsidR="00B34E3B" w14:paraId="44122243"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432FCBA4" w14:textId="77777777" w:rsidR="00B34E3B" w:rsidRDefault="00B34E3B" w:rsidP="00B34E3B">
            <w:pPr>
              <w:pStyle w:val="TableDataEntries"/>
              <w:jc w:val="left"/>
              <w:rPr>
                <w:lang w:val="en-GB"/>
              </w:rPr>
            </w:pPr>
            <w:r w:rsidRPr="001F1BD2">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14:paraId="1BA420CE" w14:textId="77777777" w:rsidR="00B34E3B" w:rsidRDefault="00B34E3B" w:rsidP="00B34E3B">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028B4A98" w14:textId="77777777" w:rsidR="00B34E3B" w:rsidRPr="00B34E3B" w:rsidRDefault="00B34E3B" w:rsidP="00B34E3B">
            <w:pPr>
              <w:pStyle w:val="TableDataEntries"/>
              <w:rPr>
                <w:szCs w:val="16"/>
              </w:rPr>
            </w:pPr>
            <w:r w:rsidRPr="00B34E3B">
              <w:rPr>
                <w:szCs w:val="16"/>
              </w:rPr>
              <w:t>6.1</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34B94ED5" w14:textId="77777777" w:rsidR="00B34E3B" w:rsidRPr="00B34E3B" w:rsidRDefault="00B34E3B" w:rsidP="00B34E3B">
            <w:pPr>
              <w:pStyle w:val="TableDataEntries"/>
              <w:rPr>
                <w:szCs w:val="16"/>
              </w:rPr>
            </w:pPr>
            <w:r w:rsidRPr="00B34E3B">
              <w:rPr>
                <w:szCs w:val="16"/>
              </w:rPr>
              <w:t>5.8</w:t>
            </w:r>
          </w:p>
        </w:tc>
      </w:tr>
      <w:tr w:rsidR="00B34E3B" w14:paraId="6E9B1F55"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06B94FDE" w14:textId="77777777" w:rsidR="00B34E3B" w:rsidRDefault="00B34E3B" w:rsidP="00B34E3B">
            <w:pPr>
              <w:pStyle w:val="TableDataEntries"/>
              <w:jc w:val="left"/>
              <w:rPr>
                <w:lang w:val="en-GB"/>
              </w:rPr>
            </w:pPr>
            <w:r w:rsidRPr="001F1BD2">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14:paraId="0E399DDE" w14:textId="77777777" w:rsidR="00B34E3B" w:rsidRDefault="00B34E3B" w:rsidP="00B34E3B">
            <w:pPr>
              <w:pStyle w:val="TableDataEntries"/>
              <w:jc w:val="left"/>
              <w:rPr>
                <w:lang w:val="en-GB"/>
              </w:rPr>
            </w:pPr>
            <w:r>
              <w:rPr>
                <w:lang w:val="en-GB"/>
              </w:rPr>
              <w:t>Apartment</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5369F330" w14:textId="77777777" w:rsidR="00B34E3B" w:rsidRPr="00B34E3B" w:rsidRDefault="00B34E3B" w:rsidP="00B34E3B">
            <w:pPr>
              <w:pStyle w:val="TableDataEntries"/>
              <w:rPr>
                <w:szCs w:val="16"/>
              </w:rPr>
            </w:pPr>
            <w:r w:rsidRPr="00B34E3B">
              <w:rPr>
                <w:szCs w:val="16"/>
              </w:rPr>
              <w:t>4.7</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22A3525B" w14:textId="77777777" w:rsidR="00B34E3B" w:rsidRPr="00B34E3B" w:rsidRDefault="00B34E3B" w:rsidP="00B34E3B">
            <w:pPr>
              <w:pStyle w:val="TableDataEntries"/>
              <w:rPr>
                <w:szCs w:val="16"/>
              </w:rPr>
            </w:pPr>
            <w:r w:rsidRPr="00B34E3B">
              <w:rPr>
                <w:szCs w:val="16"/>
              </w:rPr>
              <w:t>4.0</w:t>
            </w:r>
          </w:p>
        </w:tc>
      </w:tr>
      <w:tr w:rsidR="00B34E3B" w14:paraId="153021BE"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500DFB83" w14:textId="77777777" w:rsidR="00B34E3B" w:rsidRDefault="00B34E3B" w:rsidP="00B34E3B">
            <w:pPr>
              <w:pStyle w:val="TableDataEntries"/>
              <w:jc w:val="left"/>
              <w:rPr>
                <w:lang w:val="en-GB"/>
              </w:rPr>
            </w:pPr>
            <w:r>
              <w:rPr>
                <w:lang w:val="en-GB"/>
              </w:rPr>
              <w:t>Option 3 (Gold+)</w:t>
            </w:r>
          </w:p>
        </w:tc>
        <w:tc>
          <w:tcPr>
            <w:tcW w:w="1525" w:type="dxa"/>
            <w:tcBorders>
              <w:top w:val="single" w:sz="8" w:space="0" w:color="FFFFFF" w:themeColor="background1"/>
              <w:bottom w:val="single" w:sz="8" w:space="0" w:color="FFFFFF" w:themeColor="background1"/>
            </w:tcBorders>
            <w:shd w:val="clear" w:color="auto" w:fill="E9E8E5" w:themeFill="background2"/>
          </w:tcPr>
          <w:p w14:paraId="43769F57" w14:textId="77777777" w:rsidR="00B34E3B" w:rsidRDefault="00B34E3B" w:rsidP="00B34E3B">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38CBA2C6" w14:textId="77777777" w:rsidR="00B34E3B" w:rsidRPr="00B34E3B" w:rsidRDefault="00B34E3B" w:rsidP="00B34E3B">
            <w:pPr>
              <w:pStyle w:val="TableDataEntries"/>
              <w:rPr>
                <w:szCs w:val="16"/>
              </w:rPr>
            </w:pPr>
            <w:r w:rsidRPr="00B34E3B">
              <w:rPr>
                <w:szCs w:val="16"/>
              </w:rPr>
              <w:t>4.9</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77305B6B" w14:textId="77777777" w:rsidR="00B34E3B" w:rsidRPr="00B34E3B" w:rsidRDefault="00B34E3B" w:rsidP="00B34E3B">
            <w:pPr>
              <w:pStyle w:val="TableDataEntries"/>
              <w:rPr>
                <w:szCs w:val="16"/>
              </w:rPr>
            </w:pPr>
            <w:r w:rsidRPr="00B34E3B">
              <w:rPr>
                <w:szCs w:val="16"/>
              </w:rPr>
              <w:t>3.2</w:t>
            </w:r>
          </w:p>
        </w:tc>
      </w:tr>
      <w:tr w:rsidR="00B34E3B" w14:paraId="548EBD4E" w14:textId="77777777" w:rsidTr="00A4135D">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14:paraId="728B31E3" w14:textId="77777777" w:rsidR="00B34E3B" w:rsidRDefault="00B34E3B" w:rsidP="00B34E3B">
            <w:pPr>
              <w:pStyle w:val="TableDataEntries"/>
              <w:jc w:val="left"/>
              <w:rPr>
                <w:lang w:val="en-GB"/>
              </w:rPr>
            </w:pPr>
            <w:r w:rsidRPr="00E06B6A">
              <w:rPr>
                <w:lang w:val="en-GB"/>
              </w:rPr>
              <w:t>Option 3 (Gold+)</w:t>
            </w:r>
          </w:p>
        </w:tc>
        <w:tc>
          <w:tcPr>
            <w:tcW w:w="1525" w:type="dxa"/>
            <w:tcBorders>
              <w:top w:val="single" w:sz="8" w:space="0" w:color="FFFFFF" w:themeColor="background1"/>
              <w:bottom w:val="single" w:sz="8" w:space="0" w:color="FFFFFF" w:themeColor="background1"/>
            </w:tcBorders>
            <w:shd w:val="clear" w:color="auto" w:fill="E9E8E5" w:themeFill="background2"/>
          </w:tcPr>
          <w:p w14:paraId="6105D6B0" w14:textId="77777777" w:rsidR="00B34E3B" w:rsidRDefault="00B34E3B" w:rsidP="00B34E3B">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vAlign w:val="bottom"/>
          </w:tcPr>
          <w:p w14:paraId="3809F647" w14:textId="77777777" w:rsidR="00B34E3B" w:rsidRPr="00B34E3B" w:rsidRDefault="00B34E3B" w:rsidP="00B34E3B">
            <w:pPr>
              <w:pStyle w:val="TableDataEntries"/>
              <w:rPr>
                <w:szCs w:val="16"/>
              </w:rPr>
            </w:pPr>
            <w:r w:rsidRPr="00B34E3B">
              <w:rPr>
                <w:szCs w:val="16"/>
              </w:rPr>
              <w:t>7.8</w:t>
            </w:r>
          </w:p>
        </w:tc>
        <w:tc>
          <w:tcPr>
            <w:tcW w:w="2444" w:type="dxa"/>
            <w:tcBorders>
              <w:top w:val="single" w:sz="8" w:space="0" w:color="FFFFFF" w:themeColor="background1"/>
              <w:bottom w:val="single" w:sz="8" w:space="0" w:color="FFFFFF" w:themeColor="background1"/>
            </w:tcBorders>
            <w:shd w:val="clear" w:color="auto" w:fill="E9E8E5" w:themeFill="background2"/>
            <w:vAlign w:val="bottom"/>
          </w:tcPr>
          <w:p w14:paraId="7139E18C" w14:textId="77777777" w:rsidR="00B34E3B" w:rsidRPr="00B34E3B" w:rsidRDefault="00B34E3B" w:rsidP="00B34E3B">
            <w:pPr>
              <w:pStyle w:val="TableDataEntries"/>
              <w:rPr>
                <w:szCs w:val="16"/>
              </w:rPr>
            </w:pPr>
            <w:r w:rsidRPr="00B34E3B">
              <w:rPr>
                <w:szCs w:val="16"/>
              </w:rPr>
              <w:t>7.4</w:t>
            </w:r>
          </w:p>
        </w:tc>
      </w:tr>
      <w:tr w:rsidR="00B34E3B" w14:paraId="7591B6EE" w14:textId="77777777" w:rsidTr="00A4135D">
        <w:trPr>
          <w:trHeight w:val="230"/>
        </w:trPr>
        <w:tc>
          <w:tcPr>
            <w:tcW w:w="1524" w:type="dxa"/>
            <w:tcBorders>
              <w:top w:val="single" w:sz="8" w:space="0" w:color="FFFFFF" w:themeColor="background1"/>
              <w:bottom w:val="single" w:sz="4" w:space="0" w:color="6F6652" w:themeColor="accent5"/>
            </w:tcBorders>
            <w:shd w:val="clear" w:color="auto" w:fill="E9E8E5" w:themeFill="background2"/>
          </w:tcPr>
          <w:p w14:paraId="03014683" w14:textId="77777777" w:rsidR="00B34E3B" w:rsidRDefault="00B34E3B" w:rsidP="00B34E3B">
            <w:pPr>
              <w:pStyle w:val="TableDataEntries"/>
              <w:jc w:val="left"/>
              <w:rPr>
                <w:lang w:val="en-GB"/>
              </w:rPr>
            </w:pPr>
            <w:r w:rsidRPr="00E06B6A">
              <w:rPr>
                <w:lang w:val="en-GB"/>
              </w:rPr>
              <w:t>Option 3 (Gold+)</w:t>
            </w:r>
          </w:p>
        </w:tc>
        <w:tc>
          <w:tcPr>
            <w:tcW w:w="1525" w:type="dxa"/>
            <w:tcBorders>
              <w:top w:val="single" w:sz="8" w:space="0" w:color="FFFFFF" w:themeColor="background1"/>
              <w:bottom w:val="single" w:sz="4" w:space="0" w:color="6F6652" w:themeColor="accent5"/>
            </w:tcBorders>
            <w:shd w:val="clear" w:color="auto" w:fill="E9E8E5" w:themeFill="background2"/>
          </w:tcPr>
          <w:p w14:paraId="62FAB5A7" w14:textId="77777777" w:rsidR="00B34E3B" w:rsidRDefault="00B34E3B" w:rsidP="00B34E3B">
            <w:pPr>
              <w:pStyle w:val="TableDataEntries"/>
              <w:jc w:val="left"/>
              <w:rPr>
                <w:lang w:val="en-GB"/>
              </w:rPr>
            </w:pPr>
            <w:r>
              <w:rPr>
                <w:lang w:val="en-GB"/>
              </w:rPr>
              <w:t>Apartment</w:t>
            </w:r>
          </w:p>
        </w:tc>
        <w:tc>
          <w:tcPr>
            <w:tcW w:w="2445" w:type="dxa"/>
            <w:tcBorders>
              <w:top w:val="single" w:sz="8" w:space="0" w:color="FFFFFF" w:themeColor="background1"/>
              <w:bottom w:val="single" w:sz="4" w:space="0" w:color="6F6652" w:themeColor="accent5"/>
            </w:tcBorders>
            <w:shd w:val="clear" w:color="auto" w:fill="E9E8E5" w:themeFill="background2"/>
            <w:vAlign w:val="bottom"/>
          </w:tcPr>
          <w:p w14:paraId="4717AC00" w14:textId="77777777" w:rsidR="00B34E3B" w:rsidRPr="00B34E3B" w:rsidRDefault="00B34E3B" w:rsidP="00B34E3B">
            <w:pPr>
              <w:pStyle w:val="TableDataEntries"/>
              <w:rPr>
                <w:szCs w:val="16"/>
              </w:rPr>
            </w:pPr>
            <w:r w:rsidRPr="00B34E3B">
              <w:rPr>
                <w:szCs w:val="16"/>
              </w:rPr>
              <w:t>5.8</w:t>
            </w:r>
          </w:p>
        </w:tc>
        <w:tc>
          <w:tcPr>
            <w:tcW w:w="2444" w:type="dxa"/>
            <w:tcBorders>
              <w:top w:val="single" w:sz="8" w:space="0" w:color="FFFFFF" w:themeColor="background1"/>
              <w:bottom w:val="single" w:sz="4" w:space="0" w:color="6F6652" w:themeColor="accent5"/>
            </w:tcBorders>
            <w:shd w:val="clear" w:color="auto" w:fill="E9E8E5" w:themeFill="background2"/>
            <w:vAlign w:val="bottom"/>
          </w:tcPr>
          <w:p w14:paraId="722E4ECB" w14:textId="77777777" w:rsidR="00B34E3B" w:rsidRPr="00B34E3B" w:rsidRDefault="00B34E3B" w:rsidP="00B34E3B">
            <w:pPr>
              <w:pStyle w:val="TableDataEntries"/>
              <w:rPr>
                <w:szCs w:val="16"/>
              </w:rPr>
            </w:pPr>
            <w:r w:rsidRPr="00B34E3B">
              <w:rPr>
                <w:szCs w:val="16"/>
              </w:rPr>
              <w:t>4.9</w:t>
            </w:r>
          </w:p>
        </w:tc>
      </w:tr>
    </w:tbl>
    <w:p w14:paraId="7223CBF5" w14:textId="77777777" w:rsidR="00853897" w:rsidRPr="00145547" w:rsidRDefault="00853897" w:rsidP="00853897">
      <w:pPr>
        <w:pStyle w:val="Source"/>
        <w:rPr>
          <w:iCs/>
        </w:rPr>
      </w:pPr>
      <w:r w:rsidRPr="00145547">
        <w:rPr>
          <w:iCs/>
        </w:rPr>
        <w:t xml:space="preserve">Source: </w:t>
      </w:r>
      <w:r w:rsidR="00D40333" w:rsidRPr="00145547">
        <w:rPr>
          <w:iCs/>
        </w:rPr>
        <w:t>DCWC (2020), Table 2.2</w:t>
      </w:r>
      <w:r w:rsidRPr="00145547">
        <w:rPr>
          <w:iCs/>
        </w:rPr>
        <w:t>.</w:t>
      </w:r>
    </w:p>
    <w:p w14:paraId="62546DD0" w14:textId="77777777" w:rsidR="00853897" w:rsidRDefault="00853897" w:rsidP="00853897">
      <w:pPr>
        <w:pStyle w:val="Heading4"/>
      </w:pPr>
      <w:r>
        <w:t>Valuing the space impacts through the marginal value of land for Class 1a buildings</w:t>
      </w:r>
    </w:p>
    <w:p w14:paraId="5C05AF7C" w14:textId="77777777" w:rsidR="00853897" w:rsidRDefault="00324447" w:rsidP="00853897">
      <w:pPr>
        <w:pStyle w:val="BodyText"/>
      </w:pPr>
      <w:r>
        <w:t>As outlined above, o</w:t>
      </w:r>
      <w:r w:rsidR="00853897">
        <w:t xml:space="preserve">ne way </w:t>
      </w:r>
      <w:r>
        <w:t xml:space="preserve">to achieve </w:t>
      </w:r>
      <w:r w:rsidR="00853897">
        <w:t xml:space="preserve">additional internal space </w:t>
      </w:r>
      <w:r>
        <w:t xml:space="preserve">required </w:t>
      </w:r>
      <w:r w:rsidR="00853897">
        <w:t xml:space="preserve">to comply with the proposed standards is </w:t>
      </w:r>
      <w:r>
        <w:t xml:space="preserve">to expand the footprint of the building (such as </w:t>
      </w:r>
      <w:r w:rsidR="00853897">
        <w:t xml:space="preserve">through </w:t>
      </w:r>
      <w:r>
        <w:t xml:space="preserve">the </w:t>
      </w:r>
      <w:r w:rsidR="00853897">
        <w:t>loss of outdoor/garden space</w:t>
      </w:r>
      <w:r>
        <w:t>)</w:t>
      </w:r>
      <w:r w:rsidR="00853897">
        <w:t>. These space impacts can be valued through estimating the marginal value of land. The marginal value of land reflects the willingness to pay for an additional square metre of land.</w:t>
      </w:r>
    </w:p>
    <w:p w14:paraId="612A099A" w14:textId="77777777" w:rsidR="00853897" w:rsidRDefault="00853897" w:rsidP="00853897">
      <w:pPr>
        <w:pStyle w:val="ListBullet"/>
        <w:numPr>
          <w:ilvl w:val="0"/>
          <w:numId w:val="16"/>
        </w:numPr>
      </w:pPr>
      <w:r>
        <w:t>A recent Reserve Bank of Australia (RBA) Research Discussion Paper estimated the price elasticity</w:t>
      </w:r>
      <w:r w:rsidR="00A16DAB">
        <w:rPr>
          <w:rStyle w:val="FootnoteReference"/>
        </w:rPr>
        <w:footnoteReference w:id="196"/>
      </w:r>
      <w:r>
        <w:t xml:space="preserve"> of demand for land with respect to lot size in Sydney, Melbourne, Brisbane and Perth. These elasticities can be interpreted as the percentage increase in the sale price of a property for a 1 per cent increase in the size of the lot.</w:t>
      </w:r>
    </w:p>
    <w:p w14:paraId="24BF45D1" w14:textId="77777777" w:rsidR="00853897" w:rsidRDefault="00853897" w:rsidP="00853897">
      <w:pPr>
        <w:pStyle w:val="ListBullet"/>
        <w:numPr>
          <w:ilvl w:val="0"/>
          <w:numId w:val="16"/>
        </w:numPr>
      </w:pPr>
      <w:r>
        <w:t>Based on approximate median greenfield lot sizes in capital cities reported in the Urban Development Institute of Australia’s State of the Land 2019 report, a 1 m</w:t>
      </w:r>
      <w:r w:rsidRPr="00467823">
        <w:rPr>
          <w:vertAlign w:val="superscript"/>
        </w:rPr>
        <w:t>2</w:t>
      </w:r>
      <w:r>
        <w:t xml:space="preserve"> increase in the footprint of the building is equivalent to a 0.2 to 0.3 per cent reduction in the median lot size.</w:t>
      </w:r>
    </w:p>
    <w:p w14:paraId="58E639D7" w14:textId="77777777" w:rsidR="00853897" w:rsidRDefault="00853897" w:rsidP="00853897">
      <w:pPr>
        <w:pStyle w:val="ListBullet"/>
        <w:numPr>
          <w:ilvl w:val="0"/>
          <w:numId w:val="16"/>
        </w:numPr>
      </w:pPr>
      <w:r>
        <w:t>This implies a 0.05</w:t>
      </w:r>
      <w:r>
        <w:noBreakHyphen/>
        <w:t>0.06 per cent reduction in property values. Based on the median house prices, this implies a weighted average opportunity cost of land equivalent to around $500 per m</w:t>
      </w:r>
      <w:r w:rsidRPr="00FE5BF7">
        <w:rPr>
          <w:vertAlign w:val="superscript"/>
        </w:rPr>
        <w:t>2</w:t>
      </w:r>
      <w:r>
        <w:t xml:space="preserve"> (table </w:t>
      </w:r>
      <w:r w:rsidR="00F25A89">
        <w:t>6.</w:t>
      </w:r>
      <w:r w:rsidR="00C65C3A">
        <w:t>6</w:t>
      </w:r>
      <w:r>
        <w:t>).</w:t>
      </w:r>
    </w:p>
    <w:p w14:paraId="1345E1EC" w14:textId="77777777" w:rsidR="00853897" w:rsidRDefault="00853897" w:rsidP="00853897">
      <w:pPr>
        <w:pStyle w:val="BodyText"/>
      </w:pPr>
      <w:r>
        <w:t>Note that the implied cost per square metre is significantly lower than the average price of land in some cities. The RBA attributes this gap to land use restrictions (such as zoning).</w:t>
      </w:r>
    </w:p>
    <w:p w14:paraId="7AF8D506" w14:textId="391980BF" w:rsidR="00853897" w:rsidRDefault="00490F02" w:rsidP="00853897">
      <w:pPr>
        <w:pStyle w:val="Caption"/>
      </w:pPr>
      <w:bookmarkStart w:id="449" w:name="_Toc32321829"/>
      <w:bookmarkStart w:id="450" w:name="_Toc44598527"/>
      <w:bookmarkStart w:id="451" w:name="_Toc45654158"/>
      <w:bookmarkStart w:id="452" w:name="_Toc70505571"/>
      <w:r>
        <w:lastRenderedPageBreak/>
        <w:t>6.6</w:t>
      </w:r>
      <w:r w:rsidR="00853897" w:rsidRPr="00695C93">
        <w:tab/>
      </w:r>
      <w:r w:rsidR="00853897">
        <w:t>Estimated marginal cost of land</w:t>
      </w:r>
      <w:bookmarkEnd w:id="449"/>
      <w:bookmarkEnd w:id="450"/>
      <w:bookmarkEnd w:id="451"/>
      <w:bookmarkEnd w:id="452"/>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6: Estimated marginal cost of land"/>
        <w:tblDescription w:val="Table 6.6 shows the cost of lost space by increasing the building footprint and the implied reduction in property value to comply with the proposed standards. Figures for each capital city are listed. The column headings are City, Elasticity, Median greenfield lot size (square metres), 1 metre square reduction in lot size (per cent), Implied reduction in property value (per cent), Median property value ($'000), and Cost of lost space ($ per metre square). The implied reduction in property value ranges from 0.05% to 0.06%, with a weighted average cost of lost space of $506 per square metre (ranging from $236 per square metre in Darwin to $723 per square metre in Sydney). "/>
      </w:tblPr>
      <w:tblGrid>
        <w:gridCol w:w="1769"/>
        <w:gridCol w:w="1028"/>
        <w:gridCol w:w="1028"/>
        <w:gridCol w:w="1029"/>
        <w:gridCol w:w="1028"/>
        <w:gridCol w:w="1029"/>
        <w:gridCol w:w="1028"/>
      </w:tblGrid>
      <w:tr w:rsidR="00853897" w14:paraId="11627425" w14:textId="77777777" w:rsidTr="002856A0">
        <w:trPr>
          <w:trHeight w:val="922"/>
          <w:tblHeader/>
        </w:trPr>
        <w:tc>
          <w:tcPr>
            <w:tcW w:w="1769" w:type="dxa"/>
            <w:shd w:val="clear" w:color="auto" w:fill="6F6652" w:themeFill="accent5"/>
          </w:tcPr>
          <w:p w14:paraId="37115385" w14:textId="77777777" w:rsidR="00853897" w:rsidRDefault="00853897" w:rsidP="002856A0">
            <w:pPr>
              <w:pStyle w:val="TableDataColumnHeading"/>
              <w:jc w:val="left"/>
              <w:rPr>
                <w:lang w:val="en-GB"/>
              </w:rPr>
            </w:pPr>
            <w:r>
              <w:rPr>
                <w:lang w:val="en-GB"/>
              </w:rPr>
              <w:t>City</w:t>
            </w:r>
          </w:p>
        </w:tc>
        <w:tc>
          <w:tcPr>
            <w:tcW w:w="1028" w:type="dxa"/>
            <w:shd w:val="clear" w:color="auto" w:fill="6F6652" w:themeFill="accent5"/>
          </w:tcPr>
          <w:p w14:paraId="2EBDF766" w14:textId="77777777" w:rsidR="00853897" w:rsidRDefault="00853897" w:rsidP="002856A0">
            <w:pPr>
              <w:pStyle w:val="TableDataColumnHeading"/>
              <w:rPr>
                <w:lang w:val="en-GB"/>
              </w:rPr>
            </w:pPr>
            <w:r>
              <w:rPr>
                <w:lang w:val="en-GB"/>
              </w:rPr>
              <w:t>Elasticity</w:t>
            </w:r>
          </w:p>
        </w:tc>
        <w:tc>
          <w:tcPr>
            <w:tcW w:w="1028" w:type="dxa"/>
            <w:shd w:val="clear" w:color="auto" w:fill="6F6652" w:themeFill="accent5"/>
          </w:tcPr>
          <w:p w14:paraId="48C8D4FA" w14:textId="77777777" w:rsidR="00853897" w:rsidRDefault="00853897" w:rsidP="002856A0">
            <w:pPr>
              <w:pStyle w:val="TableDataColumnHeading"/>
              <w:rPr>
                <w:lang w:val="en-GB"/>
              </w:rPr>
            </w:pPr>
            <w:r>
              <w:rPr>
                <w:lang w:val="en-GB"/>
              </w:rPr>
              <w:t xml:space="preserve">Median greenfield lot size </w:t>
            </w:r>
            <w:r w:rsidRPr="00B46BCC">
              <w:rPr>
                <w:rStyle w:val="NoteLabel"/>
                <w:color w:val="FFFFFF" w:themeColor="background1"/>
              </w:rPr>
              <w:t>c</w:t>
            </w:r>
            <w:r>
              <w:rPr>
                <w:rStyle w:val="NoteLabel"/>
                <w:color w:val="FFFFFF" w:themeColor="background1"/>
              </w:rPr>
              <w:br/>
            </w:r>
            <w:r>
              <w:rPr>
                <w:lang w:val="en-GB"/>
              </w:rPr>
              <w:t>(m</w:t>
            </w:r>
            <w:r w:rsidRPr="0084480A">
              <w:rPr>
                <w:vertAlign w:val="superscript"/>
                <w:lang w:val="en-GB"/>
              </w:rPr>
              <w:t>2</w:t>
            </w:r>
            <w:r>
              <w:rPr>
                <w:lang w:val="en-GB"/>
              </w:rPr>
              <w:t>)</w:t>
            </w:r>
          </w:p>
        </w:tc>
        <w:tc>
          <w:tcPr>
            <w:tcW w:w="1029" w:type="dxa"/>
            <w:shd w:val="clear" w:color="auto" w:fill="6F6652" w:themeFill="accent5"/>
          </w:tcPr>
          <w:p w14:paraId="5B9F5B40" w14:textId="77777777" w:rsidR="00853897" w:rsidRDefault="00853897" w:rsidP="002856A0">
            <w:pPr>
              <w:pStyle w:val="TableDataColumnHeading"/>
              <w:rPr>
                <w:lang w:val="en-GB"/>
              </w:rPr>
            </w:pPr>
            <w:r>
              <w:rPr>
                <w:lang w:val="en-GB"/>
              </w:rPr>
              <w:t>1 m</w:t>
            </w:r>
            <w:r w:rsidRPr="001A5906">
              <w:rPr>
                <w:vertAlign w:val="superscript"/>
                <w:lang w:val="en-GB"/>
              </w:rPr>
              <w:t>2</w:t>
            </w:r>
            <w:r>
              <w:rPr>
                <w:lang w:val="en-GB"/>
              </w:rPr>
              <w:t xml:space="preserve"> reduction in lot size</w:t>
            </w:r>
            <w:r>
              <w:rPr>
                <w:lang w:val="en-GB"/>
              </w:rPr>
              <w:br/>
              <w:t>(per cent)</w:t>
            </w:r>
          </w:p>
        </w:tc>
        <w:tc>
          <w:tcPr>
            <w:tcW w:w="1028" w:type="dxa"/>
            <w:shd w:val="clear" w:color="auto" w:fill="6F6652" w:themeFill="accent5"/>
          </w:tcPr>
          <w:p w14:paraId="0B7C9DB0" w14:textId="77777777" w:rsidR="00853897" w:rsidRDefault="00853897" w:rsidP="002856A0">
            <w:pPr>
              <w:pStyle w:val="TableDataColumnHeading"/>
              <w:rPr>
                <w:lang w:val="en-GB"/>
              </w:rPr>
            </w:pPr>
            <w:r>
              <w:rPr>
                <w:lang w:val="en-GB"/>
              </w:rPr>
              <w:t xml:space="preserve">Implied reduction in property value </w:t>
            </w:r>
            <w:r w:rsidRPr="00B46BCC">
              <w:rPr>
                <w:rStyle w:val="NoteLabel"/>
                <w:color w:val="FFFFFF" w:themeColor="background1"/>
              </w:rPr>
              <w:t>e</w:t>
            </w:r>
            <w:r>
              <w:rPr>
                <w:rStyle w:val="NoteLabel"/>
                <w:color w:val="FFFFFF" w:themeColor="background1"/>
              </w:rPr>
              <w:br/>
            </w:r>
            <w:r>
              <w:rPr>
                <w:lang w:val="en-GB"/>
              </w:rPr>
              <w:t>(per cent)</w:t>
            </w:r>
          </w:p>
        </w:tc>
        <w:tc>
          <w:tcPr>
            <w:tcW w:w="1029" w:type="dxa"/>
            <w:shd w:val="clear" w:color="auto" w:fill="6F6652" w:themeFill="accent5"/>
          </w:tcPr>
          <w:p w14:paraId="46BA30F2" w14:textId="77777777" w:rsidR="00853897" w:rsidRDefault="00853897" w:rsidP="002856A0">
            <w:pPr>
              <w:pStyle w:val="TableDataColumnHeading"/>
              <w:rPr>
                <w:lang w:val="en-GB"/>
              </w:rPr>
            </w:pPr>
            <w:r>
              <w:rPr>
                <w:lang w:val="en-GB"/>
              </w:rPr>
              <w:t xml:space="preserve">Median property value </w:t>
            </w:r>
            <w:r w:rsidRPr="00B46BCC">
              <w:rPr>
                <w:rStyle w:val="NoteLabel"/>
                <w:color w:val="FFFFFF" w:themeColor="background1"/>
              </w:rPr>
              <w:t>f</w:t>
            </w:r>
            <w:r>
              <w:rPr>
                <w:rStyle w:val="NoteLabel"/>
                <w:color w:val="FFFFFF" w:themeColor="background1"/>
              </w:rPr>
              <w:br/>
            </w:r>
            <w:r>
              <w:rPr>
                <w:lang w:val="en-GB"/>
              </w:rPr>
              <w:t>($’000)</w:t>
            </w:r>
          </w:p>
        </w:tc>
        <w:tc>
          <w:tcPr>
            <w:tcW w:w="1028" w:type="dxa"/>
            <w:shd w:val="clear" w:color="auto" w:fill="6F6652" w:themeFill="accent5"/>
          </w:tcPr>
          <w:p w14:paraId="6FF47CBE" w14:textId="77777777" w:rsidR="00853897" w:rsidRDefault="00853897" w:rsidP="002856A0">
            <w:pPr>
              <w:pStyle w:val="TableDataColumnHeading"/>
              <w:rPr>
                <w:lang w:val="en-GB"/>
              </w:rPr>
            </w:pPr>
            <w:r>
              <w:rPr>
                <w:lang w:val="en-GB"/>
              </w:rPr>
              <w:t>Cost of lost space</w:t>
            </w:r>
            <w:r>
              <w:rPr>
                <w:lang w:val="en-GB"/>
              </w:rPr>
              <w:br/>
              <w:t>($ per m</w:t>
            </w:r>
            <w:r w:rsidRPr="0084480A">
              <w:rPr>
                <w:vertAlign w:val="superscript"/>
                <w:lang w:val="en-GB"/>
              </w:rPr>
              <w:t>2</w:t>
            </w:r>
            <w:r>
              <w:rPr>
                <w:lang w:val="en-GB"/>
              </w:rPr>
              <w:t>)</w:t>
            </w:r>
          </w:p>
        </w:tc>
      </w:tr>
      <w:tr w:rsidR="00853897" w14:paraId="6CE680EB"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090E714F" w14:textId="77777777" w:rsidR="00853897" w:rsidRDefault="00853897" w:rsidP="002856A0">
            <w:pPr>
              <w:pStyle w:val="TableDataEntries"/>
              <w:jc w:val="left"/>
              <w:rPr>
                <w:lang w:val="en-GB"/>
              </w:rPr>
            </w:pPr>
            <w:r>
              <w:rPr>
                <w:lang w:val="en-GB"/>
              </w:rPr>
              <w:t>Sydney</w:t>
            </w:r>
          </w:p>
        </w:tc>
        <w:tc>
          <w:tcPr>
            <w:tcW w:w="1028" w:type="dxa"/>
            <w:tcBorders>
              <w:top w:val="single" w:sz="8" w:space="0" w:color="FFFFFF" w:themeColor="background1"/>
              <w:bottom w:val="single" w:sz="8" w:space="0" w:color="FFFFFF" w:themeColor="background1"/>
            </w:tcBorders>
            <w:shd w:val="clear" w:color="auto" w:fill="E9E8E5" w:themeFill="background2"/>
          </w:tcPr>
          <w:p w14:paraId="0A1D8A37"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14:paraId="2A4C2165" w14:textId="77777777" w:rsidR="00853897" w:rsidRDefault="00853897" w:rsidP="002856A0">
            <w:pPr>
              <w:pStyle w:val="TableDataEntries"/>
              <w:rPr>
                <w:lang w:val="en-GB"/>
              </w:rPr>
            </w:pPr>
            <w:r>
              <w:rPr>
                <w:lang w:val="en-GB"/>
              </w:rPr>
              <w:t>379</w:t>
            </w:r>
          </w:p>
        </w:tc>
        <w:tc>
          <w:tcPr>
            <w:tcW w:w="1029" w:type="dxa"/>
            <w:tcBorders>
              <w:top w:val="single" w:sz="8" w:space="0" w:color="FFFFFF" w:themeColor="background1"/>
              <w:bottom w:val="single" w:sz="8" w:space="0" w:color="FFFFFF" w:themeColor="background1"/>
            </w:tcBorders>
            <w:shd w:val="clear" w:color="auto" w:fill="E9E8E5" w:themeFill="background2"/>
          </w:tcPr>
          <w:p w14:paraId="45A9E91F" w14:textId="77777777" w:rsidR="00853897" w:rsidRDefault="00853897" w:rsidP="002856A0">
            <w:pPr>
              <w:pStyle w:val="TableDataEntries"/>
              <w:rPr>
                <w:lang w:val="en-GB"/>
              </w:rPr>
            </w:pPr>
            <w:r>
              <w:rPr>
                <w:lang w:val="en-GB"/>
              </w:rPr>
              <w:t>- 0.26</w:t>
            </w:r>
          </w:p>
        </w:tc>
        <w:tc>
          <w:tcPr>
            <w:tcW w:w="1028" w:type="dxa"/>
            <w:tcBorders>
              <w:top w:val="single" w:sz="8" w:space="0" w:color="FFFFFF" w:themeColor="background1"/>
              <w:bottom w:val="single" w:sz="8" w:space="0" w:color="FFFFFF" w:themeColor="background1"/>
            </w:tcBorders>
            <w:shd w:val="clear" w:color="auto" w:fill="E9E8E5" w:themeFill="background2"/>
          </w:tcPr>
          <w:p w14:paraId="22612467" w14:textId="77777777" w:rsidR="00853897" w:rsidRDefault="00853897" w:rsidP="002856A0">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14:paraId="03BE4A9B" w14:textId="77777777" w:rsidR="00853897" w:rsidRDefault="00853897" w:rsidP="002856A0">
            <w:pPr>
              <w:pStyle w:val="TableDataEntries"/>
              <w:rPr>
                <w:lang w:val="en-GB"/>
              </w:rPr>
            </w:pPr>
            <w:r>
              <w:rPr>
                <w:lang w:val="en-GB"/>
              </w:rPr>
              <w:t>1 142.2</w:t>
            </w:r>
          </w:p>
        </w:tc>
        <w:tc>
          <w:tcPr>
            <w:tcW w:w="1028" w:type="dxa"/>
            <w:tcBorders>
              <w:top w:val="single" w:sz="8" w:space="0" w:color="FFFFFF" w:themeColor="background1"/>
              <w:bottom w:val="single" w:sz="8" w:space="0" w:color="FFFFFF" w:themeColor="background1"/>
            </w:tcBorders>
            <w:shd w:val="clear" w:color="auto" w:fill="E9E8E5" w:themeFill="background2"/>
          </w:tcPr>
          <w:p w14:paraId="3640BEDA" w14:textId="77777777" w:rsidR="00853897" w:rsidRDefault="00853897" w:rsidP="002856A0">
            <w:pPr>
              <w:pStyle w:val="TableDataEntries"/>
              <w:rPr>
                <w:lang w:val="en-GB"/>
              </w:rPr>
            </w:pPr>
            <w:r>
              <w:rPr>
                <w:lang w:val="en-GB"/>
              </w:rPr>
              <w:t>- 723</w:t>
            </w:r>
          </w:p>
        </w:tc>
      </w:tr>
      <w:tr w:rsidR="00853897" w14:paraId="7F905E87"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61EC9B66" w14:textId="77777777" w:rsidR="00853897" w:rsidRDefault="00853897" w:rsidP="002856A0">
            <w:pPr>
              <w:pStyle w:val="TableDataEntries"/>
              <w:jc w:val="left"/>
              <w:rPr>
                <w:lang w:val="en-GB"/>
              </w:rPr>
            </w:pPr>
            <w:r>
              <w:rPr>
                <w:lang w:val="en-GB"/>
              </w:rPr>
              <w:t>Melbourne</w:t>
            </w:r>
          </w:p>
        </w:tc>
        <w:tc>
          <w:tcPr>
            <w:tcW w:w="1028" w:type="dxa"/>
            <w:tcBorders>
              <w:top w:val="single" w:sz="8" w:space="0" w:color="FFFFFF" w:themeColor="background1"/>
              <w:bottom w:val="single" w:sz="8" w:space="0" w:color="FFFFFF" w:themeColor="background1"/>
            </w:tcBorders>
            <w:shd w:val="clear" w:color="auto" w:fill="E9E8E5" w:themeFill="background2"/>
          </w:tcPr>
          <w:p w14:paraId="4D1284C6" w14:textId="77777777" w:rsidR="00853897" w:rsidRDefault="00853897" w:rsidP="002856A0">
            <w:pPr>
              <w:pStyle w:val="TableDataEntries"/>
              <w:rPr>
                <w:lang w:val="en-GB"/>
              </w:rPr>
            </w:pPr>
            <w:r>
              <w:rPr>
                <w:lang w:val="en-GB"/>
              </w:rPr>
              <w:t xml:space="preserve"> 0.25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14:paraId="5A7C8F46" w14:textId="77777777" w:rsidR="00853897" w:rsidRDefault="00853897" w:rsidP="002856A0">
            <w:pPr>
              <w:pStyle w:val="TableDataEntries"/>
              <w:rPr>
                <w:lang w:val="en-GB"/>
              </w:rPr>
            </w:pPr>
            <w:r>
              <w:rPr>
                <w:lang w:val="en-GB"/>
              </w:rPr>
              <w:t>400</w:t>
            </w:r>
          </w:p>
        </w:tc>
        <w:tc>
          <w:tcPr>
            <w:tcW w:w="1029" w:type="dxa"/>
            <w:tcBorders>
              <w:top w:val="single" w:sz="8" w:space="0" w:color="FFFFFF" w:themeColor="background1"/>
              <w:bottom w:val="single" w:sz="8" w:space="0" w:color="FFFFFF" w:themeColor="background1"/>
            </w:tcBorders>
            <w:shd w:val="clear" w:color="auto" w:fill="E9E8E5" w:themeFill="background2"/>
          </w:tcPr>
          <w:p w14:paraId="7791471E" w14:textId="77777777" w:rsidR="00853897" w:rsidRDefault="00853897" w:rsidP="002856A0">
            <w:pPr>
              <w:pStyle w:val="TableDataEntries"/>
              <w:rPr>
                <w:lang w:val="en-GB"/>
              </w:rPr>
            </w:pPr>
            <w:r>
              <w:rPr>
                <w:lang w:val="en-GB"/>
              </w:rPr>
              <w:t>- 0.25</w:t>
            </w:r>
          </w:p>
        </w:tc>
        <w:tc>
          <w:tcPr>
            <w:tcW w:w="1028" w:type="dxa"/>
            <w:tcBorders>
              <w:top w:val="single" w:sz="8" w:space="0" w:color="FFFFFF" w:themeColor="background1"/>
              <w:bottom w:val="single" w:sz="8" w:space="0" w:color="FFFFFF" w:themeColor="background1"/>
            </w:tcBorders>
            <w:shd w:val="clear" w:color="auto" w:fill="E9E8E5" w:themeFill="background2"/>
          </w:tcPr>
          <w:p w14:paraId="1B62502C" w14:textId="77777777" w:rsidR="00853897" w:rsidRDefault="00853897" w:rsidP="002856A0">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14:paraId="25AA6EA5" w14:textId="77777777" w:rsidR="00853897" w:rsidRDefault="00853897" w:rsidP="002856A0">
            <w:pPr>
              <w:pStyle w:val="TableDataEntries"/>
              <w:rPr>
                <w:lang w:val="en-GB"/>
              </w:rPr>
            </w:pPr>
            <w:r>
              <w:rPr>
                <w:lang w:val="en-GB"/>
              </w:rPr>
              <w:t xml:space="preserve"> 902.0</w:t>
            </w:r>
          </w:p>
        </w:tc>
        <w:tc>
          <w:tcPr>
            <w:tcW w:w="1028" w:type="dxa"/>
            <w:tcBorders>
              <w:top w:val="single" w:sz="8" w:space="0" w:color="FFFFFF" w:themeColor="background1"/>
              <w:bottom w:val="single" w:sz="8" w:space="0" w:color="FFFFFF" w:themeColor="background1"/>
            </w:tcBorders>
            <w:shd w:val="clear" w:color="auto" w:fill="E9E8E5" w:themeFill="background2"/>
          </w:tcPr>
          <w:p w14:paraId="16636E6F" w14:textId="77777777" w:rsidR="00853897" w:rsidRDefault="00853897" w:rsidP="002856A0">
            <w:pPr>
              <w:pStyle w:val="TableDataEntries"/>
              <w:rPr>
                <w:lang w:val="en-GB"/>
              </w:rPr>
            </w:pPr>
            <w:r>
              <w:rPr>
                <w:lang w:val="en-GB"/>
              </w:rPr>
              <w:t>- 564</w:t>
            </w:r>
          </w:p>
        </w:tc>
      </w:tr>
      <w:tr w:rsidR="00853897" w14:paraId="5FBCD1CE"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608768D0" w14:textId="77777777" w:rsidR="00853897" w:rsidRDefault="00853897" w:rsidP="002856A0">
            <w:pPr>
              <w:pStyle w:val="TableDataEntries"/>
              <w:jc w:val="left"/>
              <w:rPr>
                <w:lang w:val="en-GB"/>
              </w:rPr>
            </w:pPr>
            <w:r>
              <w:rPr>
                <w:lang w:val="en-GB"/>
              </w:rPr>
              <w:t>Brisbane</w:t>
            </w:r>
          </w:p>
        </w:tc>
        <w:tc>
          <w:tcPr>
            <w:tcW w:w="1028" w:type="dxa"/>
            <w:tcBorders>
              <w:top w:val="single" w:sz="8" w:space="0" w:color="FFFFFF" w:themeColor="background1"/>
              <w:bottom w:val="single" w:sz="8" w:space="0" w:color="FFFFFF" w:themeColor="background1"/>
            </w:tcBorders>
            <w:shd w:val="clear" w:color="auto" w:fill="E9E8E5" w:themeFill="background2"/>
          </w:tcPr>
          <w:p w14:paraId="45CCD27F" w14:textId="77777777" w:rsidR="00853897" w:rsidRDefault="00853897" w:rsidP="002856A0">
            <w:pPr>
              <w:pStyle w:val="TableDataEntries"/>
              <w:rPr>
                <w:lang w:val="en-GB"/>
              </w:rPr>
            </w:pPr>
            <w:r>
              <w:rPr>
                <w:lang w:val="en-GB"/>
              </w:rPr>
              <w:t xml:space="preserve"> 0.21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14:paraId="5DB4314B" w14:textId="77777777" w:rsidR="00853897" w:rsidRDefault="00853897" w:rsidP="002856A0">
            <w:pPr>
              <w:pStyle w:val="TableDataEntries"/>
              <w:rPr>
                <w:lang w:val="en-GB"/>
              </w:rPr>
            </w:pPr>
            <w:r>
              <w:rPr>
                <w:lang w:val="en-GB"/>
              </w:rPr>
              <w:t>385</w:t>
            </w:r>
          </w:p>
        </w:tc>
        <w:tc>
          <w:tcPr>
            <w:tcW w:w="1029" w:type="dxa"/>
            <w:tcBorders>
              <w:top w:val="single" w:sz="8" w:space="0" w:color="FFFFFF" w:themeColor="background1"/>
              <w:bottom w:val="single" w:sz="8" w:space="0" w:color="FFFFFF" w:themeColor="background1"/>
            </w:tcBorders>
            <w:shd w:val="clear" w:color="auto" w:fill="E9E8E5" w:themeFill="background2"/>
          </w:tcPr>
          <w:p w14:paraId="64D3FE4F" w14:textId="77777777" w:rsidR="00853897" w:rsidRDefault="00853897" w:rsidP="002856A0">
            <w:pPr>
              <w:pStyle w:val="TableDataEntries"/>
              <w:rPr>
                <w:lang w:val="en-GB"/>
              </w:rPr>
            </w:pPr>
            <w:r>
              <w:rPr>
                <w:lang w:val="en-GB"/>
              </w:rPr>
              <w:t>- 0.26</w:t>
            </w:r>
          </w:p>
        </w:tc>
        <w:tc>
          <w:tcPr>
            <w:tcW w:w="1028" w:type="dxa"/>
            <w:tcBorders>
              <w:top w:val="single" w:sz="8" w:space="0" w:color="FFFFFF" w:themeColor="background1"/>
              <w:bottom w:val="single" w:sz="8" w:space="0" w:color="FFFFFF" w:themeColor="background1"/>
            </w:tcBorders>
            <w:shd w:val="clear" w:color="auto" w:fill="E9E8E5" w:themeFill="background2"/>
          </w:tcPr>
          <w:p w14:paraId="33D00467" w14:textId="77777777" w:rsidR="00853897" w:rsidRDefault="00853897" w:rsidP="002856A0">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14:paraId="4E45A5E1" w14:textId="77777777" w:rsidR="00853897" w:rsidRDefault="00853897" w:rsidP="002856A0">
            <w:pPr>
              <w:pStyle w:val="TableDataEntries"/>
              <w:rPr>
                <w:lang w:val="en-GB"/>
              </w:rPr>
            </w:pPr>
            <w:r>
              <w:rPr>
                <w:lang w:val="en-GB"/>
              </w:rPr>
              <w:t xml:space="preserve"> 577.7</w:t>
            </w:r>
          </w:p>
        </w:tc>
        <w:tc>
          <w:tcPr>
            <w:tcW w:w="1028" w:type="dxa"/>
            <w:tcBorders>
              <w:top w:val="single" w:sz="8" w:space="0" w:color="FFFFFF" w:themeColor="background1"/>
              <w:bottom w:val="single" w:sz="8" w:space="0" w:color="FFFFFF" w:themeColor="background1"/>
            </w:tcBorders>
            <w:shd w:val="clear" w:color="auto" w:fill="E9E8E5" w:themeFill="background2"/>
          </w:tcPr>
          <w:p w14:paraId="60F986FF" w14:textId="77777777" w:rsidR="00853897" w:rsidRDefault="00853897" w:rsidP="002856A0">
            <w:pPr>
              <w:pStyle w:val="TableDataEntries"/>
              <w:rPr>
                <w:lang w:val="en-GB"/>
              </w:rPr>
            </w:pPr>
            <w:r>
              <w:rPr>
                <w:lang w:val="en-GB"/>
              </w:rPr>
              <w:t>- 315</w:t>
            </w:r>
          </w:p>
        </w:tc>
      </w:tr>
      <w:tr w:rsidR="00853897" w14:paraId="7DC0DCCE"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69C9BEA0" w14:textId="77777777" w:rsidR="00853897" w:rsidRDefault="00853897" w:rsidP="002856A0">
            <w:pPr>
              <w:pStyle w:val="TableDataEntries"/>
              <w:jc w:val="left"/>
              <w:rPr>
                <w:lang w:val="en-GB"/>
              </w:rPr>
            </w:pPr>
            <w:r>
              <w:rPr>
                <w:lang w:val="en-GB"/>
              </w:rPr>
              <w:t>Perth</w:t>
            </w:r>
          </w:p>
        </w:tc>
        <w:tc>
          <w:tcPr>
            <w:tcW w:w="1028" w:type="dxa"/>
            <w:tcBorders>
              <w:top w:val="single" w:sz="8" w:space="0" w:color="FFFFFF" w:themeColor="background1"/>
              <w:bottom w:val="single" w:sz="8" w:space="0" w:color="FFFFFF" w:themeColor="background1"/>
            </w:tcBorders>
            <w:shd w:val="clear" w:color="auto" w:fill="E9E8E5" w:themeFill="background2"/>
          </w:tcPr>
          <w:p w14:paraId="7BA2E473"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14:paraId="3323184C" w14:textId="77777777" w:rsidR="00853897" w:rsidRDefault="00853897" w:rsidP="002856A0">
            <w:pPr>
              <w:pStyle w:val="TableDataEntries"/>
              <w:rPr>
                <w:lang w:val="en-GB"/>
              </w:rPr>
            </w:pPr>
            <w:r>
              <w:rPr>
                <w:lang w:val="en-GB"/>
              </w:rPr>
              <w:t>375</w:t>
            </w:r>
          </w:p>
        </w:tc>
        <w:tc>
          <w:tcPr>
            <w:tcW w:w="1029" w:type="dxa"/>
            <w:tcBorders>
              <w:top w:val="single" w:sz="8" w:space="0" w:color="FFFFFF" w:themeColor="background1"/>
              <w:bottom w:val="single" w:sz="8" w:space="0" w:color="FFFFFF" w:themeColor="background1"/>
            </w:tcBorders>
            <w:shd w:val="clear" w:color="auto" w:fill="E9E8E5" w:themeFill="background2"/>
          </w:tcPr>
          <w:p w14:paraId="6467F3A6" w14:textId="77777777" w:rsidR="00853897" w:rsidRDefault="00853897" w:rsidP="002856A0">
            <w:pPr>
              <w:pStyle w:val="TableDataEntries"/>
              <w:rPr>
                <w:lang w:val="en-GB"/>
              </w:rPr>
            </w:pPr>
            <w:r>
              <w:rPr>
                <w:lang w:val="en-GB"/>
              </w:rPr>
              <w:t>- 0.27</w:t>
            </w:r>
          </w:p>
        </w:tc>
        <w:tc>
          <w:tcPr>
            <w:tcW w:w="1028" w:type="dxa"/>
            <w:tcBorders>
              <w:top w:val="single" w:sz="8" w:space="0" w:color="FFFFFF" w:themeColor="background1"/>
              <w:bottom w:val="single" w:sz="8" w:space="0" w:color="FFFFFF" w:themeColor="background1"/>
            </w:tcBorders>
            <w:shd w:val="clear" w:color="auto" w:fill="E9E8E5" w:themeFill="background2"/>
          </w:tcPr>
          <w:p w14:paraId="02FB118F" w14:textId="77777777" w:rsidR="00853897" w:rsidRDefault="00853897" w:rsidP="002856A0">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14:paraId="74DD3DCA" w14:textId="77777777" w:rsidR="00853897" w:rsidRDefault="00853897" w:rsidP="002856A0">
            <w:pPr>
              <w:pStyle w:val="TableDataEntries"/>
              <w:rPr>
                <w:lang w:val="en-GB"/>
              </w:rPr>
            </w:pPr>
            <w:r>
              <w:rPr>
                <w:lang w:val="en-GB"/>
              </w:rPr>
              <w:t xml:space="preserve"> 537.0</w:t>
            </w:r>
          </w:p>
        </w:tc>
        <w:tc>
          <w:tcPr>
            <w:tcW w:w="1028" w:type="dxa"/>
            <w:tcBorders>
              <w:top w:val="single" w:sz="8" w:space="0" w:color="FFFFFF" w:themeColor="background1"/>
              <w:bottom w:val="single" w:sz="8" w:space="0" w:color="FFFFFF" w:themeColor="background1"/>
            </w:tcBorders>
            <w:shd w:val="clear" w:color="auto" w:fill="E9E8E5" w:themeFill="background2"/>
          </w:tcPr>
          <w:p w14:paraId="669859FB" w14:textId="77777777" w:rsidR="00853897" w:rsidRDefault="00853897" w:rsidP="002856A0">
            <w:pPr>
              <w:pStyle w:val="TableDataEntries"/>
              <w:rPr>
                <w:lang w:val="en-GB"/>
              </w:rPr>
            </w:pPr>
            <w:r>
              <w:rPr>
                <w:lang w:val="en-GB"/>
              </w:rPr>
              <w:t>- 344</w:t>
            </w:r>
          </w:p>
        </w:tc>
      </w:tr>
      <w:tr w:rsidR="00853897" w14:paraId="685EFA20"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6AE3B6E1" w14:textId="77777777" w:rsidR="00853897" w:rsidRDefault="00853897" w:rsidP="002856A0">
            <w:pPr>
              <w:pStyle w:val="TableDataEntries"/>
              <w:jc w:val="left"/>
              <w:rPr>
                <w:lang w:val="en-GB"/>
              </w:rPr>
            </w:pPr>
            <w:r>
              <w:rPr>
                <w:lang w:val="en-GB"/>
              </w:rPr>
              <w:t>Adelaide</w:t>
            </w:r>
          </w:p>
        </w:tc>
        <w:tc>
          <w:tcPr>
            <w:tcW w:w="1028" w:type="dxa"/>
            <w:tcBorders>
              <w:top w:val="single" w:sz="8" w:space="0" w:color="FFFFFF" w:themeColor="background1"/>
              <w:bottom w:val="single" w:sz="8" w:space="0" w:color="FFFFFF" w:themeColor="background1"/>
            </w:tcBorders>
            <w:shd w:val="clear" w:color="auto" w:fill="E9E8E5" w:themeFill="background2"/>
          </w:tcPr>
          <w:p w14:paraId="3CEBD33E"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14:paraId="3E13D4F4" w14:textId="77777777" w:rsidR="00853897" w:rsidRDefault="00853897" w:rsidP="002856A0">
            <w:pPr>
              <w:pStyle w:val="TableDataEntries"/>
              <w:rPr>
                <w:lang w:val="en-GB"/>
              </w:rPr>
            </w:pPr>
            <w:r>
              <w:rPr>
                <w:lang w:val="en-GB"/>
              </w:rPr>
              <w:t>425</w:t>
            </w:r>
          </w:p>
        </w:tc>
        <w:tc>
          <w:tcPr>
            <w:tcW w:w="1029" w:type="dxa"/>
            <w:tcBorders>
              <w:top w:val="single" w:sz="8" w:space="0" w:color="FFFFFF" w:themeColor="background1"/>
              <w:bottom w:val="single" w:sz="8" w:space="0" w:color="FFFFFF" w:themeColor="background1"/>
            </w:tcBorders>
            <w:shd w:val="clear" w:color="auto" w:fill="E9E8E5" w:themeFill="background2"/>
          </w:tcPr>
          <w:p w14:paraId="19DD6FE8" w14:textId="77777777" w:rsidR="00853897" w:rsidRDefault="00853897" w:rsidP="002856A0">
            <w:pPr>
              <w:pStyle w:val="TableDataEntries"/>
              <w:rPr>
                <w:lang w:val="en-GB"/>
              </w:rPr>
            </w:pPr>
            <w:r>
              <w:rPr>
                <w:lang w:val="en-GB"/>
              </w:rPr>
              <w:t>- 0.24</w:t>
            </w:r>
          </w:p>
        </w:tc>
        <w:tc>
          <w:tcPr>
            <w:tcW w:w="1028" w:type="dxa"/>
            <w:tcBorders>
              <w:top w:val="single" w:sz="8" w:space="0" w:color="FFFFFF" w:themeColor="background1"/>
              <w:bottom w:val="single" w:sz="8" w:space="0" w:color="FFFFFF" w:themeColor="background1"/>
            </w:tcBorders>
            <w:shd w:val="clear" w:color="auto" w:fill="E9E8E5" w:themeFill="background2"/>
          </w:tcPr>
          <w:p w14:paraId="5F1AD3E6" w14:textId="77777777" w:rsidR="00853897" w:rsidRDefault="00853897" w:rsidP="002856A0">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14:paraId="233FF65F" w14:textId="77777777" w:rsidR="00853897" w:rsidRDefault="00853897" w:rsidP="002856A0">
            <w:pPr>
              <w:pStyle w:val="TableDataEntries"/>
              <w:rPr>
                <w:lang w:val="en-GB"/>
              </w:rPr>
            </w:pPr>
            <w:r>
              <w:rPr>
                <w:lang w:val="en-GB"/>
              </w:rPr>
              <w:t xml:space="preserve"> 542.9</w:t>
            </w:r>
          </w:p>
        </w:tc>
        <w:tc>
          <w:tcPr>
            <w:tcW w:w="1028" w:type="dxa"/>
            <w:tcBorders>
              <w:top w:val="single" w:sz="8" w:space="0" w:color="FFFFFF" w:themeColor="background1"/>
              <w:bottom w:val="single" w:sz="8" w:space="0" w:color="FFFFFF" w:themeColor="background1"/>
            </w:tcBorders>
            <w:shd w:val="clear" w:color="auto" w:fill="E9E8E5" w:themeFill="background2"/>
          </w:tcPr>
          <w:p w14:paraId="67DB6FDA" w14:textId="77777777" w:rsidR="00853897" w:rsidRDefault="00853897" w:rsidP="002856A0">
            <w:pPr>
              <w:pStyle w:val="TableDataEntries"/>
              <w:rPr>
                <w:lang w:val="en-GB"/>
              </w:rPr>
            </w:pPr>
            <w:r>
              <w:rPr>
                <w:lang w:val="en-GB"/>
              </w:rPr>
              <w:t>- 300</w:t>
            </w:r>
          </w:p>
        </w:tc>
      </w:tr>
      <w:tr w:rsidR="00853897" w14:paraId="1735A819"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1EAE881A" w14:textId="77777777" w:rsidR="00853897" w:rsidRDefault="00853897" w:rsidP="002856A0">
            <w:pPr>
              <w:pStyle w:val="TableDataEntries"/>
              <w:jc w:val="left"/>
              <w:rPr>
                <w:lang w:val="en-GB"/>
              </w:rPr>
            </w:pPr>
            <w:r>
              <w:rPr>
                <w:lang w:val="en-GB"/>
              </w:rPr>
              <w:t>Hobart</w:t>
            </w:r>
          </w:p>
        </w:tc>
        <w:tc>
          <w:tcPr>
            <w:tcW w:w="1028" w:type="dxa"/>
            <w:tcBorders>
              <w:top w:val="single" w:sz="8" w:space="0" w:color="FFFFFF" w:themeColor="background1"/>
              <w:bottom w:val="single" w:sz="8" w:space="0" w:color="FFFFFF" w:themeColor="background1"/>
            </w:tcBorders>
            <w:shd w:val="clear" w:color="auto" w:fill="E9E8E5" w:themeFill="background2"/>
          </w:tcPr>
          <w:p w14:paraId="28A80532"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14:paraId="50DC0809" w14:textId="77777777" w:rsidR="00853897" w:rsidRDefault="00853897" w:rsidP="002856A0">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14:paraId="242D15F1" w14:textId="77777777" w:rsidR="00853897" w:rsidRDefault="00853897" w:rsidP="002856A0">
            <w:pPr>
              <w:pStyle w:val="TableDataEntries"/>
              <w:rPr>
                <w:lang w:val="en-GB"/>
              </w:rPr>
            </w:pPr>
            <w:r>
              <w:rPr>
                <w:lang w:val="en-GB"/>
              </w:rPr>
              <w:t xml:space="preserve">- 0.20 </w:t>
            </w:r>
            <w:r w:rsidRPr="00B46BCC">
              <w:rPr>
                <w:rStyle w:val="NoteLabel"/>
                <w:color w:val="000000" w:themeColor="text1"/>
              </w:rPr>
              <w:t>d</w:t>
            </w:r>
          </w:p>
        </w:tc>
        <w:tc>
          <w:tcPr>
            <w:tcW w:w="1028" w:type="dxa"/>
            <w:tcBorders>
              <w:top w:val="single" w:sz="8" w:space="0" w:color="FFFFFF" w:themeColor="background1"/>
              <w:bottom w:val="single" w:sz="8" w:space="0" w:color="FFFFFF" w:themeColor="background1"/>
            </w:tcBorders>
            <w:shd w:val="clear" w:color="auto" w:fill="E9E8E5" w:themeFill="background2"/>
          </w:tcPr>
          <w:p w14:paraId="70AF7BC4" w14:textId="77777777" w:rsidR="00853897" w:rsidRDefault="00853897" w:rsidP="002856A0">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14:paraId="172BF768" w14:textId="77777777" w:rsidR="00853897" w:rsidRDefault="00853897" w:rsidP="002856A0">
            <w:pPr>
              <w:pStyle w:val="TableDataEntries"/>
              <w:rPr>
                <w:lang w:val="en-GB"/>
              </w:rPr>
            </w:pPr>
            <w:r>
              <w:rPr>
                <w:lang w:val="en-GB"/>
              </w:rPr>
              <w:t xml:space="preserve"> 530.6</w:t>
            </w:r>
          </w:p>
        </w:tc>
        <w:tc>
          <w:tcPr>
            <w:tcW w:w="1028" w:type="dxa"/>
            <w:tcBorders>
              <w:top w:val="single" w:sz="8" w:space="0" w:color="FFFFFF" w:themeColor="background1"/>
              <w:bottom w:val="single" w:sz="8" w:space="0" w:color="FFFFFF" w:themeColor="background1"/>
            </w:tcBorders>
            <w:shd w:val="clear" w:color="auto" w:fill="E9E8E5" w:themeFill="background2"/>
          </w:tcPr>
          <w:p w14:paraId="0CBF0529" w14:textId="77777777" w:rsidR="00853897" w:rsidRDefault="00853897" w:rsidP="002856A0">
            <w:pPr>
              <w:pStyle w:val="TableDataEntries"/>
              <w:rPr>
                <w:lang w:val="en-GB"/>
              </w:rPr>
            </w:pPr>
            <w:r>
              <w:rPr>
                <w:lang w:val="en-GB"/>
              </w:rPr>
              <w:t>- 246</w:t>
            </w:r>
          </w:p>
        </w:tc>
      </w:tr>
      <w:tr w:rsidR="00853897" w14:paraId="3168F096"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007E9563" w14:textId="77777777" w:rsidR="00853897" w:rsidRDefault="00853897" w:rsidP="002856A0">
            <w:pPr>
              <w:pStyle w:val="TableDataEntries"/>
              <w:jc w:val="left"/>
              <w:rPr>
                <w:lang w:val="en-GB"/>
              </w:rPr>
            </w:pPr>
            <w:r>
              <w:rPr>
                <w:lang w:val="en-GB"/>
              </w:rPr>
              <w:t>Canberra</w:t>
            </w:r>
          </w:p>
        </w:tc>
        <w:tc>
          <w:tcPr>
            <w:tcW w:w="1028" w:type="dxa"/>
            <w:tcBorders>
              <w:top w:val="single" w:sz="8" w:space="0" w:color="FFFFFF" w:themeColor="background1"/>
              <w:bottom w:val="single" w:sz="8" w:space="0" w:color="FFFFFF" w:themeColor="background1"/>
            </w:tcBorders>
            <w:shd w:val="clear" w:color="auto" w:fill="E9E8E5" w:themeFill="background2"/>
          </w:tcPr>
          <w:p w14:paraId="1335A353"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14:paraId="0BC76F03" w14:textId="77777777" w:rsidR="00853897" w:rsidRDefault="00853897" w:rsidP="002856A0">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14:paraId="7CFA8C7B" w14:textId="77777777" w:rsidR="00853897" w:rsidRDefault="00853897" w:rsidP="002856A0">
            <w:pPr>
              <w:pStyle w:val="TableDataEntries"/>
              <w:rPr>
                <w:lang w:val="en-GB"/>
              </w:rPr>
            </w:pPr>
            <w:r>
              <w:rPr>
                <w:lang w:val="en-GB"/>
              </w:rPr>
              <w:t>- 0.20</w:t>
            </w:r>
          </w:p>
        </w:tc>
        <w:tc>
          <w:tcPr>
            <w:tcW w:w="1028" w:type="dxa"/>
            <w:tcBorders>
              <w:top w:val="single" w:sz="8" w:space="0" w:color="FFFFFF" w:themeColor="background1"/>
              <w:bottom w:val="single" w:sz="8" w:space="0" w:color="FFFFFF" w:themeColor="background1"/>
            </w:tcBorders>
            <w:shd w:val="clear" w:color="auto" w:fill="E9E8E5" w:themeFill="background2"/>
          </w:tcPr>
          <w:p w14:paraId="32EC50B2" w14:textId="77777777" w:rsidR="00853897" w:rsidRDefault="00853897" w:rsidP="002856A0">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14:paraId="2EE07E3A" w14:textId="77777777" w:rsidR="00853897" w:rsidRDefault="00853897" w:rsidP="002856A0">
            <w:pPr>
              <w:pStyle w:val="TableDataEntries"/>
              <w:rPr>
                <w:lang w:val="en-GB"/>
              </w:rPr>
            </w:pPr>
            <w:r>
              <w:rPr>
                <w:lang w:val="en-GB"/>
              </w:rPr>
              <w:t xml:space="preserve"> 788.6</w:t>
            </w:r>
          </w:p>
        </w:tc>
        <w:tc>
          <w:tcPr>
            <w:tcW w:w="1028" w:type="dxa"/>
            <w:tcBorders>
              <w:top w:val="single" w:sz="8" w:space="0" w:color="FFFFFF" w:themeColor="background1"/>
              <w:bottom w:val="single" w:sz="8" w:space="0" w:color="FFFFFF" w:themeColor="background1"/>
            </w:tcBorders>
            <w:shd w:val="clear" w:color="auto" w:fill="E9E8E5" w:themeFill="background2"/>
          </w:tcPr>
          <w:p w14:paraId="75574E6F" w14:textId="77777777" w:rsidR="00853897" w:rsidRDefault="00853897" w:rsidP="002856A0">
            <w:pPr>
              <w:pStyle w:val="TableDataEntries"/>
              <w:rPr>
                <w:lang w:val="en-GB"/>
              </w:rPr>
            </w:pPr>
            <w:r>
              <w:rPr>
                <w:lang w:val="en-GB"/>
              </w:rPr>
              <w:t>- 366</w:t>
            </w:r>
          </w:p>
        </w:tc>
      </w:tr>
      <w:tr w:rsidR="00853897" w14:paraId="7591C970" w14:textId="77777777" w:rsidTr="002856A0">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14:paraId="21E27280" w14:textId="77777777" w:rsidR="00853897" w:rsidRDefault="00853897" w:rsidP="002856A0">
            <w:pPr>
              <w:pStyle w:val="TableDataEntries"/>
              <w:jc w:val="left"/>
              <w:rPr>
                <w:lang w:val="en-GB"/>
              </w:rPr>
            </w:pPr>
            <w:r>
              <w:rPr>
                <w:lang w:val="en-GB"/>
              </w:rPr>
              <w:t>Darwin</w:t>
            </w:r>
          </w:p>
        </w:tc>
        <w:tc>
          <w:tcPr>
            <w:tcW w:w="1028" w:type="dxa"/>
            <w:tcBorders>
              <w:top w:val="single" w:sz="8" w:space="0" w:color="FFFFFF" w:themeColor="background1"/>
              <w:bottom w:val="single" w:sz="8" w:space="0" w:color="FFFFFF" w:themeColor="background1"/>
            </w:tcBorders>
            <w:shd w:val="clear" w:color="auto" w:fill="E9E8E5" w:themeFill="background2"/>
          </w:tcPr>
          <w:p w14:paraId="074F6156" w14:textId="77777777" w:rsidR="00853897" w:rsidRDefault="00853897" w:rsidP="002856A0">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14:paraId="0B55C2A3" w14:textId="77777777" w:rsidR="00853897" w:rsidRDefault="00853897" w:rsidP="002856A0">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14:paraId="7418A900" w14:textId="77777777" w:rsidR="00853897" w:rsidRDefault="00853897" w:rsidP="002856A0">
            <w:pPr>
              <w:pStyle w:val="TableDataEntries"/>
              <w:rPr>
                <w:lang w:val="en-GB"/>
              </w:rPr>
            </w:pPr>
            <w:r>
              <w:rPr>
                <w:lang w:val="en-GB"/>
              </w:rPr>
              <w:t xml:space="preserve">- 0.20 </w:t>
            </w:r>
            <w:r w:rsidRPr="00B46BCC">
              <w:rPr>
                <w:rStyle w:val="NoteLabel"/>
                <w:color w:val="000000" w:themeColor="text1"/>
              </w:rPr>
              <w:t>d</w:t>
            </w:r>
          </w:p>
        </w:tc>
        <w:tc>
          <w:tcPr>
            <w:tcW w:w="1028" w:type="dxa"/>
            <w:tcBorders>
              <w:top w:val="single" w:sz="8" w:space="0" w:color="FFFFFF" w:themeColor="background1"/>
              <w:bottom w:val="single" w:sz="8" w:space="0" w:color="FFFFFF" w:themeColor="background1"/>
            </w:tcBorders>
            <w:shd w:val="clear" w:color="auto" w:fill="E9E8E5" w:themeFill="background2"/>
          </w:tcPr>
          <w:p w14:paraId="71185145" w14:textId="77777777" w:rsidR="00853897" w:rsidRDefault="00853897" w:rsidP="002856A0">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14:paraId="4CF2B00A" w14:textId="77777777" w:rsidR="00853897" w:rsidRDefault="00853897" w:rsidP="002856A0">
            <w:pPr>
              <w:pStyle w:val="TableDataEntries"/>
              <w:rPr>
                <w:lang w:val="en-GB"/>
              </w:rPr>
            </w:pPr>
            <w:r>
              <w:rPr>
                <w:lang w:val="en-GB"/>
              </w:rPr>
              <w:t xml:space="preserve"> 509.5</w:t>
            </w:r>
          </w:p>
        </w:tc>
        <w:tc>
          <w:tcPr>
            <w:tcW w:w="1028" w:type="dxa"/>
            <w:tcBorders>
              <w:top w:val="single" w:sz="8" w:space="0" w:color="FFFFFF" w:themeColor="background1"/>
              <w:bottom w:val="single" w:sz="8" w:space="0" w:color="FFFFFF" w:themeColor="background1"/>
            </w:tcBorders>
            <w:shd w:val="clear" w:color="auto" w:fill="E9E8E5" w:themeFill="background2"/>
          </w:tcPr>
          <w:p w14:paraId="15583FBC" w14:textId="77777777" w:rsidR="00853897" w:rsidRDefault="00853897" w:rsidP="002856A0">
            <w:pPr>
              <w:pStyle w:val="TableDataEntries"/>
              <w:rPr>
                <w:lang w:val="en-GB"/>
              </w:rPr>
            </w:pPr>
            <w:r>
              <w:rPr>
                <w:lang w:val="en-GB"/>
              </w:rPr>
              <w:t>- 236</w:t>
            </w:r>
          </w:p>
        </w:tc>
      </w:tr>
      <w:tr w:rsidR="00853897" w:rsidRPr="00964CCC" w14:paraId="4E42DA6C" w14:textId="77777777" w:rsidTr="002856A0">
        <w:trPr>
          <w:trHeight w:val="230"/>
        </w:trPr>
        <w:tc>
          <w:tcPr>
            <w:tcW w:w="1769" w:type="dxa"/>
            <w:tcBorders>
              <w:top w:val="single" w:sz="8" w:space="0" w:color="FFFFFF" w:themeColor="background1"/>
              <w:bottom w:val="single" w:sz="4" w:space="0" w:color="6F6652" w:themeColor="accent5"/>
            </w:tcBorders>
            <w:shd w:val="clear" w:color="auto" w:fill="C2DADB" w:themeFill="accent6" w:themeFillTint="99"/>
          </w:tcPr>
          <w:p w14:paraId="74E9CC17" w14:textId="77777777" w:rsidR="00853897" w:rsidRPr="00964CCC" w:rsidRDefault="00853897" w:rsidP="002856A0">
            <w:pPr>
              <w:pStyle w:val="TableDataEntries"/>
              <w:jc w:val="left"/>
              <w:rPr>
                <w:rFonts w:ascii="Franklin Gothic Demi" w:hAnsi="Franklin Gothic Demi"/>
                <w:lang w:val="en-GB"/>
              </w:rPr>
            </w:pPr>
            <w:r w:rsidRPr="00964CCC">
              <w:rPr>
                <w:rFonts w:ascii="Franklin Gothic Demi" w:hAnsi="Franklin Gothic Demi"/>
                <w:lang w:val="en-GB"/>
              </w:rPr>
              <w:t>Weighted average</w:t>
            </w:r>
          </w:p>
        </w:tc>
        <w:tc>
          <w:tcPr>
            <w:tcW w:w="1028" w:type="dxa"/>
            <w:tcBorders>
              <w:top w:val="single" w:sz="8" w:space="0" w:color="FFFFFF" w:themeColor="background1"/>
              <w:bottom w:val="single" w:sz="4" w:space="0" w:color="6F6652" w:themeColor="accent5"/>
            </w:tcBorders>
            <w:shd w:val="clear" w:color="auto" w:fill="C2DADB" w:themeFill="accent6" w:themeFillTint="99"/>
          </w:tcPr>
          <w:p w14:paraId="484778AE" w14:textId="77777777" w:rsidR="00853897" w:rsidRPr="00964CCC" w:rsidRDefault="00853897" w:rsidP="002856A0">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14:paraId="78ED7B75" w14:textId="77777777" w:rsidR="00853897" w:rsidRPr="00964CCC" w:rsidRDefault="00853897" w:rsidP="002856A0">
            <w:pPr>
              <w:pStyle w:val="TableDataEntries"/>
              <w:rPr>
                <w:rFonts w:ascii="Franklin Gothic Demi" w:hAnsi="Franklin Gothic Demi"/>
                <w:lang w:val="en-GB"/>
              </w:rPr>
            </w:pPr>
          </w:p>
        </w:tc>
        <w:tc>
          <w:tcPr>
            <w:tcW w:w="1029" w:type="dxa"/>
            <w:tcBorders>
              <w:top w:val="single" w:sz="8" w:space="0" w:color="FFFFFF" w:themeColor="background1"/>
              <w:bottom w:val="single" w:sz="4" w:space="0" w:color="6F6652" w:themeColor="accent5"/>
            </w:tcBorders>
            <w:shd w:val="clear" w:color="auto" w:fill="C2DADB" w:themeFill="accent6" w:themeFillTint="99"/>
          </w:tcPr>
          <w:p w14:paraId="49A625F3" w14:textId="77777777" w:rsidR="00853897" w:rsidRPr="00964CCC" w:rsidRDefault="00853897" w:rsidP="002856A0">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14:paraId="060AAB3B" w14:textId="77777777" w:rsidR="00853897" w:rsidRPr="00964CCC" w:rsidRDefault="00853897" w:rsidP="002856A0">
            <w:pPr>
              <w:pStyle w:val="TableDataEntries"/>
              <w:rPr>
                <w:rFonts w:ascii="Franklin Gothic Demi" w:hAnsi="Franklin Gothic Demi"/>
                <w:lang w:val="en-GB"/>
              </w:rPr>
            </w:pPr>
          </w:p>
        </w:tc>
        <w:tc>
          <w:tcPr>
            <w:tcW w:w="1029" w:type="dxa"/>
            <w:tcBorders>
              <w:top w:val="single" w:sz="8" w:space="0" w:color="FFFFFF" w:themeColor="background1"/>
              <w:bottom w:val="single" w:sz="4" w:space="0" w:color="6F6652" w:themeColor="accent5"/>
            </w:tcBorders>
            <w:shd w:val="clear" w:color="auto" w:fill="C2DADB" w:themeFill="accent6" w:themeFillTint="99"/>
          </w:tcPr>
          <w:p w14:paraId="6257A2A4" w14:textId="77777777" w:rsidR="00853897" w:rsidRPr="00964CCC" w:rsidRDefault="00853897" w:rsidP="002856A0">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14:paraId="57074DDC" w14:textId="77777777" w:rsidR="00853897" w:rsidRPr="00964CCC" w:rsidRDefault="00853897" w:rsidP="002856A0">
            <w:pPr>
              <w:pStyle w:val="TableDataEntries"/>
              <w:rPr>
                <w:rFonts w:ascii="Franklin Gothic Demi" w:hAnsi="Franklin Gothic Demi"/>
                <w:lang w:val="en-GB"/>
              </w:rPr>
            </w:pPr>
            <w:r w:rsidRPr="00964CCC">
              <w:rPr>
                <w:rFonts w:ascii="Franklin Gothic Demi" w:hAnsi="Franklin Gothic Demi"/>
                <w:lang w:val="en-GB"/>
              </w:rPr>
              <w:t>- 506</w:t>
            </w:r>
          </w:p>
        </w:tc>
      </w:tr>
    </w:tbl>
    <w:p w14:paraId="75C2317B" w14:textId="77777777" w:rsidR="00853897" w:rsidRPr="00E4232C" w:rsidRDefault="00853897" w:rsidP="00853897">
      <w:pPr>
        <w:pStyle w:val="Note"/>
      </w:pPr>
      <w:r w:rsidRPr="00B46BCC">
        <w:rPr>
          <w:rStyle w:val="NoteLabel"/>
          <w:color w:val="000000" w:themeColor="text1"/>
        </w:rPr>
        <w:t>a</w:t>
      </w:r>
      <w:r>
        <w:t xml:space="preserve"> From ‘Large Equation’ reported in Kendall and Tulip (2018, p. 9). </w:t>
      </w:r>
      <w:r w:rsidRPr="00B46BCC">
        <w:rPr>
          <w:rStyle w:val="NoteLabel"/>
          <w:color w:val="000000" w:themeColor="text1"/>
        </w:rPr>
        <w:t>b</w:t>
      </w:r>
      <w:r>
        <w:t xml:space="preserve"> As Kendall and Tulip (2019) estimated the elasticities for Sydney, Melbourne, Brisbane and Perth only, the elasticities for the other cities were based on the average across Sydney, Melbourne, Brisbane and Perth. </w:t>
      </w:r>
      <w:r w:rsidRPr="00B46BCC">
        <w:rPr>
          <w:rStyle w:val="NoteLabel"/>
          <w:color w:val="000000" w:themeColor="text1"/>
        </w:rPr>
        <w:t>c</w:t>
      </w:r>
      <w:r>
        <w:t xml:space="preserve"> Approximate values taken from UDIA (2019, pp. 14</w:t>
      </w:r>
      <w:r>
        <w:noBreakHyphen/>
        <w:t xml:space="preserve">15). </w:t>
      </w:r>
      <w:r w:rsidRPr="00B46BCC">
        <w:rPr>
          <w:rStyle w:val="NoteLabel"/>
          <w:color w:val="000000" w:themeColor="text1"/>
        </w:rPr>
        <w:t>d</w:t>
      </w:r>
      <w:r>
        <w:t xml:space="preserve"> Median lot sizes were not reported for Darwin or Hobart. </w:t>
      </w:r>
      <w:r w:rsidR="001909EC">
        <w:t>It is</w:t>
      </w:r>
      <w:r>
        <w:t xml:space="preserve"> assumed </w:t>
      </w:r>
      <w:r w:rsidR="001909EC">
        <w:t xml:space="preserve">that </w:t>
      </w:r>
      <w:r>
        <w:t xml:space="preserve">median lot sizes would be similar to Canberra. </w:t>
      </w:r>
      <w:r w:rsidRPr="00B46BCC">
        <w:rPr>
          <w:rStyle w:val="NoteLabel"/>
          <w:color w:val="000000" w:themeColor="text1"/>
        </w:rPr>
        <w:t>e</w:t>
      </w:r>
      <w:r>
        <w:t xml:space="preserve"> Reduction in lot size multiplied by the elasticity. </w:t>
      </w:r>
      <w:r w:rsidRPr="00B46BCC">
        <w:rPr>
          <w:rStyle w:val="NoteLabel"/>
          <w:color w:val="000000" w:themeColor="text1"/>
        </w:rPr>
        <w:t>f</w:t>
      </w:r>
      <w:r>
        <w:t xml:space="preserve"> From Domain House Price Report — December 2019, </w:t>
      </w:r>
      <w:hyperlink r:id="rId61" w:anchor="sydney" w:history="1">
        <w:r>
          <w:rPr>
            <w:rStyle w:val="Hyperlink"/>
          </w:rPr>
          <w:t>https://www.domain.com.au/research/house-price-report/december-2019/#sydney</w:t>
        </w:r>
      </w:hyperlink>
      <w:r>
        <w:t>, accessed 29 January 2020.</w:t>
      </w:r>
    </w:p>
    <w:p w14:paraId="35F12A21" w14:textId="77777777" w:rsidR="00853897" w:rsidRDefault="00853897" w:rsidP="00853897">
      <w:pPr>
        <w:pStyle w:val="Source"/>
      </w:pPr>
      <w:r w:rsidRPr="00145547">
        <w:rPr>
          <w:iCs/>
        </w:rPr>
        <w:t>Source: Kendall, R. and Tulip, P. The Effect of Zoning on Housing Prices, Reserve Bank of Australia Research Discussion Paper RDP 2018</w:t>
      </w:r>
      <w:r w:rsidRPr="00145547">
        <w:rPr>
          <w:iCs/>
        </w:rPr>
        <w:noBreakHyphen/>
        <w:t>03, March 2018, p. 9; Urban Development Institute of Australia, State of the Land 2019, National Residential Greenfield and Apartment Market Study, pp. 14</w:t>
      </w:r>
      <w:r w:rsidRPr="00145547">
        <w:rPr>
          <w:iCs/>
        </w:rPr>
        <w:noBreakHyphen/>
        <w:t>15</w:t>
      </w:r>
      <w:r>
        <w:t>.</w:t>
      </w:r>
    </w:p>
    <w:p w14:paraId="7FEA03EF" w14:textId="77777777" w:rsidR="00853897" w:rsidRDefault="00853897" w:rsidP="00853897">
      <w:pPr>
        <w:pStyle w:val="BodyText"/>
      </w:pPr>
      <w:r>
        <w:t xml:space="preserve">As </w:t>
      </w:r>
      <w:r w:rsidR="00324447">
        <w:t xml:space="preserve">also </w:t>
      </w:r>
      <w:r>
        <w:t>noted above, rather than expanding the building’s footprint, the additional space requirements for functional space could be accommodated within the existing building footprint through reducing the size of living areas or bedrooms. This is</w:t>
      </w:r>
      <w:r w:rsidR="00C72C82">
        <w:t>,</w:t>
      </w:r>
      <w:r>
        <w:t xml:space="preserve"> </w:t>
      </w:r>
      <w:r w:rsidR="00C72C82">
        <w:t>i</w:t>
      </w:r>
      <w:r>
        <w:t>n effective</w:t>
      </w:r>
      <w:r w:rsidR="00C72C82">
        <w:t>,</w:t>
      </w:r>
      <w:r>
        <w:t xml:space="preserve"> loss of internal space.</w:t>
      </w:r>
    </w:p>
    <w:p w14:paraId="4FA5E0C2" w14:textId="77777777" w:rsidR="00853897" w:rsidRDefault="00324447" w:rsidP="00853897">
      <w:pPr>
        <w:pStyle w:val="BodyText"/>
      </w:pPr>
      <w:r>
        <w:t>During consultation</w:t>
      </w:r>
      <w:r w:rsidR="00592907">
        <w:t>,</w:t>
      </w:r>
      <w:r>
        <w:t xml:space="preserve"> s</w:t>
      </w:r>
      <w:r w:rsidR="00853897">
        <w:t xml:space="preserve">ome stakeholders </w:t>
      </w:r>
      <w:r>
        <w:t>suggested</w:t>
      </w:r>
      <w:r w:rsidR="00853897">
        <w:t xml:space="preserve"> that the loss of internal floor space can be overcome through better design. That is, the loss of amenity associated with a loss of internal floor space in living areas can be minimised through better design. Although this is a reasonable </w:t>
      </w:r>
      <w:r w:rsidR="00331427">
        <w:t>posi</w:t>
      </w:r>
      <w:r w:rsidR="00853897">
        <w:t>t</w:t>
      </w:r>
      <w:r w:rsidR="00331427">
        <w:t>ion</w:t>
      </w:r>
      <w:r w:rsidR="00853897">
        <w:t xml:space="preserve">, </w:t>
      </w:r>
      <w:r w:rsidR="00A726E9">
        <w:t>CIE</w:t>
      </w:r>
      <w:r w:rsidR="00853897">
        <w:t xml:space="preserve"> consider</w:t>
      </w:r>
      <w:r w:rsidR="00A726E9">
        <w:t>s</w:t>
      </w:r>
      <w:r w:rsidR="00853897">
        <w:t xml:space="preserve"> it unlikely that these amenity costs can be completely ‘designed away’. In </w:t>
      </w:r>
      <w:r w:rsidR="001000DB">
        <w:t>CIE’s</w:t>
      </w:r>
      <w:r w:rsidR="00853897">
        <w:t xml:space="preserve"> view, the loss of space is a real cost that should be included in the CBA.</w:t>
      </w:r>
    </w:p>
    <w:p w14:paraId="29AC52E9" w14:textId="77777777" w:rsidR="00853897" w:rsidRDefault="00A726E9" w:rsidP="00853897">
      <w:pPr>
        <w:pStyle w:val="BodyText"/>
      </w:pPr>
      <w:r>
        <w:t>CIE</w:t>
      </w:r>
      <w:r w:rsidR="00853897">
        <w:t xml:space="preserve"> </w:t>
      </w:r>
      <w:r w:rsidR="00331427">
        <w:t>consider</w:t>
      </w:r>
      <w:r>
        <w:t>s</w:t>
      </w:r>
      <w:r w:rsidR="00853897">
        <w:t xml:space="preserve"> that it is reasonable to infer that the costs associated with a loss of internal space would be of a similar magnitude to the increase in construction costs and the loss of garden space in </w:t>
      </w:r>
      <w:r w:rsidR="001A4A8E">
        <w:t>a</w:t>
      </w:r>
      <w:r w:rsidR="00853897">
        <w:t xml:space="preserve"> scenario where the building footprint expands.</w:t>
      </w:r>
    </w:p>
    <w:p w14:paraId="52F585B7" w14:textId="77777777" w:rsidR="00853897" w:rsidRDefault="00853897" w:rsidP="00853897">
      <w:pPr>
        <w:pStyle w:val="ListBullet"/>
        <w:numPr>
          <w:ilvl w:val="0"/>
          <w:numId w:val="16"/>
        </w:numPr>
      </w:pPr>
      <w:r>
        <w:t>The footprint of the building relative to the size of the lot is effectively a trade</w:t>
      </w:r>
      <w:r>
        <w:noBreakHyphen/>
        <w:t>off between indoor and outdoor space. Subject to planning constraints (such as setback requirements)</w:t>
      </w:r>
      <w:r w:rsidR="00D22231">
        <w:t>,</w:t>
      </w:r>
      <w:r>
        <w:t xml:space="preserve"> </w:t>
      </w:r>
      <w:r w:rsidR="00A4135D">
        <w:t>CIE</w:t>
      </w:r>
      <w:r>
        <w:t xml:space="preserve"> would expect that an owner would choose a building footprint to the point where the marginal benefit of additional internal floor space (i.e. the additional value from the last square metre of floor space) is equal to the marginal cost (the marginal cost of additional floor space is the associated construction costs plus the value placed on the loss of outdoor space).</w:t>
      </w:r>
    </w:p>
    <w:p w14:paraId="3017ABDA" w14:textId="77777777" w:rsidR="00853897" w:rsidRDefault="00853897" w:rsidP="00853897">
      <w:pPr>
        <w:pStyle w:val="ListBullet"/>
        <w:numPr>
          <w:ilvl w:val="0"/>
          <w:numId w:val="16"/>
        </w:numPr>
      </w:pPr>
      <w:r>
        <w:t xml:space="preserve">This implies that if the balance between internal and external space is optimised under the baseline (i.e. under status quo requirements), the total cost of expanding the </w:t>
      </w:r>
      <w:r>
        <w:lastRenderedPageBreak/>
        <w:t xml:space="preserve">building’s footprint to meet the proposed </w:t>
      </w:r>
      <w:r w:rsidR="001A4A8E">
        <w:t xml:space="preserve">accessibility </w:t>
      </w:r>
      <w:r>
        <w:t>standards would be similar to the loss of amenity associated with smaller living spaces.</w:t>
      </w:r>
    </w:p>
    <w:p w14:paraId="17289307" w14:textId="77777777" w:rsidR="00853897" w:rsidRDefault="00853897" w:rsidP="00853897">
      <w:pPr>
        <w:pStyle w:val="KeyPoint"/>
        <w:numPr>
          <w:ilvl w:val="0"/>
          <w:numId w:val="11"/>
        </w:numPr>
      </w:pPr>
      <w:r>
        <w:t xml:space="preserve">The additional construction costs plus the value of land in </w:t>
      </w:r>
      <w:r w:rsidR="001A4A8E">
        <w:t>a</w:t>
      </w:r>
      <w:r>
        <w:t xml:space="preserve"> scenario where the building footprint expands is likely to be a reasonable indicator of costs, regardless of whether the building footprint expands or additional space requirements are absorbed internally.</w:t>
      </w:r>
    </w:p>
    <w:p w14:paraId="0A9D3C4D" w14:textId="77777777" w:rsidR="00853897" w:rsidRDefault="00853897" w:rsidP="00853897">
      <w:pPr>
        <w:pStyle w:val="Heading4"/>
      </w:pPr>
      <w:r>
        <w:t>Valuing the loss of living space in apartments</w:t>
      </w:r>
    </w:p>
    <w:p w14:paraId="4D1F17C2" w14:textId="77777777" w:rsidR="00853897" w:rsidRDefault="00853897" w:rsidP="00853897">
      <w:pPr>
        <w:pStyle w:val="BodyText"/>
      </w:pPr>
      <w:r>
        <w:t>For apartments, it is likely that the footprint of the building would occupy as much of the lot as is permitted by planning restrictions. Consequently, there is likely to be little scope to expand the overall footprint of the building, implying that additional space requirements for functional spaces (bedrooms, kitchen and bathrooms) would come at the expense of living space.</w:t>
      </w:r>
      <w:r w:rsidR="00FE0DFD">
        <w:t xml:space="preserve"> Consistent with this, DCWC ha</w:t>
      </w:r>
      <w:r w:rsidR="00292B71">
        <w:t>s</w:t>
      </w:r>
      <w:r w:rsidR="00FE0DFD">
        <w:t xml:space="preserve"> assumed that the </w:t>
      </w:r>
      <w:r w:rsidR="00292B71">
        <w:t xml:space="preserve">additional </w:t>
      </w:r>
      <w:r w:rsidR="00FE0DFD">
        <w:t xml:space="preserve">space </w:t>
      </w:r>
      <w:r w:rsidR="00292B71">
        <w:t xml:space="preserve">required for accessibility purposes </w:t>
      </w:r>
      <w:r w:rsidR="00FE0DFD">
        <w:t>is achieved by reallocating space within an existing apartment.</w:t>
      </w:r>
    </w:p>
    <w:p w14:paraId="3CDF59C0" w14:textId="77777777" w:rsidR="00853897" w:rsidRPr="00F36A14" w:rsidRDefault="00853897" w:rsidP="00853897">
      <w:pPr>
        <w:pStyle w:val="BodyText"/>
      </w:pPr>
      <w:r w:rsidRPr="00317781">
        <w:t>One way to value the loss of living space in apartments is to treat it as an effective reduction i</w:t>
      </w:r>
      <w:r w:rsidR="00345B8C">
        <w:t>n</w:t>
      </w:r>
      <w:r w:rsidRPr="00317781">
        <w:t xml:space="preserve"> the size of the apartment (assuming that the initial balance between living and functional spaces is optimised under the baseline scenario). </w:t>
      </w:r>
      <w:r w:rsidRPr="00F36A14">
        <w:t xml:space="preserve">Based on current apartment prices and </w:t>
      </w:r>
      <w:r w:rsidR="00292B71">
        <w:t xml:space="preserve">an </w:t>
      </w:r>
      <w:r w:rsidRPr="00F36A14">
        <w:t xml:space="preserve">estimated average size of a new apartment, </w:t>
      </w:r>
      <w:r w:rsidR="00E90FD3">
        <w:t>it is</w:t>
      </w:r>
      <w:r w:rsidRPr="00F36A14">
        <w:t xml:space="preserve"> estimate</w:t>
      </w:r>
      <w:r w:rsidR="00E90FD3">
        <w:t>d</w:t>
      </w:r>
      <w:r w:rsidRPr="00F36A14">
        <w:t xml:space="preserve"> that the weighted average price per square metre (weighted by apartment completions) is around $4 500</w:t>
      </w:r>
      <w:r w:rsidRPr="00317781">
        <w:t xml:space="preserve"> (table </w:t>
      </w:r>
      <w:r w:rsidR="00933EC1">
        <w:t>6.</w:t>
      </w:r>
      <w:r w:rsidR="00C65C3A">
        <w:t>7</w:t>
      </w:r>
      <w:r w:rsidRPr="00317781">
        <w:t xml:space="preserve">). </w:t>
      </w:r>
    </w:p>
    <w:p w14:paraId="5F82E048" w14:textId="130C667E" w:rsidR="00853897" w:rsidRDefault="00490F02" w:rsidP="00853897">
      <w:pPr>
        <w:pStyle w:val="Caption"/>
      </w:pPr>
      <w:bookmarkStart w:id="453" w:name="_Toc32321830"/>
      <w:bookmarkStart w:id="454" w:name="_Toc44598528"/>
      <w:bookmarkStart w:id="455" w:name="_Toc45654159"/>
      <w:bookmarkStart w:id="456" w:name="_Toc70505572"/>
      <w:r>
        <w:t>6.7</w:t>
      </w:r>
      <w:r w:rsidR="00853897" w:rsidRPr="00695C93">
        <w:tab/>
      </w:r>
      <w:r w:rsidR="00853897">
        <w:t xml:space="preserve">Average price per square metre </w:t>
      </w:r>
      <w:r w:rsidR="00853897">
        <w:noBreakHyphen/>
        <w:t xml:space="preserve"> apartments</w:t>
      </w:r>
      <w:bookmarkEnd w:id="453"/>
      <w:bookmarkEnd w:id="454"/>
      <w:bookmarkEnd w:id="455"/>
      <w:bookmarkEnd w:id="456"/>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7: Average price per square metre - apartments"/>
        <w:tblDescription w:val="Table 6.7 lists the median apartment price, average apartment size in square metres and average cost per square metre for apartments in each capital city. The weighted average cost per square metre for all apartments is $4,517."/>
      </w:tblPr>
      <w:tblGrid>
        <w:gridCol w:w="1701"/>
        <w:gridCol w:w="1985"/>
        <w:gridCol w:w="1984"/>
        <w:gridCol w:w="2268"/>
      </w:tblGrid>
      <w:tr w:rsidR="00853897" w14:paraId="66987526" w14:textId="77777777" w:rsidTr="002856A0">
        <w:trPr>
          <w:trHeight w:val="409"/>
          <w:tblHeader/>
        </w:trPr>
        <w:tc>
          <w:tcPr>
            <w:tcW w:w="1701" w:type="dxa"/>
            <w:shd w:val="clear" w:color="auto" w:fill="6F6652" w:themeFill="accent5"/>
          </w:tcPr>
          <w:p w14:paraId="3AE31993" w14:textId="77777777" w:rsidR="00853897" w:rsidRDefault="00853897" w:rsidP="002856A0">
            <w:pPr>
              <w:pStyle w:val="TableDataColumnHeading"/>
              <w:jc w:val="left"/>
              <w:rPr>
                <w:lang w:val="en-GB"/>
              </w:rPr>
            </w:pPr>
            <w:r>
              <w:rPr>
                <w:lang w:val="en-GB"/>
              </w:rPr>
              <w:t>City</w:t>
            </w:r>
          </w:p>
        </w:tc>
        <w:tc>
          <w:tcPr>
            <w:tcW w:w="1985" w:type="dxa"/>
            <w:shd w:val="clear" w:color="auto" w:fill="6F6652" w:themeFill="accent5"/>
          </w:tcPr>
          <w:p w14:paraId="3558FA10" w14:textId="77777777" w:rsidR="00853897" w:rsidRDefault="00853897" w:rsidP="002856A0">
            <w:pPr>
              <w:pStyle w:val="TableDataColumnHeading"/>
              <w:rPr>
                <w:lang w:val="en-GB"/>
              </w:rPr>
            </w:pPr>
            <w:r>
              <w:rPr>
                <w:lang w:val="en-GB"/>
              </w:rPr>
              <w:t>Median apartment price</w:t>
            </w:r>
            <w:r w:rsidRPr="00B46BCC">
              <w:rPr>
                <w:rStyle w:val="NoteLabel"/>
                <w:color w:val="FFFFFF" w:themeColor="background1"/>
              </w:rPr>
              <w:t>a</w:t>
            </w:r>
            <w:r>
              <w:rPr>
                <w:rStyle w:val="NoteLabel"/>
                <w:color w:val="FFFFFF" w:themeColor="background1"/>
              </w:rPr>
              <w:t xml:space="preserve"> </w:t>
            </w:r>
            <w:r>
              <w:rPr>
                <w:lang w:val="en-GB"/>
              </w:rPr>
              <w:t>($)</w:t>
            </w:r>
          </w:p>
        </w:tc>
        <w:tc>
          <w:tcPr>
            <w:tcW w:w="1984" w:type="dxa"/>
            <w:shd w:val="clear" w:color="auto" w:fill="6F6652" w:themeFill="accent5"/>
          </w:tcPr>
          <w:p w14:paraId="317E139A" w14:textId="77777777" w:rsidR="00853897" w:rsidRDefault="00853897" w:rsidP="002856A0">
            <w:pPr>
              <w:pStyle w:val="TableDataColumnHeading"/>
              <w:rPr>
                <w:lang w:val="en-GB"/>
              </w:rPr>
            </w:pPr>
            <w:r>
              <w:rPr>
                <w:lang w:val="en-GB"/>
              </w:rPr>
              <w:t>Average apartment size</w:t>
            </w:r>
            <w:r w:rsidRPr="00B46BCC">
              <w:rPr>
                <w:rStyle w:val="NoteLabel"/>
                <w:color w:val="FFFFFF" w:themeColor="background1"/>
              </w:rPr>
              <w:t>b</w:t>
            </w:r>
            <w:r>
              <w:rPr>
                <w:rStyle w:val="NoteLabel"/>
                <w:color w:val="FFFFFF" w:themeColor="background1"/>
              </w:rPr>
              <w:t xml:space="preserve"> </w:t>
            </w:r>
            <w:r>
              <w:rPr>
                <w:lang w:val="en-GB"/>
              </w:rPr>
              <w:t>(m</w:t>
            </w:r>
            <w:r w:rsidRPr="009D41EB">
              <w:rPr>
                <w:vertAlign w:val="superscript"/>
                <w:lang w:val="en-GB"/>
              </w:rPr>
              <w:t>2</w:t>
            </w:r>
            <w:r>
              <w:rPr>
                <w:lang w:val="en-GB"/>
              </w:rPr>
              <w:t>)</w:t>
            </w:r>
          </w:p>
        </w:tc>
        <w:tc>
          <w:tcPr>
            <w:tcW w:w="2268" w:type="dxa"/>
            <w:shd w:val="clear" w:color="auto" w:fill="6F6652" w:themeFill="accent5"/>
          </w:tcPr>
          <w:p w14:paraId="4CC2C1FA" w14:textId="77777777" w:rsidR="00853897" w:rsidRDefault="00853897" w:rsidP="002856A0">
            <w:pPr>
              <w:pStyle w:val="TableDataColumnHeading"/>
              <w:rPr>
                <w:lang w:val="en-GB"/>
              </w:rPr>
            </w:pPr>
            <w:r>
              <w:rPr>
                <w:lang w:val="en-GB"/>
              </w:rPr>
              <w:t>Average cost per square metre ($ per m</w:t>
            </w:r>
            <w:r w:rsidRPr="009D41EB">
              <w:rPr>
                <w:vertAlign w:val="superscript"/>
                <w:lang w:val="en-GB"/>
              </w:rPr>
              <w:t>2</w:t>
            </w:r>
            <w:r>
              <w:rPr>
                <w:lang w:val="en-GB"/>
              </w:rPr>
              <w:t>)</w:t>
            </w:r>
          </w:p>
        </w:tc>
      </w:tr>
      <w:tr w:rsidR="00853897" w14:paraId="06443168"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01D33123" w14:textId="77777777" w:rsidR="00853897" w:rsidRDefault="00853897" w:rsidP="002856A0">
            <w:pPr>
              <w:pStyle w:val="TableDataEntries"/>
              <w:jc w:val="left"/>
              <w:rPr>
                <w:lang w:val="en-GB"/>
              </w:rPr>
            </w:pPr>
            <w:r>
              <w:rPr>
                <w:lang w:val="en-GB"/>
              </w:rPr>
              <w:t>Sydney</w:t>
            </w:r>
          </w:p>
        </w:tc>
        <w:tc>
          <w:tcPr>
            <w:tcW w:w="1985" w:type="dxa"/>
            <w:tcBorders>
              <w:top w:val="single" w:sz="8" w:space="0" w:color="FFFFFF" w:themeColor="background1"/>
              <w:bottom w:val="single" w:sz="8" w:space="0" w:color="FFFFFF" w:themeColor="background1"/>
            </w:tcBorders>
            <w:shd w:val="clear" w:color="auto" w:fill="E9E8E5" w:themeFill="background2"/>
          </w:tcPr>
          <w:p w14:paraId="1E10C8A2" w14:textId="77777777" w:rsidR="00853897" w:rsidRDefault="00853897" w:rsidP="002856A0">
            <w:pPr>
              <w:pStyle w:val="TableDataEntries"/>
              <w:rPr>
                <w:lang w:val="en-GB"/>
              </w:rPr>
            </w:pPr>
            <w:r>
              <w:rPr>
                <w:lang w:val="en-GB"/>
              </w:rPr>
              <w:t>735 387</w:t>
            </w:r>
          </w:p>
        </w:tc>
        <w:tc>
          <w:tcPr>
            <w:tcW w:w="1984" w:type="dxa"/>
            <w:tcBorders>
              <w:top w:val="single" w:sz="8" w:space="0" w:color="FFFFFF" w:themeColor="background1"/>
              <w:bottom w:val="single" w:sz="8" w:space="0" w:color="FFFFFF" w:themeColor="background1"/>
            </w:tcBorders>
            <w:shd w:val="clear" w:color="auto" w:fill="E9E8E5" w:themeFill="background2"/>
          </w:tcPr>
          <w:p w14:paraId="04EDBC2F" w14:textId="77777777" w:rsidR="00853897" w:rsidRDefault="00853897" w:rsidP="002856A0">
            <w:pPr>
              <w:pStyle w:val="TableDataEntries"/>
              <w:rPr>
                <w:lang w:val="en-GB"/>
              </w:rPr>
            </w:pPr>
            <w:r>
              <w:rPr>
                <w:lang w:val="en-GB"/>
              </w:rPr>
              <w:t xml:space="preserve"> 130</w:t>
            </w:r>
          </w:p>
        </w:tc>
        <w:tc>
          <w:tcPr>
            <w:tcW w:w="2268" w:type="dxa"/>
            <w:tcBorders>
              <w:top w:val="single" w:sz="8" w:space="0" w:color="FFFFFF" w:themeColor="background1"/>
              <w:bottom w:val="single" w:sz="8" w:space="0" w:color="FFFFFF" w:themeColor="background1"/>
            </w:tcBorders>
            <w:shd w:val="clear" w:color="auto" w:fill="E9E8E5" w:themeFill="background2"/>
          </w:tcPr>
          <w:p w14:paraId="2F590C93" w14:textId="77777777" w:rsidR="00853897" w:rsidRDefault="00853897" w:rsidP="002856A0">
            <w:pPr>
              <w:pStyle w:val="TableDataEntries"/>
              <w:rPr>
                <w:lang w:val="en-GB"/>
              </w:rPr>
            </w:pPr>
            <w:r>
              <w:rPr>
                <w:lang w:val="en-GB"/>
              </w:rPr>
              <w:t>5 679</w:t>
            </w:r>
          </w:p>
        </w:tc>
      </w:tr>
      <w:tr w:rsidR="00853897" w14:paraId="78439044"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012819A2" w14:textId="77777777" w:rsidR="00853897" w:rsidRDefault="00853897" w:rsidP="002856A0">
            <w:pPr>
              <w:pStyle w:val="TableDataEntries"/>
              <w:jc w:val="left"/>
              <w:rPr>
                <w:lang w:val="en-GB"/>
              </w:rPr>
            </w:pPr>
            <w:r>
              <w:rPr>
                <w:lang w:val="en-GB"/>
              </w:rPr>
              <w:t>Melbourne</w:t>
            </w:r>
          </w:p>
        </w:tc>
        <w:tc>
          <w:tcPr>
            <w:tcW w:w="1985" w:type="dxa"/>
            <w:tcBorders>
              <w:top w:val="single" w:sz="8" w:space="0" w:color="FFFFFF" w:themeColor="background1"/>
              <w:bottom w:val="single" w:sz="8" w:space="0" w:color="FFFFFF" w:themeColor="background1"/>
            </w:tcBorders>
            <w:shd w:val="clear" w:color="auto" w:fill="E9E8E5" w:themeFill="background2"/>
          </w:tcPr>
          <w:p w14:paraId="7A6C0DD3" w14:textId="77777777" w:rsidR="00853897" w:rsidRDefault="00853897" w:rsidP="002856A0">
            <w:pPr>
              <w:pStyle w:val="TableDataEntries"/>
              <w:rPr>
                <w:lang w:val="en-GB"/>
              </w:rPr>
            </w:pPr>
            <w:r>
              <w:rPr>
                <w:lang w:val="en-GB"/>
              </w:rPr>
              <w:t>549 701</w:t>
            </w:r>
          </w:p>
        </w:tc>
        <w:tc>
          <w:tcPr>
            <w:tcW w:w="1984" w:type="dxa"/>
            <w:tcBorders>
              <w:top w:val="single" w:sz="8" w:space="0" w:color="FFFFFF" w:themeColor="background1"/>
              <w:bottom w:val="single" w:sz="8" w:space="0" w:color="FFFFFF" w:themeColor="background1"/>
            </w:tcBorders>
            <w:shd w:val="clear" w:color="auto" w:fill="E9E8E5" w:themeFill="background2"/>
          </w:tcPr>
          <w:p w14:paraId="1E5B5DC7" w14:textId="77777777" w:rsidR="00853897" w:rsidRDefault="00853897" w:rsidP="002856A0">
            <w:pPr>
              <w:pStyle w:val="TableDataEntries"/>
              <w:rPr>
                <w:lang w:val="en-GB"/>
              </w:rPr>
            </w:pPr>
            <w:r>
              <w:rPr>
                <w:lang w:val="en-GB"/>
              </w:rPr>
              <w:t xml:space="preserve"> 131</w:t>
            </w:r>
          </w:p>
        </w:tc>
        <w:tc>
          <w:tcPr>
            <w:tcW w:w="2268" w:type="dxa"/>
            <w:tcBorders>
              <w:top w:val="single" w:sz="8" w:space="0" w:color="FFFFFF" w:themeColor="background1"/>
              <w:bottom w:val="single" w:sz="8" w:space="0" w:color="FFFFFF" w:themeColor="background1"/>
            </w:tcBorders>
            <w:shd w:val="clear" w:color="auto" w:fill="E9E8E5" w:themeFill="background2"/>
          </w:tcPr>
          <w:p w14:paraId="32295F8E" w14:textId="77777777" w:rsidR="00853897" w:rsidRDefault="00853897" w:rsidP="002856A0">
            <w:pPr>
              <w:pStyle w:val="TableDataEntries"/>
              <w:rPr>
                <w:lang w:val="en-GB"/>
              </w:rPr>
            </w:pPr>
            <w:r>
              <w:rPr>
                <w:lang w:val="en-GB"/>
              </w:rPr>
              <w:t>4 196</w:t>
            </w:r>
          </w:p>
        </w:tc>
      </w:tr>
      <w:tr w:rsidR="00853897" w14:paraId="3FA93C49"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53027E0F" w14:textId="77777777" w:rsidR="00853897" w:rsidRDefault="00853897" w:rsidP="002856A0">
            <w:pPr>
              <w:pStyle w:val="TableDataEntries"/>
              <w:jc w:val="left"/>
              <w:rPr>
                <w:lang w:val="en-GB"/>
              </w:rPr>
            </w:pPr>
            <w:r>
              <w:rPr>
                <w:lang w:val="en-GB"/>
              </w:rPr>
              <w:t>Brisbane</w:t>
            </w:r>
          </w:p>
        </w:tc>
        <w:tc>
          <w:tcPr>
            <w:tcW w:w="1985" w:type="dxa"/>
            <w:tcBorders>
              <w:top w:val="single" w:sz="8" w:space="0" w:color="FFFFFF" w:themeColor="background1"/>
              <w:bottom w:val="single" w:sz="8" w:space="0" w:color="FFFFFF" w:themeColor="background1"/>
            </w:tcBorders>
            <w:shd w:val="clear" w:color="auto" w:fill="E9E8E5" w:themeFill="background2"/>
          </w:tcPr>
          <w:p w14:paraId="21AADAF2" w14:textId="77777777" w:rsidR="00853897" w:rsidRDefault="00853897" w:rsidP="002856A0">
            <w:pPr>
              <w:pStyle w:val="TableDataEntries"/>
              <w:rPr>
                <w:lang w:val="en-GB"/>
              </w:rPr>
            </w:pPr>
            <w:r>
              <w:rPr>
                <w:lang w:val="en-GB"/>
              </w:rPr>
              <w:t>377 549</w:t>
            </w:r>
          </w:p>
        </w:tc>
        <w:tc>
          <w:tcPr>
            <w:tcW w:w="1984" w:type="dxa"/>
            <w:tcBorders>
              <w:top w:val="single" w:sz="8" w:space="0" w:color="FFFFFF" w:themeColor="background1"/>
              <w:bottom w:val="single" w:sz="8" w:space="0" w:color="FFFFFF" w:themeColor="background1"/>
            </w:tcBorders>
            <w:shd w:val="clear" w:color="auto" w:fill="E9E8E5" w:themeFill="background2"/>
          </w:tcPr>
          <w:p w14:paraId="329E330F" w14:textId="77777777" w:rsidR="00853897" w:rsidRDefault="00853897" w:rsidP="002856A0">
            <w:pPr>
              <w:pStyle w:val="TableDataEntries"/>
              <w:rPr>
                <w:lang w:val="en-GB"/>
              </w:rPr>
            </w:pPr>
            <w:r>
              <w:rPr>
                <w:lang w:val="en-GB"/>
              </w:rPr>
              <w:t xml:space="preserve"> 126</w:t>
            </w:r>
          </w:p>
        </w:tc>
        <w:tc>
          <w:tcPr>
            <w:tcW w:w="2268" w:type="dxa"/>
            <w:tcBorders>
              <w:top w:val="single" w:sz="8" w:space="0" w:color="FFFFFF" w:themeColor="background1"/>
              <w:bottom w:val="single" w:sz="8" w:space="0" w:color="FFFFFF" w:themeColor="background1"/>
            </w:tcBorders>
            <w:shd w:val="clear" w:color="auto" w:fill="E9E8E5" w:themeFill="background2"/>
          </w:tcPr>
          <w:p w14:paraId="7A198250" w14:textId="77777777" w:rsidR="00853897" w:rsidRDefault="00853897" w:rsidP="002856A0">
            <w:pPr>
              <w:pStyle w:val="TableDataEntries"/>
              <w:rPr>
                <w:lang w:val="en-GB"/>
              </w:rPr>
            </w:pPr>
            <w:r>
              <w:rPr>
                <w:lang w:val="en-GB"/>
              </w:rPr>
              <w:t>3 008</w:t>
            </w:r>
          </w:p>
        </w:tc>
      </w:tr>
      <w:tr w:rsidR="00853897" w14:paraId="65D7406D"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5A7A94DC" w14:textId="77777777" w:rsidR="00853897" w:rsidRDefault="00853897" w:rsidP="002856A0">
            <w:pPr>
              <w:pStyle w:val="TableDataEntries"/>
              <w:jc w:val="left"/>
              <w:rPr>
                <w:lang w:val="en-GB"/>
              </w:rPr>
            </w:pPr>
            <w:r>
              <w:rPr>
                <w:lang w:val="en-GB"/>
              </w:rPr>
              <w:t>Perth</w:t>
            </w:r>
          </w:p>
        </w:tc>
        <w:tc>
          <w:tcPr>
            <w:tcW w:w="1985" w:type="dxa"/>
            <w:tcBorders>
              <w:top w:val="single" w:sz="8" w:space="0" w:color="FFFFFF" w:themeColor="background1"/>
              <w:bottom w:val="single" w:sz="8" w:space="0" w:color="FFFFFF" w:themeColor="background1"/>
            </w:tcBorders>
            <w:shd w:val="clear" w:color="auto" w:fill="E9E8E5" w:themeFill="background2"/>
          </w:tcPr>
          <w:p w14:paraId="2BAD9BAF" w14:textId="77777777" w:rsidR="00853897" w:rsidRDefault="00853897" w:rsidP="002856A0">
            <w:pPr>
              <w:pStyle w:val="TableDataEntries"/>
              <w:rPr>
                <w:lang w:val="en-GB"/>
              </w:rPr>
            </w:pPr>
            <w:r>
              <w:rPr>
                <w:lang w:val="en-GB"/>
              </w:rPr>
              <w:t>342 708</w:t>
            </w:r>
          </w:p>
        </w:tc>
        <w:tc>
          <w:tcPr>
            <w:tcW w:w="1984" w:type="dxa"/>
            <w:tcBorders>
              <w:top w:val="single" w:sz="8" w:space="0" w:color="FFFFFF" w:themeColor="background1"/>
              <w:bottom w:val="single" w:sz="8" w:space="0" w:color="FFFFFF" w:themeColor="background1"/>
            </w:tcBorders>
            <w:shd w:val="clear" w:color="auto" w:fill="E9E8E5" w:themeFill="background2"/>
          </w:tcPr>
          <w:p w14:paraId="3E3A414C" w14:textId="77777777" w:rsidR="00853897" w:rsidRDefault="00853897" w:rsidP="002856A0">
            <w:pPr>
              <w:pStyle w:val="TableDataEntries"/>
              <w:rPr>
                <w:lang w:val="en-GB"/>
              </w:rPr>
            </w:pPr>
            <w:r>
              <w:rPr>
                <w:lang w:val="en-GB"/>
              </w:rPr>
              <w:t xml:space="preserve"> 123</w:t>
            </w:r>
          </w:p>
        </w:tc>
        <w:tc>
          <w:tcPr>
            <w:tcW w:w="2268" w:type="dxa"/>
            <w:tcBorders>
              <w:top w:val="single" w:sz="8" w:space="0" w:color="FFFFFF" w:themeColor="background1"/>
              <w:bottom w:val="single" w:sz="8" w:space="0" w:color="FFFFFF" w:themeColor="background1"/>
            </w:tcBorders>
            <w:shd w:val="clear" w:color="auto" w:fill="E9E8E5" w:themeFill="background2"/>
          </w:tcPr>
          <w:p w14:paraId="5BE7C757" w14:textId="77777777" w:rsidR="00853897" w:rsidRDefault="00853897" w:rsidP="002856A0">
            <w:pPr>
              <w:pStyle w:val="TableDataEntries"/>
              <w:rPr>
                <w:lang w:val="en-GB"/>
              </w:rPr>
            </w:pPr>
            <w:r>
              <w:rPr>
                <w:lang w:val="en-GB"/>
              </w:rPr>
              <w:t>2 786</w:t>
            </w:r>
          </w:p>
        </w:tc>
      </w:tr>
      <w:tr w:rsidR="00853897" w14:paraId="0F086618"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0DCF7E0D" w14:textId="77777777" w:rsidR="00853897" w:rsidRDefault="00853897" w:rsidP="002856A0">
            <w:pPr>
              <w:pStyle w:val="TableDataEntries"/>
              <w:jc w:val="left"/>
              <w:rPr>
                <w:lang w:val="en-GB"/>
              </w:rPr>
            </w:pPr>
            <w:r>
              <w:rPr>
                <w:lang w:val="en-GB"/>
              </w:rPr>
              <w:t>Adelaide</w:t>
            </w:r>
          </w:p>
        </w:tc>
        <w:tc>
          <w:tcPr>
            <w:tcW w:w="1985" w:type="dxa"/>
            <w:tcBorders>
              <w:top w:val="single" w:sz="8" w:space="0" w:color="FFFFFF" w:themeColor="background1"/>
              <w:bottom w:val="single" w:sz="8" w:space="0" w:color="FFFFFF" w:themeColor="background1"/>
            </w:tcBorders>
            <w:shd w:val="clear" w:color="auto" w:fill="E9E8E5" w:themeFill="background2"/>
          </w:tcPr>
          <w:p w14:paraId="6C237423" w14:textId="77777777" w:rsidR="00853897" w:rsidRDefault="00853897" w:rsidP="002856A0">
            <w:pPr>
              <w:pStyle w:val="TableDataEntries"/>
              <w:rPr>
                <w:lang w:val="en-GB"/>
              </w:rPr>
            </w:pPr>
            <w:r>
              <w:rPr>
                <w:lang w:val="en-GB"/>
              </w:rPr>
              <w:t>306 327</w:t>
            </w:r>
          </w:p>
        </w:tc>
        <w:tc>
          <w:tcPr>
            <w:tcW w:w="1984" w:type="dxa"/>
            <w:tcBorders>
              <w:top w:val="single" w:sz="8" w:space="0" w:color="FFFFFF" w:themeColor="background1"/>
              <w:bottom w:val="single" w:sz="8" w:space="0" w:color="FFFFFF" w:themeColor="background1"/>
            </w:tcBorders>
            <w:shd w:val="clear" w:color="auto" w:fill="E9E8E5" w:themeFill="background2"/>
          </w:tcPr>
          <w:p w14:paraId="272B647E" w14:textId="77777777" w:rsidR="00853897" w:rsidRDefault="00853897" w:rsidP="002856A0">
            <w:pPr>
              <w:pStyle w:val="TableDataEntries"/>
              <w:rPr>
                <w:lang w:val="en-GB"/>
              </w:rPr>
            </w:pPr>
            <w:r>
              <w:rPr>
                <w:lang w:val="en-GB"/>
              </w:rPr>
              <w:t xml:space="preserve"> 152</w:t>
            </w:r>
          </w:p>
        </w:tc>
        <w:tc>
          <w:tcPr>
            <w:tcW w:w="2268" w:type="dxa"/>
            <w:tcBorders>
              <w:top w:val="single" w:sz="8" w:space="0" w:color="FFFFFF" w:themeColor="background1"/>
              <w:bottom w:val="single" w:sz="8" w:space="0" w:color="FFFFFF" w:themeColor="background1"/>
            </w:tcBorders>
            <w:shd w:val="clear" w:color="auto" w:fill="E9E8E5" w:themeFill="background2"/>
          </w:tcPr>
          <w:p w14:paraId="46BB0054" w14:textId="77777777" w:rsidR="00853897" w:rsidRDefault="00853897" w:rsidP="002856A0">
            <w:pPr>
              <w:pStyle w:val="TableDataEntries"/>
              <w:rPr>
                <w:lang w:val="en-GB"/>
              </w:rPr>
            </w:pPr>
            <w:r>
              <w:rPr>
                <w:lang w:val="en-GB"/>
              </w:rPr>
              <w:t>2 011</w:t>
            </w:r>
          </w:p>
        </w:tc>
      </w:tr>
      <w:tr w:rsidR="00853897" w14:paraId="34D1DEF1"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50415673" w14:textId="77777777" w:rsidR="00853897" w:rsidRDefault="00853897" w:rsidP="002856A0">
            <w:pPr>
              <w:pStyle w:val="TableDataEntries"/>
              <w:jc w:val="left"/>
              <w:rPr>
                <w:lang w:val="en-GB"/>
              </w:rPr>
            </w:pPr>
            <w:r>
              <w:rPr>
                <w:lang w:val="en-GB"/>
              </w:rPr>
              <w:t>Hobart</w:t>
            </w:r>
          </w:p>
        </w:tc>
        <w:tc>
          <w:tcPr>
            <w:tcW w:w="1985" w:type="dxa"/>
            <w:tcBorders>
              <w:top w:val="single" w:sz="8" w:space="0" w:color="FFFFFF" w:themeColor="background1"/>
              <w:bottom w:val="single" w:sz="8" w:space="0" w:color="FFFFFF" w:themeColor="background1"/>
            </w:tcBorders>
            <w:shd w:val="clear" w:color="auto" w:fill="E9E8E5" w:themeFill="background2"/>
          </w:tcPr>
          <w:p w14:paraId="759E484D" w14:textId="77777777" w:rsidR="00853897" w:rsidRDefault="00853897" w:rsidP="002856A0">
            <w:pPr>
              <w:pStyle w:val="TableDataEntries"/>
              <w:rPr>
                <w:lang w:val="en-GB"/>
              </w:rPr>
            </w:pPr>
            <w:r>
              <w:rPr>
                <w:lang w:val="en-GB"/>
              </w:rPr>
              <w:t>441 104</w:t>
            </w:r>
          </w:p>
        </w:tc>
        <w:tc>
          <w:tcPr>
            <w:tcW w:w="1984" w:type="dxa"/>
            <w:tcBorders>
              <w:top w:val="single" w:sz="8" w:space="0" w:color="FFFFFF" w:themeColor="background1"/>
              <w:bottom w:val="single" w:sz="8" w:space="0" w:color="FFFFFF" w:themeColor="background1"/>
            </w:tcBorders>
            <w:shd w:val="clear" w:color="auto" w:fill="E9E8E5" w:themeFill="background2"/>
          </w:tcPr>
          <w:p w14:paraId="54489999" w14:textId="77777777" w:rsidR="00853897" w:rsidRDefault="00853897" w:rsidP="002856A0">
            <w:pPr>
              <w:pStyle w:val="TableDataEntries"/>
              <w:rPr>
                <w:lang w:val="en-GB"/>
              </w:rPr>
            </w:pPr>
            <w:r>
              <w:rPr>
                <w:lang w:val="en-GB"/>
              </w:rPr>
              <w:t xml:space="preserve"> 130</w:t>
            </w:r>
          </w:p>
        </w:tc>
        <w:tc>
          <w:tcPr>
            <w:tcW w:w="2268" w:type="dxa"/>
            <w:tcBorders>
              <w:top w:val="single" w:sz="8" w:space="0" w:color="FFFFFF" w:themeColor="background1"/>
              <w:bottom w:val="single" w:sz="8" w:space="0" w:color="FFFFFF" w:themeColor="background1"/>
            </w:tcBorders>
            <w:shd w:val="clear" w:color="auto" w:fill="E9E8E5" w:themeFill="background2"/>
          </w:tcPr>
          <w:p w14:paraId="00396484" w14:textId="77777777" w:rsidR="00853897" w:rsidRDefault="00853897" w:rsidP="002856A0">
            <w:pPr>
              <w:pStyle w:val="TableDataEntries"/>
              <w:rPr>
                <w:lang w:val="en-GB"/>
              </w:rPr>
            </w:pPr>
            <w:r>
              <w:rPr>
                <w:lang w:val="en-GB"/>
              </w:rPr>
              <w:t>3 398</w:t>
            </w:r>
          </w:p>
        </w:tc>
      </w:tr>
      <w:tr w:rsidR="00853897" w14:paraId="469E0668"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726285DC" w14:textId="77777777" w:rsidR="00853897" w:rsidRDefault="00853897" w:rsidP="002856A0">
            <w:pPr>
              <w:pStyle w:val="TableDataEntries"/>
              <w:jc w:val="left"/>
              <w:rPr>
                <w:lang w:val="en-GB"/>
              </w:rPr>
            </w:pPr>
            <w:r>
              <w:rPr>
                <w:lang w:val="en-GB"/>
              </w:rPr>
              <w:t>Canberra</w:t>
            </w:r>
          </w:p>
        </w:tc>
        <w:tc>
          <w:tcPr>
            <w:tcW w:w="1985" w:type="dxa"/>
            <w:tcBorders>
              <w:top w:val="single" w:sz="8" w:space="0" w:color="FFFFFF" w:themeColor="background1"/>
              <w:bottom w:val="single" w:sz="8" w:space="0" w:color="FFFFFF" w:themeColor="background1"/>
            </w:tcBorders>
            <w:shd w:val="clear" w:color="auto" w:fill="E9E8E5" w:themeFill="background2"/>
          </w:tcPr>
          <w:p w14:paraId="48B64DFF" w14:textId="77777777" w:rsidR="00853897" w:rsidRDefault="00853897" w:rsidP="002856A0">
            <w:pPr>
              <w:pStyle w:val="TableDataEntries"/>
              <w:rPr>
                <w:lang w:val="en-GB"/>
              </w:rPr>
            </w:pPr>
            <w:r>
              <w:rPr>
                <w:lang w:val="en-GB"/>
              </w:rPr>
              <w:t>455 537</w:t>
            </w:r>
          </w:p>
        </w:tc>
        <w:tc>
          <w:tcPr>
            <w:tcW w:w="1984" w:type="dxa"/>
            <w:tcBorders>
              <w:top w:val="single" w:sz="8" w:space="0" w:color="FFFFFF" w:themeColor="background1"/>
              <w:bottom w:val="single" w:sz="8" w:space="0" w:color="FFFFFF" w:themeColor="background1"/>
            </w:tcBorders>
            <w:shd w:val="clear" w:color="auto" w:fill="E9E8E5" w:themeFill="background2"/>
          </w:tcPr>
          <w:p w14:paraId="14DAF9E5" w14:textId="77777777" w:rsidR="00853897" w:rsidRDefault="00853897" w:rsidP="002856A0">
            <w:pPr>
              <w:pStyle w:val="TableDataEntries"/>
              <w:rPr>
                <w:lang w:val="en-GB"/>
              </w:rPr>
            </w:pPr>
            <w:r>
              <w:rPr>
                <w:lang w:val="en-GB"/>
              </w:rPr>
              <w:t xml:space="preserve"> 96</w:t>
            </w:r>
          </w:p>
        </w:tc>
        <w:tc>
          <w:tcPr>
            <w:tcW w:w="2268" w:type="dxa"/>
            <w:tcBorders>
              <w:top w:val="single" w:sz="8" w:space="0" w:color="FFFFFF" w:themeColor="background1"/>
              <w:bottom w:val="single" w:sz="8" w:space="0" w:color="FFFFFF" w:themeColor="background1"/>
            </w:tcBorders>
            <w:shd w:val="clear" w:color="auto" w:fill="E9E8E5" w:themeFill="background2"/>
          </w:tcPr>
          <w:p w14:paraId="2FB179E5" w14:textId="77777777" w:rsidR="00853897" w:rsidRDefault="00853897" w:rsidP="002856A0">
            <w:pPr>
              <w:pStyle w:val="TableDataEntries"/>
              <w:rPr>
                <w:lang w:val="en-GB"/>
              </w:rPr>
            </w:pPr>
            <w:r>
              <w:rPr>
                <w:lang w:val="en-GB"/>
              </w:rPr>
              <w:t>4 755</w:t>
            </w:r>
          </w:p>
        </w:tc>
      </w:tr>
      <w:tr w:rsidR="00853897" w14:paraId="72181A68" w14:textId="77777777" w:rsidTr="002856A0">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14:paraId="376890CF" w14:textId="77777777" w:rsidR="00853897" w:rsidRDefault="00853897" w:rsidP="002856A0">
            <w:pPr>
              <w:pStyle w:val="TableDataEntries"/>
              <w:jc w:val="left"/>
              <w:rPr>
                <w:lang w:val="en-GB"/>
              </w:rPr>
            </w:pPr>
            <w:r>
              <w:rPr>
                <w:lang w:val="en-GB"/>
              </w:rPr>
              <w:t>Darwin</w:t>
            </w:r>
          </w:p>
        </w:tc>
        <w:tc>
          <w:tcPr>
            <w:tcW w:w="1985" w:type="dxa"/>
            <w:tcBorders>
              <w:top w:val="single" w:sz="8" w:space="0" w:color="FFFFFF" w:themeColor="background1"/>
              <w:bottom w:val="single" w:sz="8" w:space="0" w:color="FFFFFF" w:themeColor="background1"/>
            </w:tcBorders>
            <w:shd w:val="clear" w:color="auto" w:fill="E9E8E5" w:themeFill="background2"/>
          </w:tcPr>
          <w:p w14:paraId="4188248C" w14:textId="77777777" w:rsidR="00853897" w:rsidRDefault="00853897" w:rsidP="002856A0">
            <w:pPr>
              <w:pStyle w:val="TableDataEntries"/>
              <w:rPr>
                <w:lang w:val="en-GB"/>
              </w:rPr>
            </w:pPr>
            <w:r>
              <w:rPr>
                <w:lang w:val="en-GB"/>
              </w:rPr>
              <w:t>286 249</w:t>
            </w:r>
          </w:p>
        </w:tc>
        <w:tc>
          <w:tcPr>
            <w:tcW w:w="1984" w:type="dxa"/>
            <w:tcBorders>
              <w:top w:val="single" w:sz="8" w:space="0" w:color="FFFFFF" w:themeColor="background1"/>
              <w:bottom w:val="single" w:sz="8" w:space="0" w:color="FFFFFF" w:themeColor="background1"/>
            </w:tcBorders>
            <w:shd w:val="clear" w:color="auto" w:fill="E9E8E5" w:themeFill="background2"/>
          </w:tcPr>
          <w:p w14:paraId="1EEEF66A" w14:textId="77777777" w:rsidR="00853897" w:rsidRDefault="00853897" w:rsidP="002856A0">
            <w:pPr>
              <w:pStyle w:val="TableDataEntries"/>
              <w:rPr>
                <w:lang w:val="en-GB"/>
              </w:rPr>
            </w:pPr>
            <w:r>
              <w:rPr>
                <w:lang w:val="en-GB"/>
              </w:rPr>
              <w:t xml:space="preserve"> 155</w:t>
            </w:r>
          </w:p>
        </w:tc>
        <w:tc>
          <w:tcPr>
            <w:tcW w:w="2268" w:type="dxa"/>
            <w:tcBorders>
              <w:top w:val="single" w:sz="8" w:space="0" w:color="FFFFFF" w:themeColor="background1"/>
              <w:bottom w:val="single" w:sz="8" w:space="0" w:color="FFFFFF" w:themeColor="background1"/>
            </w:tcBorders>
            <w:shd w:val="clear" w:color="auto" w:fill="E9E8E5" w:themeFill="background2"/>
          </w:tcPr>
          <w:p w14:paraId="506FF508" w14:textId="77777777" w:rsidR="00853897" w:rsidRDefault="00853897" w:rsidP="002856A0">
            <w:pPr>
              <w:pStyle w:val="TableDataEntries"/>
              <w:rPr>
                <w:lang w:val="en-GB"/>
              </w:rPr>
            </w:pPr>
            <w:r>
              <w:rPr>
                <w:lang w:val="en-GB"/>
              </w:rPr>
              <w:t>1 853</w:t>
            </w:r>
          </w:p>
        </w:tc>
      </w:tr>
      <w:tr w:rsidR="00853897" w:rsidRPr="00504F9E" w14:paraId="4D5F2DF6" w14:textId="77777777" w:rsidTr="002856A0">
        <w:trPr>
          <w:trHeight w:val="230"/>
        </w:trPr>
        <w:tc>
          <w:tcPr>
            <w:tcW w:w="1701" w:type="dxa"/>
            <w:tcBorders>
              <w:top w:val="single" w:sz="8" w:space="0" w:color="FFFFFF" w:themeColor="background1"/>
              <w:bottom w:val="single" w:sz="4" w:space="0" w:color="6F6652" w:themeColor="accent5"/>
            </w:tcBorders>
            <w:shd w:val="clear" w:color="auto" w:fill="C2DADB" w:themeFill="accent6" w:themeFillTint="99"/>
          </w:tcPr>
          <w:p w14:paraId="21B9F434" w14:textId="77777777" w:rsidR="00853897" w:rsidRPr="00504F9E" w:rsidRDefault="00853897" w:rsidP="002856A0">
            <w:pPr>
              <w:pStyle w:val="TableDataEntries"/>
              <w:jc w:val="left"/>
              <w:rPr>
                <w:rFonts w:ascii="Franklin Gothic Demi" w:hAnsi="Franklin Gothic Demi"/>
                <w:lang w:val="en-GB"/>
              </w:rPr>
            </w:pPr>
            <w:r w:rsidRPr="00504F9E">
              <w:rPr>
                <w:rFonts w:ascii="Franklin Gothic Demi" w:hAnsi="Franklin Gothic Demi"/>
                <w:lang w:val="en-GB"/>
              </w:rPr>
              <w:t>Weighted average</w:t>
            </w:r>
          </w:p>
        </w:tc>
        <w:tc>
          <w:tcPr>
            <w:tcW w:w="1985" w:type="dxa"/>
            <w:tcBorders>
              <w:top w:val="single" w:sz="8" w:space="0" w:color="FFFFFF" w:themeColor="background1"/>
              <w:bottom w:val="single" w:sz="4" w:space="0" w:color="6F6652" w:themeColor="accent5"/>
            </w:tcBorders>
            <w:shd w:val="clear" w:color="auto" w:fill="C2DADB" w:themeFill="accent6" w:themeFillTint="99"/>
          </w:tcPr>
          <w:p w14:paraId="75DA426F" w14:textId="77777777" w:rsidR="00853897" w:rsidRPr="00504F9E" w:rsidRDefault="00853897" w:rsidP="002856A0">
            <w:pPr>
              <w:pStyle w:val="TableDataEntries"/>
              <w:rPr>
                <w:rFonts w:ascii="Franklin Gothic Demi" w:hAnsi="Franklin Gothic Demi"/>
                <w:lang w:val="en-GB"/>
              </w:rPr>
            </w:pPr>
          </w:p>
        </w:tc>
        <w:tc>
          <w:tcPr>
            <w:tcW w:w="1984" w:type="dxa"/>
            <w:tcBorders>
              <w:top w:val="single" w:sz="8" w:space="0" w:color="FFFFFF" w:themeColor="background1"/>
              <w:bottom w:val="single" w:sz="4" w:space="0" w:color="6F6652" w:themeColor="accent5"/>
            </w:tcBorders>
            <w:shd w:val="clear" w:color="auto" w:fill="C2DADB" w:themeFill="accent6" w:themeFillTint="99"/>
          </w:tcPr>
          <w:p w14:paraId="51338A78" w14:textId="77777777" w:rsidR="00853897" w:rsidRPr="00504F9E" w:rsidRDefault="00853897" w:rsidP="002856A0">
            <w:pPr>
              <w:pStyle w:val="TableDataEntries"/>
              <w:rPr>
                <w:rFonts w:ascii="Franklin Gothic Demi" w:hAnsi="Franklin Gothic Demi"/>
                <w:lang w:val="en-GB"/>
              </w:rPr>
            </w:pPr>
          </w:p>
        </w:tc>
        <w:tc>
          <w:tcPr>
            <w:tcW w:w="2268" w:type="dxa"/>
            <w:tcBorders>
              <w:top w:val="single" w:sz="8" w:space="0" w:color="FFFFFF" w:themeColor="background1"/>
              <w:bottom w:val="single" w:sz="4" w:space="0" w:color="6F6652" w:themeColor="accent5"/>
            </w:tcBorders>
            <w:shd w:val="clear" w:color="auto" w:fill="C2DADB" w:themeFill="accent6" w:themeFillTint="99"/>
          </w:tcPr>
          <w:p w14:paraId="4153F808" w14:textId="77777777" w:rsidR="00853897" w:rsidRPr="00504F9E" w:rsidRDefault="00853897" w:rsidP="002856A0">
            <w:pPr>
              <w:pStyle w:val="TableDataEntries"/>
              <w:rPr>
                <w:rFonts w:ascii="Franklin Gothic Demi" w:hAnsi="Franklin Gothic Demi"/>
                <w:lang w:val="en-GB"/>
              </w:rPr>
            </w:pPr>
            <w:r w:rsidRPr="00504F9E">
              <w:rPr>
                <w:rFonts w:ascii="Franklin Gothic Demi" w:hAnsi="Franklin Gothic Demi"/>
                <w:lang w:val="en-GB"/>
              </w:rPr>
              <w:t>4 517</w:t>
            </w:r>
          </w:p>
        </w:tc>
      </w:tr>
    </w:tbl>
    <w:p w14:paraId="57731526" w14:textId="77777777" w:rsidR="00853897" w:rsidRPr="00E4232C" w:rsidRDefault="00853897" w:rsidP="00853897">
      <w:pPr>
        <w:pStyle w:val="Note"/>
      </w:pPr>
      <w:r w:rsidRPr="00B46BCC">
        <w:rPr>
          <w:rStyle w:val="NoteLabel"/>
          <w:color w:val="000000" w:themeColor="text1"/>
        </w:rPr>
        <w:t>a</w:t>
      </w:r>
      <w:r>
        <w:t xml:space="preserve"> From Domain House Price Report — December 2019, </w:t>
      </w:r>
      <w:hyperlink r:id="rId62" w:anchor="sydney" w:history="1">
        <w:r w:rsidRPr="00F8626D">
          <w:rPr>
            <w:rStyle w:val="Hyperlink"/>
            <w:rFonts w:asciiTheme="minorHAnsi" w:hAnsiTheme="minorHAnsi"/>
            <w:i/>
            <w:iCs/>
            <w:szCs w:val="14"/>
            <w:lang w:eastAsia="en-AU"/>
          </w:rPr>
          <w:t>https://www.domain.com.au/research/house-price-report/december-2019/#sydney</w:t>
        </w:r>
      </w:hyperlink>
      <w:r>
        <w:t xml:space="preserve">, accessed 29 January 2020. </w:t>
      </w:r>
      <w:r w:rsidRPr="00B46BCC">
        <w:rPr>
          <w:rStyle w:val="NoteLabel"/>
          <w:color w:val="000000" w:themeColor="text1"/>
        </w:rPr>
        <w:t>b</w:t>
      </w:r>
      <w:r>
        <w:t xml:space="preserve"> CommSec, Australian home size hits 20-year low: CommSec Home Size Trends Report, Economic Insights, 17 November 2017, </w:t>
      </w:r>
      <w:hyperlink r:id="rId63" w:tooltip="More information can be found at the website via this link" w:history="1">
        <w:r w:rsidRPr="00F8626D">
          <w:rPr>
            <w:rStyle w:val="Hyperlink"/>
            <w:rFonts w:asciiTheme="minorHAnsi" w:hAnsiTheme="minorHAnsi"/>
            <w:i/>
            <w:iCs/>
            <w:szCs w:val="14"/>
            <w:lang w:eastAsia="en-AU"/>
          </w:rPr>
          <w:t>https://www.commsec.com.au/content/dam/EN/ResearchNews/ECOReport.20.11.17_Biggest%20homes_size-fall.pdf</w:t>
        </w:r>
      </w:hyperlink>
      <w:r w:rsidRPr="00F8626D">
        <w:rPr>
          <w:szCs w:val="14"/>
        </w:rPr>
        <w:t>, accesse</w:t>
      </w:r>
      <w:r>
        <w:t>d 30 January 2020.</w:t>
      </w:r>
    </w:p>
    <w:p w14:paraId="74FF4A63" w14:textId="77777777" w:rsidR="00853897" w:rsidRDefault="00292B71" w:rsidP="00853897">
      <w:pPr>
        <w:pStyle w:val="BodyText"/>
      </w:pPr>
      <w:r>
        <w:t xml:space="preserve">It may be a more accurate measure of </w:t>
      </w:r>
      <w:r w:rsidR="00853897">
        <w:t xml:space="preserve">the amenity costs of losing living space </w:t>
      </w:r>
      <w:r>
        <w:t>to consider</w:t>
      </w:r>
      <w:r w:rsidR="00853897">
        <w:t xml:space="preserve"> the </w:t>
      </w:r>
      <w:r w:rsidR="00853897" w:rsidRPr="00F36A14">
        <w:rPr>
          <w:i/>
          <w:iCs/>
        </w:rPr>
        <w:t>marginal</w:t>
      </w:r>
      <w:r w:rsidR="00853897">
        <w:t xml:space="preserve"> value of floor space, rather than the </w:t>
      </w:r>
      <w:r w:rsidR="00853897" w:rsidRPr="00F36A14">
        <w:rPr>
          <w:i/>
          <w:iCs/>
        </w:rPr>
        <w:t>average</w:t>
      </w:r>
      <w:r w:rsidR="00853897">
        <w:t xml:space="preserve"> value</w:t>
      </w:r>
      <w:r w:rsidR="00C67CC3">
        <w:t xml:space="preserve"> which implies all areas are equally valued</w:t>
      </w:r>
      <w:r w:rsidR="00853897">
        <w:t xml:space="preserve">. </w:t>
      </w:r>
      <w:r>
        <w:t>The marginal value represent</w:t>
      </w:r>
      <w:r w:rsidR="00F74606">
        <w:t>s</w:t>
      </w:r>
      <w:r>
        <w:t xml:space="preserve"> the cost of losing that particular space, rather than just a per square metre average based on the value of the space in its entirety. </w:t>
      </w:r>
      <w:r w:rsidR="00853897">
        <w:t>However, there are few relevant studies that estimate the marginal value of floor space in apartments.</w:t>
      </w:r>
    </w:p>
    <w:p w14:paraId="00D5B446" w14:textId="77777777" w:rsidR="00853897" w:rsidRDefault="00853897" w:rsidP="00853897">
      <w:pPr>
        <w:pStyle w:val="BodyText"/>
      </w:pPr>
      <w:r>
        <w:lastRenderedPageBreak/>
        <w:t>Two studies by the Secret Agent (a buyers</w:t>
      </w:r>
      <w:r w:rsidR="001C305E">
        <w:t>’</w:t>
      </w:r>
      <w:r>
        <w:t xml:space="preserve"> advocate based in Melbourne) for a broader study on the economic impacts of Melbourne’s apartment design guide by SGS Planning and Economics</w:t>
      </w:r>
      <w:r>
        <w:rPr>
          <w:rStyle w:val="FootnoteReference"/>
        </w:rPr>
        <w:footnoteReference w:id="197"/>
      </w:r>
      <w:r>
        <w:t xml:space="preserve"> estimated the marginal value of apartment space for apartments in inner Melbourne.</w:t>
      </w:r>
    </w:p>
    <w:p w14:paraId="2171A218" w14:textId="77777777" w:rsidR="00853897" w:rsidRDefault="00853897" w:rsidP="00853897">
      <w:pPr>
        <w:pStyle w:val="ListBullet"/>
        <w:numPr>
          <w:ilvl w:val="0"/>
          <w:numId w:val="16"/>
        </w:numPr>
        <w:spacing w:before="50"/>
      </w:pPr>
      <w:r>
        <w:t>The first study estimated that the marginal value of additional floor space was around $6 200 per m</w:t>
      </w:r>
      <w:r w:rsidRPr="00F04EE6">
        <w:rPr>
          <w:vertAlign w:val="superscript"/>
        </w:rPr>
        <w:t>2</w:t>
      </w:r>
      <w:r>
        <w:t>.</w:t>
      </w:r>
    </w:p>
    <w:p w14:paraId="1F644332" w14:textId="77777777" w:rsidR="00853897" w:rsidRDefault="00853897" w:rsidP="00853897">
      <w:pPr>
        <w:pStyle w:val="ListBullet"/>
        <w:numPr>
          <w:ilvl w:val="0"/>
          <w:numId w:val="16"/>
        </w:numPr>
        <w:spacing w:before="50"/>
      </w:pPr>
      <w:r>
        <w:t>A second study, where the sample was restricted to apartment buildings that were 4 storeys or less, estimated the marginal value of additional floor space was around $3 900 per m</w:t>
      </w:r>
      <w:r w:rsidRPr="00F04EE6">
        <w:rPr>
          <w:vertAlign w:val="superscript"/>
        </w:rPr>
        <w:t>2</w:t>
      </w:r>
      <w:r>
        <w:t>.</w:t>
      </w:r>
    </w:p>
    <w:p w14:paraId="64729749" w14:textId="77777777" w:rsidR="00853897" w:rsidRDefault="00853897" w:rsidP="00853897">
      <w:pPr>
        <w:pStyle w:val="BodyText"/>
      </w:pPr>
      <w:r>
        <w:t xml:space="preserve">The lower estimate was broadly consistent with the average price per square </w:t>
      </w:r>
      <w:r w:rsidR="001C305E">
        <w:t>met</w:t>
      </w:r>
      <w:r w:rsidR="0089523D">
        <w:t>r</w:t>
      </w:r>
      <w:r w:rsidR="00292B71">
        <w:t>e</w:t>
      </w:r>
      <w:r w:rsidR="0089523D">
        <w:t xml:space="preserve"> </w:t>
      </w:r>
      <w:r>
        <w:t>at the time, suggesting that the average price per square metr</w:t>
      </w:r>
      <w:r w:rsidR="00292B71">
        <w:t>e</w:t>
      </w:r>
      <w:r>
        <w:t xml:space="preserve"> is a reasonable indicator of the marginal value of apartment space.</w:t>
      </w:r>
    </w:p>
    <w:p w14:paraId="1B22C3F8" w14:textId="77777777" w:rsidR="00C12909" w:rsidRDefault="00C12909" w:rsidP="00F11AF4">
      <w:pPr>
        <w:pStyle w:val="Heading4"/>
      </w:pPr>
      <w:r>
        <w:t xml:space="preserve">Capital value of </w:t>
      </w:r>
      <w:r w:rsidR="009F01AA">
        <w:t xml:space="preserve">more </w:t>
      </w:r>
      <w:r>
        <w:t>space</w:t>
      </w:r>
    </w:p>
    <w:p w14:paraId="1FC4C73B" w14:textId="77777777" w:rsidR="00F2108F" w:rsidRDefault="00C12909" w:rsidP="00F11AF4">
      <w:pPr>
        <w:pStyle w:val="BodyText"/>
        <w:rPr>
          <w:lang w:bidi="fa-IR"/>
        </w:rPr>
      </w:pPr>
      <w:r>
        <w:rPr>
          <w:lang w:bidi="fa-IR"/>
        </w:rPr>
        <w:t xml:space="preserve">As discussed in chapter </w:t>
      </w:r>
      <w:r w:rsidR="004C7A95">
        <w:rPr>
          <w:lang w:bidi="fa-IR"/>
        </w:rPr>
        <w:t>two</w:t>
      </w:r>
      <w:r>
        <w:rPr>
          <w:lang w:bidi="fa-IR"/>
        </w:rPr>
        <w:t xml:space="preserve">, Dalton and Carter (2020a,b) </w:t>
      </w:r>
      <w:r w:rsidR="00694A97">
        <w:rPr>
          <w:lang w:bidi="fa-IR"/>
        </w:rPr>
        <w:t>suggested</w:t>
      </w:r>
      <w:r>
        <w:rPr>
          <w:lang w:bidi="fa-IR"/>
        </w:rPr>
        <w:t xml:space="preserve"> that </w:t>
      </w:r>
      <w:r w:rsidR="00F2108F">
        <w:rPr>
          <w:lang w:bidi="fa-IR"/>
        </w:rPr>
        <w:t xml:space="preserve">the CBA in the Consultation RIS did not </w:t>
      </w:r>
      <w:r w:rsidR="00F2108F" w:rsidRPr="00E325B6">
        <w:rPr>
          <w:lang w:bidi="fa-IR"/>
        </w:rPr>
        <w:t>capture the ‘utility in use’ or</w:t>
      </w:r>
      <w:r w:rsidRPr="00E325B6">
        <w:rPr>
          <w:lang w:bidi="fa-IR"/>
        </w:rPr>
        <w:t xml:space="preserve"> capital value of the</w:t>
      </w:r>
      <w:r>
        <w:rPr>
          <w:lang w:bidi="fa-IR"/>
        </w:rPr>
        <w:t xml:space="preserve"> additional space </w:t>
      </w:r>
      <w:r w:rsidR="00F2108F">
        <w:rPr>
          <w:lang w:bidi="fa-IR"/>
        </w:rPr>
        <w:t xml:space="preserve">and this </w:t>
      </w:r>
      <w:r>
        <w:rPr>
          <w:lang w:bidi="fa-IR"/>
        </w:rPr>
        <w:t>should be included in the analysis in addition to the benefit of improved functionality.</w:t>
      </w:r>
      <w:r>
        <w:rPr>
          <w:rStyle w:val="FootnoteReference"/>
          <w:lang w:bidi="fa-IR"/>
        </w:rPr>
        <w:footnoteReference w:id="198"/>
      </w:r>
      <w:r>
        <w:rPr>
          <w:lang w:bidi="fa-IR"/>
        </w:rPr>
        <w:t xml:space="preserve"> </w:t>
      </w:r>
      <w:r w:rsidR="00F2108F">
        <w:rPr>
          <w:lang w:bidi="fa-IR"/>
        </w:rPr>
        <w:t xml:space="preserve">Dalton and Carter (2020a,b) </w:t>
      </w:r>
      <w:r w:rsidR="00694A97">
        <w:rPr>
          <w:lang w:bidi="fa-IR"/>
        </w:rPr>
        <w:t>suggest</w:t>
      </w:r>
      <w:r w:rsidR="00F2108F">
        <w:rPr>
          <w:lang w:bidi="fa-IR"/>
        </w:rPr>
        <w:t xml:space="preserve"> that the capital value would be equivalent to the opportunity cost of the additional space.</w:t>
      </w:r>
    </w:p>
    <w:p w14:paraId="5B1BD682" w14:textId="77777777" w:rsidR="00F2108F" w:rsidRDefault="00F2108F" w:rsidP="00F2108F">
      <w:pPr>
        <w:pStyle w:val="BodyText"/>
        <w:rPr>
          <w:lang w:bidi="fa-IR"/>
        </w:rPr>
      </w:pPr>
      <w:r>
        <w:rPr>
          <w:lang w:bidi="fa-IR"/>
        </w:rPr>
        <w:t xml:space="preserve">Extra space in functional areas of a home would increase the value of the home only if it provides </w:t>
      </w:r>
      <w:r w:rsidRPr="00E325B6">
        <w:rPr>
          <w:lang w:bidi="fa-IR"/>
        </w:rPr>
        <w:t>additional or utility in use</w:t>
      </w:r>
      <w:r w:rsidR="00910A31" w:rsidRPr="00E325B6">
        <w:rPr>
          <w:lang w:bidi="fa-IR"/>
        </w:rPr>
        <w:t xml:space="preserve"> (s</w:t>
      </w:r>
      <w:r w:rsidR="00E325B6" w:rsidRPr="00E325B6">
        <w:rPr>
          <w:lang w:bidi="fa-IR"/>
        </w:rPr>
        <w:t>ometimes referred to as amenity)</w:t>
      </w:r>
      <w:r w:rsidRPr="00E325B6">
        <w:rPr>
          <w:lang w:bidi="fa-IR"/>
        </w:rPr>
        <w:t xml:space="preserve"> that is valued by the market (the main</w:t>
      </w:r>
      <w:r>
        <w:rPr>
          <w:lang w:bidi="fa-IR"/>
        </w:rPr>
        <w:t xml:space="preserve"> market failure leading to an undersupply of accessible dwellings is that the market undervalues the functional benefits</w:t>
      </w:r>
      <w:r w:rsidR="008954D7">
        <w:rPr>
          <w:lang w:bidi="fa-IR"/>
        </w:rPr>
        <w:t xml:space="preserve"> of accessibility</w:t>
      </w:r>
      <w:r>
        <w:rPr>
          <w:lang w:bidi="fa-IR"/>
        </w:rPr>
        <w:t xml:space="preserve">). </w:t>
      </w:r>
      <w:r w:rsidR="00694A97">
        <w:rPr>
          <w:lang w:bidi="fa-IR"/>
        </w:rPr>
        <w:t xml:space="preserve">CIE has found minimal </w:t>
      </w:r>
      <w:r>
        <w:rPr>
          <w:lang w:bidi="fa-IR"/>
        </w:rPr>
        <w:t>direct evidence to support this proposition</w:t>
      </w:r>
      <w:r w:rsidR="00694A97">
        <w:rPr>
          <w:lang w:bidi="fa-IR"/>
        </w:rPr>
        <w:t>, and notes the following</w:t>
      </w:r>
      <w:r w:rsidR="00680DA7">
        <w:rPr>
          <w:lang w:bidi="fa-IR"/>
        </w:rPr>
        <w:t>:</w:t>
      </w:r>
    </w:p>
    <w:p w14:paraId="56011C48" w14:textId="77777777" w:rsidR="00F2108F" w:rsidRDefault="00F2108F" w:rsidP="00F2108F">
      <w:pPr>
        <w:pStyle w:val="ListBullet"/>
        <w:rPr>
          <w:lang w:bidi="fa-IR"/>
        </w:rPr>
      </w:pPr>
      <w:r>
        <w:rPr>
          <w:lang w:bidi="fa-IR"/>
        </w:rPr>
        <w:t xml:space="preserve">Master Builders Australia’s submission to the Consultation RIS suggests that </w:t>
      </w:r>
      <w:r w:rsidR="00694A97">
        <w:rPr>
          <w:lang w:bidi="fa-IR"/>
        </w:rPr>
        <w:t>S</w:t>
      </w:r>
      <w:r>
        <w:rPr>
          <w:lang w:bidi="fa-IR"/>
        </w:rPr>
        <w:t>ilver</w:t>
      </w:r>
      <w:r>
        <w:rPr>
          <w:lang w:bidi="fa-IR"/>
        </w:rPr>
        <w:noBreakHyphen/>
        <w:t xml:space="preserve">level features do not necessarily improve amenity. The submission refers to the experience of a builder displaying </w:t>
      </w:r>
      <w:r w:rsidR="00694A97">
        <w:rPr>
          <w:lang w:bidi="fa-IR"/>
        </w:rPr>
        <w:t>S</w:t>
      </w:r>
      <w:r>
        <w:rPr>
          <w:lang w:bidi="fa-IR"/>
        </w:rPr>
        <w:t>ilver</w:t>
      </w:r>
      <w:r>
        <w:rPr>
          <w:lang w:bidi="fa-IR"/>
        </w:rPr>
        <w:noBreakHyphen/>
        <w:t>level homes at a major display village. The submission notes that:</w:t>
      </w:r>
      <w:r>
        <w:rPr>
          <w:rStyle w:val="FootnoteReference"/>
          <w:lang w:bidi="fa-IR"/>
        </w:rPr>
        <w:footnoteReference w:id="199"/>
      </w:r>
    </w:p>
    <w:p w14:paraId="03A6D4F2" w14:textId="77777777" w:rsidR="00F2108F" w:rsidRDefault="00F2108F" w:rsidP="00F2108F">
      <w:pPr>
        <w:pStyle w:val="ListBullet2"/>
        <w:rPr>
          <w:lang w:bidi="fa-IR"/>
        </w:rPr>
      </w:pPr>
      <w:r>
        <w:rPr>
          <w:lang w:bidi="fa-IR"/>
        </w:rPr>
        <w:t>the public were left confused with a negative impression of the builder’s design</w:t>
      </w:r>
    </w:p>
    <w:p w14:paraId="3243F2C6" w14:textId="77777777" w:rsidR="00F2108F" w:rsidRDefault="00F2108F" w:rsidP="00F2108F">
      <w:pPr>
        <w:pStyle w:val="ListBullet2"/>
        <w:rPr>
          <w:lang w:bidi="fa-IR"/>
        </w:rPr>
      </w:pPr>
      <w:r>
        <w:rPr>
          <w:lang w:bidi="fa-IR"/>
        </w:rPr>
        <w:t>if the sales consultant does not effectively explain LHDGs (i.e. oversized powder rooms etc.) buyers walk away questioning their designs.</w:t>
      </w:r>
    </w:p>
    <w:p w14:paraId="73C56BDF" w14:textId="77777777" w:rsidR="00F2108F" w:rsidRDefault="00F2108F" w:rsidP="00F2108F">
      <w:pPr>
        <w:pStyle w:val="ListBullet"/>
        <w:rPr>
          <w:lang w:bidi="fa-IR"/>
        </w:rPr>
      </w:pPr>
      <w:r w:rsidRPr="006139AC">
        <w:rPr>
          <w:lang w:bidi="fa-IR"/>
        </w:rPr>
        <w:lastRenderedPageBreak/>
        <w:t>Hedonic pricing</w:t>
      </w:r>
      <w:r>
        <w:rPr>
          <w:lang w:bidi="fa-IR"/>
        </w:rPr>
        <w:t xml:space="preserve"> </w:t>
      </w:r>
      <w:r w:rsidR="00413EEB">
        <w:rPr>
          <w:rStyle w:val="FootnoteReference"/>
          <w:lang w:bidi="fa-IR"/>
        </w:rPr>
        <w:footnoteReference w:id="200"/>
      </w:r>
      <w:r>
        <w:rPr>
          <w:lang w:bidi="fa-IR"/>
        </w:rPr>
        <w:t xml:space="preserve">studies using property value typically include a range of variables that have a significant </w:t>
      </w:r>
      <w:r w:rsidR="00694A97">
        <w:rPr>
          <w:lang w:bidi="fa-IR"/>
        </w:rPr>
        <w:t xml:space="preserve">impact </w:t>
      </w:r>
      <w:r>
        <w:rPr>
          <w:lang w:bidi="fa-IR"/>
        </w:rPr>
        <w:t>on property values (as control variables). These studies rarely include the accessibility features provided under the NCC proposal (such as additional space in bathrooms, toilets, kitchens and hallways).</w:t>
      </w:r>
      <w:r w:rsidR="009D4D2D">
        <w:rPr>
          <w:rStyle w:val="FootnoteReference"/>
          <w:lang w:bidi="fa-IR"/>
        </w:rPr>
        <w:footnoteReference w:id="201"/>
      </w:r>
      <w:r>
        <w:rPr>
          <w:lang w:bidi="fa-IR"/>
        </w:rPr>
        <w:t xml:space="preserve"> This suggests that these features are not a major influence on property prices.</w:t>
      </w:r>
    </w:p>
    <w:p w14:paraId="77C830F6" w14:textId="77777777" w:rsidR="00F2108F" w:rsidRDefault="00F2108F" w:rsidP="00F2108F">
      <w:pPr>
        <w:pStyle w:val="ListBullet"/>
        <w:rPr>
          <w:lang w:bidi="fa-IR"/>
        </w:rPr>
      </w:pPr>
      <w:r>
        <w:rPr>
          <w:lang w:bidi="fa-IR"/>
        </w:rPr>
        <w:t>The evidence from the</w:t>
      </w:r>
      <w:r w:rsidR="00F9602E">
        <w:rPr>
          <w:lang w:bidi="fa-IR"/>
        </w:rPr>
        <w:t xml:space="preserve"> stated preference</w:t>
      </w:r>
      <w:r>
        <w:rPr>
          <w:lang w:bidi="fa-IR"/>
        </w:rPr>
        <w:t xml:space="preserve"> survey does not support the proposition that buyers value the additional floor space under the NCC proposal highly. Holding constant accessibility features and the proportion of floor space used for functional versus living areas, the value of the additional spaces provided to comply with the proposed NCC requirements is not statistically significantly different from zero</w:t>
      </w:r>
      <w:r w:rsidR="00953AF6">
        <w:rPr>
          <w:lang w:bidi="fa-IR"/>
        </w:rPr>
        <w:t xml:space="preserve"> (z values are between 1.5 and 1.9 depending on the models used)</w:t>
      </w:r>
      <w:r>
        <w:rPr>
          <w:lang w:bidi="fa-IR"/>
        </w:rPr>
        <w:t>. In other words, the statistical evidence does not support additional capital value in addition to the functionality benefits.</w:t>
      </w:r>
    </w:p>
    <w:p w14:paraId="560B3D62" w14:textId="77777777" w:rsidR="00F2108F" w:rsidRDefault="00F2108F" w:rsidP="00F2108F">
      <w:pPr>
        <w:pStyle w:val="ListBullet"/>
        <w:rPr>
          <w:lang w:bidi="fa-IR"/>
        </w:rPr>
      </w:pPr>
      <w:r>
        <w:rPr>
          <w:lang w:bidi="fa-IR"/>
        </w:rPr>
        <w:t>Furthermore, there is no particular reason why these benefits would equal the additional cost. Indeed this is likely to be an extreme upper bound estimate; if the utility in use benefits were higher than the cost of the additional space, logically more people would choose designs that incorporate these features.</w:t>
      </w:r>
    </w:p>
    <w:p w14:paraId="083EC7B9" w14:textId="77777777" w:rsidR="00F2108F" w:rsidRDefault="00F2108F" w:rsidP="00F2108F">
      <w:pPr>
        <w:pStyle w:val="BodyText"/>
        <w:rPr>
          <w:lang w:bidi="fa-IR"/>
        </w:rPr>
      </w:pPr>
      <w:r>
        <w:rPr>
          <w:lang w:bidi="fa-IR"/>
        </w:rPr>
        <w:t>CIE acknowledges that there may be some ‘utility in use’ benefits from the additional space that would be provided under the proposed change to the NCC in addition to the functionality benefits already estimated; in principle, more space would be preferred to less space (all else being equal).</w:t>
      </w:r>
    </w:p>
    <w:p w14:paraId="6B80C5FE" w14:textId="77777777" w:rsidR="00C12909" w:rsidRDefault="00953AF6" w:rsidP="00C12909">
      <w:pPr>
        <w:pStyle w:val="BodyText"/>
        <w:rPr>
          <w:lang w:bidi="fa-IR"/>
        </w:rPr>
      </w:pPr>
      <w:r>
        <w:rPr>
          <w:lang w:bidi="fa-IR"/>
        </w:rPr>
        <w:t>Although not statistically significant, the</w:t>
      </w:r>
      <w:r w:rsidR="00C12909">
        <w:rPr>
          <w:lang w:bidi="fa-IR"/>
        </w:rPr>
        <w:t xml:space="preserve"> ‘use value’ WTP for a 5 per cent increase in floor space, holding constant accessibility features and proportion of floor space used for functional versus living areas, </w:t>
      </w:r>
      <w:r w:rsidR="00C12909" w:rsidRPr="00203D96">
        <w:rPr>
          <w:lang w:bidi="fa-IR"/>
        </w:rPr>
        <w:t xml:space="preserve">is </w:t>
      </w:r>
      <w:r>
        <w:rPr>
          <w:lang w:bidi="fa-IR"/>
        </w:rPr>
        <w:t>estimated at</w:t>
      </w:r>
      <w:r w:rsidR="00C12909" w:rsidRPr="00203D96">
        <w:rPr>
          <w:lang w:bidi="fa-IR"/>
        </w:rPr>
        <w:t xml:space="preserve"> $376 per year for buyers and $288 per year for</w:t>
      </w:r>
      <w:r w:rsidR="00C12909">
        <w:rPr>
          <w:lang w:bidi="fa-IR"/>
        </w:rPr>
        <w:t xml:space="preserve"> renters. </w:t>
      </w:r>
    </w:p>
    <w:p w14:paraId="46388D8B" w14:textId="77777777" w:rsidR="00C12909" w:rsidRDefault="0037540E" w:rsidP="00C12909">
      <w:pPr>
        <w:pStyle w:val="BodyText"/>
        <w:rPr>
          <w:lang w:bidi="fa-IR"/>
        </w:rPr>
      </w:pPr>
      <w:r>
        <w:rPr>
          <w:lang w:bidi="fa-IR"/>
        </w:rPr>
        <w:t>The a</w:t>
      </w:r>
      <w:r w:rsidR="002856A0">
        <w:rPr>
          <w:lang w:bidi="fa-IR"/>
        </w:rPr>
        <w:t>verage size of newly built houses and apartments is about 230.8</w:t>
      </w:r>
      <w:r w:rsidR="00575562">
        <w:rPr>
          <w:lang w:bidi="fa-IR"/>
        </w:rPr>
        <w:t> </w:t>
      </w:r>
      <w:r w:rsidR="002856A0">
        <w:rPr>
          <w:lang w:bidi="fa-IR"/>
        </w:rPr>
        <w:t>m</w:t>
      </w:r>
      <w:r w:rsidR="002856A0">
        <w:rPr>
          <w:vertAlign w:val="superscript"/>
          <w:lang w:bidi="fa-IR"/>
        </w:rPr>
        <w:t>2</w:t>
      </w:r>
      <w:r w:rsidR="002856A0">
        <w:rPr>
          <w:lang w:bidi="fa-IR"/>
        </w:rPr>
        <w:t xml:space="preserve"> and 124.8 m</w:t>
      </w:r>
      <w:r w:rsidR="002856A0">
        <w:rPr>
          <w:vertAlign w:val="superscript"/>
          <w:lang w:bidi="fa-IR"/>
        </w:rPr>
        <w:t>2</w:t>
      </w:r>
      <w:r w:rsidR="002856A0">
        <w:rPr>
          <w:lang w:bidi="fa-IR"/>
        </w:rPr>
        <w:t>, respectively.</w:t>
      </w:r>
      <w:r w:rsidR="002856A0">
        <w:rPr>
          <w:rStyle w:val="FootnoteReference"/>
          <w:lang w:bidi="fa-IR"/>
        </w:rPr>
        <w:footnoteReference w:id="202"/>
      </w:r>
      <w:r w:rsidR="002856A0">
        <w:rPr>
          <w:lang w:bidi="fa-IR"/>
        </w:rPr>
        <w:t xml:space="preserve"> Assuming a life span of </w:t>
      </w:r>
      <w:r w:rsidR="002856A0" w:rsidRPr="00F11AF4">
        <w:t>50 years</w:t>
      </w:r>
      <w:r w:rsidR="002856A0">
        <w:rPr>
          <w:lang w:bidi="fa-IR"/>
        </w:rPr>
        <w:t xml:space="preserve"> for a dwelling and a discount rate of 7 per cent, the annual WTP for a 5 per cent increase in floor space suggests that the capital value </w:t>
      </w:r>
      <w:r w:rsidR="009E1203">
        <w:rPr>
          <w:lang w:bidi="fa-IR"/>
        </w:rPr>
        <w:t xml:space="preserve">in addition to the functional value </w:t>
      </w:r>
      <w:r w:rsidR="002856A0">
        <w:rPr>
          <w:lang w:bidi="fa-IR"/>
        </w:rPr>
        <w:t xml:space="preserve">of </w:t>
      </w:r>
      <w:r w:rsidR="009E1203">
        <w:rPr>
          <w:lang w:bidi="fa-IR"/>
        </w:rPr>
        <w:t xml:space="preserve">additional space is </w:t>
      </w:r>
      <w:r w:rsidR="009E1203" w:rsidRPr="00C32859">
        <w:rPr>
          <w:lang w:bidi="fa-IR"/>
        </w:rPr>
        <w:t>$481/m</w:t>
      </w:r>
      <w:r w:rsidR="009E1203" w:rsidRPr="00C32859">
        <w:rPr>
          <w:vertAlign w:val="superscript"/>
          <w:lang w:bidi="fa-IR"/>
        </w:rPr>
        <w:t>2</w:t>
      </w:r>
      <w:r w:rsidR="009E1203" w:rsidRPr="00C32859">
        <w:rPr>
          <w:lang w:bidi="fa-IR"/>
        </w:rPr>
        <w:t xml:space="preserve"> for detached houses and $68</w:t>
      </w:r>
      <w:r w:rsidR="00C32859" w:rsidRPr="00C32859">
        <w:rPr>
          <w:lang w:bidi="fa-IR"/>
        </w:rPr>
        <w:t>2</w:t>
      </w:r>
      <w:r w:rsidR="009E1203" w:rsidRPr="00C32859">
        <w:rPr>
          <w:lang w:bidi="fa-IR"/>
        </w:rPr>
        <w:t>/m</w:t>
      </w:r>
      <w:r w:rsidR="009E1203" w:rsidRPr="00C32859">
        <w:rPr>
          <w:vertAlign w:val="superscript"/>
          <w:lang w:bidi="fa-IR"/>
        </w:rPr>
        <w:t>2</w:t>
      </w:r>
      <w:r w:rsidR="009E1203" w:rsidRPr="00C32859">
        <w:rPr>
          <w:lang w:bidi="fa-IR"/>
        </w:rPr>
        <w:t xml:space="preserve"> for apartments</w:t>
      </w:r>
      <w:r w:rsidR="0048300A" w:rsidRPr="00C32859">
        <w:rPr>
          <w:lang w:bidi="fa-IR"/>
        </w:rPr>
        <w:t xml:space="preserve"> (table 6.8)</w:t>
      </w:r>
    </w:p>
    <w:p w14:paraId="029AF979" w14:textId="77777777" w:rsidR="00985A2C" w:rsidRDefault="00985A2C" w:rsidP="00F11AF4">
      <w:pPr>
        <w:pStyle w:val="Heading4"/>
        <w:rPr>
          <w:lang w:bidi="fa-IR"/>
        </w:rPr>
      </w:pPr>
      <w:r>
        <w:rPr>
          <w:lang w:bidi="fa-IR"/>
        </w:rPr>
        <w:lastRenderedPageBreak/>
        <w:t>Net opportunity cost of space</w:t>
      </w:r>
    </w:p>
    <w:p w14:paraId="0E61409F" w14:textId="77777777" w:rsidR="00985A2C" w:rsidRDefault="00985A2C" w:rsidP="00985A2C">
      <w:pPr>
        <w:pStyle w:val="BodyText"/>
        <w:rPr>
          <w:lang w:bidi="fa-IR"/>
        </w:rPr>
      </w:pPr>
      <w:r>
        <w:rPr>
          <w:lang w:bidi="fa-IR"/>
        </w:rPr>
        <w:t xml:space="preserve">In summary, the net opportunity cost of the space impacts is </w:t>
      </w:r>
      <w:r w:rsidR="0037540E">
        <w:rPr>
          <w:lang w:bidi="fa-IR"/>
        </w:rPr>
        <w:t xml:space="preserve">estimated at </w:t>
      </w:r>
      <w:r>
        <w:rPr>
          <w:lang w:bidi="fa-IR"/>
        </w:rPr>
        <w:t>$25/m</w:t>
      </w:r>
      <w:r>
        <w:rPr>
          <w:vertAlign w:val="superscript"/>
          <w:lang w:bidi="fa-IR"/>
        </w:rPr>
        <w:t>2</w:t>
      </w:r>
      <w:r>
        <w:rPr>
          <w:lang w:bidi="fa-IR"/>
        </w:rPr>
        <w:t xml:space="preserve"> for separate houses and townhouses and $3 836/m</w:t>
      </w:r>
      <w:r>
        <w:rPr>
          <w:vertAlign w:val="superscript"/>
          <w:lang w:bidi="fa-IR"/>
        </w:rPr>
        <w:t>2</w:t>
      </w:r>
      <w:r>
        <w:rPr>
          <w:lang w:bidi="fa-IR"/>
        </w:rPr>
        <w:t xml:space="preserve"> for apartments (table 6.</w:t>
      </w:r>
      <w:r w:rsidR="00C65C3A">
        <w:rPr>
          <w:lang w:bidi="fa-IR"/>
        </w:rPr>
        <w:t>8</w:t>
      </w:r>
      <w:r>
        <w:rPr>
          <w:lang w:bidi="fa-IR"/>
        </w:rPr>
        <w:t>).</w:t>
      </w:r>
    </w:p>
    <w:p w14:paraId="43F8C6F1" w14:textId="2305C4AD" w:rsidR="00985A2C" w:rsidRPr="00A048AC" w:rsidRDefault="00490F02" w:rsidP="00985A2C">
      <w:pPr>
        <w:pStyle w:val="Caption"/>
      </w:pPr>
      <w:bookmarkStart w:id="457" w:name="_Toc70505573"/>
      <w:r>
        <w:t>6.8</w:t>
      </w:r>
      <w:r w:rsidR="00985A2C" w:rsidRPr="00695C93">
        <w:tab/>
      </w:r>
      <w:r w:rsidR="00985A2C">
        <w:t>Net opportunity cost of space impacts</w:t>
      </w:r>
      <w:bookmarkEnd w:id="457"/>
    </w:p>
    <w:tbl>
      <w:tblPr>
        <w:tblW w:w="7936" w:type="dxa"/>
        <w:tblLook w:val="04A0" w:firstRow="1" w:lastRow="0" w:firstColumn="1" w:lastColumn="0" w:noHBand="0" w:noVBand="1"/>
        <w:tblCaption w:val="Table 6.8: Net opportunity cost of space impacts"/>
        <w:tblDescription w:val="Table 6.8 lists the Opportunity cost, Capital value and Net opportunity cost for separate houses, townhouses and apartments. The net opportunity cost for separate houses and townhouses is $25 per square metre, and $3836 per square metre for apartments."/>
      </w:tblPr>
      <w:tblGrid>
        <w:gridCol w:w="1984"/>
        <w:gridCol w:w="1984"/>
        <w:gridCol w:w="1984"/>
        <w:gridCol w:w="1984"/>
      </w:tblGrid>
      <w:tr w:rsidR="00985A2C" w:rsidRPr="00A048AC" w14:paraId="36BC7A99" w14:textId="77777777" w:rsidTr="00985A2C">
        <w:trPr>
          <w:trHeight w:val="250"/>
        </w:trPr>
        <w:tc>
          <w:tcPr>
            <w:tcW w:w="1984" w:type="dxa"/>
            <w:tcBorders>
              <w:bottom w:val="single" w:sz="8" w:space="0" w:color="FFFFFF" w:themeColor="background1"/>
            </w:tcBorders>
            <w:shd w:val="clear" w:color="auto" w:fill="6F6652"/>
            <w:noWrap/>
            <w:tcMar>
              <w:left w:w="57" w:type="dxa"/>
              <w:right w:w="57" w:type="dxa"/>
            </w:tcMar>
            <w:hideMark/>
          </w:tcPr>
          <w:p w14:paraId="39F4D85A" w14:textId="77777777" w:rsidR="00985A2C" w:rsidRPr="00A048AC" w:rsidRDefault="00367D1F" w:rsidP="00CD5352">
            <w:pPr>
              <w:pStyle w:val="TableDataColumnHeading"/>
              <w:jc w:val="left"/>
            </w:pPr>
            <w:r>
              <w:t>Type of house</w:t>
            </w:r>
          </w:p>
        </w:tc>
        <w:tc>
          <w:tcPr>
            <w:tcW w:w="1984" w:type="dxa"/>
            <w:tcBorders>
              <w:bottom w:val="single" w:sz="8" w:space="0" w:color="FFFFFF" w:themeColor="background1"/>
            </w:tcBorders>
            <w:shd w:val="clear" w:color="auto" w:fill="6F6652"/>
            <w:noWrap/>
            <w:tcMar>
              <w:left w:w="57" w:type="dxa"/>
              <w:right w:w="57" w:type="dxa"/>
            </w:tcMar>
            <w:hideMark/>
          </w:tcPr>
          <w:p w14:paraId="011CD582" w14:textId="77777777" w:rsidR="00985A2C" w:rsidRPr="00985A2C" w:rsidRDefault="00985A2C" w:rsidP="00CD5352">
            <w:pPr>
              <w:pStyle w:val="TableDataColumnHeading"/>
              <w:rPr>
                <w:sz w:val="18"/>
                <w:vertAlign w:val="superscript"/>
              </w:rPr>
            </w:pPr>
            <w:r w:rsidRPr="00985A2C">
              <w:rPr>
                <w:sz w:val="18"/>
              </w:rPr>
              <w:t>Opportunity cost</w:t>
            </w:r>
            <w:r>
              <w:rPr>
                <w:sz w:val="18"/>
              </w:rPr>
              <w:t xml:space="preserve"> ($/m</w:t>
            </w:r>
            <w:r>
              <w:rPr>
                <w:sz w:val="18"/>
                <w:vertAlign w:val="superscript"/>
              </w:rPr>
              <w:t>2</w:t>
            </w:r>
            <w:r w:rsidRPr="00985A2C">
              <w:rPr>
                <w:sz w:val="18"/>
              </w:rPr>
              <w:t>)</w:t>
            </w:r>
          </w:p>
        </w:tc>
        <w:tc>
          <w:tcPr>
            <w:tcW w:w="1984" w:type="dxa"/>
            <w:tcBorders>
              <w:bottom w:val="single" w:sz="8" w:space="0" w:color="FFFFFF" w:themeColor="background1"/>
            </w:tcBorders>
            <w:shd w:val="clear" w:color="auto" w:fill="6F6652"/>
            <w:noWrap/>
            <w:tcMar>
              <w:left w:w="57" w:type="dxa"/>
              <w:right w:w="57" w:type="dxa"/>
            </w:tcMar>
            <w:hideMark/>
          </w:tcPr>
          <w:p w14:paraId="4A37836A" w14:textId="77777777" w:rsidR="00985A2C" w:rsidRPr="00985A2C" w:rsidRDefault="00985A2C" w:rsidP="00CD5352">
            <w:pPr>
              <w:pStyle w:val="TableDataColumnHeading"/>
              <w:rPr>
                <w:sz w:val="18"/>
              </w:rPr>
            </w:pPr>
            <w:r w:rsidRPr="00985A2C">
              <w:rPr>
                <w:sz w:val="18"/>
              </w:rPr>
              <w:t>Capital value</w:t>
            </w:r>
            <w:r>
              <w:rPr>
                <w:sz w:val="18"/>
              </w:rPr>
              <w:br/>
              <w:t xml:space="preserve"> ($/m</w:t>
            </w:r>
            <w:r>
              <w:rPr>
                <w:sz w:val="18"/>
                <w:vertAlign w:val="superscript"/>
              </w:rPr>
              <w:t>2</w:t>
            </w:r>
            <w:r w:rsidRPr="00985A2C">
              <w:rPr>
                <w:sz w:val="18"/>
              </w:rPr>
              <w:t>)</w:t>
            </w:r>
          </w:p>
        </w:tc>
        <w:tc>
          <w:tcPr>
            <w:tcW w:w="1984" w:type="dxa"/>
            <w:tcBorders>
              <w:bottom w:val="single" w:sz="8" w:space="0" w:color="FFFFFF" w:themeColor="background1"/>
            </w:tcBorders>
            <w:shd w:val="clear" w:color="auto" w:fill="6F6652"/>
            <w:noWrap/>
            <w:tcMar>
              <w:left w:w="57" w:type="dxa"/>
              <w:right w:w="57" w:type="dxa"/>
            </w:tcMar>
            <w:hideMark/>
          </w:tcPr>
          <w:p w14:paraId="4EB95346" w14:textId="77777777" w:rsidR="00985A2C" w:rsidRPr="00985A2C" w:rsidRDefault="00985A2C" w:rsidP="00CD5352">
            <w:pPr>
              <w:pStyle w:val="TableDataColumnHeading"/>
              <w:rPr>
                <w:sz w:val="18"/>
              </w:rPr>
            </w:pPr>
            <w:r w:rsidRPr="00985A2C">
              <w:rPr>
                <w:sz w:val="18"/>
              </w:rPr>
              <w:t>Net opportunity cost</w:t>
            </w:r>
            <w:r>
              <w:rPr>
                <w:sz w:val="18"/>
              </w:rPr>
              <w:t xml:space="preserve"> ($/m</w:t>
            </w:r>
            <w:r>
              <w:rPr>
                <w:sz w:val="18"/>
                <w:vertAlign w:val="superscript"/>
              </w:rPr>
              <w:t>2</w:t>
            </w:r>
            <w:r w:rsidRPr="00985A2C">
              <w:rPr>
                <w:sz w:val="18"/>
              </w:rPr>
              <w:t>)</w:t>
            </w:r>
          </w:p>
        </w:tc>
      </w:tr>
      <w:tr w:rsidR="00985A2C" w:rsidRPr="00A048AC" w14:paraId="72ED9856" w14:textId="77777777" w:rsidTr="00985A2C">
        <w:trPr>
          <w:trHeight w:val="250"/>
        </w:trPr>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B81512" w14:textId="77777777" w:rsidR="00985A2C" w:rsidRPr="00A048AC" w:rsidRDefault="00985A2C" w:rsidP="00CD5352">
            <w:pPr>
              <w:pStyle w:val="TableUnit"/>
              <w:jc w:val="left"/>
            </w:pPr>
            <w:r w:rsidRPr="00A048AC">
              <w:t>Separate house</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0D5D68" w14:textId="77777777" w:rsidR="00985A2C" w:rsidRPr="00A048AC" w:rsidRDefault="00985A2C" w:rsidP="00CD5352">
            <w:pPr>
              <w:pStyle w:val="TableUnit"/>
            </w:pPr>
            <w:r w:rsidRPr="00A048AC">
              <w:t>506</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C54103" w14:textId="77777777" w:rsidR="00985A2C" w:rsidRPr="00A048AC" w:rsidRDefault="00985A2C" w:rsidP="00CD5352">
            <w:pPr>
              <w:pStyle w:val="TableUnit"/>
            </w:pPr>
            <w:r w:rsidRPr="00A048AC">
              <w:t>481</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5BEF06" w14:textId="77777777" w:rsidR="00985A2C" w:rsidRPr="00A048AC" w:rsidRDefault="00985A2C" w:rsidP="00CD5352">
            <w:pPr>
              <w:pStyle w:val="TableUnit"/>
            </w:pPr>
            <w:r w:rsidRPr="00A048AC">
              <w:t>25</w:t>
            </w:r>
          </w:p>
        </w:tc>
      </w:tr>
      <w:tr w:rsidR="00985A2C" w:rsidRPr="00A048AC" w14:paraId="05539B33" w14:textId="77777777" w:rsidTr="00985A2C">
        <w:trPr>
          <w:trHeight w:val="250"/>
        </w:trPr>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FA0F4F" w14:textId="77777777" w:rsidR="00985A2C" w:rsidRPr="00A048AC" w:rsidRDefault="00985A2C" w:rsidP="00CD5352">
            <w:pPr>
              <w:pStyle w:val="TableDataEntries"/>
              <w:jc w:val="left"/>
            </w:pPr>
            <w:r w:rsidRPr="00A048AC">
              <w:t>Townhouse</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2A0B1C" w14:textId="77777777" w:rsidR="00985A2C" w:rsidRPr="00A048AC" w:rsidRDefault="00985A2C" w:rsidP="00CD5352">
            <w:pPr>
              <w:pStyle w:val="TableDataEntries"/>
            </w:pPr>
            <w:r w:rsidRPr="00A048AC">
              <w:t>506</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F920F8" w14:textId="77777777" w:rsidR="00985A2C" w:rsidRPr="00A048AC" w:rsidRDefault="00985A2C" w:rsidP="00CD5352">
            <w:pPr>
              <w:pStyle w:val="TableDataEntries"/>
            </w:pPr>
            <w:r w:rsidRPr="00A048AC">
              <w:t>481</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727DDF" w14:textId="77777777" w:rsidR="00985A2C" w:rsidRPr="00A048AC" w:rsidRDefault="00985A2C" w:rsidP="00CD5352">
            <w:pPr>
              <w:pStyle w:val="TableDataEntries"/>
            </w:pPr>
            <w:r w:rsidRPr="00A048AC">
              <w:t>25</w:t>
            </w:r>
          </w:p>
        </w:tc>
      </w:tr>
      <w:tr w:rsidR="00985A2C" w:rsidRPr="00A048AC" w14:paraId="395D9C4B" w14:textId="77777777" w:rsidTr="00985A2C">
        <w:trPr>
          <w:trHeight w:val="250"/>
        </w:trPr>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375AD12" w14:textId="77777777" w:rsidR="00985A2C" w:rsidRPr="00A048AC" w:rsidRDefault="00985A2C" w:rsidP="00CD5352">
            <w:pPr>
              <w:pStyle w:val="TableDataEntries"/>
              <w:jc w:val="left"/>
            </w:pPr>
            <w:r w:rsidRPr="00A048AC">
              <w:t>Apartment</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47D7890" w14:textId="77777777" w:rsidR="00985A2C" w:rsidRPr="00A048AC" w:rsidRDefault="00985A2C" w:rsidP="00CD5352">
            <w:pPr>
              <w:pStyle w:val="TableDataEntries"/>
            </w:pPr>
            <w:r w:rsidRPr="00A048AC">
              <w:t>4</w:t>
            </w:r>
            <w:r>
              <w:t> </w:t>
            </w:r>
            <w:r w:rsidRPr="00A048AC">
              <w:t>517</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C86EAE0" w14:textId="77777777" w:rsidR="00985A2C" w:rsidRPr="00A048AC" w:rsidRDefault="00985A2C" w:rsidP="00CD5352">
            <w:pPr>
              <w:pStyle w:val="TableDataEntries"/>
            </w:pPr>
            <w:r w:rsidRPr="00A048AC">
              <w:t>682</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EED86EA" w14:textId="77777777" w:rsidR="00985A2C" w:rsidRPr="00A048AC" w:rsidRDefault="00985A2C" w:rsidP="00CD5352">
            <w:pPr>
              <w:pStyle w:val="TableDataEntries"/>
            </w:pPr>
            <w:r w:rsidRPr="00A048AC">
              <w:t>3</w:t>
            </w:r>
            <w:r>
              <w:t> </w:t>
            </w:r>
            <w:r w:rsidRPr="00A048AC">
              <w:t>836</w:t>
            </w:r>
          </w:p>
        </w:tc>
      </w:tr>
    </w:tbl>
    <w:p w14:paraId="5741C88E" w14:textId="77777777" w:rsidR="00985A2C" w:rsidRPr="00424939" w:rsidRDefault="00985A2C" w:rsidP="00985A2C">
      <w:pPr>
        <w:pStyle w:val="Source"/>
        <w:rPr>
          <w:iCs/>
          <w:lang w:bidi="fa-IR"/>
        </w:rPr>
      </w:pPr>
      <w:r w:rsidRPr="00424939">
        <w:rPr>
          <w:iCs/>
          <w:lang w:bidi="fa-IR"/>
        </w:rPr>
        <w:t>Source: CIE</w:t>
      </w:r>
    </w:p>
    <w:p w14:paraId="11B7CB3A" w14:textId="77777777" w:rsidR="00D31E4D" w:rsidRDefault="00D31E4D" w:rsidP="00F11AF4">
      <w:pPr>
        <w:pStyle w:val="Heading3"/>
        <w:numPr>
          <w:ilvl w:val="2"/>
          <w:numId w:val="5"/>
        </w:numPr>
      </w:pPr>
      <w:r>
        <w:t>Additional cost</w:t>
      </w:r>
      <w:r w:rsidR="000970DB">
        <w:t xml:space="preserve"> of verifying compliance</w:t>
      </w:r>
    </w:p>
    <w:p w14:paraId="52FC292A" w14:textId="77777777" w:rsidR="000970DB" w:rsidRDefault="00E9439A" w:rsidP="000970DB">
      <w:pPr>
        <w:pStyle w:val="BodyText"/>
      </w:pPr>
      <w:r>
        <w:t xml:space="preserve">As the proposed accessibility standards in the NCC </w:t>
      </w:r>
      <w:r w:rsidR="0037540E">
        <w:t>would be</w:t>
      </w:r>
      <w:r>
        <w:t xml:space="preserve"> new requirements, additional </w:t>
      </w:r>
      <w:r w:rsidR="000970DB">
        <w:t xml:space="preserve">time would be required for building certifiers/surveyors to verify compliance, which would incur an additional cost. </w:t>
      </w:r>
    </w:p>
    <w:p w14:paraId="2EC419D5" w14:textId="77777777" w:rsidR="00860FAF" w:rsidRDefault="009564EE" w:rsidP="00D31E4D">
      <w:pPr>
        <w:pStyle w:val="BodyText"/>
      </w:pPr>
      <w:r>
        <w:t xml:space="preserve">This additional </w:t>
      </w:r>
      <w:r w:rsidR="000970DB">
        <w:t xml:space="preserve">verification </w:t>
      </w:r>
      <w:r>
        <w:t xml:space="preserve">cost </w:t>
      </w:r>
      <w:r w:rsidR="00953AF6">
        <w:t>w</w:t>
      </w:r>
      <w:r>
        <w:t>ould not be avoided even if exemptions are granted for certain sites and designs.</w:t>
      </w:r>
      <w:r w:rsidR="00953AF6">
        <w:t xml:space="preserve"> Exemptions are only related to </w:t>
      </w:r>
      <w:r w:rsidR="00860CC6">
        <w:t xml:space="preserve">a </w:t>
      </w:r>
      <w:r w:rsidR="00953AF6">
        <w:t>level access requirement</w:t>
      </w:r>
      <w:r w:rsidR="000970DB">
        <w:t xml:space="preserve"> for Class 1a buildings</w:t>
      </w:r>
      <w:r w:rsidR="00953AF6">
        <w:t xml:space="preserve">, therefore </w:t>
      </w:r>
      <w:r w:rsidR="00EA39E8">
        <w:t xml:space="preserve">a </w:t>
      </w:r>
      <w:r w:rsidR="000970DB">
        <w:t xml:space="preserve">verification </w:t>
      </w:r>
      <w:r w:rsidR="00953AF6">
        <w:t xml:space="preserve">cost for other requirements would still be </w:t>
      </w:r>
      <w:r w:rsidR="000970DB">
        <w:t>applicable</w:t>
      </w:r>
      <w:r w:rsidR="00953AF6">
        <w:t>.</w:t>
      </w:r>
    </w:p>
    <w:p w14:paraId="341FD799" w14:textId="77777777" w:rsidR="00953AF6" w:rsidRDefault="00953AF6" w:rsidP="00D31E4D">
      <w:pPr>
        <w:pStyle w:val="BodyText"/>
      </w:pPr>
      <w:r>
        <w:t xml:space="preserve">The specific requirements to demonstrate compliance with the NCC requirements will be </w:t>
      </w:r>
      <w:r w:rsidR="000970DB">
        <w:t xml:space="preserve">applied through existing State/Territory building legislation, rather than through the NCC, consistent with the approach taken for all other NCC requirements. </w:t>
      </w:r>
    </w:p>
    <w:p w14:paraId="449ECC8B" w14:textId="77777777" w:rsidR="00EB4ED8" w:rsidRDefault="00EB4ED8" w:rsidP="00EB4ED8">
      <w:pPr>
        <w:pStyle w:val="BodyText"/>
      </w:pPr>
      <w:r>
        <w:t>In general, stakeholders had a range of views on approaches to verifying compliance with the proposed accessibility requirements. The rigour of the verification process would affect the associated costs. It is also likely that the level of compliance would be affected; however, this has not been taken into account in the CBA (i.e. it is implicitly assumed that all new dwellings would be built to comply with the proposed standard).</w:t>
      </w:r>
    </w:p>
    <w:p w14:paraId="1B19C0AC" w14:textId="77777777" w:rsidR="003E16A7" w:rsidRDefault="003E16A7" w:rsidP="00EB4ED8">
      <w:pPr>
        <w:pStyle w:val="BodyText"/>
      </w:pPr>
      <w:r>
        <w:t xml:space="preserve">As such, these costs will depend on state/territory government requirements, as well as certification practices of building surveyors. </w:t>
      </w:r>
    </w:p>
    <w:p w14:paraId="46014799" w14:textId="77777777" w:rsidR="009F26F8" w:rsidRDefault="009F26F8" w:rsidP="00D31E4D">
      <w:pPr>
        <w:pStyle w:val="BodyText"/>
      </w:pPr>
      <w:bookmarkStart w:id="458" w:name="_Hlk64367985"/>
      <w:r>
        <w:t>The proposed accessibility standard could be verified through an assessment from a third-party accessibility expert (such as an accredited LHA assessor). Under this scenario,</w:t>
      </w:r>
      <w:bookmarkEnd w:id="458"/>
      <w:r>
        <w:t xml:space="preserve"> the costs of existing compliance mechanisms, the costs associated with obtaining LHA design assessment</w:t>
      </w:r>
      <w:r w:rsidR="00C3473C">
        <w:t>,</w:t>
      </w:r>
      <w:r>
        <w:t xml:space="preserve"> may be a reasonable indicator of the additional cost</w:t>
      </w:r>
      <w:r w:rsidR="00544D6C">
        <w:t>.</w:t>
      </w:r>
    </w:p>
    <w:p w14:paraId="3A248C81" w14:textId="77777777" w:rsidR="009564EE" w:rsidRDefault="00953AF6" w:rsidP="00D31E4D">
      <w:pPr>
        <w:pStyle w:val="BodyText"/>
      </w:pPr>
      <w:r>
        <w:t xml:space="preserve">LHA </w:t>
      </w:r>
      <w:r w:rsidR="009564EE">
        <w:t>published a fee guide for design assessment and as-built inspection:</w:t>
      </w:r>
      <w:r w:rsidR="009564EE">
        <w:rPr>
          <w:rStyle w:val="FootnoteReference"/>
        </w:rPr>
        <w:footnoteReference w:id="203"/>
      </w:r>
    </w:p>
    <w:p w14:paraId="272EF520" w14:textId="77777777" w:rsidR="009564EE" w:rsidRDefault="006C0B04" w:rsidP="006C0B04">
      <w:pPr>
        <w:pStyle w:val="ListBullet"/>
      </w:pPr>
      <w:r>
        <w:t>Desk audit fee – $200 to $500 per design plus GST</w:t>
      </w:r>
      <w:r w:rsidR="00BD176C">
        <w:t>,</w:t>
      </w:r>
      <w:r>
        <w:t xml:space="preserve"> and</w:t>
      </w:r>
    </w:p>
    <w:p w14:paraId="4F7E924F" w14:textId="77777777" w:rsidR="006C0B04" w:rsidRDefault="006C0B04" w:rsidP="006C0B04">
      <w:pPr>
        <w:pStyle w:val="ListBullet"/>
      </w:pPr>
      <w:r>
        <w:lastRenderedPageBreak/>
        <w:t>As-built inspection fee – $150 to $650 per dwelling plus GST.</w:t>
      </w:r>
    </w:p>
    <w:p w14:paraId="45BFB7B1" w14:textId="77777777" w:rsidR="006F4FDE" w:rsidRDefault="006F4FDE" w:rsidP="006F4FDE">
      <w:pPr>
        <w:pStyle w:val="ListBullet"/>
        <w:numPr>
          <w:ilvl w:val="0"/>
          <w:numId w:val="0"/>
        </w:numPr>
        <w:tabs>
          <w:tab w:val="left" w:pos="720"/>
        </w:tabs>
      </w:pPr>
      <w:bookmarkStart w:id="459" w:name="_Hlk64368079"/>
      <w:r>
        <w:t>This suggests that the as-built inspection by a third-party assessor could cost, on average, $440 including GST.</w:t>
      </w:r>
    </w:p>
    <w:p w14:paraId="66F6D6B8" w14:textId="77777777" w:rsidR="006F4FDE" w:rsidRDefault="006F4FDE" w:rsidP="006F4FDE">
      <w:pPr>
        <w:pStyle w:val="ListBullet"/>
        <w:numPr>
          <w:ilvl w:val="0"/>
          <w:numId w:val="0"/>
        </w:numPr>
        <w:tabs>
          <w:tab w:val="left" w:pos="720"/>
        </w:tabs>
      </w:pPr>
      <w:bookmarkStart w:id="460" w:name="_Hlk64368110"/>
      <w:bookmarkEnd w:id="459"/>
      <w:r>
        <w:t>Alternatively, the verification would involve the building surveyor reviewing the plans and/or conducting inspection to ensure compliance. Under this scenario, the additional assessment costs are likely to be relatively modest. According to the Australian Institute of Building Surveyors,</w:t>
      </w:r>
      <w:r>
        <w:rPr>
          <w:rStyle w:val="FootnoteReference"/>
        </w:rPr>
        <w:footnoteReference w:id="204"/>
      </w:r>
    </w:p>
    <w:p w14:paraId="26982D62" w14:textId="77777777" w:rsidR="006F4FDE" w:rsidRDefault="006F4FDE" w:rsidP="006F4FDE">
      <w:pPr>
        <w:pStyle w:val="ListBullet"/>
        <w:numPr>
          <w:ilvl w:val="0"/>
          <w:numId w:val="39"/>
        </w:numPr>
      </w:pPr>
      <w:r>
        <w:t>Additional time of assessing the design could range between 5 and 30 minutes.</w:t>
      </w:r>
    </w:p>
    <w:p w14:paraId="3711C897" w14:textId="77777777" w:rsidR="006F4FDE" w:rsidRDefault="006F4FDE" w:rsidP="006F4FDE">
      <w:pPr>
        <w:pStyle w:val="ListBullet"/>
        <w:numPr>
          <w:ilvl w:val="0"/>
          <w:numId w:val="39"/>
        </w:numPr>
      </w:pPr>
      <w:r>
        <w:t>Alternatively, an additional inspection could potentially be required to verify a dwelling complies with the proposed standard. This could potentially be mandated through state and territory government legislation or be incorporated into the standard practice of building surveyors.</w:t>
      </w:r>
    </w:p>
    <w:p w14:paraId="40492757" w14:textId="77777777" w:rsidR="006F4FDE" w:rsidRDefault="006F4FDE" w:rsidP="006F4FDE">
      <w:pPr>
        <w:pStyle w:val="BodyText"/>
      </w:pPr>
      <w:r>
        <w:t>While the hourly rate charged by building surveyors will vary across companies, $150 per hour is an indicative average rate.</w:t>
      </w:r>
      <w:r>
        <w:rPr>
          <w:rStyle w:val="FootnoteReference"/>
        </w:rPr>
        <w:footnoteReference w:id="205"/>
      </w:r>
      <w:r>
        <w:t xml:space="preserve"> This suggests that additional reviewing time may cost between $12.5</w:t>
      </w:r>
      <w:r w:rsidR="009D0070">
        <w:t>0</w:t>
      </w:r>
      <w:r>
        <w:t xml:space="preserve"> and $75 with an average of $43.75.</w:t>
      </w:r>
    </w:p>
    <w:p w14:paraId="51771051" w14:textId="77777777" w:rsidR="006F4FDE" w:rsidRDefault="006F4FDE" w:rsidP="006F4FDE">
      <w:pPr>
        <w:pStyle w:val="BodyText"/>
      </w:pPr>
      <w:r>
        <w:t>As for the additional inspection, it was estimated that the cost is $200 per inspection by CIE when preparing the BCR evaluation.</w:t>
      </w:r>
      <w:r>
        <w:rPr>
          <w:rStyle w:val="FootnoteReference"/>
        </w:rPr>
        <w:footnoteReference w:id="206"/>
      </w:r>
    </w:p>
    <w:p w14:paraId="5FB9D9DA" w14:textId="77777777" w:rsidR="006F4FDE" w:rsidRDefault="006F4FDE" w:rsidP="006F4FDE">
      <w:pPr>
        <w:pStyle w:val="BodyText"/>
      </w:pPr>
      <w:r>
        <w:t>Given the approach to verifying compliance with the proposed accessibility standards is unclear, CIE estimates the additional verification costs under a range of approaches.</w:t>
      </w:r>
    </w:p>
    <w:p w14:paraId="77E765A5" w14:textId="77777777" w:rsidR="006F4FDE" w:rsidRDefault="006F4FDE" w:rsidP="006F4FDE">
      <w:pPr>
        <w:pStyle w:val="ListBullet"/>
        <w:numPr>
          <w:ilvl w:val="0"/>
          <w:numId w:val="39"/>
        </w:numPr>
      </w:pPr>
      <w:r>
        <w:t>The lower bound scenario is based on the average cost of additional time of reviewing the design</w:t>
      </w:r>
    </w:p>
    <w:p w14:paraId="033368E6" w14:textId="77777777" w:rsidR="006F4FDE" w:rsidRDefault="006F4FDE" w:rsidP="006F4FDE">
      <w:pPr>
        <w:pStyle w:val="ListBullet"/>
        <w:numPr>
          <w:ilvl w:val="0"/>
          <w:numId w:val="39"/>
        </w:numPr>
      </w:pPr>
      <w:r>
        <w:t>The central case scenario is based on the cost associated with the additional inspection by building surveyors</w:t>
      </w:r>
      <w:r w:rsidR="00BD176C">
        <w:t>,</w:t>
      </w:r>
      <w:r>
        <w:t xml:space="preserve"> and</w:t>
      </w:r>
    </w:p>
    <w:p w14:paraId="664C0011" w14:textId="77777777" w:rsidR="006F4FDE" w:rsidRDefault="006F4FDE" w:rsidP="006F4FDE">
      <w:pPr>
        <w:pStyle w:val="ListBullet"/>
        <w:numPr>
          <w:ilvl w:val="0"/>
          <w:numId w:val="39"/>
        </w:numPr>
      </w:pPr>
      <w:r>
        <w:t>The upper bound scenario is based on an as-built inspection by a third</w:t>
      </w:r>
      <w:r>
        <w:noBreakHyphen/>
        <w:t>party expert (similar to LHA).</w:t>
      </w:r>
      <w:bookmarkEnd w:id="460"/>
    </w:p>
    <w:p w14:paraId="0CAB7515" w14:textId="77777777" w:rsidR="009564EE" w:rsidRDefault="00C92D9E" w:rsidP="00D31E4D">
      <w:pPr>
        <w:pStyle w:val="BodyText"/>
      </w:pPr>
      <w:r>
        <w:t>Based on the above discussion</w:t>
      </w:r>
      <w:r w:rsidR="00083D72">
        <w:t xml:space="preserve">, it is estimated that the present value of additional </w:t>
      </w:r>
      <w:r w:rsidR="000970DB">
        <w:t xml:space="preserve">compliance verification </w:t>
      </w:r>
      <w:r w:rsidR="00083D72">
        <w:t>cost could be between $</w:t>
      </w:r>
      <w:r w:rsidR="00B1642A">
        <w:t>63.5</w:t>
      </w:r>
      <w:r w:rsidR="00083D72">
        <w:t xml:space="preserve"> million and $</w:t>
      </w:r>
      <w:r w:rsidR="00B1642A">
        <w:t>639.1 m</w:t>
      </w:r>
      <w:r w:rsidR="00083D72">
        <w:t xml:space="preserve">illion over </w:t>
      </w:r>
      <w:r w:rsidR="0037540E">
        <w:t xml:space="preserve">a </w:t>
      </w:r>
      <w:r w:rsidR="00083D72">
        <w:t>10-year regulatory period with a discount rate of 7 per cent for Options 1 to 3, and between $</w:t>
      </w:r>
      <w:r w:rsidR="00B1642A">
        <w:t>18.3</w:t>
      </w:r>
      <w:r w:rsidR="00083D72">
        <w:t xml:space="preserve"> million and $</w:t>
      </w:r>
      <w:r w:rsidR="00B1642A">
        <w:t>184.4</w:t>
      </w:r>
      <w:r w:rsidR="00083D72">
        <w:t xml:space="preserve"> million for Option 4 (table 6.</w:t>
      </w:r>
      <w:r w:rsidR="00C65C3A">
        <w:t>9</w:t>
      </w:r>
      <w:r w:rsidR="00083D72">
        <w:t>).</w:t>
      </w:r>
    </w:p>
    <w:p w14:paraId="28B75623" w14:textId="015F87EB" w:rsidR="00952899" w:rsidRDefault="00490F02" w:rsidP="00952899">
      <w:pPr>
        <w:pStyle w:val="Caption"/>
      </w:pPr>
      <w:bookmarkStart w:id="461" w:name="_Toc70505574"/>
      <w:r>
        <w:t>6.9</w:t>
      </w:r>
      <w:r w:rsidR="00952899" w:rsidRPr="00695C93">
        <w:tab/>
      </w:r>
      <w:r w:rsidR="00860FAF">
        <w:t xml:space="preserve">Additional </w:t>
      </w:r>
      <w:r w:rsidR="000970DB">
        <w:t xml:space="preserve">compliance verification </w:t>
      </w:r>
      <w:r w:rsidR="00860FAF">
        <w:t>cost</w:t>
      </w:r>
      <w:bookmarkEnd w:id="461"/>
    </w:p>
    <w:tbl>
      <w:tblPr>
        <w:tblW w:w="7936" w:type="dxa"/>
        <w:tblLook w:val="04A0" w:firstRow="1" w:lastRow="0" w:firstColumn="1" w:lastColumn="0" w:noHBand="0" w:noVBand="1"/>
        <w:tblCaption w:val="Table 6.9: Additional compliance verification cost"/>
        <w:tblDescription w:val="Table 6.9 estimates the additional compliance verification cost per dwelling (ranging from a low estimate of $43 to a high estimate of $440), and the total cost over 10 years for Options 1 to 5. Total cost ranges up to more than 639 million dollars for Options 1, 2 and 3."/>
      </w:tblPr>
      <w:tblGrid>
        <w:gridCol w:w="1123"/>
        <w:gridCol w:w="1198"/>
        <w:gridCol w:w="1123"/>
        <w:gridCol w:w="1123"/>
        <w:gridCol w:w="1123"/>
        <w:gridCol w:w="1123"/>
        <w:gridCol w:w="1123"/>
      </w:tblGrid>
      <w:tr w:rsidR="00952899" w:rsidRPr="00952899" w14:paraId="4A88A432" w14:textId="77777777" w:rsidTr="00952899">
        <w:trPr>
          <w:trHeight w:val="252"/>
        </w:trPr>
        <w:tc>
          <w:tcPr>
            <w:tcW w:w="1123" w:type="dxa"/>
            <w:shd w:val="clear" w:color="auto" w:fill="6F6652"/>
            <w:noWrap/>
            <w:tcMar>
              <w:left w:w="57" w:type="dxa"/>
              <w:right w:w="57" w:type="dxa"/>
            </w:tcMar>
            <w:hideMark/>
          </w:tcPr>
          <w:p w14:paraId="1C703656" w14:textId="77777777" w:rsidR="00952899" w:rsidRPr="00952899" w:rsidRDefault="00952899" w:rsidP="00952899">
            <w:pPr>
              <w:pStyle w:val="TableDataColumnHeading"/>
              <w:jc w:val="left"/>
              <w:rPr>
                <w:szCs w:val="16"/>
              </w:rPr>
            </w:pPr>
          </w:p>
        </w:tc>
        <w:tc>
          <w:tcPr>
            <w:tcW w:w="1198" w:type="dxa"/>
            <w:shd w:val="clear" w:color="auto" w:fill="6F6652"/>
            <w:noWrap/>
            <w:tcMar>
              <w:left w:w="57" w:type="dxa"/>
              <w:right w:w="57" w:type="dxa"/>
            </w:tcMar>
            <w:hideMark/>
          </w:tcPr>
          <w:p w14:paraId="17E14EDF" w14:textId="77777777" w:rsidR="00952899" w:rsidRPr="00952899" w:rsidRDefault="00952899" w:rsidP="00952899">
            <w:pPr>
              <w:pStyle w:val="TableDataColumnHeading"/>
              <w:rPr>
                <w:szCs w:val="16"/>
              </w:rPr>
            </w:pPr>
            <w:r w:rsidRPr="00952899">
              <w:rPr>
                <w:szCs w:val="16"/>
              </w:rPr>
              <w:t>Unit cost</w:t>
            </w:r>
          </w:p>
        </w:tc>
        <w:tc>
          <w:tcPr>
            <w:tcW w:w="1123" w:type="dxa"/>
            <w:shd w:val="clear" w:color="auto" w:fill="6F6652"/>
            <w:noWrap/>
            <w:tcMar>
              <w:left w:w="57" w:type="dxa"/>
              <w:right w:w="57" w:type="dxa"/>
            </w:tcMar>
            <w:hideMark/>
          </w:tcPr>
          <w:p w14:paraId="399B7B62" w14:textId="77777777" w:rsidR="00952899" w:rsidRPr="00952899" w:rsidRDefault="00952899" w:rsidP="00952899">
            <w:pPr>
              <w:pStyle w:val="TableDataColumnHeading"/>
              <w:rPr>
                <w:szCs w:val="16"/>
              </w:rPr>
            </w:pPr>
            <w:r w:rsidRPr="00952899">
              <w:rPr>
                <w:szCs w:val="16"/>
              </w:rPr>
              <w:t>Option 1</w:t>
            </w:r>
          </w:p>
        </w:tc>
        <w:tc>
          <w:tcPr>
            <w:tcW w:w="1123" w:type="dxa"/>
            <w:shd w:val="clear" w:color="auto" w:fill="6F6652"/>
            <w:noWrap/>
            <w:tcMar>
              <w:left w:w="57" w:type="dxa"/>
              <w:right w:w="57" w:type="dxa"/>
            </w:tcMar>
            <w:hideMark/>
          </w:tcPr>
          <w:p w14:paraId="1CD92530" w14:textId="77777777" w:rsidR="00952899" w:rsidRPr="00952899" w:rsidRDefault="00952899" w:rsidP="00952899">
            <w:pPr>
              <w:pStyle w:val="TableDataColumnHeading"/>
              <w:rPr>
                <w:szCs w:val="16"/>
              </w:rPr>
            </w:pPr>
            <w:r w:rsidRPr="00952899">
              <w:rPr>
                <w:szCs w:val="16"/>
              </w:rPr>
              <w:t>Option 2</w:t>
            </w:r>
          </w:p>
        </w:tc>
        <w:tc>
          <w:tcPr>
            <w:tcW w:w="1123" w:type="dxa"/>
            <w:shd w:val="clear" w:color="auto" w:fill="6F6652"/>
            <w:noWrap/>
            <w:tcMar>
              <w:left w:w="57" w:type="dxa"/>
              <w:right w:w="57" w:type="dxa"/>
            </w:tcMar>
            <w:hideMark/>
          </w:tcPr>
          <w:p w14:paraId="517459F5" w14:textId="77777777" w:rsidR="00952899" w:rsidRPr="00952899" w:rsidRDefault="00952899" w:rsidP="00952899">
            <w:pPr>
              <w:pStyle w:val="TableDataColumnHeading"/>
              <w:rPr>
                <w:szCs w:val="16"/>
              </w:rPr>
            </w:pPr>
            <w:r w:rsidRPr="00952899">
              <w:rPr>
                <w:szCs w:val="16"/>
              </w:rPr>
              <w:t>Option 3</w:t>
            </w:r>
          </w:p>
        </w:tc>
        <w:tc>
          <w:tcPr>
            <w:tcW w:w="1123" w:type="dxa"/>
            <w:shd w:val="clear" w:color="auto" w:fill="6F6652"/>
            <w:noWrap/>
            <w:tcMar>
              <w:left w:w="57" w:type="dxa"/>
              <w:right w:w="57" w:type="dxa"/>
            </w:tcMar>
            <w:hideMark/>
          </w:tcPr>
          <w:p w14:paraId="77ABFCB1" w14:textId="77777777" w:rsidR="00952899" w:rsidRPr="00952899" w:rsidRDefault="00952899" w:rsidP="00952899">
            <w:pPr>
              <w:pStyle w:val="TableDataColumnHeading"/>
              <w:rPr>
                <w:szCs w:val="16"/>
              </w:rPr>
            </w:pPr>
            <w:r w:rsidRPr="00952899">
              <w:rPr>
                <w:szCs w:val="16"/>
              </w:rPr>
              <w:t>Option 4</w:t>
            </w:r>
          </w:p>
        </w:tc>
        <w:tc>
          <w:tcPr>
            <w:tcW w:w="1123" w:type="dxa"/>
            <w:shd w:val="clear" w:color="auto" w:fill="6F6652"/>
            <w:noWrap/>
            <w:tcMar>
              <w:left w:w="57" w:type="dxa"/>
              <w:right w:w="57" w:type="dxa"/>
            </w:tcMar>
            <w:hideMark/>
          </w:tcPr>
          <w:p w14:paraId="1C0A19B3" w14:textId="77777777" w:rsidR="00952899" w:rsidRPr="00952899" w:rsidRDefault="00952899" w:rsidP="00952899">
            <w:pPr>
              <w:pStyle w:val="TableDataColumnHeading"/>
              <w:rPr>
                <w:szCs w:val="16"/>
              </w:rPr>
            </w:pPr>
            <w:r w:rsidRPr="00952899">
              <w:rPr>
                <w:szCs w:val="16"/>
              </w:rPr>
              <w:t>Option 5</w:t>
            </w:r>
          </w:p>
        </w:tc>
      </w:tr>
      <w:tr w:rsidR="00952899" w:rsidRPr="00952899" w14:paraId="1280CC03" w14:textId="77777777" w:rsidTr="009564EE">
        <w:trPr>
          <w:trHeight w:val="252"/>
        </w:trPr>
        <w:tc>
          <w:tcPr>
            <w:tcW w:w="1123" w:type="dxa"/>
            <w:tcBorders>
              <w:bottom w:val="single" w:sz="8" w:space="0" w:color="FFFFFF" w:themeColor="background1"/>
            </w:tcBorders>
            <w:shd w:val="clear" w:color="auto" w:fill="auto"/>
            <w:noWrap/>
            <w:tcMar>
              <w:left w:w="57" w:type="dxa"/>
              <w:right w:w="57" w:type="dxa"/>
            </w:tcMar>
            <w:hideMark/>
          </w:tcPr>
          <w:p w14:paraId="770FE688" w14:textId="77777777" w:rsidR="00952899" w:rsidRPr="00952899" w:rsidRDefault="00952899" w:rsidP="00952899">
            <w:pPr>
              <w:pStyle w:val="TableUnit"/>
              <w:jc w:val="left"/>
            </w:pPr>
          </w:p>
        </w:tc>
        <w:tc>
          <w:tcPr>
            <w:tcW w:w="1198" w:type="dxa"/>
            <w:tcBorders>
              <w:bottom w:val="single" w:sz="8" w:space="0" w:color="FFFFFF" w:themeColor="background1"/>
            </w:tcBorders>
            <w:shd w:val="clear" w:color="auto" w:fill="auto"/>
            <w:noWrap/>
            <w:tcMar>
              <w:left w:w="57" w:type="dxa"/>
              <w:right w:w="57" w:type="dxa"/>
            </w:tcMar>
            <w:hideMark/>
          </w:tcPr>
          <w:p w14:paraId="380BDD7A" w14:textId="77777777" w:rsidR="00952899" w:rsidRPr="00952899" w:rsidRDefault="00952899" w:rsidP="00952899">
            <w:pPr>
              <w:pStyle w:val="TableUnit"/>
            </w:pPr>
            <w:r w:rsidRPr="00952899">
              <w:t>$/dwelling</w:t>
            </w:r>
          </w:p>
        </w:tc>
        <w:tc>
          <w:tcPr>
            <w:tcW w:w="1123" w:type="dxa"/>
            <w:tcBorders>
              <w:bottom w:val="single" w:sz="8" w:space="0" w:color="FFFFFF" w:themeColor="background1"/>
            </w:tcBorders>
            <w:shd w:val="clear" w:color="auto" w:fill="auto"/>
            <w:noWrap/>
            <w:tcMar>
              <w:left w:w="57" w:type="dxa"/>
              <w:right w:w="57" w:type="dxa"/>
            </w:tcMar>
            <w:hideMark/>
          </w:tcPr>
          <w:p w14:paraId="3A3C64B7" w14:textId="77777777" w:rsidR="00952899" w:rsidRPr="00952899" w:rsidRDefault="00952899" w:rsidP="00952899">
            <w:pPr>
              <w:pStyle w:val="TableUnit"/>
            </w:pPr>
            <w:r w:rsidRPr="00952899">
              <w:t>$m</w:t>
            </w:r>
          </w:p>
        </w:tc>
        <w:tc>
          <w:tcPr>
            <w:tcW w:w="1123" w:type="dxa"/>
            <w:tcBorders>
              <w:bottom w:val="single" w:sz="8" w:space="0" w:color="FFFFFF" w:themeColor="background1"/>
            </w:tcBorders>
            <w:shd w:val="clear" w:color="auto" w:fill="auto"/>
            <w:noWrap/>
            <w:tcMar>
              <w:left w:w="57" w:type="dxa"/>
              <w:right w:w="57" w:type="dxa"/>
            </w:tcMar>
            <w:hideMark/>
          </w:tcPr>
          <w:p w14:paraId="39F0A0B0" w14:textId="77777777" w:rsidR="00952899" w:rsidRPr="00952899" w:rsidRDefault="00952899" w:rsidP="00952899">
            <w:pPr>
              <w:pStyle w:val="TableUnit"/>
            </w:pPr>
            <w:r w:rsidRPr="00952899">
              <w:t>$m</w:t>
            </w:r>
          </w:p>
        </w:tc>
        <w:tc>
          <w:tcPr>
            <w:tcW w:w="1123" w:type="dxa"/>
            <w:tcBorders>
              <w:bottom w:val="single" w:sz="8" w:space="0" w:color="FFFFFF" w:themeColor="background1"/>
            </w:tcBorders>
            <w:shd w:val="clear" w:color="auto" w:fill="auto"/>
            <w:noWrap/>
            <w:tcMar>
              <w:left w:w="57" w:type="dxa"/>
              <w:right w:w="57" w:type="dxa"/>
            </w:tcMar>
            <w:hideMark/>
          </w:tcPr>
          <w:p w14:paraId="5F516277" w14:textId="77777777" w:rsidR="00952899" w:rsidRPr="00952899" w:rsidRDefault="00952899" w:rsidP="00952899">
            <w:pPr>
              <w:pStyle w:val="TableUnit"/>
            </w:pPr>
            <w:r w:rsidRPr="00952899">
              <w:t>$m</w:t>
            </w:r>
          </w:p>
        </w:tc>
        <w:tc>
          <w:tcPr>
            <w:tcW w:w="1123" w:type="dxa"/>
            <w:tcBorders>
              <w:bottom w:val="single" w:sz="8" w:space="0" w:color="FFFFFF" w:themeColor="background1"/>
            </w:tcBorders>
            <w:shd w:val="clear" w:color="auto" w:fill="auto"/>
            <w:noWrap/>
            <w:tcMar>
              <w:left w:w="57" w:type="dxa"/>
              <w:right w:w="57" w:type="dxa"/>
            </w:tcMar>
            <w:hideMark/>
          </w:tcPr>
          <w:p w14:paraId="503B69F6" w14:textId="77777777" w:rsidR="00952899" w:rsidRPr="00952899" w:rsidRDefault="00952899" w:rsidP="00952899">
            <w:pPr>
              <w:pStyle w:val="TableUnit"/>
            </w:pPr>
            <w:r w:rsidRPr="00952899">
              <w:t>$m</w:t>
            </w:r>
          </w:p>
        </w:tc>
        <w:tc>
          <w:tcPr>
            <w:tcW w:w="1123" w:type="dxa"/>
            <w:tcBorders>
              <w:bottom w:val="single" w:sz="8" w:space="0" w:color="FFFFFF" w:themeColor="background1"/>
            </w:tcBorders>
            <w:shd w:val="clear" w:color="auto" w:fill="auto"/>
            <w:noWrap/>
            <w:tcMar>
              <w:left w:w="57" w:type="dxa"/>
              <w:right w:w="57" w:type="dxa"/>
            </w:tcMar>
            <w:hideMark/>
          </w:tcPr>
          <w:p w14:paraId="125CF071" w14:textId="77777777" w:rsidR="00952899" w:rsidRPr="00952899" w:rsidRDefault="00952899" w:rsidP="00952899">
            <w:pPr>
              <w:pStyle w:val="TableUnit"/>
            </w:pPr>
            <w:r w:rsidRPr="00952899">
              <w:t>$m</w:t>
            </w:r>
          </w:p>
        </w:tc>
      </w:tr>
      <w:tr w:rsidR="000140A6" w:rsidRPr="00952899" w14:paraId="15DA80BB" w14:textId="77777777" w:rsidTr="00233C02">
        <w:trPr>
          <w:trHeight w:val="252"/>
        </w:trPr>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1F41F7" w14:textId="77777777" w:rsidR="000140A6" w:rsidRPr="00952899" w:rsidRDefault="000140A6" w:rsidP="000140A6">
            <w:pPr>
              <w:pStyle w:val="TableDataEntries"/>
              <w:jc w:val="left"/>
            </w:pPr>
            <w:r w:rsidRPr="00952899">
              <w:t>Low</w:t>
            </w:r>
          </w:p>
        </w:tc>
        <w:tc>
          <w:tcPr>
            <w:tcW w:w="11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328762" w14:textId="77777777" w:rsidR="000140A6" w:rsidRPr="00952899" w:rsidRDefault="000140A6" w:rsidP="000140A6">
            <w:pPr>
              <w:pStyle w:val="TableDataEntries"/>
            </w:pPr>
            <w:r>
              <w:t>43.75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808EC0" w14:textId="77777777" w:rsidR="000140A6" w:rsidRPr="00952899" w:rsidRDefault="000140A6" w:rsidP="000140A6">
            <w:pPr>
              <w:pStyle w:val="TableDataEntries"/>
            </w:pPr>
            <w:r>
              <w:rPr>
                <w:szCs w:val="16"/>
              </w:rPr>
              <w:t>63.5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F10E8E" w14:textId="77777777" w:rsidR="000140A6" w:rsidRPr="00952899" w:rsidRDefault="000140A6" w:rsidP="000140A6">
            <w:pPr>
              <w:pStyle w:val="TableDataEntries"/>
            </w:pPr>
            <w:r>
              <w:rPr>
                <w:szCs w:val="16"/>
              </w:rPr>
              <w:t>63.5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C816E8" w14:textId="77777777" w:rsidR="000140A6" w:rsidRPr="00952899" w:rsidRDefault="000140A6" w:rsidP="000140A6">
            <w:pPr>
              <w:pStyle w:val="TableDataEntries"/>
            </w:pPr>
            <w:r>
              <w:rPr>
                <w:szCs w:val="16"/>
              </w:rPr>
              <w:t>63.5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239A66" w14:textId="77777777" w:rsidR="000140A6" w:rsidRPr="00952899" w:rsidRDefault="000140A6" w:rsidP="000140A6">
            <w:pPr>
              <w:pStyle w:val="TableDataEntries"/>
            </w:pPr>
            <w:r>
              <w:rPr>
                <w:szCs w:val="16"/>
              </w:rPr>
              <w:t>18.3</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E705E9" w14:textId="77777777" w:rsidR="000140A6" w:rsidRPr="00952899" w:rsidRDefault="000140A6" w:rsidP="000140A6">
            <w:pPr>
              <w:pStyle w:val="TableDataEntries"/>
            </w:pPr>
            <w:r w:rsidRPr="00952899">
              <w:t>0</w:t>
            </w:r>
          </w:p>
        </w:tc>
      </w:tr>
      <w:tr w:rsidR="000140A6" w:rsidRPr="00952899" w14:paraId="3376E858" w14:textId="77777777" w:rsidTr="00233C02">
        <w:trPr>
          <w:trHeight w:val="252"/>
        </w:trPr>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894B8A" w14:textId="77777777" w:rsidR="000140A6" w:rsidRPr="00952899" w:rsidRDefault="000140A6" w:rsidP="000140A6">
            <w:pPr>
              <w:pStyle w:val="TableDataEntries"/>
              <w:jc w:val="left"/>
            </w:pPr>
            <w:r w:rsidRPr="00952899">
              <w:t>Central</w:t>
            </w:r>
          </w:p>
        </w:tc>
        <w:tc>
          <w:tcPr>
            <w:tcW w:w="119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23E386" w14:textId="77777777" w:rsidR="000140A6" w:rsidRPr="00952899" w:rsidRDefault="000140A6" w:rsidP="000140A6">
            <w:pPr>
              <w:pStyle w:val="TableDataEntries"/>
            </w:pPr>
            <w:r>
              <w:t>200</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DC3EDA" w14:textId="77777777" w:rsidR="000140A6" w:rsidRPr="00952899" w:rsidRDefault="000140A6" w:rsidP="000140A6">
            <w:pPr>
              <w:pStyle w:val="TableDataEntries"/>
            </w:pPr>
            <w:r>
              <w:rPr>
                <w:szCs w:val="16"/>
              </w:rPr>
              <w:t>290.5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6433B9" w14:textId="77777777" w:rsidR="000140A6" w:rsidRPr="00952899" w:rsidRDefault="000140A6" w:rsidP="000140A6">
            <w:pPr>
              <w:pStyle w:val="TableDataEntries"/>
            </w:pPr>
            <w:r>
              <w:rPr>
                <w:szCs w:val="16"/>
              </w:rPr>
              <w:t>290.5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21121A" w14:textId="77777777" w:rsidR="000140A6" w:rsidRPr="00952899" w:rsidRDefault="000140A6" w:rsidP="000140A6">
            <w:pPr>
              <w:pStyle w:val="TableDataEntries"/>
            </w:pPr>
            <w:r>
              <w:rPr>
                <w:szCs w:val="16"/>
              </w:rPr>
              <w:t>290.5</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C05DBE" w14:textId="77777777" w:rsidR="000140A6" w:rsidRPr="00952899" w:rsidRDefault="000140A6" w:rsidP="000140A6">
            <w:pPr>
              <w:pStyle w:val="TableDataEntries"/>
            </w:pPr>
            <w:r>
              <w:rPr>
                <w:szCs w:val="16"/>
              </w:rPr>
              <w:t>83.8</w:t>
            </w:r>
          </w:p>
        </w:tc>
        <w:tc>
          <w:tcPr>
            <w:tcW w:w="11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D903E3" w14:textId="77777777" w:rsidR="000140A6" w:rsidRPr="00952899" w:rsidRDefault="000140A6" w:rsidP="000140A6">
            <w:pPr>
              <w:pStyle w:val="TableDataEntries"/>
            </w:pPr>
            <w:r w:rsidRPr="00952899">
              <w:t>0</w:t>
            </w:r>
          </w:p>
        </w:tc>
      </w:tr>
      <w:tr w:rsidR="000140A6" w:rsidRPr="00952899" w14:paraId="6E2B8F74" w14:textId="77777777" w:rsidTr="009564EE">
        <w:trPr>
          <w:trHeight w:val="252"/>
        </w:trPr>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3BC3961" w14:textId="77777777" w:rsidR="000140A6" w:rsidRPr="00952899" w:rsidRDefault="000140A6" w:rsidP="000140A6">
            <w:pPr>
              <w:pStyle w:val="TableDataEntries"/>
              <w:jc w:val="left"/>
            </w:pPr>
            <w:r w:rsidRPr="00952899">
              <w:t>High</w:t>
            </w:r>
          </w:p>
        </w:tc>
        <w:tc>
          <w:tcPr>
            <w:tcW w:w="119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6F22E09" w14:textId="77777777" w:rsidR="000140A6" w:rsidRPr="00952899" w:rsidRDefault="000140A6" w:rsidP="000140A6">
            <w:pPr>
              <w:pStyle w:val="TableDataEntries"/>
            </w:pPr>
            <w:r>
              <w:t>440</w:t>
            </w:r>
          </w:p>
        </w:tc>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3DCC30B" w14:textId="77777777" w:rsidR="000140A6" w:rsidRPr="00952899" w:rsidRDefault="000140A6" w:rsidP="000140A6">
            <w:pPr>
              <w:pStyle w:val="TableDataEntries"/>
            </w:pPr>
            <w:r>
              <w:t>639.1</w:t>
            </w:r>
          </w:p>
        </w:tc>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7336A8B" w14:textId="77777777" w:rsidR="000140A6" w:rsidRPr="00952899" w:rsidRDefault="000140A6" w:rsidP="000140A6">
            <w:pPr>
              <w:pStyle w:val="TableDataEntries"/>
            </w:pPr>
            <w:r>
              <w:t>639.1</w:t>
            </w:r>
          </w:p>
        </w:tc>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A8B1F66" w14:textId="77777777" w:rsidR="000140A6" w:rsidRPr="00952899" w:rsidRDefault="000140A6" w:rsidP="000140A6">
            <w:pPr>
              <w:pStyle w:val="TableDataEntries"/>
            </w:pPr>
            <w:r>
              <w:t>639.1</w:t>
            </w:r>
          </w:p>
        </w:tc>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6408224" w14:textId="77777777" w:rsidR="000140A6" w:rsidRPr="00952899" w:rsidRDefault="000140A6" w:rsidP="000140A6">
            <w:pPr>
              <w:pStyle w:val="TableDataEntries"/>
            </w:pPr>
            <w:r>
              <w:t>184.4</w:t>
            </w:r>
          </w:p>
        </w:tc>
        <w:tc>
          <w:tcPr>
            <w:tcW w:w="11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3CD831C" w14:textId="77777777" w:rsidR="000140A6" w:rsidRPr="00952899" w:rsidRDefault="000140A6" w:rsidP="000140A6">
            <w:pPr>
              <w:pStyle w:val="TableDataEntries"/>
            </w:pPr>
            <w:r w:rsidRPr="00952899">
              <w:t>0</w:t>
            </w:r>
          </w:p>
        </w:tc>
      </w:tr>
    </w:tbl>
    <w:p w14:paraId="182B3D85" w14:textId="77777777" w:rsidR="00952899" w:rsidRPr="00424939" w:rsidRDefault="00952899" w:rsidP="00952899">
      <w:pPr>
        <w:pStyle w:val="Note"/>
        <w:rPr>
          <w:iCs/>
        </w:rPr>
      </w:pPr>
      <w:r w:rsidRPr="00424939">
        <w:rPr>
          <w:iCs/>
        </w:rPr>
        <w:lastRenderedPageBreak/>
        <w:t xml:space="preserve">Note: </w:t>
      </w:r>
      <w:r w:rsidR="009564EE" w:rsidRPr="00424939">
        <w:rPr>
          <w:iCs/>
        </w:rPr>
        <w:t xml:space="preserve">Additional </w:t>
      </w:r>
      <w:r w:rsidR="000970DB" w:rsidRPr="00424939">
        <w:rPr>
          <w:iCs/>
        </w:rPr>
        <w:t xml:space="preserve">compliance verification </w:t>
      </w:r>
      <w:r w:rsidR="009564EE" w:rsidRPr="00424939">
        <w:rPr>
          <w:iCs/>
        </w:rPr>
        <w:t>costs (for Options 1 to 5) are evaluated in net present value terms over the 10-year regulatory period, using a discount rate of 7 per cent.</w:t>
      </w:r>
    </w:p>
    <w:p w14:paraId="4DE3CBD7" w14:textId="77777777" w:rsidR="00952899" w:rsidRPr="00424939" w:rsidRDefault="00952899" w:rsidP="00FE3C1A">
      <w:pPr>
        <w:pStyle w:val="Source"/>
        <w:rPr>
          <w:iCs/>
        </w:rPr>
      </w:pPr>
      <w:r w:rsidRPr="00424939">
        <w:rPr>
          <w:iCs/>
        </w:rPr>
        <w:t xml:space="preserve">Source: </w:t>
      </w:r>
      <w:r w:rsidR="009564EE" w:rsidRPr="00424939">
        <w:rPr>
          <w:iCs/>
        </w:rPr>
        <w:t>CIE</w:t>
      </w:r>
      <w:r w:rsidR="00BD176C">
        <w:rPr>
          <w:iCs/>
        </w:rPr>
        <w:t>.</w:t>
      </w:r>
    </w:p>
    <w:p w14:paraId="370FDD9C" w14:textId="77777777" w:rsidR="00853897" w:rsidRDefault="00853897" w:rsidP="00853897">
      <w:pPr>
        <w:pStyle w:val="Heading2"/>
        <w:numPr>
          <w:ilvl w:val="1"/>
          <w:numId w:val="5"/>
        </w:numPr>
      </w:pPr>
      <w:bookmarkStart w:id="462" w:name="_Toc32321762"/>
      <w:bookmarkStart w:id="463" w:name="_Toc44598450"/>
      <w:bookmarkStart w:id="464" w:name="_Toc45654081"/>
      <w:bookmarkStart w:id="465" w:name="_Toc70505115"/>
      <w:r>
        <w:t>Transition costs</w:t>
      </w:r>
      <w:bookmarkEnd w:id="462"/>
      <w:bookmarkEnd w:id="463"/>
      <w:bookmarkEnd w:id="464"/>
      <w:bookmarkEnd w:id="465"/>
    </w:p>
    <w:p w14:paraId="76B56FBA" w14:textId="77777777" w:rsidR="00853897" w:rsidRDefault="00853897" w:rsidP="00853897">
      <w:pPr>
        <w:pStyle w:val="BodyText"/>
      </w:pPr>
      <w:r>
        <w:t>Transition costs include:</w:t>
      </w:r>
    </w:p>
    <w:p w14:paraId="298C2C68" w14:textId="77777777" w:rsidR="00853897" w:rsidRDefault="00853897" w:rsidP="00853897">
      <w:pPr>
        <w:pStyle w:val="ListBullet"/>
        <w:numPr>
          <w:ilvl w:val="0"/>
          <w:numId w:val="16"/>
        </w:numPr>
      </w:pPr>
      <w:r>
        <w:t>The cost incurred by volume builders, such as re-designing their standard offerings</w:t>
      </w:r>
    </w:p>
    <w:p w14:paraId="019052C0" w14:textId="77777777" w:rsidR="00853897" w:rsidRPr="00A804C7" w:rsidRDefault="00853897" w:rsidP="00853897">
      <w:pPr>
        <w:pStyle w:val="ListBullet"/>
        <w:numPr>
          <w:ilvl w:val="0"/>
          <w:numId w:val="16"/>
        </w:numPr>
      </w:pPr>
      <w:r>
        <w:t>Costs associated with industry professionals learning and understanding the new requirements.</w:t>
      </w:r>
    </w:p>
    <w:p w14:paraId="18C32F5F" w14:textId="77777777" w:rsidR="00853897" w:rsidRDefault="00853897" w:rsidP="00853897">
      <w:pPr>
        <w:pStyle w:val="Heading3"/>
        <w:numPr>
          <w:ilvl w:val="2"/>
          <w:numId w:val="5"/>
        </w:numPr>
      </w:pPr>
      <w:r>
        <w:t>Transition costs for volume builders</w:t>
      </w:r>
    </w:p>
    <w:p w14:paraId="12FD1C05" w14:textId="77777777" w:rsidR="00853897" w:rsidRDefault="00853897" w:rsidP="00853897">
      <w:pPr>
        <w:pStyle w:val="BodyText"/>
      </w:pPr>
      <w:r>
        <w:t xml:space="preserve">Volume builders typically have a ‘standard offering’ of a range of designs for consumers to choose from. </w:t>
      </w:r>
      <w:r w:rsidR="001822C7">
        <w:t>During consultation</w:t>
      </w:r>
      <w:r w:rsidR="00E4640E">
        <w:t>,</w:t>
      </w:r>
      <w:r w:rsidR="001822C7">
        <w:t xml:space="preserve"> i</w:t>
      </w:r>
      <w:r>
        <w:t>ndustry stakeholders noted that most standard offering designs do not comply with the proposed standards. Consequently, volume builders will need to re</w:t>
      </w:r>
      <w:r>
        <w:noBreakHyphen/>
        <w:t>design their standard offerings. Additional costs include:</w:t>
      </w:r>
    </w:p>
    <w:p w14:paraId="132895E4" w14:textId="77777777" w:rsidR="00853897" w:rsidRDefault="00853897" w:rsidP="00853897">
      <w:pPr>
        <w:pStyle w:val="ListBullet"/>
        <w:numPr>
          <w:ilvl w:val="0"/>
          <w:numId w:val="16"/>
        </w:numPr>
      </w:pPr>
      <w:r>
        <w:t>The costs associated with re</w:t>
      </w:r>
      <w:r>
        <w:noBreakHyphen/>
        <w:t>designing the standard offering</w:t>
      </w:r>
    </w:p>
    <w:p w14:paraId="170B1227" w14:textId="77777777" w:rsidR="00853897" w:rsidRDefault="00853897" w:rsidP="00853897">
      <w:pPr>
        <w:pStyle w:val="ListBullet"/>
        <w:numPr>
          <w:ilvl w:val="0"/>
          <w:numId w:val="16"/>
        </w:numPr>
      </w:pPr>
      <w:r>
        <w:t>Costs associated with re</w:t>
      </w:r>
      <w:r>
        <w:noBreakHyphen/>
        <w:t>building compliant display homes.</w:t>
      </w:r>
    </w:p>
    <w:p w14:paraId="1EC4147C" w14:textId="77777777" w:rsidR="0084614B" w:rsidRDefault="0084614B" w:rsidP="0084614B">
      <w:pPr>
        <w:pStyle w:val="BodyText"/>
      </w:pPr>
      <w:r>
        <w:t>These costs could be alleviated through a transitional period (in the NCC or State/Territory regulations) which would allow industry to incorporate the required design changes into their normal cycles for updating standard designs and selling and replacing former display homes.</w:t>
      </w:r>
    </w:p>
    <w:p w14:paraId="63529E9E" w14:textId="77777777" w:rsidR="00853897" w:rsidRDefault="00853897" w:rsidP="00853897">
      <w:pPr>
        <w:pStyle w:val="Heading3"/>
        <w:numPr>
          <w:ilvl w:val="2"/>
          <w:numId w:val="5"/>
        </w:numPr>
        <w:rPr>
          <w:lang w:bidi="fa-IR"/>
        </w:rPr>
      </w:pPr>
      <w:r>
        <w:rPr>
          <w:lang w:bidi="fa-IR"/>
        </w:rPr>
        <w:t>Retraining costs for industry practitioners</w:t>
      </w:r>
    </w:p>
    <w:p w14:paraId="739BF31E" w14:textId="77777777" w:rsidR="00853897" w:rsidRDefault="00853897" w:rsidP="00853897">
      <w:pPr>
        <w:pStyle w:val="BodyText"/>
      </w:pPr>
      <w:r>
        <w:t>As the proposed changes to the NCC are significant, both government and industry would incur some one</w:t>
      </w:r>
      <w:r>
        <w:noBreakHyphen/>
        <w:t>off costs associated with raising awareness of the changes and re</w:t>
      </w:r>
      <w:r>
        <w:noBreakHyphen/>
        <w:t xml:space="preserve">training. </w:t>
      </w:r>
      <w:r w:rsidR="006C19B5">
        <w:t>It is</w:t>
      </w:r>
      <w:r>
        <w:t xml:space="preserve"> estimate</w:t>
      </w:r>
      <w:r w:rsidR="006C19B5">
        <w:t>d</w:t>
      </w:r>
      <w:r>
        <w:t xml:space="preserve"> total retraining costs </w:t>
      </w:r>
      <w:r w:rsidR="0037540E">
        <w:t xml:space="preserve">would </w:t>
      </w:r>
      <w:r>
        <w:t>be around $28.47 million (</w:t>
      </w:r>
      <w:r w:rsidR="00495C32">
        <w:t>including $721 000 to government and $27.745 million to industry</w:t>
      </w:r>
      <w:r w:rsidR="00571867">
        <w:t xml:space="preserve"> – for more details see discussion below</w:t>
      </w:r>
      <w:r>
        <w:t>).</w:t>
      </w:r>
    </w:p>
    <w:p w14:paraId="40CAB4A5" w14:textId="77777777" w:rsidR="00853897" w:rsidRDefault="00853897" w:rsidP="00853897">
      <w:pPr>
        <w:pStyle w:val="Heading4"/>
      </w:pPr>
      <w:r>
        <w:t>Costs to government</w:t>
      </w:r>
    </w:p>
    <w:p w14:paraId="3B80E367" w14:textId="77777777" w:rsidR="00853897" w:rsidRPr="002B692B" w:rsidRDefault="00853897" w:rsidP="00853897">
      <w:pPr>
        <w:pStyle w:val="BodyText"/>
        <w:rPr>
          <w:lang w:bidi="fa-IR"/>
        </w:rPr>
      </w:pPr>
      <w:r>
        <w:rPr>
          <w:lang w:bidi="fa-IR"/>
        </w:rPr>
        <w:t xml:space="preserve">Transition costs to government are estimated to be $721 000 (see </w:t>
      </w:r>
      <w:r w:rsidR="00896722">
        <w:rPr>
          <w:lang w:bidi="fa-IR"/>
        </w:rPr>
        <w:t>t</w:t>
      </w:r>
      <w:r>
        <w:rPr>
          <w:lang w:bidi="fa-IR"/>
        </w:rPr>
        <w:t>able</w:t>
      </w:r>
      <w:r w:rsidR="00896722">
        <w:rPr>
          <w:lang w:bidi="fa-IR"/>
        </w:rPr>
        <w:t> 6.</w:t>
      </w:r>
      <w:r w:rsidR="00C65C3A">
        <w:rPr>
          <w:lang w:bidi="fa-IR"/>
        </w:rPr>
        <w:t>10</w:t>
      </w:r>
      <w:r>
        <w:rPr>
          <w:lang w:bidi="fa-IR"/>
        </w:rPr>
        <w:t>)</w:t>
      </w:r>
    </w:p>
    <w:p w14:paraId="5AA0A881" w14:textId="77777777" w:rsidR="00853897" w:rsidRDefault="00853897" w:rsidP="00853897">
      <w:pPr>
        <w:pStyle w:val="ListBullet"/>
        <w:numPr>
          <w:ilvl w:val="0"/>
          <w:numId w:val="16"/>
        </w:numPr>
      </w:pPr>
      <w:r>
        <w:t xml:space="preserve">These costs reflect: (1) to assist with the transition to the new code, </w:t>
      </w:r>
      <w:r w:rsidR="001E5756">
        <w:t>it is</w:t>
      </w:r>
      <w:r>
        <w:t xml:space="preserve"> assume</w:t>
      </w:r>
      <w:r w:rsidR="001E5756">
        <w:t>d</w:t>
      </w:r>
      <w:r>
        <w:t xml:space="preserve"> the ABCB would prepare a range of guidance material, and (2) the cost to the ABCB or other government bodies for organising and running seminars that educate relevant stakeholders on the changes.</w:t>
      </w:r>
    </w:p>
    <w:p w14:paraId="606D3EA5" w14:textId="77777777" w:rsidR="00853897" w:rsidRDefault="00853897" w:rsidP="001822C7">
      <w:pPr>
        <w:pStyle w:val="ListBullet"/>
        <w:numPr>
          <w:ilvl w:val="0"/>
          <w:numId w:val="16"/>
        </w:numPr>
      </w:pPr>
      <w:r>
        <w:t xml:space="preserve">For a Decision Regulatory Impact Statement for proposed changes to the NCC relating to energy efficiency in </w:t>
      </w:r>
      <w:r w:rsidR="009D2690">
        <w:t xml:space="preserve">commercial </w:t>
      </w:r>
      <w:r>
        <w:t xml:space="preserve">buildings, total transition costs to government </w:t>
      </w:r>
      <w:r w:rsidR="0037540E">
        <w:t>were estimated at</w:t>
      </w:r>
      <w:r>
        <w:t xml:space="preserve"> $355 000. In that analysis, </w:t>
      </w:r>
      <w:r w:rsidR="009E78A8">
        <w:t>CIE</w:t>
      </w:r>
      <w:r>
        <w:t xml:space="preserve"> estimated that around 26 000 individuals would require retraining.</w:t>
      </w:r>
      <w:r w:rsidR="001822C7">
        <w:t xml:space="preserve"> </w:t>
      </w:r>
      <w:r>
        <w:t xml:space="preserve">For the current changes to the NCC relating to accessibility, </w:t>
      </w:r>
      <w:r w:rsidR="009E78A8">
        <w:t>it is</w:t>
      </w:r>
      <w:r>
        <w:t xml:space="preserve"> estimate</w:t>
      </w:r>
      <w:r w:rsidR="009E78A8">
        <w:t>d</w:t>
      </w:r>
      <w:r>
        <w:t xml:space="preserve"> that around 53 000 individuals would require </w:t>
      </w:r>
      <w:r>
        <w:lastRenderedPageBreak/>
        <w:t xml:space="preserve">retraining. </w:t>
      </w:r>
      <w:r w:rsidR="009E78A8">
        <w:t>It is</w:t>
      </w:r>
      <w:r>
        <w:t xml:space="preserve"> therefore estimate</w:t>
      </w:r>
      <w:r w:rsidR="009E78A8">
        <w:t>d that</w:t>
      </w:r>
      <w:r>
        <w:t xml:space="preserve"> government transition costs </w:t>
      </w:r>
      <w:r w:rsidR="009E78A8">
        <w:t>would be around</w:t>
      </w:r>
      <w:r>
        <w:t xml:space="preserve"> $721 000 ($355 000 multiplied by the ratio of 53 000 to 26 000)</w:t>
      </w:r>
    </w:p>
    <w:p w14:paraId="5A091B5A" w14:textId="615D0431" w:rsidR="00853897" w:rsidRDefault="00490F02" w:rsidP="00853897">
      <w:pPr>
        <w:pStyle w:val="Caption"/>
      </w:pPr>
      <w:bookmarkStart w:id="466" w:name="_Toc32321837"/>
      <w:bookmarkStart w:id="467" w:name="_Toc44598535"/>
      <w:bookmarkStart w:id="468" w:name="_Toc45654166"/>
      <w:bookmarkStart w:id="469" w:name="_Toc70505575"/>
      <w:r>
        <w:t>6.10</w:t>
      </w:r>
      <w:r w:rsidR="00853897" w:rsidRPr="00695C93">
        <w:tab/>
      </w:r>
      <w:r w:rsidR="00853897">
        <w:t>Transitional costs to government</w:t>
      </w:r>
      <w:bookmarkEnd w:id="466"/>
      <w:bookmarkEnd w:id="467"/>
      <w:bookmarkEnd w:id="468"/>
      <w:bookmarkEnd w:id="46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10: Transitional costs to government"/>
        <w:tblDescription w:val="Table 6.10 lists the estimated costs for accessibility changes to the NCC as $721,000."/>
      </w:tblPr>
      <w:tblGrid>
        <w:gridCol w:w="4694"/>
        <w:gridCol w:w="3243"/>
      </w:tblGrid>
      <w:tr w:rsidR="00853897" w:rsidRPr="002E00E0" w14:paraId="199990C4" w14:textId="77777777" w:rsidTr="002856A0">
        <w:trPr>
          <w:trHeight w:val="252"/>
          <w:tblHeader/>
        </w:trPr>
        <w:tc>
          <w:tcPr>
            <w:tcW w:w="4694" w:type="dxa"/>
            <w:tcBorders>
              <w:bottom w:val="single" w:sz="8" w:space="0" w:color="FFFFFF" w:themeColor="background1"/>
            </w:tcBorders>
            <w:shd w:val="clear" w:color="auto" w:fill="6F6652" w:themeFill="accent5"/>
            <w:noWrap/>
            <w:hideMark/>
          </w:tcPr>
          <w:p w14:paraId="2A6B3C9D" w14:textId="77777777" w:rsidR="00853897" w:rsidRPr="002E00E0" w:rsidRDefault="00853897" w:rsidP="002856A0">
            <w:pPr>
              <w:pStyle w:val="TableDataColumnHeading"/>
              <w:jc w:val="left"/>
            </w:pPr>
            <w:r>
              <w:t>Changes to NCC</w:t>
            </w:r>
          </w:p>
        </w:tc>
        <w:tc>
          <w:tcPr>
            <w:tcW w:w="3243" w:type="dxa"/>
            <w:tcBorders>
              <w:bottom w:val="single" w:sz="8" w:space="0" w:color="FFFFFF" w:themeColor="background1"/>
            </w:tcBorders>
            <w:shd w:val="clear" w:color="auto" w:fill="6F6652" w:themeFill="accent5"/>
            <w:noWrap/>
            <w:hideMark/>
          </w:tcPr>
          <w:p w14:paraId="6F01229B" w14:textId="77777777" w:rsidR="00853897" w:rsidRPr="002E00E0" w:rsidRDefault="00853897" w:rsidP="002856A0">
            <w:pPr>
              <w:pStyle w:val="TableDataColumnHeading"/>
              <w:rPr>
                <w:rFonts w:ascii="Franklin Gothic Book" w:hAnsi="Franklin Gothic Book"/>
                <w:sz w:val="18"/>
              </w:rPr>
            </w:pPr>
            <w:r w:rsidRPr="00694B87">
              <w:rPr>
                <w:szCs w:val="16"/>
              </w:rPr>
              <w:t>Estimate ($000</w:t>
            </w:r>
            <w:r>
              <w:rPr>
                <w:rFonts w:ascii="Franklin Gothic Book" w:hAnsi="Franklin Gothic Book"/>
                <w:sz w:val="18"/>
              </w:rPr>
              <w:t>)</w:t>
            </w:r>
          </w:p>
        </w:tc>
      </w:tr>
      <w:tr w:rsidR="00853897" w:rsidRPr="002E00E0" w14:paraId="278B39EA" w14:textId="77777777" w:rsidTr="002856A0">
        <w:trPr>
          <w:trHeight w:val="252"/>
        </w:trPr>
        <w:tc>
          <w:tcPr>
            <w:tcW w:w="4694" w:type="dxa"/>
            <w:tcBorders>
              <w:top w:val="single" w:sz="8" w:space="0" w:color="FFFFFF" w:themeColor="background1"/>
              <w:bottom w:val="single" w:sz="4" w:space="0" w:color="6F6652" w:themeColor="accent5"/>
            </w:tcBorders>
            <w:shd w:val="clear" w:color="auto" w:fill="E9E8E5" w:themeFill="background2"/>
            <w:noWrap/>
            <w:hideMark/>
          </w:tcPr>
          <w:p w14:paraId="33537DCE" w14:textId="77777777" w:rsidR="00853897" w:rsidRPr="002E00E0" w:rsidRDefault="00853897" w:rsidP="002856A0">
            <w:pPr>
              <w:pStyle w:val="TableDataEntries"/>
              <w:jc w:val="left"/>
            </w:pPr>
            <w:r>
              <w:t>Estimated costs for accessibility changes (current)</w:t>
            </w:r>
          </w:p>
        </w:tc>
        <w:tc>
          <w:tcPr>
            <w:tcW w:w="3243" w:type="dxa"/>
            <w:tcBorders>
              <w:top w:val="single" w:sz="8" w:space="0" w:color="FFFFFF" w:themeColor="background1"/>
              <w:bottom w:val="single" w:sz="4" w:space="0" w:color="6F6652" w:themeColor="accent5"/>
            </w:tcBorders>
            <w:shd w:val="clear" w:color="auto" w:fill="E9E8E5" w:themeFill="background2"/>
            <w:noWrap/>
            <w:hideMark/>
          </w:tcPr>
          <w:p w14:paraId="250E1012" w14:textId="77777777" w:rsidR="00853897" w:rsidRPr="002E00E0" w:rsidRDefault="00853897" w:rsidP="002856A0">
            <w:pPr>
              <w:pStyle w:val="TableDataEntries"/>
            </w:pPr>
            <w:r>
              <w:t>721</w:t>
            </w:r>
          </w:p>
        </w:tc>
      </w:tr>
    </w:tbl>
    <w:p w14:paraId="23398267" w14:textId="77777777" w:rsidR="00853897" w:rsidRDefault="00853897" w:rsidP="00853897">
      <w:pPr>
        <w:pStyle w:val="Source"/>
        <w:rPr>
          <w:lang w:bidi="fa-IR"/>
        </w:rPr>
      </w:pPr>
      <w:r w:rsidRPr="00424939">
        <w:rPr>
          <w:iCs/>
          <w:lang w:bidi="fa-IR"/>
        </w:rPr>
        <w:t>Source: CIE</w:t>
      </w:r>
      <w:r>
        <w:rPr>
          <w:lang w:bidi="fa-IR"/>
        </w:rPr>
        <w:t>.</w:t>
      </w:r>
    </w:p>
    <w:p w14:paraId="704C6C54" w14:textId="77777777" w:rsidR="00853897" w:rsidRDefault="00853897" w:rsidP="00853897">
      <w:pPr>
        <w:pStyle w:val="Heading4"/>
      </w:pPr>
      <w:r>
        <w:t>Costs to industry</w:t>
      </w:r>
    </w:p>
    <w:p w14:paraId="3EE4B439" w14:textId="77777777" w:rsidR="00853897" w:rsidRPr="00304DE1" w:rsidRDefault="00853897" w:rsidP="00853897">
      <w:pPr>
        <w:pStyle w:val="BodyText"/>
      </w:pPr>
      <w:r>
        <w:t>Industry stakeholders will also incur one</w:t>
      </w:r>
      <w:r>
        <w:noBreakHyphen/>
        <w:t xml:space="preserve">off costs associated with familiarising themselves with the new code requirements. </w:t>
      </w:r>
      <w:r w:rsidR="00485A83">
        <w:t>It is</w:t>
      </w:r>
      <w:r>
        <w:t xml:space="preserve"> estimate</w:t>
      </w:r>
      <w:r w:rsidR="00485A83">
        <w:t>d that</w:t>
      </w:r>
      <w:r>
        <w:t xml:space="preserve"> the time costs associated with familiarising themselves with the relevant aspects of the new code</w:t>
      </w:r>
      <w:r w:rsidR="00044945">
        <w:t xml:space="preserve"> </w:t>
      </w:r>
      <w:r w:rsidR="00DC1786">
        <w:t xml:space="preserve">would be </w:t>
      </w:r>
      <w:r>
        <w:t>$27.7</w:t>
      </w:r>
      <w:r w:rsidR="00044945">
        <w:t> </w:t>
      </w:r>
      <w:r>
        <w:t>million (see table</w:t>
      </w:r>
      <w:r w:rsidR="000E3FE1">
        <w:t> 6.</w:t>
      </w:r>
      <w:r w:rsidR="00C65C3A">
        <w:t>11</w:t>
      </w:r>
      <w:r>
        <w:t xml:space="preserve">), which </w:t>
      </w:r>
      <w:r w:rsidR="001822C7">
        <w:t>is</w:t>
      </w:r>
      <w:r>
        <w:t xml:space="preserve"> based on assumptions that follow.</w:t>
      </w:r>
    </w:p>
    <w:p w14:paraId="66E2C326" w14:textId="781CF0C1" w:rsidR="00853897" w:rsidRDefault="00490F02" w:rsidP="00853897">
      <w:pPr>
        <w:pStyle w:val="Caption"/>
        <w:spacing w:before="240"/>
      </w:pPr>
      <w:bookmarkStart w:id="470" w:name="_Toc32321838"/>
      <w:bookmarkStart w:id="471" w:name="_Toc44598536"/>
      <w:bookmarkStart w:id="472" w:name="_Toc45654167"/>
      <w:bookmarkStart w:id="473" w:name="_Toc70505576"/>
      <w:r>
        <w:t>6.11</w:t>
      </w:r>
      <w:r w:rsidR="00853897" w:rsidRPr="00695C93">
        <w:tab/>
      </w:r>
      <w:r w:rsidR="00853897">
        <w:t>Estimated number</w:t>
      </w:r>
      <w:r w:rsidR="003D7592">
        <w:t xml:space="preserve"> of individuals to be retrained</w:t>
      </w:r>
      <w:r w:rsidR="00853897">
        <w:t xml:space="preserve"> and retraining costs</w:t>
      </w:r>
      <w:bookmarkEnd w:id="470"/>
      <w:bookmarkEnd w:id="471"/>
      <w:bookmarkEnd w:id="472"/>
      <w:bookmarkEnd w:id="473"/>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6.11: Estimated number of individuals to be retrained and retraining costs"/>
        <w:tblDescription w:val="Table 6.11 lists the number of people (construction managers, architects/building designers and certifiers/surveyors) to be retrained and the total time costs in dollars. The total number of people to be retrained is estimated at 53,000, at a total cost of $27,745,000."/>
      </w:tblPr>
      <w:tblGrid>
        <w:gridCol w:w="3690"/>
        <w:gridCol w:w="2124"/>
        <w:gridCol w:w="2124"/>
      </w:tblGrid>
      <w:tr w:rsidR="00853897" w:rsidRPr="00304DE1" w14:paraId="786DCA6D" w14:textId="77777777" w:rsidTr="002856A0">
        <w:trPr>
          <w:trHeight w:val="252"/>
          <w:tblHeader/>
        </w:trPr>
        <w:tc>
          <w:tcPr>
            <w:tcW w:w="3690" w:type="dxa"/>
            <w:shd w:val="clear" w:color="auto" w:fill="6F6652" w:themeFill="accent5"/>
            <w:noWrap/>
            <w:hideMark/>
          </w:tcPr>
          <w:p w14:paraId="24657DD8" w14:textId="77777777" w:rsidR="00853897" w:rsidRPr="00304DE1" w:rsidRDefault="00853897" w:rsidP="002856A0">
            <w:pPr>
              <w:pStyle w:val="TableDataColumnHeading"/>
              <w:jc w:val="left"/>
            </w:pPr>
            <w:r>
              <w:t>Profession/trade</w:t>
            </w:r>
          </w:p>
        </w:tc>
        <w:tc>
          <w:tcPr>
            <w:tcW w:w="2124" w:type="dxa"/>
            <w:shd w:val="clear" w:color="auto" w:fill="6F6652" w:themeFill="accent5"/>
            <w:noWrap/>
            <w:hideMark/>
          </w:tcPr>
          <w:p w14:paraId="649996AB" w14:textId="77777777" w:rsidR="00853897" w:rsidRPr="00F77736" w:rsidRDefault="00853897" w:rsidP="002856A0">
            <w:pPr>
              <w:pStyle w:val="TableDataColumnHeading"/>
              <w:rPr>
                <w:szCs w:val="16"/>
              </w:rPr>
            </w:pPr>
            <w:r w:rsidRPr="00F77736">
              <w:rPr>
                <w:szCs w:val="16"/>
              </w:rPr>
              <w:t>People to be retrained</w:t>
            </w:r>
            <w:r>
              <w:rPr>
                <w:szCs w:val="16"/>
              </w:rPr>
              <w:br/>
              <w:t>(’000)</w:t>
            </w:r>
          </w:p>
        </w:tc>
        <w:tc>
          <w:tcPr>
            <w:tcW w:w="2124" w:type="dxa"/>
            <w:shd w:val="clear" w:color="auto" w:fill="6F6652" w:themeFill="accent5"/>
            <w:noWrap/>
            <w:hideMark/>
          </w:tcPr>
          <w:p w14:paraId="7335F7BC" w14:textId="77777777" w:rsidR="00853897" w:rsidRPr="00F77736" w:rsidRDefault="00853897" w:rsidP="002856A0">
            <w:pPr>
              <w:pStyle w:val="TableDataColumnHeading"/>
              <w:rPr>
                <w:szCs w:val="16"/>
              </w:rPr>
            </w:pPr>
            <w:r w:rsidRPr="00F77736">
              <w:rPr>
                <w:szCs w:val="16"/>
              </w:rPr>
              <w:t>Total time costs</w:t>
            </w:r>
            <w:r>
              <w:rPr>
                <w:szCs w:val="16"/>
              </w:rPr>
              <w:br/>
              <w:t>($’000)</w:t>
            </w:r>
          </w:p>
        </w:tc>
      </w:tr>
      <w:tr w:rsidR="00853897" w:rsidRPr="00304DE1" w14:paraId="3FFF1D1F" w14:textId="77777777" w:rsidTr="002856A0">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14:paraId="26FB9D6D" w14:textId="77777777" w:rsidR="00853897" w:rsidRPr="00304DE1" w:rsidRDefault="00853897" w:rsidP="002856A0">
            <w:pPr>
              <w:pStyle w:val="TableUnit"/>
              <w:jc w:val="left"/>
            </w:pPr>
            <w:r w:rsidRPr="00304DE1">
              <w:t>Construction managers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1DD332BF" w14:textId="77777777" w:rsidR="00853897" w:rsidRPr="00137F42" w:rsidRDefault="00853897" w:rsidP="002856A0">
            <w:pPr>
              <w:pStyle w:val="TableDataEntries"/>
            </w:pPr>
            <w:r w:rsidRPr="0037497A">
              <w:t>41</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4A4E7C30" w14:textId="77777777" w:rsidR="00853897" w:rsidRPr="00137F42" w:rsidRDefault="00853897" w:rsidP="002856A0">
            <w:pPr>
              <w:pStyle w:val="TableDataEntries"/>
            </w:pPr>
            <w:r w:rsidRPr="0037497A">
              <w:t>23</w:t>
            </w:r>
            <w:r>
              <w:t> </w:t>
            </w:r>
            <w:r w:rsidRPr="0037497A">
              <w:t>560</w:t>
            </w:r>
          </w:p>
        </w:tc>
      </w:tr>
      <w:tr w:rsidR="00853897" w:rsidRPr="00304DE1" w14:paraId="3B557F72" w14:textId="77777777" w:rsidTr="002856A0">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14:paraId="390D0661" w14:textId="77777777" w:rsidR="00853897" w:rsidRPr="00304DE1" w:rsidRDefault="00853897" w:rsidP="002856A0">
            <w:pPr>
              <w:pStyle w:val="TableDataEntries"/>
              <w:jc w:val="left"/>
            </w:pPr>
            <w:r w:rsidRPr="00304DE1">
              <w:t>Architects/building designers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43BA8217" w14:textId="77777777" w:rsidR="00853897" w:rsidRPr="00137F42" w:rsidRDefault="00853897" w:rsidP="002856A0">
            <w:pPr>
              <w:pStyle w:val="TableDataEntries"/>
            </w:pPr>
            <w:r w:rsidRPr="0037497A">
              <w:t>11</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651D97CD" w14:textId="77777777" w:rsidR="00853897" w:rsidRPr="00137F42" w:rsidRDefault="00853897" w:rsidP="002856A0">
            <w:pPr>
              <w:pStyle w:val="TableDataEntries"/>
            </w:pPr>
            <w:r w:rsidRPr="0037497A">
              <w:t>3</w:t>
            </w:r>
            <w:r>
              <w:t> </w:t>
            </w:r>
            <w:r w:rsidRPr="0037497A">
              <w:t>522</w:t>
            </w:r>
          </w:p>
        </w:tc>
      </w:tr>
      <w:tr w:rsidR="00853897" w:rsidRPr="00304DE1" w14:paraId="06195450" w14:textId="77777777" w:rsidTr="002856A0">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14:paraId="5A070870" w14:textId="77777777" w:rsidR="00853897" w:rsidRPr="00304DE1" w:rsidRDefault="00853897" w:rsidP="002856A0">
            <w:pPr>
              <w:pStyle w:val="TableDataEntries"/>
              <w:jc w:val="left"/>
            </w:pPr>
            <w:r w:rsidRPr="00304DE1">
              <w:t>Certifiers/surveyors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5ADB8A3A" w14:textId="77777777" w:rsidR="00853897" w:rsidRPr="00137F42" w:rsidRDefault="00853897" w:rsidP="002856A0">
            <w:pPr>
              <w:pStyle w:val="TableDataEntries"/>
            </w:pPr>
            <w:r w:rsidRPr="0037497A">
              <w:t>2</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14:paraId="3352AF3C" w14:textId="77777777" w:rsidR="00853897" w:rsidRPr="00137F42" w:rsidRDefault="00853897" w:rsidP="002856A0">
            <w:pPr>
              <w:pStyle w:val="TableDataEntries"/>
            </w:pPr>
            <w:r w:rsidRPr="0037497A">
              <w:t>663</w:t>
            </w:r>
          </w:p>
        </w:tc>
      </w:tr>
      <w:tr w:rsidR="00853897" w:rsidRPr="00F77736" w14:paraId="0BA13ED1" w14:textId="77777777" w:rsidTr="002856A0">
        <w:trPr>
          <w:trHeight w:val="252"/>
        </w:trPr>
        <w:tc>
          <w:tcPr>
            <w:tcW w:w="3690" w:type="dxa"/>
            <w:tcBorders>
              <w:top w:val="single" w:sz="8" w:space="0" w:color="FFFFFF" w:themeColor="background1"/>
              <w:bottom w:val="single" w:sz="4" w:space="0" w:color="6F6652" w:themeColor="accent5"/>
            </w:tcBorders>
            <w:shd w:val="clear" w:color="auto" w:fill="C2DADB" w:themeFill="accent6" w:themeFillTint="99"/>
            <w:noWrap/>
            <w:hideMark/>
          </w:tcPr>
          <w:p w14:paraId="14C4276E" w14:textId="77777777" w:rsidR="00853897" w:rsidRPr="00F77736" w:rsidRDefault="00853897" w:rsidP="002856A0">
            <w:pPr>
              <w:pStyle w:val="TableDataEntries"/>
              <w:jc w:val="left"/>
              <w:rPr>
                <w:rFonts w:ascii="Franklin Gothic Demi" w:hAnsi="Franklin Gothic Demi"/>
              </w:rPr>
            </w:pPr>
            <w:r w:rsidRPr="00F77736">
              <w:rPr>
                <w:rFonts w:ascii="Franklin Gothic Demi" w:hAnsi="Franklin Gothic Demi"/>
              </w:rPr>
              <w:t>Total</w:t>
            </w:r>
          </w:p>
        </w:tc>
        <w:tc>
          <w:tcPr>
            <w:tcW w:w="2124" w:type="dxa"/>
            <w:tcBorders>
              <w:top w:val="single" w:sz="8" w:space="0" w:color="FFFFFF" w:themeColor="background1"/>
              <w:bottom w:val="single" w:sz="4" w:space="0" w:color="6F6652" w:themeColor="accent5"/>
            </w:tcBorders>
            <w:shd w:val="clear" w:color="auto" w:fill="C2DADB" w:themeFill="accent6" w:themeFillTint="99"/>
            <w:noWrap/>
            <w:hideMark/>
          </w:tcPr>
          <w:p w14:paraId="44295A70" w14:textId="77777777" w:rsidR="00853897" w:rsidRPr="00F77736" w:rsidRDefault="00853897" w:rsidP="002856A0">
            <w:pPr>
              <w:pStyle w:val="TableDataEntries"/>
              <w:rPr>
                <w:rFonts w:ascii="Franklin Gothic Demi" w:hAnsi="Franklin Gothic Demi"/>
              </w:rPr>
            </w:pPr>
            <w:r w:rsidRPr="00F77736">
              <w:rPr>
                <w:rFonts w:ascii="Franklin Gothic Demi" w:hAnsi="Franklin Gothic Demi"/>
              </w:rPr>
              <w:t>53</w:t>
            </w:r>
          </w:p>
        </w:tc>
        <w:tc>
          <w:tcPr>
            <w:tcW w:w="2124" w:type="dxa"/>
            <w:tcBorders>
              <w:top w:val="single" w:sz="8" w:space="0" w:color="FFFFFF" w:themeColor="background1"/>
              <w:bottom w:val="single" w:sz="4" w:space="0" w:color="6F6652" w:themeColor="accent5"/>
            </w:tcBorders>
            <w:shd w:val="clear" w:color="auto" w:fill="C2DADB" w:themeFill="accent6" w:themeFillTint="99"/>
            <w:noWrap/>
            <w:hideMark/>
          </w:tcPr>
          <w:p w14:paraId="017F4C5D" w14:textId="77777777" w:rsidR="00853897" w:rsidRPr="00F77736" w:rsidRDefault="00853897" w:rsidP="002856A0">
            <w:pPr>
              <w:pStyle w:val="TableDataEntries"/>
              <w:rPr>
                <w:rFonts w:ascii="Franklin Gothic Demi" w:hAnsi="Franklin Gothic Demi"/>
              </w:rPr>
            </w:pPr>
            <w:r w:rsidRPr="00F77736">
              <w:rPr>
                <w:rFonts w:ascii="Franklin Gothic Demi" w:hAnsi="Franklin Gothic Demi"/>
              </w:rPr>
              <w:t>27 745</w:t>
            </w:r>
          </w:p>
        </w:tc>
      </w:tr>
    </w:tbl>
    <w:p w14:paraId="43F37FCA" w14:textId="77777777" w:rsidR="00853897" w:rsidRPr="00424939" w:rsidRDefault="00853897" w:rsidP="00853897">
      <w:pPr>
        <w:pStyle w:val="Source"/>
        <w:rPr>
          <w:iCs/>
          <w:lang w:bidi="fa-IR"/>
        </w:rPr>
      </w:pPr>
      <w:r w:rsidRPr="00424939">
        <w:rPr>
          <w:iCs/>
          <w:lang w:bidi="fa-IR"/>
        </w:rPr>
        <w:t>Source: CIE estimates.</w:t>
      </w:r>
    </w:p>
    <w:p w14:paraId="6F7A3FA2" w14:textId="77777777" w:rsidR="00853897" w:rsidRDefault="00853897" w:rsidP="001822C7">
      <w:pPr>
        <w:pStyle w:val="Heading5"/>
      </w:pPr>
      <w:r>
        <w:t>Assumptions underpinning estimated industry retraining costs</w:t>
      </w:r>
    </w:p>
    <w:p w14:paraId="3FE82AE1" w14:textId="77777777" w:rsidR="008A298E" w:rsidRPr="00F11742" w:rsidRDefault="00853897" w:rsidP="008A298E">
      <w:pPr>
        <w:pStyle w:val="BodyText"/>
      </w:pPr>
      <w:r>
        <w:t>Stakeholders that will require retraining due to changes in the code include individuals in the following professions/trades, who</w:t>
      </w:r>
      <w:r w:rsidR="008A298E" w:rsidRPr="00F11742">
        <w:t xml:space="preserve"> work</w:t>
      </w:r>
      <w:r>
        <w:t xml:space="preserve"> in (or provide services to) the residential building industry:</w:t>
      </w:r>
    </w:p>
    <w:p w14:paraId="48C1CB7C" w14:textId="77777777" w:rsidR="00853897" w:rsidRDefault="00853897" w:rsidP="00853897">
      <w:pPr>
        <w:pStyle w:val="ListBullet"/>
        <w:numPr>
          <w:ilvl w:val="0"/>
          <w:numId w:val="16"/>
        </w:numPr>
      </w:pPr>
      <w:r>
        <w:t>Construction managers</w:t>
      </w:r>
    </w:p>
    <w:p w14:paraId="4DA83467" w14:textId="77777777" w:rsidR="00853897" w:rsidRDefault="00853897" w:rsidP="00853897">
      <w:pPr>
        <w:pStyle w:val="ListBullet"/>
        <w:numPr>
          <w:ilvl w:val="0"/>
          <w:numId w:val="16"/>
        </w:numPr>
      </w:pPr>
      <w:r>
        <w:t>Architects/building designers</w:t>
      </w:r>
    </w:p>
    <w:p w14:paraId="48EF43E3" w14:textId="77777777" w:rsidR="00853897" w:rsidRDefault="00853897" w:rsidP="00853897">
      <w:pPr>
        <w:pStyle w:val="ListBullet"/>
        <w:numPr>
          <w:ilvl w:val="0"/>
          <w:numId w:val="16"/>
        </w:numPr>
      </w:pPr>
      <w:r>
        <w:t>Certifiers/surveyors</w:t>
      </w:r>
    </w:p>
    <w:p w14:paraId="1E0C2798" w14:textId="77777777" w:rsidR="00853897" w:rsidRDefault="00853897" w:rsidP="001822C7">
      <w:pPr>
        <w:pStyle w:val="Heading5"/>
        <w:rPr>
          <w:lang w:bidi="fa-IR"/>
        </w:rPr>
      </w:pPr>
      <w:r>
        <w:rPr>
          <w:lang w:bidi="fa-IR"/>
        </w:rPr>
        <w:t>Number of construction managers who require re-training</w:t>
      </w:r>
    </w:p>
    <w:p w14:paraId="5357BAAC" w14:textId="77777777" w:rsidR="00853897" w:rsidRDefault="009527F4" w:rsidP="00853897">
      <w:pPr>
        <w:pStyle w:val="BodyText"/>
        <w:rPr>
          <w:lang w:bidi="fa-IR"/>
        </w:rPr>
      </w:pPr>
      <w:r>
        <w:rPr>
          <w:lang w:bidi="fa-IR"/>
        </w:rPr>
        <w:t>CIE</w:t>
      </w:r>
      <w:r w:rsidR="00853897">
        <w:rPr>
          <w:lang w:bidi="fa-IR"/>
        </w:rPr>
        <w:t xml:space="preserve"> estimate</w:t>
      </w:r>
      <w:r>
        <w:rPr>
          <w:lang w:bidi="fa-IR"/>
        </w:rPr>
        <w:t xml:space="preserve">s </w:t>
      </w:r>
      <w:r w:rsidR="00853897">
        <w:rPr>
          <w:lang w:bidi="fa-IR"/>
        </w:rPr>
        <w:t xml:space="preserve">there are 40 876 construction managers in 2019 who </w:t>
      </w:r>
      <w:r w:rsidR="00DC1786">
        <w:rPr>
          <w:lang w:bidi="fa-IR"/>
        </w:rPr>
        <w:t xml:space="preserve">would </w:t>
      </w:r>
      <w:r w:rsidR="00853897">
        <w:rPr>
          <w:lang w:bidi="fa-IR"/>
        </w:rPr>
        <w:t>require retraining, as follows (see table</w:t>
      </w:r>
      <w:r w:rsidR="00F71E59">
        <w:rPr>
          <w:lang w:bidi="fa-IR"/>
        </w:rPr>
        <w:t> 6.</w:t>
      </w:r>
      <w:r w:rsidR="007D79A9">
        <w:rPr>
          <w:lang w:bidi="fa-IR"/>
        </w:rPr>
        <w:t>1</w:t>
      </w:r>
      <w:r w:rsidR="00C65C3A">
        <w:rPr>
          <w:lang w:bidi="fa-IR"/>
        </w:rPr>
        <w:t>2</w:t>
      </w:r>
      <w:r w:rsidR="00853897">
        <w:rPr>
          <w:lang w:bidi="fa-IR"/>
        </w:rPr>
        <w:t>).</w:t>
      </w:r>
    </w:p>
    <w:p w14:paraId="67A14B1F" w14:textId="77777777" w:rsidR="00853897" w:rsidRDefault="00853897" w:rsidP="00853897">
      <w:pPr>
        <w:pStyle w:val="ListBullet"/>
        <w:numPr>
          <w:ilvl w:val="0"/>
          <w:numId w:val="16"/>
        </w:numPr>
        <w:rPr>
          <w:lang w:bidi="fa-IR"/>
        </w:rPr>
      </w:pPr>
      <w:r>
        <w:rPr>
          <w:lang w:bidi="fa-IR"/>
        </w:rPr>
        <w:t xml:space="preserve">There were 71 817 construction managers </w:t>
      </w:r>
      <w:r w:rsidR="00DC1786">
        <w:rPr>
          <w:lang w:bidi="fa-IR"/>
        </w:rPr>
        <w:t xml:space="preserve">at </w:t>
      </w:r>
      <w:r>
        <w:rPr>
          <w:lang w:bidi="fa-IR"/>
        </w:rPr>
        <w:t xml:space="preserve">September 2016, according to Census data. Using employment growth in the equivalent occupation in ABS Cat. 6291, these data </w:t>
      </w:r>
      <w:r w:rsidR="009527F4">
        <w:rPr>
          <w:lang w:bidi="fa-IR"/>
        </w:rPr>
        <w:t xml:space="preserve">were grown </w:t>
      </w:r>
      <w:r>
        <w:rPr>
          <w:lang w:bidi="fa-IR"/>
        </w:rPr>
        <w:t>to 2019.</w:t>
      </w:r>
    </w:p>
    <w:p w14:paraId="31CBE105" w14:textId="77777777" w:rsidR="00853897" w:rsidRDefault="00853897" w:rsidP="00853897">
      <w:pPr>
        <w:pStyle w:val="ListBullet"/>
        <w:numPr>
          <w:ilvl w:val="0"/>
          <w:numId w:val="16"/>
        </w:numPr>
        <w:rPr>
          <w:lang w:bidi="fa-IR"/>
        </w:rPr>
      </w:pPr>
      <w:r>
        <w:rPr>
          <w:lang w:bidi="fa-IR"/>
        </w:rPr>
        <w:t xml:space="preserve">Census data </w:t>
      </w:r>
      <w:r w:rsidR="00B34B55">
        <w:rPr>
          <w:lang w:bidi="fa-IR"/>
        </w:rPr>
        <w:t>indicates</w:t>
      </w:r>
      <w:r>
        <w:rPr>
          <w:lang w:bidi="fa-IR"/>
        </w:rPr>
        <w:t xml:space="preserve"> whether these individuals work in residential construction, non-residential construction, heavy </w:t>
      </w:r>
      <w:r w:rsidR="001822C7">
        <w:rPr>
          <w:lang w:bidi="fa-IR"/>
        </w:rPr>
        <w:t>and</w:t>
      </w:r>
      <w:r>
        <w:rPr>
          <w:lang w:bidi="fa-IR"/>
        </w:rPr>
        <w:t xml:space="preserve"> civil engineering construction or construction services. </w:t>
      </w:r>
      <w:r w:rsidR="00B34B55">
        <w:rPr>
          <w:lang w:bidi="fa-IR"/>
        </w:rPr>
        <w:t>It is</w:t>
      </w:r>
      <w:r>
        <w:rPr>
          <w:lang w:bidi="fa-IR"/>
        </w:rPr>
        <w:t xml:space="preserve"> assume</w:t>
      </w:r>
      <w:r w:rsidR="00B34B55">
        <w:rPr>
          <w:lang w:bidi="fa-IR"/>
        </w:rPr>
        <w:t>d</w:t>
      </w:r>
      <w:r>
        <w:rPr>
          <w:lang w:bidi="fa-IR"/>
        </w:rPr>
        <w:t xml:space="preserve"> individuals who work in residential construction and the sub-sector of residential construction </w:t>
      </w:r>
      <w:r w:rsidR="00265B13">
        <w:rPr>
          <w:lang w:bidi="fa-IR"/>
        </w:rPr>
        <w:t>services would</w:t>
      </w:r>
      <w:r>
        <w:rPr>
          <w:lang w:bidi="fa-IR"/>
        </w:rPr>
        <w:t xml:space="preserve"> require retraining. The share of </w:t>
      </w:r>
      <w:r>
        <w:rPr>
          <w:lang w:bidi="fa-IR"/>
        </w:rPr>
        <w:lastRenderedPageBreak/>
        <w:t xml:space="preserve">individuals who work in construction services which services residential construction is assumed to be employment in residential construction as a share of residential construction, non-residential construction and heavy </w:t>
      </w:r>
      <w:r w:rsidR="001822C7">
        <w:rPr>
          <w:lang w:bidi="fa-IR"/>
        </w:rPr>
        <w:t>and</w:t>
      </w:r>
      <w:r>
        <w:rPr>
          <w:lang w:bidi="fa-IR"/>
        </w:rPr>
        <w:t xml:space="preserve"> civil engineering construction. These </w:t>
      </w:r>
      <w:r w:rsidR="009D2690">
        <w:rPr>
          <w:lang w:bidi="fa-IR"/>
        </w:rPr>
        <w:t>are</w:t>
      </w:r>
      <w:r>
        <w:rPr>
          <w:lang w:bidi="fa-IR"/>
        </w:rPr>
        <w:t xml:space="preserve"> 40 876 construction managers.</w:t>
      </w:r>
    </w:p>
    <w:p w14:paraId="758440D9" w14:textId="3F32DE5C" w:rsidR="00853897" w:rsidRDefault="00490F02" w:rsidP="00853897">
      <w:pPr>
        <w:pStyle w:val="Caption"/>
        <w:spacing w:before="240"/>
      </w:pPr>
      <w:bookmarkStart w:id="474" w:name="_Toc44598537"/>
      <w:bookmarkStart w:id="475" w:name="_Toc45654168"/>
      <w:bookmarkStart w:id="476" w:name="_Toc70505577"/>
      <w:bookmarkStart w:id="477" w:name="_Toc32321840"/>
      <w:r>
        <w:t>6.12</w:t>
      </w:r>
      <w:r w:rsidR="00853897" w:rsidRPr="00695C93">
        <w:tab/>
      </w:r>
      <w:r w:rsidR="00853897">
        <w:t>Construction managers</w:t>
      </w:r>
      <w:bookmarkEnd w:id="474"/>
      <w:bookmarkEnd w:id="475"/>
      <w:bookmarkEnd w:id="476"/>
      <w:r w:rsidR="00853897">
        <w:t xml:space="preserve"> </w:t>
      </w:r>
      <w:bookmarkEnd w:id="477"/>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2: Construction managers "/>
        <w:tblDescription w:val="This table shows the total number of construction managers (estimated at 75,442 in 2019), and a breakdown of those who require retraining (estimated at 40,876)."/>
      </w:tblPr>
      <w:tblGrid>
        <w:gridCol w:w="1843"/>
        <w:gridCol w:w="1322"/>
        <w:gridCol w:w="1583"/>
        <w:gridCol w:w="1584"/>
        <w:gridCol w:w="1606"/>
      </w:tblGrid>
      <w:tr w:rsidR="00853897" w14:paraId="32C6B947" w14:textId="77777777" w:rsidTr="002856A0">
        <w:trPr>
          <w:tblHeader/>
        </w:trPr>
        <w:tc>
          <w:tcPr>
            <w:tcW w:w="1843" w:type="dxa"/>
            <w:tcBorders>
              <w:bottom w:val="single" w:sz="8" w:space="0" w:color="FFFFFF" w:themeColor="background1"/>
            </w:tcBorders>
            <w:shd w:val="clear" w:color="auto" w:fill="6F6652" w:themeFill="accent5"/>
          </w:tcPr>
          <w:p w14:paraId="6DB8C256" w14:textId="77777777" w:rsidR="00853897" w:rsidRDefault="00853897" w:rsidP="002856A0">
            <w:pPr>
              <w:pStyle w:val="TableDataColumnHeading"/>
              <w:jc w:val="left"/>
              <w:rPr>
                <w:lang w:bidi="fa-IR"/>
              </w:rPr>
            </w:pPr>
            <w:r>
              <w:rPr>
                <w:lang w:bidi="fa-IR"/>
              </w:rPr>
              <w:t>Item</w:t>
            </w:r>
          </w:p>
        </w:tc>
        <w:tc>
          <w:tcPr>
            <w:tcW w:w="1322" w:type="dxa"/>
            <w:tcBorders>
              <w:bottom w:val="single" w:sz="8" w:space="0" w:color="FFFFFF" w:themeColor="background1"/>
            </w:tcBorders>
            <w:shd w:val="clear" w:color="auto" w:fill="6F6652" w:themeFill="accent5"/>
          </w:tcPr>
          <w:p w14:paraId="640440AC" w14:textId="77777777" w:rsidR="00853897" w:rsidRDefault="00853897" w:rsidP="002856A0">
            <w:pPr>
              <w:pStyle w:val="TableDataColumnHeading"/>
              <w:rPr>
                <w:lang w:bidi="fa-IR"/>
              </w:rPr>
            </w:pPr>
            <w:r>
              <w:rPr>
                <w:lang w:bidi="fa-IR"/>
              </w:rPr>
              <w:t>Total in 2016</w:t>
            </w:r>
          </w:p>
        </w:tc>
        <w:tc>
          <w:tcPr>
            <w:tcW w:w="1583" w:type="dxa"/>
            <w:tcBorders>
              <w:bottom w:val="single" w:sz="8" w:space="0" w:color="FFFFFF" w:themeColor="background1"/>
            </w:tcBorders>
            <w:shd w:val="clear" w:color="auto" w:fill="6F6652" w:themeFill="accent5"/>
          </w:tcPr>
          <w:p w14:paraId="1231E1D3" w14:textId="77777777" w:rsidR="00853897" w:rsidRDefault="00853897" w:rsidP="002856A0">
            <w:pPr>
              <w:pStyle w:val="TableDataColumnHeading"/>
              <w:rPr>
                <w:lang w:bidi="fa-IR"/>
              </w:rPr>
            </w:pPr>
            <w:r>
              <w:rPr>
                <w:lang w:bidi="fa-IR"/>
              </w:rPr>
              <w:t xml:space="preserve">Total in 2019 </w:t>
            </w:r>
          </w:p>
        </w:tc>
        <w:tc>
          <w:tcPr>
            <w:tcW w:w="1584" w:type="dxa"/>
            <w:tcBorders>
              <w:bottom w:val="single" w:sz="8" w:space="0" w:color="FFFFFF" w:themeColor="background1"/>
            </w:tcBorders>
            <w:shd w:val="clear" w:color="auto" w:fill="6F6652" w:themeFill="accent5"/>
          </w:tcPr>
          <w:p w14:paraId="1EB11F3D" w14:textId="77777777" w:rsidR="00853897" w:rsidRDefault="00853897" w:rsidP="002856A0">
            <w:pPr>
              <w:pStyle w:val="TableDataColumnHeading"/>
              <w:rPr>
                <w:lang w:bidi="fa-IR"/>
              </w:rPr>
            </w:pPr>
            <w:r>
              <w:rPr>
                <w:lang w:bidi="fa-IR"/>
              </w:rPr>
              <w:t>Who do not require training</w:t>
            </w:r>
            <w:r w:rsidRPr="00B46BCC">
              <w:rPr>
                <w:rStyle w:val="NoteLabel"/>
                <w:color w:val="FFFFFF" w:themeColor="background1"/>
              </w:rPr>
              <w:t xml:space="preserve"> a</w:t>
            </w:r>
          </w:p>
        </w:tc>
        <w:tc>
          <w:tcPr>
            <w:tcW w:w="1606" w:type="dxa"/>
            <w:tcBorders>
              <w:bottom w:val="single" w:sz="8" w:space="0" w:color="FFFFFF" w:themeColor="background1"/>
            </w:tcBorders>
            <w:shd w:val="clear" w:color="auto" w:fill="6F6652" w:themeFill="accent5"/>
          </w:tcPr>
          <w:p w14:paraId="0C083ADC" w14:textId="77777777" w:rsidR="00853897" w:rsidRDefault="00853897" w:rsidP="002856A0">
            <w:pPr>
              <w:pStyle w:val="TableDataColumnHeading"/>
              <w:rPr>
                <w:lang w:bidi="fa-IR"/>
              </w:rPr>
            </w:pPr>
            <w:r>
              <w:rPr>
                <w:lang w:bidi="fa-IR"/>
              </w:rPr>
              <w:t>Who do require training</w:t>
            </w:r>
          </w:p>
        </w:tc>
      </w:tr>
      <w:tr w:rsidR="00853897" w14:paraId="57A71EB6" w14:textId="77777777" w:rsidTr="002856A0">
        <w:tc>
          <w:tcPr>
            <w:tcW w:w="1843" w:type="dxa"/>
            <w:tcBorders>
              <w:top w:val="single" w:sz="8" w:space="0" w:color="FFFFFF" w:themeColor="background1"/>
              <w:bottom w:val="single" w:sz="8" w:space="0" w:color="FFFFFF" w:themeColor="background1"/>
            </w:tcBorders>
            <w:shd w:val="clear" w:color="auto" w:fill="E9E8E5" w:themeFill="background2"/>
          </w:tcPr>
          <w:p w14:paraId="0CBEAAD8" w14:textId="77777777" w:rsidR="00853897" w:rsidRDefault="00853897" w:rsidP="002856A0">
            <w:pPr>
              <w:pStyle w:val="TableUnit"/>
              <w:jc w:val="left"/>
              <w:rPr>
                <w:lang w:bidi="fa-IR"/>
              </w:rPr>
            </w:pPr>
            <w:r>
              <w:rPr>
                <w:lang w:bidi="fa-IR"/>
              </w:rPr>
              <w:t>Data source</w:t>
            </w:r>
          </w:p>
        </w:tc>
        <w:tc>
          <w:tcPr>
            <w:tcW w:w="1322" w:type="dxa"/>
            <w:tcBorders>
              <w:top w:val="single" w:sz="8" w:space="0" w:color="FFFFFF" w:themeColor="background1"/>
              <w:bottom w:val="single" w:sz="8" w:space="0" w:color="FFFFFF" w:themeColor="background1"/>
            </w:tcBorders>
            <w:shd w:val="clear" w:color="auto" w:fill="E9E8E5" w:themeFill="background2"/>
          </w:tcPr>
          <w:p w14:paraId="09ACCFFA" w14:textId="77777777" w:rsidR="00853897" w:rsidRDefault="00853897" w:rsidP="002856A0">
            <w:pPr>
              <w:pStyle w:val="TableUnit"/>
              <w:rPr>
                <w:lang w:bidi="fa-IR"/>
              </w:rPr>
            </w:pPr>
            <w:r>
              <w:rPr>
                <w:lang w:bidi="fa-IR"/>
              </w:rPr>
              <w:t xml:space="preserve">Census data </w:t>
            </w:r>
          </w:p>
        </w:tc>
        <w:tc>
          <w:tcPr>
            <w:tcW w:w="1583" w:type="dxa"/>
            <w:tcBorders>
              <w:top w:val="single" w:sz="8" w:space="0" w:color="FFFFFF" w:themeColor="background1"/>
              <w:bottom w:val="single" w:sz="8" w:space="0" w:color="FFFFFF" w:themeColor="background1"/>
            </w:tcBorders>
            <w:shd w:val="clear" w:color="auto" w:fill="E9E8E5" w:themeFill="background2"/>
          </w:tcPr>
          <w:p w14:paraId="45B36371" w14:textId="77777777" w:rsidR="00853897" w:rsidRDefault="00853897" w:rsidP="002856A0">
            <w:pPr>
              <w:pStyle w:val="TableUnit"/>
              <w:rPr>
                <w:lang w:bidi="fa-IR"/>
              </w:rPr>
            </w:pPr>
            <w:r>
              <w:rPr>
                <w:lang w:bidi="fa-IR"/>
              </w:rPr>
              <w:t>CIE estimates (using ABS Cat 6291)</w:t>
            </w:r>
          </w:p>
        </w:tc>
        <w:tc>
          <w:tcPr>
            <w:tcW w:w="1584" w:type="dxa"/>
            <w:tcBorders>
              <w:top w:val="single" w:sz="8" w:space="0" w:color="FFFFFF" w:themeColor="background1"/>
              <w:bottom w:val="single" w:sz="8" w:space="0" w:color="FFFFFF" w:themeColor="background1"/>
            </w:tcBorders>
            <w:shd w:val="clear" w:color="auto" w:fill="E9E8E5" w:themeFill="background2"/>
          </w:tcPr>
          <w:p w14:paraId="0DFAB3AE" w14:textId="77777777" w:rsidR="00853897" w:rsidRDefault="00853897" w:rsidP="002856A0">
            <w:pPr>
              <w:pStyle w:val="TableUnit"/>
              <w:rPr>
                <w:lang w:bidi="fa-IR"/>
              </w:rPr>
            </w:pPr>
            <w:r>
              <w:rPr>
                <w:lang w:bidi="fa-IR"/>
              </w:rPr>
              <w:t>CIE estimates (using Census data)</w:t>
            </w:r>
          </w:p>
        </w:tc>
        <w:tc>
          <w:tcPr>
            <w:tcW w:w="1606" w:type="dxa"/>
            <w:tcBorders>
              <w:top w:val="single" w:sz="8" w:space="0" w:color="FFFFFF" w:themeColor="background1"/>
              <w:bottom w:val="single" w:sz="8" w:space="0" w:color="FFFFFF" w:themeColor="background1"/>
            </w:tcBorders>
            <w:shd w:val="clear" w:color="auto" w:fill="E9E8E5" w:themeFill="background2"/>
          </w:tcPr>
          <w:p w14:paraId="65CBD494" w14:textId="77777777" w:rsidR="00853897" w:rsidRDefault="00853897" w:rsidP="002856A0">
            <w:pPr>
              <w:pStyle w:val="TableUnit"/>
              <w:rPr>
                <w:lang w:bidi="fa-IR"/>
              </w:rPr>
            </w:pPr>
            <w:r>
              <w:rPr>
                <w:lang w:bidi="fa-IR"/>
              </w:rPr>
              <w:t>CIE estimates (using Census data</w:t>
            </w:r>
          </w:p>
        </w:tc>
      </w:tr>
      <w:tr w:rsidR="00853897" w14:paraId="19C381C6" w14:textId="77777777" w:rsidTr="002856A0">
        <w:tc>
          <w:tcPr>
            <w:tcW w:w="1843" w:type="dxa"/>
            <w:tcBorders>
              <w:top w:val="single" w:sz="8" w:space="0" w:color="FFFFFF" w:themeColor="background1"/>
              <w:bottom w:val="single" w:sz="4" w:space="0" w:color="6F6652" w:themeColor="accent5"/>
            </w:tcBorders>
            <w:shd w:val="clear" w:color="auto" w:fill="E9E8E5" w:themeFill="background2"/>
          </w:tcPr>
          <w:p w14:paraId="41520A01" w14:textId="77777777" w:rsidR="00853897" w:rsidRDefault="00853897" w:rsidP="002856A0">
            <w:pPr>
              <w:pStyle w:val="TableDataEntries"/>
              <w:jc w:val="left"/>
              <w:rPr>
                <w:lang w:bidi="fa-IR"/>
              </w:rPr>
            </w:pPr>
            <w:r>
              <w:rPr>
                <w:lang w:bidi="fa-IR"/>
              </w:rPr>
              <w:t>Construction managers</w:t>
            </w:r>
          </w:p>
        </w:tc>
        <w:tc>
          <w:tcPr>
            <w:tcW w:w="1322" w:type="dxa"/>
            <w:tcBorders>
              <w:top w:val="single" w:sz="8" w:space="0" w:color="FFFFFF" w:themeColor="background1"/>
              <w:bottom w:val="single" w:sz="4" w:space="0" w:color="6F6652" w:themeColor="accent5"/>
            </w:tcBorders>
            <w:shd w:val="clear" w:color="auto" w:fill="E9E8E5" w:themeFill="background2"/>
          </w:tcPr>
          <w:p w14:paraId="035692B2" w14:textId="77777777" w:rsidR="00853897" w:rsidRDefault="00853897" w:rsidP="002856A0">
            <w:pPr>
              <w:pStyle w:val="TableDataEntries"/>
              <w:rPr>
                <w:lang w:bidi="fa-IR"/>
              </w:rPr>
            </w:pPr>
            <w:r>
              <w:rPr>
                <w:lang w:bidi="fa-IR"/>
              </w:rPr>
              <w:t>71 817</w:t>
            </w:r>
          </w:p>
        </w:tc>
        <w:tc>
          <w:tcPr>
            <w:tcW w:w="1583" w:type="dxa"/>
            <w:tcBorders>
              <w:top w:val="single" w:sz="8" w:space="0" w:color="FFFFFF" w:themeColor="background1"/>
              <w:bottom w:val="single" w:sz="4" w:space="0" w:color="6F6652" w:themeColor="accent5"/>
            </w:tcBorders>
            <w:shd w:val="clear" w:color="auto" w:fill="E9E8E5" w:themeFill="background2"/>
          </w:tcPr>
          <w:p w14:paraId="2B467156" w14:textId="77777777" w:rsidR="00853897" w:rsidRDefault="00853897" w:rsidP="002856A0">
            <w:pPr>
              <w:pStyle w:val="TableDataEntries"/>
              <w:rPr>
                <w:lang w:bidi="fa-IR"/>
              </w:rPr>
            </w:pPr>
            <w:r>
              <w:rPr>
                <w:lang w:bidi="fa-IR"/>
              </w:rPr>
              <w:t>75 442</w:t>
            </w:r>
          </w:p>
        </w:tc>
        <w:tc>
          <w:tcPr>
            <w:tcW w:w="1584" w:type="dxa"/>
            <w:tcBorders>
              <w:top w:val="single" w:sz="8" w:space="0" w:color="FFFFFF" w:themeColor="background1"/>
              <w:bottom w:val="single" w:sz="4" w:space="0" w:color="6F6652" w:themeColor="accent5"/>
            </w:tcBorders>
            <w:shd w:val="clear" w:color="auto" w:fill="E9E8E5" w:themeFill="background2"/>
          </w:tcPr>
          <w:p w14:paraId="4876AC56" w14:textId="77777777" w:rsidR="00853897" w:rsidRDefault="00853897" w:rsidP="002856A0">
            <w:pPr>
              <w:pStyle w:val="TableDataEntries"/>
              <w:rPr>
                <w:lang w:bidi="fa-IR"/>
              </w:rPr>
            </w:pPr>
            <w:r>
              <w:rPr>
                <w:lang w:bidi="fa-IR"/>
              </w:rPr>
              <w:t>34 566</w:t>
            </w:r>
          </w:p>
        </w:tc>
        <w:tc>
          <w:tcPr>
            <w:tcW w:w="1606" w:type="dxa"/>
            <w:tcBorders>
              <w:top w:val="single" w:sz="8" w:space="0" w:color="FFFFFF" w:themeColor="background1"/>
              <w:bottom w:val="single" w:sz="4" w:space="0" w:color="6F6652" w:themeColor="accent5"/>
            </w:tcBorders>
            <w:shd w:val="clear" w:color="auto" w:fill="E9E8E5" w:themeFill="background2"/>
          </w:tcPr>
          <w:p w14:paraId="0BBE2CA6" w14:textId="77777777" w:rsidR="00853897" w:rsidRDefault="00853897" w:rsidP="002856A0">
            <w:pPr>
              <w:pStyle w:val="TableDataEntries"/>
              <w:rPr>
                <w:lang w:bidi="fa-IR"/>
              </w:rPr>
            </w:pPr>
            <w:r>
              <w:rPr>
                <w:lang w:bidi="fa-IR"/>
              </w:rPr>
              <w:t>40 876</w:t>
            </w:r>
          </w:p>
        </w:tc>
      </w:tr>
    </w:tbl>
    <w:p w14:paraId="7C563582" w14:textId="77777777" w:rsidR="00853897" w:rsidRPr="00424939" w:rsidRDefault="00853897" w:rsidP="00853897">
      <w:pPr>
        <w:pStyle w:val="Source"/>
        <w:rPr>
          <w:iCs/>
          <w:lang w:bidi="fa-IR"/>
        </w:rPr>
      </w:pPr>
      <w:r w:rsidRPr="00424939">
        <w:rPr>
          <w:iCs/>
          <w:lang w:bidi="fa-IR"/>
        </w:rPr>
        <w:t>Source: CIE estimates, sources as noted.</w:t>
      </w:r>
    </w:p>
    <w:p w14:paraId="124FBF5B" w14:textId="77777777" w:rsidR="00853897" w:rsidRDefault="00853897" w:rsidP="001822C7">
      <w:pPr>
        <w:pStyle w:val="Heading5"/>
        <w:rPr>
          <w:lang w:bidi="fa-IR"/>
        </w:rPr>
      </w:pPr>
      <w:r>
        <w:rPr>
          <w:lang w:bidi="fa-IR"/>
        </w:rPr>
        <w:t>Number of architects and certifiers and surveyors that require retraining</w:t>
      </w:r>
    </w:p>
    <w:p w14:paraId="186CB4BE" w14:textId="77777777" w:rsidR="00853897" w:rsidRDefault="00853897" w:rsidP="00853897">
      <w:pPr>
        <w:pStyle w:val="BodyText"/>
      </w:pPr>
      <w:r>
        <w:rPr>
          <w:lang w:bidi="fa-IR"/>
        </w:rPr>
        <w:t>The occupation detail</w:t>
      </w:r>
      <w:r w:rsidR="00265B13">
        <w:rPr>
          <w:lang w:bidi="fa-IR"/>
        </w:rPr>
        <w:t>s</w:t>
      </w:r>
      <w:r>
        <w:rPr>
          <w:lang w:bidi="fa-IR"/>
        </w:rPr>
        <w:t xml:space="preserve"> in the Census data are not sufficient to count architects and </w:t>
      </w:r>
      <w:r w:rsidR="00E605BA">
        <w:t>c</w:t>
      </w:r>
      <w:r w:rsidRPr="00304DE1">
        <w:t>ertifiers/surveyors</w:t>
      </w:r>
      <w:r>
        <w:t xml:space="preserve"> (the Census only provides data on ‘architects and landscape architects’ and ‘</w:t>
      </w:r>
      <w:r w:rsidRPr="00ED0F29">
        <w:t>Architectural, Building and Surveying Technicians</w:t>
      </w:r>
      <w:r>
        <w:t>’).</w:t>
      </w:r>
    </w:p>
    <w:p w14:paraId="1D5E96B8" w14:textId="77777777" w:rsidR="00853897" w:rsidRDefault="00853897" w:rsidP="00853897">
      <w:pPr>
        <w:pStyle w:val="BodyText"/>
        <w:rPr>
          <w:lang w:bidi="fa-IR"/>
        </w:rPr>
      </w:pPr>
      <w:r>
        <w:t>ABCB data indicate</w:t>
      </w:r>
      <w:r w:rsidR="001822C7">
        <w:t>s</w:t>
      </w:r>
      <w:r>
        <w:t xml:space="preserve"> there are 32 905 architects and 5 731 certifiers/surveyors who are subscribers to the NCC. </w:t>
      </w:r>
    </w:p>
    <w:p w14:paraId="50C8E570" w14:textId="77777777" w:rsidR="00853897" w:rsidRDefault="00853897" w:rsidP="00853897">
      <w:pPr>
        <w:pStyle w:val="BodyText"/>
        <w:rPr>
          <w:lang w:bidi="fa-IR"/>
        </w:rPr>
      </w:pPr>
      <w:r>
        <w:rPr>
          <w:lang w:bidi="fa-IR"/>
        </w:rPr>
        <w:t xml:space="preserve">Census data </w:t>
      </w:r>
      <w:r w:rsidR="00AA16FA">
        <w:rPr>
          <w:lang w:bidi="fa-IR"/>
        </w:rPr>
        <w:t xml:space="preserve">cannot be used </w:t>
      </w:r>
      <w:r>
        <w:rPr>
          <w:lang w:bidi="fa-IR"/>
        </w:rPr>
        <w:t>to estimate how many of these individuals provide services to residential construction or to other types of construction (only data on their industry of employment is provided).</w:t>
      </w:r>
    </w:p>
    <w:p w14:paraId="4616D64C" w14:textId="77777777" w:rsidR="00853897" w:rsidRDefault="00853897" w:rsidP="00853897">
      <w:pPr>
        <w:pStyle w:val="BodyText"/>
        <w:rPr>
          <w:lang w:bidi="fa-IR"/>
        </w:rPr>
      </w:pPr>
      <w:r>
        <w:rPr>
          <w:lang w:bidi="fa-IR"/>
        </w:rPr>
        <w:t xml:space="preserve">Data in the ABS Input-Output Tables (Cat. 5209) suggest that the industry ‘Professional, Scientific and Technical Services’ (which employs architects and certifiers) provided $2 931 million dollars of output to the residential construction, non-residential construction and heavy engineering and civil construction industries in 2016-17, of which $940 million (32 per cent) was provided to residential construction. Therefore, </w:t>
      </w:r>
      <w:r w:rsidR="006B2A88">
        <w:rPr>
          <w:lang w:bidi="fa-IR"/>
        </w:rPr>
        <w:t>it is</w:t>
      </w:r>
      <w:r>
        <w:rPr>
          <w:lang w:bidi="fa-IR"/>
        </w:rPr>
        <w:t xml:space="preserve"> assume</w:t>
      </w:r>
      <w:r w:rsidR="006B2A88">
        <w:rPr>
          <w:lang w:bidi="fa-IR"/>
        </w:rPr>
        <w:t>d</w:t>
      </w:r>
      <w:r>
        <w:rPr>
          <w:lang w:bidi="fa-IR"/>
        </w:rPr>
        <w:t xml:space="preserve"> that 32 per cent of architects (10 533 individuals) and 32 per cent of certifiers/surveyors (1 723 individuals) provide services to residential construction and would therefore require retraining.</w:t>
      </w:r>
    </w:p>
    <w:p w14:paraId="75280EED" w14:textId="77777777" w:rsidR="00853897" w:rsidRDefault="00853897" w:rsidP="000F74B5">
      <w:pPr>
        <w:pStyle w:val="Heading5"/>
        <w:rPr>
          <w:lang w:bidi="fa-IR"/>
        </w:rPr>
      </w:pPr>
      <w:r>
        <w:rPr>
          <w:lang w:bidi="fa-IR"/>
        </w:rPr>
        <w:t>Time costs incurred by individuals who require ret</w:t>
      </w:r>
      <w:r w:rsidR="00D05EB2">
        <w:rPr>
          <w:lang w:bidi="fa-IR"/>
        </w:rPr>
        <w:t>r</w:t>
      </w:r>
      <w:r>
        <w:rPr>
          <w:lang w:bidi="fa-IR"/>
        </w:rPr>
        <w:t>aining</w:t>
      </w:r>
    </w:p>
    <w:p w14:paraId="1CD19AD4" w14:textId="77777777" w:rsidR="00853897" w:rsidRDefault="00894CA4" w:rsidP="00853897">
      <w:pPr>
        <w:pStyle w:val="BodyText"/>
      </w:pPr>
      <w:r>
        <w:t>It is</w:t>
      </w:r>
      <w:r w:rsidR="00853897">
        <w:t xml:space="preserve"> estimate</w:t>
      </w:r>
      <w:r>
        <w:t>d</w:t>
      </w:r>
      <w:r w:rsidR="00853897">
        <w:t xml:space="preserve"> that each individual who requires retraining would require 9.5 hours of retraining (attending a 2 hour seminar/webcast, 3.75 hours of continuing professional development, and 3.75 hours of self-paced learning)</w:t>
      </w:r>
      <w:r w:rsidR="00AD6548">
        <w:t xml:space="preserve">, based on </w:t>
      </w:r>
      <w:r w:rsidR="00120928">
        <w:t>another</w:t>
      </w:r>
      <w:r w:rsidR="00AD6548">
        <w:t xml:space="preserve"> RIS</w:t>
      </w:r>
      <w:r w:rsidR="00853897">
        <w:t>.</w:t>
      </w:r>
      <w:r w:rsidR="00AD6548">
        <w:rPr>
          <w:rStyle w:val="FootnoteReference"/>
        </w:rPr>
        <w:footnoteReference w:id="207"/>
      </w:r>
      <w:r w:rsidR="00853897">
        <w:t xml:space="preserve"> </w:t>
      </w:r>
      <w:r w:rsidR="00A570C3">
        <w:t>The assumption is adopted because retraining is required for similar changes to the NCC.</w:t>
      </w:r>
    </w:p>
    <w:p w14:paraId="302D6CE4" w14:textId="77777777" w:rsidR="00853897" w:rsidRDefault="00CE7135" w:rsidP="00853897">
      <w:pPr>
        <w:pStyle w:val="BodyText"/>
      </w:pPr>
      <w:r>
        <w:t>It is</w:t>
      </w:r>
      <w:r w:rsidR="00853897">
        <w:t xml:space="preserve"> assume</w:t>
      </w:r>
      <w:r>
        <w:t>d</w:t>
      </w:r>
      <w:r w:rsidR="00853897">
        <w:t xml:space="preserve"> that these time costs are additional to other training that occurs. This can be interpreted literally: this retraining time is added onto any other training that would </w:t>
      </w:r>
      <w:r w:rsidR="00265B13">
        <w:lastRenderedPageBreak/>
        <w:t xml:space="preserve">otherwise </w:t>
      </w:r>
      <w:r w:rsidR="00853897">
        <w:t>occur. Alternatively, where the ret</w:t>
      </w:r>
      <w:r>
        <w:t>r</w:t>
      </w:r>
      <w:r w:rsidR="00853897">
        <w:t xml:space="preserve">aining </w:t>
      </w:r>
      <w:r w:rsidR="00853897">
        <w:rPr>
          <w:i/>
          <w:iCs/>
        </w:rPr>
        <w:t xml:space="preserve">replaces </w:t>
      </w:r>
      <w:r w:rsidR="00853897">
        <w:t xml:space="preserve">other training that would have occurred, these time costs </w:t>
      </w:r>
      <w:r>
        <w:t xml:space="preserve">are retained </w:t>
      </w:r>
      <w:r w:rsidR="00853897">
        <w:t>as the value of the training which is lost.</w:t>
      </w:r>
    </w:p>
    <w:p w14:paraId="59B7314E" w14:textId="77777777" w:rsidR="00853897" w:rsidRDefault="00853897" w:rsidP="000F74B5">
      <w:pPr>
        <w:pStyle w:val="Heading5"/>
        <w:rPr>
          <w:lang w:bidi="fa-IR"/>
        </w:rPr>
      </w:pPr>
      <w:r>
        <w:rPr>
          <w:lang w:bidi="fa-IR"/>
        </w:rPr>
        <w:t xml:space="preserve">Opportunity cost of time </w:t>
      </w:r>
    </w:p>
    <w:p w14:paraId="63EB6C4E" w14:textId="77777777" w:rsidR="00853897" w:rsidRDefault="00CE7135" w:rsidP="00853897">
      <w:pPr>
        <w:pStyle w:val="BodyText"/>
        <w:rPr>
          <w:lang w:bidi="fa-IR"/>
        </w:rPr>
      </w:pPr>
      <w:r>
        <w:rPr>
          <w:lang w:bidi="fa-IR"/>
        </w:rPr>
        <w:t>CIE’s</w:t>
      </w:r>
      <w:r w:rsidR="00853897">
        <w:rPr>
          <w:lang w:bidi="fa-IR"/>
        </w:rPr>
        <w:t xml:space="preserve"> estimates of the hourly earnings of individuals in the relevant professions/trades, excluding taxation, are shown in table</w:t>
      </w:r>
      <w:r w:rsidR="00D05EB2">
        <w:rPr>
          <w:lang w:bidi="fa-IR"/>
        </w:rPr>
        <w:t> 6.</w:t>
      </w:r>
      <w:r w:rsidR="00F46C8E">
        <w:rPr>
          <w:lang w:bidi="fa-IR"/>
        </w:rPr>
        <w:t>1</w:t>
      </w:r>
      <w:r w:rsidR="00C65C3A">
        <w:rPr>
          <w:lang w:bidi="fa-IR"/>
        </w:rPr>
        <w:t>3</w:t>
      </w:r>
      <w:r w:rsidR="00853897">
        <w:rPr>
          <w:lang w:bidi="fa-IR"/>
        </w:rPr>
        <w:t xml:space="preserve">. </w:t>
      </w:r>
      <w:r>
        <w:rPr>
          <w:lang w:bidi="fa-IR"/>
        </w:rPr>
        <w:t>CIE</w:t>
      </w:r>
      <w:r w:rsidR="00853897">
        <w:rPr>
          <w:lang w:bidi="fa-IR"/>
        </w:rPr>
        <w:t xml:space="preserve"> ha</w:t>
      </w:r>
      <w:r>
        <w:rPr>
          <w:lang w:bidi="fa-IR"/>
        </w:rPr>
        <w:t>s</w:t>
      </w:r>
      <w:r w:rsidR="00853897">
        <w:rPr>
          <w:lang w:bidi="fa-IR"/>
        </w:rPr>
        <w:t xml:space="preserve"> adjusted the underlying ABS data.</w:t>
      </w:r>
      <w:r w:rsidR="00853897">
        <w:rPr>
          <w:rStyle w:val="FootnoteReference"/>
          <w:lang w:bidi="fa-IR"/>
        </w:rPr>
        <w:footnoteReference w:id="208"/>
      </w:r>
      <w:r w:rsidR="00853897">
        <w:rPr>
          <w:lang w:bidi="fa-IR"/>
        </w:rPr>
        <w:t xml:space="preserve"> </w:t>
      </w:r>
      <w:r w:rsidR="00BC41A9">
        <w:rPr>
          <w:lang w:bidi="fa-IR"/>
        </w:rPr>
        <w:t>It is</w:t>
      </w:r>
      <w:r w:rsidR="00853897">
        <w:rPr>
          <w:lang w:bidi="fa-IR"/>
        </w:rPr>
        <w:t xml:space="preserve"> assume</w:t>
      </w:r>
      <w:r w:rsidR="00BC41A9">
        <w:rPr>
          <w:lang w:bidi="fa-IR"/>
        </w:rPr>
        <w:t>d that</w:t>
      </w:r>
      <w:r w:rsidR="00853897">
        <w:rPr>
          <w:lang w:bidi="fa-IR"/>
        </w:rPr>
        <w:t xml:space="preserve"> th</w:t>
      </w:r>
      <w:r w:rsidR="000F74B5">
        <w:rPr>
          <w:lang w:bidi="fa-IR"/>
        </w:rPr>
        <w:t>is</w:t>
      </w:r>
      <w:r w:rsidR="00853897">
        <w:rPr>
          <w:lang w:bidi="fa-IR"/>
        </w:rPr>
        <w:t xml:space="preserve"> data represent</w:t>
      </w:r>
      <w:r w:rsidR="000F74B5">
        <w:rPr>
          <w:lang w:bidi="fa-IR"/>
        </w:rPr>
        <w:t>s</w:t>
      </w:r>
      <w:r w:rsidR="00853897">
        <w:rPr>
          <w:lang w:bidi="fa-IR"/>
        </w:rPr>
        <w:t xml:space="preserve"> the opportunity cost of the relevant individuals’ time. </w:t>
      </w:r>
    </w:p>
    <w:p w14:paraId="59A6C68C" w14:textId="604ECA9B" w:rsidR="00853897" w:rsidRDefault="00490F02" w:rsidP="00853897">
      <w:pPr>
        <w:pStyle w:val="Caption"/>
        <w:spacing w:before="240"/>
      </w:pPr>
      <w:bookmarkStart w:id="478" w:name="_Toc32321841"/>
      <w:bookmarkStart w:id="479" w:name="_Toc44598538"/>
      <w:bookmarkStart w:id="480" w:name="_Toc45654169"/>
      <w:bookmarkStart w:id="481" w:name="_Toc70505578"/>
      <w:r>
        <w:t>6.13</w:t>
      </w:r>
      <w:r w:rsidR="00853897" w:rsidRPr="00695C93">
        <w:tab/>
      </w:r>
      <w:r w:rsidR="00853897">
        <w:t>Assumptions for hourly earnings in relevant occupations</w:t>
      </w:r>
      <w:bookmarkEnd w:id="478"/>
      <w:bookmarkEnd w:id="479"/>
      <w:bookmarkEnd w:id="480"/>
      <w:bookmarkEnd w:id="481"/>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3: Assumptions for hourly earnings in relevant occupations"/>
        <w:tblDescription w:val="Table 6.13 lists the assumed hourly earnings for construction managers (estimated at $61), architects/building designers (estimated at $35) and certifiers/surveyors (estimated at $41)."/>
      </w:tblPr>
      <w:tblGrid>
        <w:gridCol w:w="3968"/>
        <w:gridCol w:w="3969"/>
      </w:tblGrid>
      <w:tr w:rsidR="00853897" w14:paraId="64D6D3A4" w14:textId="77777777" w:rsidTr="002856A0">
        <w:trPr>
          <w:tblHeader/>
        </w:trPr>
        <w:tc>
          <w:tcPr>
            <w:tcW w:w="3968" w:type="dxa"/>
            <w:shd w:val="clear" w:color="auto" w:fill="6F6652" w:themeFill="accent5"/>
          </w:tcPr>
          <w:p w14:paraId="6E1BDD5F" w14:textId="77777777" w:rsidR="00853897" w:rsidRDefault="00853897" w:rsidP="002856A0">
            <w:pPr>
              <w:pStyle w:val="TableTextColumnHeading"/>
              <w:rPr>
                <w:lang w:bidi="fa-IR"/>
              </w:rPr>
            </w:pPr>
            <w:r>
              <w:rPr>
                <w:lang w:bidi="fa-IR"/>
              </w:rPr>
              <w:t>Profession/trade</w:t>
            </w:r>
          </w:p>
        </w:tc>
        <w:tc>
          <w:tcPr>
            <w:tcW w:w="3969" w:type="dxa"/>
            <w:shd w:val="clear" w:color="auto" w:fill="6F6652" w:themeFill="accent5"/>
          </w:tcPr>
          <w:p w14:paraId="3E0870A9" w14:textId="77777777" w:rsidR="00853897" w:rsidRDefault="00853897" w:rsidP="002856A0">
            <w:pPr>
              <w:pStyle w:val="TableTextColumnHeading"/>
              <w:jc w:val="right"/>
              <w:rPr>
                <w:lang w:bidi="fa-IR"/>
              </w:rPr>
            </w:pPr>
            <w:r>
              <w:rPr>
                <w:lang w:bidi="fa-IR"/>
              </w:rPr>
              <w:t>Hourly earnings ($/hour)</w:t>
            </w:r>
          </w:p>
        </w:tc>
      </w:tr>
      <w:tr w:rsidR="00853897" w14:paraId="2D8253D2" w14:textId="77777777" w:rsidTr="002856A0">
        <w:tc>
          <w:tcPr>
            <w:tcW w:w="3968" w:type="dxa"/>
            <w:tcBorders>
              <w:top w:val="single" w:sz="8" w:space="0" w:color="FFFFFF" w:themeColor="background1"/>
              <w:bottom w:val="single" w:sz="8" w:space="0" w:color="FFFFFF" w:themeColor="background1"/>
            </w:tcBorders>
            <w:shd w:val="clear" w:color="auto" w:fill="E9E8E5" w:themeFill="background2"/>
          </w:tcPr>
          <w:p w14:paraId="20822906" w14:textId="77777777" w:rsidR="00853897" w:rsidRDefault="00853897" w:rsidP="002856A0">
            <w:pPr>
              <w:pStyle w:val="TableTextEntries"/>
              <w:rPr>
                <w:lang w:bidi="fa-IR"/>
              </w:rPr>
            </w:pPr>
            <w:r w:rsidRPr="00304DE1">
              <w:t>Construction managers</w:t>
            </w:r>
          </w:p>
        </w:tc>
        <w:tc>
          <w:tcPr>
            <w:tcW w:w="3969" w:type="dxa"/>
            <w:tcBorders>
              <w:top w:val="single" w:sz="8" w:space="0" w:color="FFFFFF" w:themeColor="background1"/>
              <w:bottom w:val="single" w:sz="8" w:space="0" w:color="FFFFFF" w:themeColor="background1"/>
            </w:tcBorders>
            <w:shd w:val="clear" w:color="auto" w:fill="E9E8E5" w:themeFill="background2"/>
          </w:tcPr>
          <w:p w14:paraId="3C6C9AFB" w14:textId="77777777" w:rsidR="00853897" w:rsidRDefault="00853897" w:rsidP="002856A0">
            <w:pPr>
              <w:pStyle w:val="TableTextEntries"/>
              <w:jc w:val="right"/>
              <w:rPr>
                <w:lang w:bidi="fa-IR"/>
              </w:rPr>
            </w:pPr>
            <w:r>
              <w:rPr>
                <w:lang w:bidi="fa-IR"/>
              </w:rPr>
              <w:t>61</w:t>
            </w:r>
          </w:p>
        </w:tc>
      </w:tr>
      <w:tr w:rsidR="00853897" w14:paraId="4E5B4F7C" w14:textId="77777777" w:rsidTr="002856A0">
        <w:tc>
          <w:tcPr>
            <w:tcW w:w="3968" w:type="dxa"/>
            <w:tcBorders>
              <w:top w:val="single" w:sz="8" w:space="0" w:color="FFFFFF" w:themeColor="background1"/>
              <w:bottom w:val="single" w:sz="8" w:space="0" w:color="FFFFFF" w:themeColor="background1"/>
            </w:tcBorders>
            <w:shd w:val="clear" w:color="auto" w:fill="E9E8E5" w:themeFill="background2"/>
          </w:tcPr>
          <w:p w14:paraId="7BD66173" w14:textId="77777777" w:rsidR="00853897" w:rsidRDefault="00853897" w:rsidP="002856A0">
            <w:pPr>
              <w:pStyle w:val="TableTextEntries"/>
              <w:rPr>
                <w:lang w:bidi="fa-IR"/>
              </w:rPr>
            </w:pPr>
            <w:r w:rsidRPr="00304DE1">
              <w:t>Architects/building designers</w:t>
            </w:r>
          </w:p>
        </w:tc>
        <w:tc>
          <w:tcPr>
            <w:tcW w:w="3969" w:type="dxa"/>
            <w:tcBorders>
              <w:top w:val="single" w:sz="8" w:space="0" w:color="FFFFFF" w:themeColor="background1"/>
              <w:bottom w:val="single" w:sz="8" w:space="0" w:color="FFFFFF" w:themeColor="background1"/>
            </w:tcBorders>
            <w:shd w:val="clear" w:color="auto" w:fill="E9E8E5" w:themeFill="background2"/>
          </w:tcPr>
          <w:p w14:paraId="6A656186" w14:textId="77777777" w:rsidR="00853897" w:rsidRDefault="00853897" w:rsidP="002856A0">
            <w:pPr>
              <w:pStyle w:val="TableTextEntries"/>
              <w:jc w:val="right"/>
              <w:rPr>
                <w:lang w:bidi="fa-IR"/>
              </w:rPr>
            </w:pPr>
            <w:r>
              <w:rPr>
                <w:lang w:bidi="fa-IR"/>
              </w:rPr>
              <w:t>35</w:t>
            </w:r>
          </w:p>
        </w:tc>
      </w:tr>
      <w:tr w:rsidR="00853897" w14:paraId="61AA5E86" w14:textId="77777777" w:rsidTr="002856A0">
        <w:tc>
          <w:tcPr>
            <w:tcW w:w="3968" w:type="dxa"/>
            <w:tcBorders>
              <w:top w:val="single" w:sz="8" w:space="0" w:color="FFFFFF" w:themeColor="background1"/>
              <w:bottom w:val="single" w:sz="4" w:space="0" w:color="6F6652" w:themeColor="accent5"/>
            </w:tcBorders>
            <w:shd w:val="clear" w:color="auto" w:fill="E9E8E5" w:themeFill="background2"/>
          </w:tcPr>
          <w:p w14:paraId="200520EA" w14:textId="77777777" w:rsidR="00853897" w:rsidRDefault="00853897" w:rsidP="002856A0">
            <w:pPr>
              <w:pStyle w:val="TableTextEntries"/>
              <w:rPr>
                <w:lang w:bidi="fa-IR"/>
              </w:rPr>
            </w:pPr>
            <w:r w:rsidRPr="00304DE1">
              <w:t>Certifiers/surveyors</w:t>
            </w:r>
          </w:p>
        </w:tc>
        <w:tc>
          <w:tcPr>
            <w:tcW w:w="3969" w:type="dxa"/>
            <w:tcBorders>
              <w:top w:val="single" w:sz="8" w:space="0" w:color="FFFFFF" w:themeColor="background1"/>
              <w:bottom w:val="single" w:sz="4" w:space="0" w:color="6F6652" w:themeColor="accent5"/>
            </w:tcBorders>
            <w:shd w:val="clear" w:color="auto" w:fill="E9E8E5" w:themeFill="background2"/>
          </w:tcPr>
          <w:p w14:paraId="7FCC74D0" w14:textId="77777777" w:rsidR="00853897" w:rsidRDefault="00853897" w:rsidP="002856A0">
            <w:pPr>
              <w:pStyle w:val="TableTextEntries"/>
              <w:jc w:val="right"/>
              <w:rPr>
                <w:lang w:bidi="fa-IR"/>
              </w:rPr>
            </w:pPr>
            <w:r>
              <w:rPr>
                <w:lang w:bidi="fa-IR"/>
              </w:rPr>
              <w:t>41</w:t>
            </w:r>
          </w:p>
        </w:tc>
      </w:tr>
    </w:tbl>
    <w:p w14:paraId="5FF92A65" w14:textId="77777777" w:rsidR="00853897" w:rsidRPr="00424939" w:rsidRDefault="00853897" w:rsidP="00853897">
      <w:pPr>
        <w:pStyle w:val="Source"/>
        <w:rPr>
          <w:iCs/>
          <w:lang w:bidi="fa-IR"/>
        </w:rPr>
      </w:pPr>
      <w:r w:rsidRPr="00424939">
        <w:rPr>
          <w:iCs/>
          <w:lang w:bidi="fa-IR"/>
        </w:rPr>
        <w:t>Source: CIE estimates</w:t>
      </w:r>
    </w:p>
    <w:p w14:paraId="74DC5E39" w14:textId="77777777" w:rsidR="00853897" w:rsidRDefault="00853897" w:rsidP="000F74B5">
      <w:pPr>
        <w:pStyle w:val="Heading5"/>
        <w:rPr>
          <w:lang w:bidi="fa-IR"/>
        </w:rPr>
      </w:pPr>
      <w:r>
        <w:rPr>
          <w:lang w:bidi="fa-IR"/>
        </w:rPr>
        <w:t>Total time costs</w:t>
      </w:r>
    </w:p>
    <w:p w14:paraId="4517A260" w14:textId="77777777" w:rsidR="00853897" w:rsidRPr="009F6E3A" w:rsidRDefault="00853897" w:rsidP="00853897">
      <w:pPr>
        <w:pStyle w:val="BodyText"/>
        <w:rPr>
          <w:lang w:bidi="fa-IR"/>
        </w:rPr>
      </w:pPr>
      <w:r>
        <w:rPr>
          <w:lang w:bidi="fa-IR"/>
        </w:rPr>
        <w:t xml:space="preserve">The cost of the time of individuals </w:t>
      </w:r>
      <w:r w:rsidR="000F74B5">
        <w:rPr>
          <w:lang w:bidi="fa-IR"/>
        </w:rPr>
        <w:t>for</w:t>
      </w:r>
      <w:r>
        <w:rPr>
          <w:lang w:bidi="fa-IR"/>
        </w:rPr>
        <w:t xml:space="preserve"> retraining is the estimated hours for ret</w:t>
      </w:r>
      <w:r w:rsidR="00BC153C">
        <w:rPr>
          <w:lang w:bidi="fa-IR"/>
        </w:rPr>
        <w:t>r</w:t>
      </w:r>
      <w:r>
        <w:rPr>
          <w:lang w:bidi="fa-IR"/>
        </w:rPr>
        <w:t>aining multiplied by the opportunity cost of the individual</w:t>
      </w:r>
      <w:r w:rsidR="00BC153C">
        <w:rPr>
          <w:lang w:bidi="fa-IR"/>
        </w:rPr>
        <w:t>’</w:t>
      </w:r>
      <w:r>
        <w:rPr>
          <w:lang w:bidi="fa-IR"/>
        </w:rPr>
        <w:t xml:space="preserve">s time. </w:t>
      </w:r>
    </w:p>
    <w:p w14:paraId="36BD057B" w14:textId="77777777" w:rsidR="00853897" w:rsidRDefault="00853897" w:rsidP="00853897">
      <w:pPr>
        <w:pStyle w:val="Heading2"/>
        <w:numPr>
          <w:ilvl w:val="1"/>
          <w:numId w:val="5"/>
        </w:numPr>
      </w:pPr>
      <w:bookmarkStart w:id="482" w:name="_Toc32321763"/>
      <w:bookmarkStart w:id="483" w:name="_Toc44598451"/>
      <w:bookmarkStart w:id="484" w:name="_Toc45654082"/>
      <w:bookmarkStart w:id="485" w:name="_Toc70505116"/>
      <w:r>
        <w:t>Subsidies</w:t>
      </w:r>
      <w:bookmarkEnd w:id="482"/>
      <w:bookmarkEnd w:id="483"/>
      <w:bookmarkEnd w:id="484"/>
      <w:bookmarkEnd w:id="485"/>
    </w:p>
    <w:p w14:paraId="0C8819E7" w14:textId="77777777" w:rsidR="00853897" w:rsidRDefault="00853897" w:rsidP="00853897">
      <w:pPr>
        <w:pStyle w:val="BodyText"/>
      </w:pPr>
      <w:r>
        <w:t xml:space="preserve">One indicator of the </w:t>
      </w:r>
      <w:r w:rsidR="000F74B5">
        <w:t xml:space="preserve">level of </w:t>
      </w:r>
      <w:r>
        <w:t>subsidy that would be required to encourage the private sector to offer more accessible rental properties is the pricing for SDA.</w:t>
      </w:r>
    </w:p>
    <w:p w14:paraId="5C565AB4" w14:textId="77777777" w:rsidR="00853897" w:rsidRDefault="0011165F" w:rsidP="00853897">
      <w:pPr>
        <w:pStyle w:val="BodyText"/>
      </w:pPr>
      <w:r>
        <w:t>CIE</w:t>
      </w:r>
      <w:r w:rsidR="00853897">
        <w:t xml:space="preserve"> estimate</w:t>
      </w:r>
      <w:r>
        <w:t>s</w:t>
      </w:r>
      <w:r w:rsidR="00853897">
        <w:t xml:space="preserve"> the subsidy required </w:t>
      </w:r>
      <w:r w:rsidR="000F74B5">
        <w:t>in the</w:t>
      </w:r>
      <w:r w:rsidR="00853897">
        <w:t xml:space="preserve"> follow</w:t>
      </w:r>
      <w:r w:rsidR="00BC153C">
        <w:t>ing</w:t>
      </w:r>
      <w:r w:rsidR="000F74B5">
        <w:t xml:space="preserve"> way</w:t>
      </w:r>
      <w:r w:rsidR="00853897">
        <w:t>.</w:t>
      </w:r>
    </w:p>
    <w:p w14:paraId="77E29689" w14:textId="77777777" w:rsidR="00853897" w:rsidRDefault="0011165F" w:rsidP="00853897">
      <w:pPr>
        <w:pStyle w:val="ListBullet"/>
        <w:numPr>
          <w:ilvl w:val="0"/>
          <w:numId w:val="16"/>
        </w:numPr>
      </w:pPr>
      <w:r>
        <w:t>The estimates</w:t>
      </w:r>
      <w:r w:rsidR="00853897">
        <w:t xml:space="preserve"> start with SDA rates for different types of residences (averaged across new buildings and existing stock).</w:t>
      </w:r>
      <w:r w:rsidR="00191677">
        <w:t xml:space="preserve"> The estimates are based on the SDA </w:t>
      </w:r>
      <w:r w:rsidR="00E21F18">
        <w:t>‘</w:t>
      </w:r>
      <w:r w:rsidR="00191677">
        <w:t>Fully Accessible</w:t>
      </w:r>
      <w:r w:rsidR="00E21F18">
        <w:t>’</w:t>
      </w:r>
      <w:r w:rsidR="00191677">
        <w:t xml:space="preserve"> standard with no onsite overnight assistance. </w:t>
      </w:r>
    </w:p>
    <w:p w14:paraId="4AB5FC3B" w14:textId="77777777" w:rsidR="00853897" w:rsidRDefault="0011165F" w:rsidP="00853897">
      <w:pPr>
        <w:pStyle w:val="ListBullet"/>
        <w:numPr>
          <w:ilvl w:val="0"/>
          <w:numId w:val="16"/>
        </w:numPr>
      </w:pPr>
      <w:r>
        <w:t>T</w:t>
      </w:r>
      <w:r w:rsidR="00853897">
        <w:t>he rental payment SDA participants would be required to pay (based on 25 per cent of the Disability Support Pension)</w:t>
      </w:r>
      <w:r>
        <w:t xml:space="preserve"> is then added to the above estimates</w:t>
      </w:r>
      <w:r w:rsidR="00853897">
        <w:t>.</w:t>
      </w:r>
    </w:p>
    <w:p w14:paraId="429A4404" w14:textId="77777777" w:rsidR="00853897" w:rsidRDefault="00853897" w:rsidP="00853897">
      <w:pPr>
        <w:pStyle w:val="ListBullet"/>
        <w:numPr>
          <w:ilvl w:val="0"/>
          <w:numId w:val="16"/>
        </w:numPr>
      </w:pPr>
      <w:r>
        <w:t xml:space="preserve">As </w:t>
      </w:r>
      <w:r w:rsidR="0011165F">
        <w:t>it is</w:t>
      </w:r>
      <w:r>
        <w:t xml:space="preserve"> assume</w:t>
      </w:r>
      <w:r w:rsidR="0011165F">
        <w:t>d</w:t>
      </w:r>
      <w:r>
        <w:t xml:space="preserve"> that participants in the proposed subsidy program would pay market rent, the estimated market rent (based on the weighted average median rent across capital cities)</w:t>
      </w:r>
      <w:r w:rsidR="0011165F">
        <w:t xml:space="preserve"> is then subtracted</w:t>
      </w:r>
      <w:r>
        <w:t>.</w:t>
      </w:r>
    </w:p>
    <w:p w14:paraId="33302C77" w14:textId="3C0DC52E" w:rsidR="00853897" w:rsidRDefault="00490F02" w:rsidP="00853897">
      <w:pPr>
        <w:pStyle w:val="Caption"/>
      </w:pPr>
      <w:bookmarkStart w:id="486" w:name="_Toc32321842"/>
      <w:bookmarkStart w:id="487" w:name="_Toc44598539"/>
      <w:bookmarkStart w:id="488" w:name="_Toc45654170"/>
      <w:bookmarkStart w:id="489" w:name="_Toc70505579"/>
      <w:r>
        <w:lastRenderedPageBreak/>
        <w:t>6.14</w:t>
      </w:r>
      <w:r w:rsidR="00853897" w:rsidRPr="00695C93">
        <w:tab/>
      </w:r>
      <w:r w:rsidR="00853897">
        <w:t>Estimated subsidy</w:t>
      </w:r>
      <w:bookmarkEnd w:id="486"/>
      <w:bookmarkEnd w:id="487"/>
      <w:bookmarkEnd w:id="488"/>
      <w:bookmarkEnd w:id="489"/>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4: Estimated subsidy"/>
        <w:tblDescription w:val="Table 6.14 estimates the subsidy required to encourage the private sector to offer more accessible rental properties. The estimated subsidy for separate houses is $5,065, for townhouses $5,213, and for apartments $26,732."/>
      </w:tblPr>
      <w:tblGrid>
        <w:gridCol w:w="2160"/>
        <w:gridCol w:w="1516"/>
        <w:gridCol w:w="1420"/>
        <w:gridCol w:w="1420"/>
        <w:gridCol w:w="1420"/>
      </w:tblGrid>
      <w:tr w:rsidR="00853897" w14:paraId="2602993B" w14:textId="77777777" w:rsidTr="002856A0">
        <w:trPr>
          <w:trHeight w:val="185"/>
          <w:tblHeader/>
        </w:trPr>
        <w:tc>
          <w:tcPr>
            <w:tcW w:w="2160" w:type="dxa"/>
            <w:shd w:val="clear" w:color="auto" w:fill="6F6652" w:themeFill="accent5"/>
          </w:tcPr>
          <w:p w14:paraId="5A2690FE" w14:textId="77777777" w:rsidR="00853897" w:rsidRDefault="00853897" w:rsidP="002856A0">
            <w:pPr>
              <w:pStyle w:val="TableDataColumnHeading"/>
              <w:jc w:val="left"/>
              <w:rPr>
                <w:lang w:val="en-GB"/>
              </w:rPr>
            </w:pPr>
            <w:r>
              <w:rPr>
                <w:lang w:val="en-GB"/>
              </w:rPr>
              <w:t>Dwelling</w:t>
            </w:r>
          </w:p>
        </w:tc>
        <w:tc>
          <w:tcPr>
            <w:tcW w:w="1516" w:type="dxa"/>
            <w:shd w:val="clear" w:color="auto" w:fill="6F6652" w:themeFill="accent5"/>
          </w:tcPr>
          <w:p w14:paraId="14955038" w14:textId="77777777" w:rsidR="00853897" w:rsidRDefault="00853897" w:rsidP="002856A0">
            <w:pPr>
              <w:pStyle w:val="TableDataColumnHeading"/>
              <w:rPr>
                <w:lang w:val="en-GB"/>
              </w:rPr>
            </w:pPr>
            <w:r>
              <w:rPr>
                <w:lang w:val="en-GB"/>
              </w:rPr>
              <w:t>Average SDA subsidy</w:t>
            </w:r>
            <w:r>
              <w:rPr>
                <w:rStyle w:val="NoteLabel"/>
                <w:color w:val="FFFFFF" w:themeColor="background1"/>
              </w:rPr>
              <w:br/>
            </w:r>
            <w:r>
              <w:rPr>
                <w:lang w:val="en-GB"/>
              </w:rPr>
              <w:t>($)</w:t>
            </w:r>
          </w:p>
        </w:tc>
        <w:tc>
          <w:tcPr>
            <w:tcW w:w="1420" w:type="dxa"/>
            <w:shd w:val="clear" w:color="auto" w:fill="6F6652" w:themeFill="accent5"/>
          </w:tcPr>
          <w:p w14:paraId="3F33360E" w14:textId="77777777" w:rsidR="00853897" w:rsidRDefault="00853897" w:rsidP="002856A0">
            <w:pPr>
              <w:pStyle w:val="TableDataColumnHeading"/>
              <w:rPr>
                <w:lang w:val="en-GB"/>
              </w:rPr>
            </w:pPr>
            <w:r>
              <w:rPr>
                <w:lang w:val="en-GB"/>
              </w:rPr>
              <w:t>SDA subsidy plus rent</w:t>
            </w:r>
            <w:r>
              <w:rPr>
                <w:rStyle w:val="NoteLabel"/>
                <w:color w:val="FFFFFF" w:themeColor="background1"/>
              </w:rPr>
              <w:br/>
            </w:r>
            <w:r>
              <w:rPr>
                <w:lang w:val="en-GB"/>
              </w:rPr>
              <w:t>($)</w:t>
            </w:r>
          </w:p>
        </w:tc>
        <w:tc>
          <w:tcPr>
            <w:tcW w:w="1420" w:type="dxa"/>
            <w:shd w:val="clear" w:color="auto" w:fill="6F6652" w:themeFill="accent5"/>
          </w:tcPr>
          <w:p w14:paraId="2AAD9C64" w14:textId="77777777" w:rsidR="00853897" w:rsidRDefault="00853897" w:rsidP="002856A0">
            <w:pPr>
              <w:pStyle w:val="TableDataColumnHeading"/>
              <w:rPr>
                <w:lang w:val="en-GB"/>
              </w:rPr>
            </w:pPr>
            <w:r>
              <w:rPr>
                <w:lang w:val="en-GB"/>
              </w:rPr>
              <w:t>Market rent</w:t>
            </w:r>
            <w:r>
              <w:rPr>
                <w:rStyle w:val="NoteLabel"/>
                <w:color w:val="FFFFFF" w:themeColor="background1"/>
              </w:rPr>
              <w:br/>
            </w:r>
            <w:r>
              <w:rPr>
                <w:lang w:val="en-GB"/>
              </w:rPr>
              <w:t>($)</w:t>
            </w:r>
          </w:p>
        </w:tc>
        <w:tc>
          <w:tcPr>
            <w:tcW w:w="1420" w:type="dxa"/>
            <w:shd w:val="clear" w:color="auto" w:fill="6F6652" w:themeFill="accent5"/>
          </w:tcPr>
          <w:p w14:paraId="615571FB" w14:textId="77777777" w:rsidR="00853897" w:rsidRDefault="00853897" w:rsidP="002856A0">
            <w:pPr>
              <w:pStyle w:val="TableDataColumnHeading"/>
              <w:rPr>
                <w:lang w:val="en-GB"/>
              </w:rPr>
            </w:pPr>
            <w:r>
              <w:rPr>
                <w:lang w:val="en-GB"/>
              </w:rPr>
              <w:t>Subsidy</w:t>
            </w:r>
            <w:r>
              <w:rPr>
                <w:lang w:val="en-GB"/>
              </w:rPr>
              <w:br/>
              <w:t>($)</w:t>
            </w:r>
          </w:p>
        </w:tc>
      </w:tr>
      <w:tr w:rsidR="00853897" w14:paraId="5C65388B" w14:textId="77777777" w:rsidTr="002856A0">
        <w:trPr>
          <w:trHeight w:val="230"/>
        </w:trPr>
        <w:tc>
          <w:tcPr>
            <w:tcW w:w="2160" w:type="dxa"/>
            <w:tcBorders>
              <w:top w:val="single" w:sz="8" w:space="0" w:color="FFFFFF" w:themeColor="background1"/>
              <w:bottom w:val="single" w:sz="8" w:space="0" w:color="FFFFFF" w:themeColor="background1"/>
            </w:tcBorders>
            <w:shd w:val="clear" w:color="auto" w:fill="E9E8E5" w:themeFill="background2"/>
          </w:tcPr>
          <w:p w14:paraId="4CBD2740" w14:textId="77777777" w:rsidR="00853897" w:rsidRDefault="00853897" w:rsidP="002856A0">
            <w:pPr>
              <w:pStyle w:val="TableDataEntries"/>
              <w:jc w:val="left"/>
              <w:rPr>
                <w:lang w:val="en-GB"/>
              </w:rPr>
            </w:pPr>
            <w:r>
              <w:rPr>
                <w:lang w:val="en-GB"/>
              </w:rPr>
              <w:t>Separate house</w:t>
            </w:r>
          </w:p>
        </w:tc>
        <w:tc>
          <w:tcPr>
            <w:tcW w:w="1516" w:type="dxa"/>
            <w:tcBorders>
              <w:top w:val="single" w:sz="8" w:space="0" w:color="FFFFFF" w:themeColor="background1"/>
              <w:bottom w:val="single" w:sz="8" w:space="0" w:color="FFFFFF" w:themeColor="background1"/>
            </w:tcBorders>
            <w:shd w:val="clear" w:color="auto" w:fill="E9E8E5" w:themeFill="background2"/>
          </w:tcPr>
          <w:p w14:paraId="0F97B2A5" w14:textId="77777777" w:rsidR="00853897" w:rsidRDefault="00853897" w:rsidP="002856A0">
            <w:pPr>
              <w:pStyle w:val="TableDataEntries"/>
              <w:rPr>
                <w:lang w:val="en-GB"/>
              </w:rPr>
            </w:pPr>
            <w:r>
              <w:rPr>
                <w:lang w:val="en-GB"/>
              </w:rPr>
              <w:t>19 563</w:t>
            </w:r>
          </w:p>
        </w:tc>
        <w:tc>
          <w:tcPr>
            <w:tcW w:w="1420" w:type="dxa"/>
            <w:tcBorders>
              <w:top w:val="single" w:sz="8" w:space="0" w:color="FFFFFF" w:themeColor="background1"/>
              <w:bottom w:val="single" w:sz="8" w:space="0" w:color="FFFFFF" w:themeColor="background1"/>
            </w:tcBorders>
            <w:shd w:val="clear" w:color="auto" w:fill="E9E8E5" w:themeFill="background2"/>
          </w:tcPr>
          <w:p w14:paraId="49AD291A" w14:textId="77777777" w:rsidR="00853897" w:rsidRDefault="00853897" w:rsidP="002856A0">
            <w:pPr>
              <w:pStyle w:val="TableDataEntries"/>
              <w:rPr>
                <w:lang w:val="en-GB"/>
              </w:rPr>
            </w:pPr>
            <w:r>
              <w:rPr>
                <w:lang w:val="en-GB"/>
              </w:rPr>
              <w:t>28 117</w:t>
            </w:r>
          </w:p>
        </w:tc>
        <w:tc>
          <w:tcPr>
            <w:tcW w:w="1420" w:type="dxa"/>
            <w:tcBorders>
              <w:top w:val="single" w:sz="8" w:space="0" w:color="FFFFFF" w:themeColor="background1"/>
              <w:bottom w:val="single" w:sz="8" w:space="0" w:color="FFFFFF" w:themeColor="background1"/>
            </w:tcBorders>
            <w:shd w:val="clear" w:color="auto" w:fill="E9E8E5" w:themeFill="background2"/>
          </w:tcPr>
          <w:p w14:paraId="130E9706" w14:textId="77777777" w:rsidR="00853897" w:rsidRDefault="00853897" w:rsidP="002856A0">
            <w:pPr>
              <w:pStyle w:val="TableDataEntries"/>
              <w:rPr>
                <w:lang w:val="en-GB"/>
              </w:rPr>
            </w:pPr>
            <w:r>
              <w:rPr>
                <w:lang w:val="en-GB"/>
              </w:rPr>
              <w:t>23 052</w:t>
            </w:r>
          </w:p>
        </w:tc>
        <w:tc>
          <w:tcPr>
            <w:tcW w:w="1420" w:type="dxa"/>
            <w:tcBorders>
              <w:top w:val="single" w:sz="8" w:space="0" w:color="FFFFFF" w:themeColor="background1"/>
              <w:bottom w:val="single" w:sz="8" w:space="0" w:color="FFFFFF" w:themeColor="background1"/>
            </w:tcBorders>
            <w:shd w:val="clear" w:color="auto" w:fill="E9E8E5" w:themeFill="background2"/>
          </w:tcPr>
          <w:p w14:paraId="31C48D15" w14:textId="77777777" w:rsidR="00853897" w:rsidRDefault="00853897" w:rsidP="002856A0">
            <w:pPr>
              <w:pStyle w:val="TableDataEntries"/>
              <w:rPr>
                <w:lang w:val="en-GB"/>
              </w:rPr>
            </w:pPr>
            <w:r>
              <w:rPr>
                <w:lang w:val="en-GB"/>
              </w:rPr>
              <w:t>5 065</w:t>
            </w:r>
          </w:p>
        </w:tc>
      </w:tr>
      <w:tr w:rsidR="00853897" w14:paraId="6103CC1E" w14:textId="77777777" w:rsidTr="002856A0">
        <w:trPr>
          <w:trHeight w:val="230"/>
        </w:trPr>
        <w:tc>
          <w:tcPr>
            <w:tcW w:w="2160" w:type="dxa"/>
            <w:tcBorders>
              <w:top w:val="single" w:sz="8" w:space="0" w:color="FFFFFF" w:themeColor="background1"/>
              <w:bottom w:val="single" w:sz="8" w:space="0" w:color="FFFFFF" w:themeColor="background1"/>
            </w:tcBorders>
            <w:shd w:val="clear" w:color="auto" w:fill="E9E8E5" w:themeFill="background2"/>
          </w:tcPr>
          <w:p w14:paraId="32370523" w14:textId="77777777" w:rsidR="00853897" w:rsidRDefault="00853897" w:rsidP="002856A0">
            <w:pPr>
              <w:pStyle w:val="TableDataEntries"/>
              <w:jc w:val="left"/>
              <w:rPr>
                <w:lang w:val="en-GB"/>
              </w:rPr>
            </w:pPr>
            <w:r>
              <w:rPr>
                <w:lang w:val="en-GB"/>
              </w:rPr>
              <w:t>Townhouse</w:t>
            </w:r>
          </w:p>
        </w:tc>
        <w:tc>
          <w:tcPr>
            <w:tcW w:w="1516" w:type="dxa"/>
            <w:tcBorders>
              <w:top w:val="single" w:sz="8" w:space="0" w:color="FFFFFF" w:themeColor="background1"/>
              <w:bottom w:val="single" w:sz="8" w:space="0" w:color="FFFFFF" w:themeColor="background1"/>
            </w:tcBorders>
            <w:shd w:val="clear" w:color="auto" w:fill="E9E8E5" w:themeFill="background2"/>
          </w:tcPr>
          <w:p w14:paraId="03CCE4FD" w14:textId="77777777" w:rsidR="00853897" w:rsidRDefault="00853897" w:rsidP="002856A0">
            <w:pPr>
              <w:pStyle w:val="TableDataEntries"/>
              <w:rPr>
                <w:lang w:val="en-GB"/>
              </w:rPr>
            </w:pPr>
            <w:r>
              <w:rPr>
                <w:lang w:val="en-GB"/>
              </w:rPr>
              <w:t>19 711</w:t>
            </w:r>
          </w:p>
        </w:tc>
        <w:tc>
          <w:tcPr>
            <w:tcW w:w="1420" w:type="dxa"/>
            <w:tcBorders>
              <w:top w:val="single" w:sz="8" w:space="0" w:color="FFFFFF" w:themeColor="background1"/>
              <w:bottom w:val="single" w:sz="8" w:space="0" w:color="FFFFFF" w:themeColor="background1"/>
            </w:tcBorders>
            <w:shd w:val="clear" w:color="auto" w:fill="E9E8E5" w:themeFill="background2"/>
          </w:tcPr>
          <w:p w14:paraId="66796625" w14:textId="77777777" w:rsidR="00853897" w:rsidRDefault="00853897" w:rsidP="002856A0">
            <w:pPr>
              <w:pStyle w:val="TableDataEntries"/>
              <w:rPr>
                <w:lang w:val="en-GB"/>
              </w:rPr>
            </w:pPr>
            <w:r>
              <w:rPr>
                <w:lang w:val="en-GB"/>
              </w:rPr>
              <w:t>28 265</w:t>
            </w:r>
          </w:p>
        </w:tc>
        <w:tc>
          <w:tcPr>
            <w:tcW w:w="1420" w:type="dxa"/>
            <w:tcBorders>
              <w:top w:val="single" w:sz="8" w:space="0" w:color="FFFFFF" w:themeColor="background1"/>
              <w:bottom w:val="single" w:sz="8" w:space="0" w:color="FFFFFF" w:themeColor="background1"/>
            </w:tcBorders>
            <w:shd w:val="clear" w:color="auto" w:fill="E9E8E5" w:themeFill="background2"/>
          </w:tcPr>
          <w:p w14:paraId="5A508809" w14:textId="77777777" w:rsidR="00853897" w:rsidRDefault="00853897" w:rsidP="002856A0">
            <w:pPr>
              <w:pStyle w:val="TableDataEntries"/>
              <w:rPr>
                <w:lang w:val="en-GB"/>
              </w:rPr>
            </w:pPr>
            <w:r>
              <w:rPr>
                <w:lang w:val="en-GB"/>
              </w:rPr>
              <w:t>23 052</w:t>
            </w:r>
          </w:p>
        </w:tc>
        <w:tc>
          <w:tcPr>
            <w:tcW w:w="1420" w:type="dxa"/>
            <w:tcBorders>
              <w:top w:val="single" w:sz="8" w:space="0" w:color="FFFFFF" w:themeColor="background1"/>
              <w:bottom w:val="single" w:sz="8" w:space="0" w:color="FFFFFF" w:themeColor="background1"/>
            </w:tcBorders>
            <w:shd w:val="clear" w:color="auto" w:fill="E9E8E5" w:themeFill="background2"/>
          </w:tcPr>
          <w:p w14:paraId="5E7F9F01" w14:textId="77777777" w:rsidR="00853897" w:rsidRDefault="00853897" w:rsidP="002856A0">
            <w:pPr>
              <w:pStyle w:val="TableDataEntries"/>
              <w:rPr>
                <w:lang w:val="en-GB"/>
              </w:rPr>
            </w:pPr>
            <w:r>
              <w:rPr>
                <w:lang w:val="en-GB"/>
              </w:rPr>
              <w:t>5 213</w:t>
            </w:r>
          </w:p>
        </w:tc>
      </w:tr>
      <w:tr w:rsidR="00853897" w14:paraId="4474AAB4" w14:textId="77777777" w:rsidTr="002856A0">
        <w:trPr>
          <w:trHeight w:val="230"/>
        </w:trPr>
        <w:tc>
          <w:tcPr>
            <w:tcW w:w="2160" w:type="dxa"/>
            <w:tcBorders>
              <w:top w:val="single" w:sz="8" w:space="0" w:color="FFFFFF" w:themeColor="background1"/>
              <w:bottom w:val="single" w:sz="4" w:space="0" w:color="6F6652" w:themeColor="accent5"/>
            </w:tcBorders>
            <w:shd w:val="clear" w:color="auto" w:fill="E9E8E5" w:themeFill="background2"/>
          </w:tcPr>
          <w:p w14:paraId="69BA842C" w14:textId="77777777" w:rsidR="00853897" w:rsidRDefault="00853897" w:rsidP="002856A0">
            <w:pPr>
              <w:pStyle w:val="TableDataEntries"/>
              <w:jc w:val="left"/>
              <w:rPr>
                <w:lang w:val="en-GB"/>
              </w:rPr>
            </w:pPr>
            <w:r>
              <w:rPr>
                <w:lang w:val="en-GB"/>
              </w:rPr>
              <w:t>Apartment</w:t>
            </w:r>
          </w:p>
        </w:tc>
        <w:tc>
          <w:tcPr>
            <w:tcW w:w="1516" w:type="dxa"/>
            <w:tcBorders>
              <w:top w:val="single" w:sz="8" w:space="0" w:color="FFFFFF" w:themeColor="background1"/>
              <w:bottom w:val="single" w:sz="4" w:space="0" w:color="6F6652" w:themeColor="accent5"/>
            </w:tcBorders>
            <w:shd w:val="clear" w:color="auto" w:fill="E9E8E5" w:themeFill="background2"/>
          </w:tcPr>
          <w:p w14:paraId="336D6DB1" w14:textId="77777777" w:rsidR="00853897" w:rsidRDefault="00853897" w:rsidP="002856A0">
            <w:pPr>
              <w:pStyle w:val="TableDataEntries"/>
              <w:rPr>
                <w:lang w:val="en-GB"/>
              </w:rPr>
            </w:pPr>
            <w:r>
              <w:rPr>
                <w:lang w:val="en-GB"/>
              </w:rPr>
              <w:t>40 016</w:t>
            </w:r>
          </w:p>
        </w:tc>
        <w:tc>
          <w:tcPr>
            <w:tcW w:w="1420" w:type="dxa"/>
            <w:tcBorders>
              <w:top w:val="single" w:sz="8" w:space="0" w:color="FFFFFF" w:themeColor="background1"/>
              <w:bottom w:val="single" w:sz="4" w:space="0" w:color="6F6652" w:themeColor="accent5"/>
            </w:tcBorders>
            <w:shd w:val="clear" w:color="auto" w:fill="E9E8E5" w:themeFill="background2"/>
          </w:tcPr>
          <w:p w14:paraId="0815F3C0" w14:textId="77777777" w:rsidR="00853897" w:rsidRDefault="00853897" w:rsidP="002856A0">
            <w:pPr>
              <w:pStyle w:val="TableDataEntries"/>
              <w:rPr>
                <w:lang w:val="en-GB"/>
              </w:rPr>
            </w:pPr>
            <w:r>
              <w:rPr>
                <w:lang w:val="en-GB"/>
              </w:rPr>
              <w:t>48 570</w:t>
            </w:r>
          </w:p>
        </w:tc>
        <w:tc>
          <w:tcPr>
            <w:tcW w:w="1420" w:type="dxa"/>
            <w:tcBorders>
              <w:top w:val="single" w:sz="8" w:space="0" w:color="FFFFFF" w:themeColor="background1"/>
              <w:bottom w:val="single" w:sz="4" w:space="0" w:color="6F6652" w:themeColor="accent5"/>
            </w:tcBorders>
            <w:shd w:val="clear" w:color="auto" w:fill="E9E8E5" w:themeFill="background2"/>
          </w:tcPr>
          <w:p w14:paraId="4D34B510" w14:textId="77777777" w:rsidR="00853897" w:rsidRDefault="00853897" w:rsidP="002856A0">
            <w:pPr>
              <w:pStyle w:val="TableDataEntries"/>
              <w:rPr>
                <w:lang w:val="en-GB"/>
              </w:rPr>
            </w:pPr>
            <w:r>
              <w:rPr>
                <w:lang w:val="en-GB"/>
              </w:rPr>
              <w:t>21 838</w:t>
            </w:r>
          </w:p>
        </w:tc>
        <w:tc>
          <w:tcPr>
            <w:tcW w:w="1420" w:type="dxa"/>
            <w:tcBorders>
              <w:top w:val="single" w:sz="8" w:space="0" w:color="FFFFFF" w:themeColor="background1"/>
              <w:bottom w:val="single" w:sz="4" w:space="0" w:color="6F6652" w:themeColor="accent5"/>
            </w:tcBorders>
            <w:shd w:val="clear" w:color="auto" w:fill="E9E8E5" w:themeFill="background2"/>
          </w:tcPr>
          <w:p w14:paraId="7A12F602" w14:textId="77777777" w:rsidR="00853897" w:rsidRDefault="00853897" w:rsidP="002856A0">
            <w:pPr>
              <w:pStyle w:val="TableDataEntries"/>
              <w:rPr>
                <w:lang w:val="en-GB"/>
              </w:rPr>
            </w:pPr>
            <w:r>
              <w:rPr>
                <w:lang w:val="en-GB"/>
              </w:rPr>
              <w:t>26 732</w:t>
            </w:r>
          </w:p>
        </w:tc>
      </w:tr>
    </w:tbl>
    <w:p w14:paraId="4AC59E85" w14:textId="77777777" w:rsidR="00853897" w:rsidRPr="00424939" w:rsidRDefault="00853897" w:rsidP="00853897">
      <w:pPr>
        <w:pStyle w:val="Source"/>
        <w:rPr>
          <w:iCs/>
        </w:rPr>
      </w:pPr>
      <w:r w:rsidRPr="00424939">
        <w:rPr>
          <w:iCs/>
        </w:rPr>
        <w:t>Source: National Disability Insurance Scheme, Specialist Disability Accommodation, Price Guide (2019</w:t>
      </w:r>
      <w:r w:rsidRPr="00424939">
        <w:rPr>
          <w:iCs/>
        </w:rPr>
        <w:noBreakHyphen/>
        <w:t>20), 28 October 2019.</w:t>
      </w:r>
    </w:p>
    <w:p w14:paraId="1A5F3A12" w14:textId="77777777" w:rsidR="00853897" w:rsidRDefault="00853897" w:rsidP="00853897">
      <w:pPr>
        <w:pStyle w:val="BodyText"/>
      </w:pPr>
      <w:r>
        <w:t xml:space="preserve">The subsidy is targeted at private renters whose accessibility needs are not currently met. </w:t>
      </w:r>
      <w:r w:rsidR="00191677">
        <w:t>These cost estimates are applied to the assumed uptake profile shown in chart 5.1</w:t>
      </w:r>
      <w:r w:rsidR="00456EFD">
        <w:t xml:space="preserve"> in Chapter </w:t>
      </w:r>
      <w:r w:rsidR="002636F7">
        <w:t>five</w:t>
      </w:r>
      <w:r w:rsidR="00191677">
        <w:t>.</w:t>
      </w:r>
    </w:p>
    <w:p w14:paraId="524391A4" w14:textId="77777777" w:rsidR="004E736E" w:rsidRDefault="006139D1" w:rsidP="00F11AF4">
      <w:pPr>
        <w:pStyle w:val="Heading2"/>
        <w:numPr>
          <w:ilvl w:val="1"/>
          <w:numId w:val="5"/>
        </w:numPr>
        <w:rPr>
          <w:lang w:bidi="fa-IR"/>
        </w:rPr>
      </w:pPr>
      <w:bookmarkStart w:id="490" w:name="_Toc70505117"/>
      <w:r>
        <w:rPr>
          <w:lang w:bidi="fa-IR"/>
        </w:rPr>
        <w:t>Flow-on impact</w:t>
      </w:r>
      <w:r w:rsidR="00916A8A">
        <w:rPr>
          <w:lang w:bidi="fa-IR"/>
        </w:rPr>
        <w:t>s</w:t>
      </w:r>
      <w:r>
        <w:rPr>
          <w:lang w:bidi="fa-IR"/>
        </w:rPr>
        <w:t xml:space="preserve"> of higher construction costs</w:t>
      </w:r>
      <w:bookmarkEnd w:id="490"/>
    </w:p>
    <w:p w14:paraId="053716E6" w14:textId="77777777" w:rsidR="000F4B73" w:rsidRPr="000F4B73" w:rsidRDefault="000F4B73" w:rsidP="00F11AF4">
      <w:pPr>
        <w:pStyle w:val="Heading3"/>
        <w:numPr>
          <w:ilvl w:val="2"/>
          <w:numId w:val="5"/>
        </w:numPr>
        <w:rPr>
          <w:lang w:bidi="fa-IR"/>
        </w:rPr>
      </w:pPr>
      <w:r>
        <w:rPr>
          <w:lang w:bidi="fa-IR"/>
        </w:rPr>
        <w:t>Impact on housing price</w:t>
      </w:r>
    </w:p>
    <w:p w14:paraId="2D76329F" w14:textId="77777777" w:rsidR="00276E49" w:rsidRDefault="006139D1" w:rsidP="006C5856">
      <w:pPr>
        <w:pStyle w:val="BodyText"/>
        <w:rPr>
          <w:lang w:bidi="fa-IR"/>
        </w:rPr>
      </w:pPr>
      <w:r>
        <w:rPr>
          <w:lang w:bidi="fa-IR"/>
        </w:rPr>
        <w:t xml:space="preserve">A flow-on impact of the higher costs associated with complying </w:t>
      </w:r>
      <w:r w:rsidR="000F74B5">
        <w:rPr>
          <w:lang w:bidi="fa-IR"/>
        </w:rPr>
        <w:t xml:space="preserve">with </w:t>
      </w:r>
      <w:r>
        <w:rPr>
          <w:lang w:bidi="fa-IR"/>
        </w:rPr>
        <w:t xml:space="preserve">the new requirement in the NCC is the impact on housing price and </w:t>
      </w:r>
      <w:r w:rsidR="00DF0EF2">
        <w:rPr>
          <w:lang w:bidi="fa-IR"/>
        </w:rPr>
        <w:t xml:space="preserve">housing </w:t>
      </w:r>
      <w:r>
        <w:rPr>
          <w:lang w:bidi="fa-IR"/>
        </w:rPr>
        <w:t xml:space="preserve">affordability. </w:t>
      </w:r>
    </w:p>
    <w:p w14:paraId="2A80D907" w14:textId="77777777" w:rsidR="00276E49" w:rsidRDefault="00276E49" w:rsidP="006C5856">
      <w:pPr>
        <w:pStyle w:val="BodyText"/>
        <w:rPr>
          <w:lang w:bidi="fa-IR"/>
        </w:rPr>
      </w:pPr>
      <w:r>
        <w:rPr>
          <w:lang w:bidi="fa-IR"/>
        </w:rPr>
        <w:t>It should be noted that housing price is determined by many supply and demand factors, among which construction cost is only one factor.</w:t>
      </w:r>
    </w:p>
    <w:p w14:paraId="2C129E29" w14:textId="77777777" w:rsidR="00276E49" w:rsidRDefault="00276E49" w:rsidP="006C5856">
      <w:pPr>
        <w:pStyle w:val="BodyText"/>
        <w:rPr>
          <w:lang w:bidi="fa-IR"/>
        </w:rPr>
      </w:pPr>
      <w:r>
        <w:rPr>
          <w:lang w:bidi="fa-IR"/>
        </w:rPr>
        <w:t>From the supply side, land availability</w:t>
      </w:r>
      <w:r w:rsidR="00E770C6">
        <w:rPr>
          <w:lang w:bidi="fa-IR"/>
        </w:rPr>
        <w:t>,</w:t>
      </w:r>
      <w:r>
        <w:rPr>
          <w:lang w:bidi="fa-IR"/>
        </w:rPr>
        <w:t xml:space="preserve"> which is in turn affected by planning regulations</w:t>
      </w:r>
      <w:r w:rsidR="00E770C6">
        <w:rPr>
          <w:lang w:bidi="fa-IR"/>
        </w:rPr>
        <w:t>,</w:t>
      </w:r>
      <w:r>
        <w:rPr>
          <w:lang w:bidi="fa-IR"/>
        </w:rPr>
        <w:t xml:space="preserve"> </w:t>
      </w:r>
      <w:r w:rsidR="000F74B5">
        <w:rPr>
          <w:lang w:bidi="fa-IR"/>
        </w:rPr>
        <w:t>has</w:t>
      </w:r>
      <w:r>
        <w:rPr>
          <w:lang w:bidi="fa-IR"/>
        </w:rPr>
        <w:t xml:space="preserve"> an impact on housing price. Construction costs, which are affected by the labour and material markets and technological progress,</w:t>
      </w:r>
      <w:r w:rsidR="000F74B5">
        <w:rPr>
          <w:lang w:bidi="fa-IR"/>
        </w:rPr>
        <w:t xml:space="preserve"> also</w:t>
      </w:r>
      <w:r>
        <w:rPr>
          <w:lang w:bidi="fa-IR"/>
        </w:rPr>
        <w:t xml:space="preserve"> affects the housing price.</w:t>
      </w:r>
    </w:p>
    <w:p w14:paraId="614A62B5" w14:textId="77777777" w:rsidR="00276E49" w:rsidRDefault="00276E49" w:rsidP="006C5856">
      <w:pPr>
        <w:pStyle w:val="BodyText"/>
        <w:rPr>
          <w:lang w:bidi="fa-IR"/>
        </w:rPr>
      </w:pPr>
      <w:r>
        <w:rPr>
          <w:lang w:bidi="fa-IR"/>
        </w:rPr>
        <w:t>From the demand side, population growth, income growth and preference change are the most important factors affecting the housing price.</w:t>
      </w:r>
    </w:p>
    <w:p w14:paraId="7DB9B575" w14:textId="01462016" w:rsidR="00853897" w:rsidRDefault="005C49DD" w:rsidP="006C5856">
      <w:pPr>
        <w:pStyle w:val="BodyText"/>
        <w:rPr>
          <w:lang w:bidi="fa-IR"/>
        </w:rPr>
      </w:pPr>
      <w:r>
        <w:rPr>
          <w:lang w:bidi="fa-IR"/>
        </w:rPr>
        <w:t>Table </w:t>
      </w:r>
      <w:r w:rsidR="00DD5C35">
        <w:rPr>
          <w:lang w:bidi="fa-IR"/>
        </w:rPr>
        <w:t>6.15</w:t>
      </w:r>
      <w:r>
        <w:rPr>
          <w:lang w:bidi="fa-IR"/>
        </w:rPr>
        <w:t xml:space="preserve"> reports the increase in construction cost</w:t>
      </w:r>
      <w:r w:rsidR="002037B1">
        <w:rPr>
          <w:lang w:bidi="fa-IR"/>
        </w:rPr>
        <w:t xml:space="preserve">, space impacts and </w:t>
      </w:r>
      <w:r w:rsidR="0084614B">
        <w:rPr>
          <w:lang w:bidi="fa-IR"/>
        </w:rPr>
        <w:t xml:space="preserve">compliance verification </w:t>
      </w:r>
      <w:r w:rsidR="002037B1">
        <w:rPr>
          <w:lang w:bidi="fa-IR"/>
        </w:rPr>
        <w:t>cost</w:t>
      </w:r>
      <w:r>
        <w:rPr>
          <w:lang w:bidi="fa-IR"/>
        </w:rPr>
        <w:t xml:space="preserve"> as</w:t>
      </w:r>
      <w:r w:rsidR="00F4676D">
        <w:rPr>
          <w:lang w:bidi="fa-IR"/>
        </w:rPr>
        <w:t xml:space="preserve"> a</w:t>
      </w:r>
      <w:r>
        <w:rPr>
          <w:lang w:bidi="fa-IR"/>
        </w:rPr>
        <w:t xml:space="preserve"> percentage of the averag</w:t>
      </w:r>
      <w:r w:rsidR="00F4676D">
        <w:rPr>
          <w:lang w:bidi="fa-IR"/>
        </w:rPr>
        <w:t>e</w:t>
      </w:r>
      <w:r>
        <w:rPr>
          <w:lang w:bidi="fa-IR"/>
        </w:rPr>
        <w:t xml:space="preserve"> housing price in capital cities. The percentage varies from slightly </w:t>
      </w:r>
      <w:r w:rsidR="002037B1">
        <w:rPr>
          <w:lang w:bidi="fa-IR"/>
        </w:rPr>
        <w:t>higher</w:t>
      </w:r>
      <w:r>
        <w:rPr>
          <w:lang w:bidi="fa-IR"/>
        </w:rPr>
        <w:t xml:space="preserve"> than a half of one per cent to </w:t>
      </w:r>
      <w:r w:rsidR="002037B1">
        <w:rPr>
          <w:lang w:bidi="fa-IR"/>
        </w:rPr>
        <w:t>1</w:t>
      </w:r>
      <w:r w:rsidR="002D6E3E">
        <w:rPr>
          <w:lang w:bidi="fa-IR"/>
        </w:rPr>
        <w:t>1.6</w:t>
      </w:r>
      <w:r>
        <w:rPr>
          <w:lang w:bidi="fa-IR"/>
        </w:rPr>
        <w:t xml:space="preserve"> per cent, depending on the level of changes in the NCC, housing type and the location.</w:t>
      </w:r>
    </w:p>
    <w:p w14:paraId="5873456F" w14:textId="4FCD9DC0" w:rsidR="00DB240F" w:rsidRDefault="00490F02" w:rsidP="00DB240F">
      <w:pPr>
        <w:pStyle w:val="Caption"/>
      </w:pPr>
      <w:bookmarkStart w:id="491" w:name="_Toc70505580"/>
      <w:r>
        <w:t>6.15</w:t>
      </w:r>
      <w:r w:rsidR="00DB240F" w:rsidRPr="00695C93">
        <w:tab/>
      </w:r>
      <w:r w:rsidR="00DB240F">
        <w:t>Additional construction cost as percentage of average housing price</w:t>
      </w:r>
      <w:bookmarkEnd w:id="491"/>
    </w:p>
    <w:tbl>
      <w:tblPr>
        <w:tblW w:w="7937" w:type="dxa"/>
        <w:tblLook w:val="04A0" w:firstRow="1" w:lastRow="0" w:firstColumn="1" w:lastColumn="0" w:noHBand="0" w:noVBand="1"/>
        <w:tblCaption w:val="Table 6.15: Additional construction cost as percentage of average housing price"/>
        <w:tblDescription w:val="Table 6.15 lists the additional construction cost as a percentage of the average housing price in each capital city. The lists are divided into Silver, Gold and Gold+ levels. Percentages are given for houses and apartments in each level. Additional construction costs range from 0.48% for a Silver level house in Sydney to 11.63% for a Gold+ apartment in Hobart."/>
      </w:tblPr>
      <w:tblGrid>
        <w:gridCol w:w="1571"/>
        <w:gridCol w:w="1033"/>
        <w:gridCol w:w="1089"/>
        <w:gridCol w:w="1033"/>
        <w:gridCol w:w="1089"/>
        <w:gridCol w:w="1033"/>
        <w:gridCol w:w="1089"/>
      </w:tblGrid>
      <w:tr w:rsidR="00DB240F" w:rsidRPr="00DB240F" w14:paraId="091A06A1" w14:textId="77777777" w:rsidTr="00DB240F">
        <w:trPr>
          <w:trHeight w:val="252"/>
        </w:trPr>
        <w:tc>
          <w:tcPr>
            <w:tcW w:w="1571" w:type="dxa"/>
            <w:shd w:val="clear" w:color="auto" w:fill="6F6652"/>
            <w:noWrap/>
            <w:tcMar>
              <w:left w:w="57" w:type="dxa"/>
              <w:right w:w="57" w:type="dxa"/>
            </w:tcMar>
            <w:hideMark/>
          </w:tcPr>
          <w:p w14:paraId="593B9DF2" w14:textId="77777777" w:rsidR="00DB240F" w:rsidRPr="00DB240F" w:rsidRDefault="00DB240F" w:rsidP="00DB240F">
            <w:pPr>
              <w:pStyle w:val="TableDataColumnHeading"/>
              <w:jc w:val="left"/>
            </w:pPr>
          </w:p>
        </w:tc>
        <w:tc>
          <w:tcPr>
            <w:tcW w:w="1033" w:type="dxa"/>
            <w:shd w:val="clear" w:color="auto" w:fill="6F6652"/>
            <w:noWrap/>
            <w:tcMar>
              <w:left w:w="57" w:type="dxa"/>
              <w:right w:w="57" w:type="dxa"/>
            </w:tcMar>
            <w:hideMark/>
          </w:tcPr>
          <w:p w14:paraId="5F2738F6" w14:textId="77777777" w:rsidR="00DB240F" w:rsidRPr="00DB240F" w:rsidRDefault="00DB240F" w:rsidP="00DB240F">
            <w:pPr>
              <w:pStyle w:val="TableDataColumnHeading"/>
              <w:rPr>
                <w:szCs w:val="16"/>
              </w:rPr>
            </w:pPr>
            <w:r w:rsidRPr="00DB240F">
              <w:rPr>
                <w:szCs w:val="16"/>
              </w:rPr>
              <w:t>Silver</w:t>
            </w:r>
          </w:p>
        </w:tc>
        <w:tc>
          <w:tcPr>
            <w:tcW w:w="1089" w:type="dxa"/>
            <w:shd w:val="clear" w:color="auto" w:fill="6F6652"/>
            <w:noWrap/>
            <w:tcMar>
              <w:left w:w="57" w:type="dxa"/>
              <w:right w:w="57" w:type="dxa"/>
            </w:tcMar>
            <w:hideMark/>
          </w:tcPr>
          <w:p w14:paraId="7EC10C5B" w14:textId="77777777" w:rsidR="00DB240F" w:rsidRPr="00DB240F" w:rsidRDefault="00DB240F" w:rsidP="00DB240F">
            <w:pPr>
              <w:pStyle w:val="TableDataColumnHeading"/>
              <w:rPr>
                <w:szCs w:val="16"/>
              </w:rPr>
            </w:pPr>
          </w:p>
        </w:tc>
        <w:tc>
          <w:tcPr>
            <w:tcW w:w="1033" w:type="dxa"/>
            <w:shd w:val="clear" w:color="auto" w:fill="6F6652"/>
            <w:noWrap/>
            <w:tcMar>
              <w:left w:w="57" w:type="dxa"/>
              <w:right w:w="57" w:type="dxa"/>
            </w:tcMar>
            <w:hideMark/>
          </w:tcPr>
          <w:p w14:paraId="4F03FAD7" w14:textId="77777777" w:rsidR="00DB240F" w:rsidRPr="00DB240F" w:rsidRDefault="00DB240F" w:rsidP="00DB240F">
            <w:pPr>
              <w:pStyle w:val="TableDataColumnHeading"/>
              <w:rPr>
                <w:szCs w:val="16"/>
              </w:rPr>
            </w:pPr>
            <w:r w:rsidRPr="00DB240F">
              <w:rPr>
                <w:szCs w:val="16"/>
              </w:rPr>
              <w:t>Gold</w:t>
            </w:r>
          </w:p>
        </w:tc>
        <w:tc>
          <w:tcPr>
            <w:tcW w:w="1089" w:type="dxa"/>
            <w:shd w:val="clear" w:color="auto" w:fill="6F6652"/>
            <w:noWrap/>
            <w:tcMar>
              <w:left w:w="57" w:type="dxa"/>
              <w:right w:w="57" w:type="dxa"/>
            </w:tcMar>
            <w:hideMark/>
          </w:tcPr>
          <w:p w14:paraId="66BAE6A4" w14:textId="77777777" w:rsidR="00DB240F" w:rsidRPr="00DB240F" w:rsidRDefault="00DB240F" w:rsidP="00DB240F">
            <w:pPr>
              <w:pStyle w:val="TableDataColumnHeading"/>
              <w:rPr>
                <w:szCs w:val="16"/>
              </w:rPr>
            </w:pPr>
          </w:p>
        </w:tc>
        <w:tc>
          <w:tcPr>
            <w:tcW w:w="1033" w:type="dxa"/>
            <w:shd w:val="clear" w:color="auto" w:fill="6F6652"/>
            <w:noWrap/>
            <w:tcMar>
              <w:left w:w="57" w:type="dxa"/>
              <w:right w:w="57" w:type="dxa"/>
            </w:tcMar>
            <w:hideMark/>
          </w:tcPr>
          <w:p w14:paraId="2B2F07EF" w14:textId="77777777" w:rsidR="00DB240F" w:rsidRPr="00DB240F" w:rsidRDefault="00DB240F" w:rsidP="00DB240F">
            <w:pPr>
              <w:pStyle w:val="TableDataColumnHeading"/>
              <w:rPr>
                <w:szCs w:val="16"/>
              </w:rPr>
            </w:pPr>
            <w:r w:rsidRPr="00DB240F">
              <w:rPr>
                <w:szCs w:val="16"/>
              </w:rPr>
              <w:t>Gold+</w:t>
            </w:r>
          </w:p>
        </w:tc>
        <w:tc>
          <w:tcPr>
            <w:tcW w:w="1089" w:type="dxa"/>
            <w:shd w:val="clear" w:color="auto" w:fill="6F6652"/>
            <w:noWrap/>
            <w:tcMar>
              <w:left w:w="57" w:type="dxa"/>
              <w:right w:w="57" w:type="dxa"/>
            </w:tcMar>
            <w:hideMark/>
          </w:tcPr>
          <w:p w14:paraId="465013F2" w14:textId="77777777" w:rsidR="00DB240F" w:rsidRPr="00DB240F" w:rsidRDefault="00DB240F" w:rsidP="00DB240F">
            <w:pPr>
              <w:pStyle w:val="TableDataColumnHeading"/>
              <w:rPr>
                <w:szCs w:val="16"/>
              </w:rPr>
            </w:pPr>
          </w:p>
        </w:tc>
      </w:tr>
      <w:tr w:rsidR="00DB240F" w:rsidRPr="00DB240F" w14:paraId="02960AD4" w14:textId="77777777" w:rsidTr="00DB240F">
        <w:trPr>
          <w:trHeight w:val="252"/>
        </w:trPr>
        <w:tc>
          <w:tcPr>
            <w:tcW w:w="1571" w:type="dxa"/>
            <w:shd w:val="clear" w:color="auto" w:fill="6F6652"/>
            <w:noWrap/>
            <w:tcMar>
              <w:left w:w="57" w:type="dxa"/>
              <w:right w:w="57" w:type="dxa"/>
            </w:tcMar>
            <w:hideMark/>
          </w:tcPr>
          <w:p w14:paraId="467D0E8D" w14:textId="77777777" w:rsidR="00DB240F" w:rsidRPr="00DB240F" w:rsidRDefault="00DB240F" w:rsidP="00DB240F">
            <w:pPr>
              <w:pStyle w:val="TableDataColumnHeading"/>
              <w:jc w:val="left"/>
            </w:pPr>
          </w:p>
        </w:tc>
        <w:tc>
          <w:tcPr>
            <w:tcW w:w="1033" w:type="dxa"/>
            <w:shd w:val="clear" w:color="auto" w:fill="6F6652"/>
            <w:noWrap/>
            <w:tcMar>
              <w:left w:w="57" w:type="dxa"/>
              <w:right w:w="57" w:type="dxa"/>
            </w:tcMar>
            <w:hideMark/>
          </w:tcPr>
          <w:p w14:paraId="46A41CAD" w14:textId="77777777" w:rsidR="00DB240F" w:rsidRPr="00DB240F" w:rsidRDefault="00DB240F" w:rsidP="00DB240F">
            <w:pPr>
              <w:pStyle w:val="TableDataColumnHeading"/>
              <w:rPr>
                <w:szCs w:val="16"/>
              </w:rPr>
            </w:pPr>
            <w:r w:rsidRPr="00DB240F">
              <w:rPr>
                <w:szCs w:val="16"/>
              </w:rPr>
              <w:t>House</w:t>
            </w:r>
          </w:p>
        </w:tc>
        <w:tc>
          <w:tcPr>
            <w:tcW w:w="1089" w:type="dxa"/>
            <w:shd w:val="clear" w:color="auto" w:fill="6F6652"/>
            <w:noWrap/>
            <w:tcMar>
              <w:left w:w="57" w:type="dxa"/>
              <w:right w:w="57" w:type="dxa"/>
            </w:tcMar>
            <w:hideMark/>
          </w:tcPr>
          <w:p w14:paraId="20ECF071" w14:textId="77777777" w:rsidR="00DB240F" w:rsidRPr="00DB240F" w:rsidRDefault="00DB240F" w:rsidP="00DB240F">
            <w:pPr>
              <w:pStyle w:val="TableDataColumnHeading"/>
              <w:rPr>
                <w:szCs w:val="16"/>
              </w:rPr>
            </w:pPr>
            <w:r w:rsidRPr="00DB240F">
              <w:rPr>
                <w:szCs w:val="16"/>
              </w:rPr>
              <w:t>Apartment</w:t>
            </w:r>
          </w:p>
        </w:tc>
        <w:tc>
          <w:tcPr>
            <w:tcW w:w="1033" w:type="dxa"/>
            <w:shd w:val="clear" w:color="auto" w:fill="6F6652"/>
            <w:noWrap/>
            <w:tcMar>
              <w:left w:w="57" w:type="dxa"/>
              <w:right w:w="57" w:type="dxa"/>
            </w:tcMar>
            <w:hideMark/>
          </w:tcPr>
          <w:p w14:paraId="3CD0DF7D" w14:textId="77777777" w:rsidR="00DB240F" w:rsidRPr="00DB240F" w:rsidRDefault="00DB240F" w:rsidP="00DB240F">
            <w:pPr>
              <w:pStyle w:val="TableDataColumnHeading"/>
              <w:rPr>
                <w:szCs w:val="16"/>
              </w:rPr>
            </w:pPr>
            <w:r w:rsidRPr="00DB240F">
              <w:rPr>
                <w:szCs w:val="16"/>
              </w:rPr>
              <w:t>House</w:t>
            </w:r>
          </w:p>
        </w:tc>
        <w:tc>
          <w:tcPr>
            <w:tcW w:w="1089" w:type="dxa"/>
            <w:shd w:val="clear" w:color="auto" w:fill="6F6652"/>
            <w:noWrap/>
            <w:tcMar>
              <w:left w:w="57" w:type="dxa"/>
              <w:right w:w="57" w:type="dxa"/>
            </w:tcMar>
            <w:hideMark/>
          </w:tcPr>
          <w:p w14:paraId="341AA058" w14:textId="77777777" w:rsidR="00DB240F" w:rsidRPr="00DB240F" w:rsidRDefault="00DB240F" w:rsidP="00DB240F">
            <w:pPr>
              <w:pStyle w:val="TableDataColumnHeading"/>
              <w:rPr>
                <w:szCs w:val="16"/>
              </w:rPr>
            </w:pPr>
            <w:r w:rsidRPr="00DB240F">
              <w:rPr>
                <w:szCs w:val="16"/>
              </w:rPr>
              <w:t>Apartment</w:t>
            </w:r>
          </w:p>
        </w:tc>
        <w:tc>
          <w:tcPr>
            <w:tcW w:w="1033" w:type="dxa"/>
            <w:shd w:val="clear" w:color="auto" w:fill="6F6652"/>
            <w:noWrap/>
            <w:tcMar>
              <w:left w:w="57" w:type="dxa"/>
              <w:right w:w="57" w:type="dxa"/>
            </w:tcMar>
            <w:hideMark/>
          </w:tcPr>
          <w:p w14:paraId="7C8612F4" w14:textId="77777777" w:rsidR="00DB240F" w:rsidRPr="00DB240F" w:rsidRDefault="00DB240F" w:rsidP="00DB240F">
            <w:pPr>
              <w:pStyle w:val="TableDataColumnHeading"/>
              <w:rPr>
                <w:szCs w:val="16"/>
              </w:rPr>
            </w:pPr>
            <w:r w:rsidRPr="00DB240F">
              <w:rPr>
                <w:szCs w:val="16"/>
              </w:rPr>
              <w:t>House</w:t>
            </w:r>
          </w:p>
        </w:tc>
        <w:tc>
          <w:tcPr>
            <w:tcW w:w="1089" w:type="dxa"/>
            <w:shd w:val="clear" w:color="auto" w:fill="6F6652"/>
            <w:noWrap/>
            <w:tcMar>
              <w:left w:w="57" w:type="dxa"/>
              <w:right w:w="57" w:type="dxa"/>
            </w:tcMar>
            <w:hideMark/>
          </w:tcPr>
          <w:p w14:paraId="3E920351" w14:textId="77777777" w:rsidR="00DB240F" w:rsidRPr="00DB240F" w:rsidRDefault="00DB240F" w:rsidP="00DB240F">
            <w:pPr>
              <w:pStyle w:val="TableDataColumnHeading"/>
              <w:rPr>
                <w:szCs w:val="16"/>
              </w:rPr>
            </w:pPr>
            <w:r w:rsidRPr="00DB240F">
              <w:rPr>
                <w:szCs w:val="16"/>
              </w:rPr>
              <w:t>Apartment</w:t>
            </w:r>
          </w:p>
        </w:tc>
      </w:tr>
      <w:tr w:rsidR="00DB240F" w:rsidRPr="00DB240F" w14:paraId="4C140504" w14:textId="77777777" w:rsidTr="00DB240F">
        <w:trPr>
          <w:trHeight w:val="252"/>
        </w:trPr>
        <w:tc>
          <w:tcPr>
            <w:tcW w:w="1571" w:type="dxa"/>
            <w:tcBorders>
              <w:bottom w:val="single" w:sz="8" w:space="0" w:color="FFFFFF" w:themeColor="background1"/>
            </w:tcBorders>
            <w:shd w:val="clear" w:color="auto" w:fill="auto"/>
            <w:noWrap/>
            <w:tcMar>
              <w:left w:w="57" w:type="dxa"/>
              <w:right w:w="57" w:type="dxa"/>
            </w:tcMar>
          </w:tcPr>
          <w:p w14:paraId="512A16AB" w14:textId="77777777" w:rsidR="00DB240F" w:rsidRPr="00DB240F" w:rsidRDefault="00DB240F" w:rsidP="00DB240F">
            <w:pPr>
              <w:pStyle w:val="TableUnit"/>
              <w:jc w:val="left"/>
            </w:pPr>
          </w:p>
        </w:tc>
        <w:tc>
          <w:tcPr>
            <w:tcW w:w="1033" w:type="dxa"/>
            <w:tcBorders>
              <w:bottom w:val="single" w:sz="8" w:space="0" w:color="FFFFFF" w:themeColor="background1"/>
            </w:tcBorders>
            <w:shd w:val="clear" w:color="auto" w:fill="auto"/>
            <w:noWrap/>
            <w:tcMar>
              <w:left w:w="57" w:type="dxa"/>
              <w:right w:w="57" w:type="dxa"/>
            </w:tcMar>
          </w:tcPr>
          <w:p w14:paraId="56B48C0B" w14:textId="77777777" w:rsidR="00DB240F" w:rsidRPr="00DB240F" w:rsidRDefault="00DB240F" w:rsidP="00DB240F">
            <w:pPr>
              <w:pStyle w:val="TableUnit"/>
            </w:pPr>
            <w:r>
              <w:t>%</w:t>
            </w:r>
          </w:p>
        </w:tc>
        <w:tc>
          <w:tcPr>
            <w:tcW w:w="1089" w:type="dxa"/>
            <w:tcBorders>
              <w:bottom w:val="single" w:sz="8" w:space="0" w:color="FFFFFF" w:themeColor="background1"/>
            </w:tcBorders>
            <w:shd w:val="clear" w:color="auto" w:fill="auto"/>
            <w:noWrap/>
            <w:tcMar>
              <w:left w:w="57" w:type="dxa"/>
              <w:right w:w="57" w:type="dxa"/>
            </w:tcMar>
          </w:tcPr>
          <w:p w14:paraId="676D5E61" w14:textId="77777777" w:rsidR="00DB240F" w:rsidRPr="00DB240F" w:rsidRDefault="00DB240F" w:rsidP="00DB240F">
            <w:pPr>
              <w:pStyle w:val="TableUnit"/>
            </w:pPr>
            <w:r>
              <w:t>%</w:t>
            </w:r>
          </w:p>
        </w:tc>
        <w:tc>
          <w:tcPr>
            <w:tcW w:w="1033" w:type="dxa"/>
            <w:tcBorders>
              <w:bottom w:val="single" w:sz="8" w:space="0" w:color="FFFFFF" w:themeColor="background1"/>
            </w:tcBorders>
            <w:shd w:val="clear" w:color="auto" w:fill="auto"/>
            <w:noWrap/>
            <w:tcMar>
              <w:left w:w="57" w:type="dxa"/>
              <w:right w:w="57" w:type="dxa"/>
            </w:tcMar>
          </w:tcPr>
          <w:p w14:paraId="69CAAE04" w14:textId="77777777" w:rsidR="00DB240F" w:rsidRPr="00DB240F" w:rsidRDefault="00DB240F" w:rsidP="00DB240F">
            <w:pPr>
              <w:pStyle w:val="TableUnit"/>
            </w:pPr>
            <w:r>
              <w:t>%</w:t>
            </w:r>
          </w:p>
        </w:tc>
        <w:tc>
          <w:tcPr>
            <w:tcW w:w="1089" w:type="dxa"/>
            <w:tcBorders>
              <w:bottom w:val="single" w:sz="8" w:space="0" w:color="FFFFFF" w:themeColor="background1"/>
            </w:tcBorders>
            <w:shd w:val="clear" w:color="auto" w:fill="auto"/>
            <w:noWrap/>
            <w:tcMar>
              <w:left w:w="57" w:type="dxa"/>
              <w:right w:w="57" w:type="dxa"/>
            </w:tcMar>
          </w:tcPr>
          <w:p w14:paraId="1F82B62F" w14:textId="77777777" w:rsidR="00DB240F" w:rsidRPr="00DB240F" w:rsidRDefault="00DB240F" w:rsidP="00DB240F">
            <w:pPr>
              <w:pStyle w:val="TableUnit"/>
            </w:pPr>
            <w:r>
              <w:t>%</w:t>
            </w:r>
          </w:p>
        </w:tc>
        <w:tc>
          <w:tcPr>
            <w:tcW w:w="1033" w:type="dxa"/>
            <w:tcBorders>
              <w:bottom w:val="single" w:sz="8" w:space="0" w:color="FFFFFF" w:themeColor="background1"/>
            </w:tcBorders>
            <w:shd w:val="clear" w:color="auto" w:fill="auto"/>
            <w:noWrap/>
            <w:tcMar>
              <w:left w:w="57" w:type="dxa"/>
              <w:right w:w="57" w:type="dxa"/>
            </w:tcMar>
          </w:tcPr>
          <w:p w14:paraId="7493DDAC" w14:textId="77777777" w:rsidR="00DB240F" w:rsidRPr="00DB240F" w:rsidRDefault="00DB240F" w:rsidP="00DB240F">
            <w:pPr>
              <w:pStyle w:val="TableUnit"/>
            </w:pPr>
            <w:r>
              <w:t>%</w:t>
            </w:r>
          </w:p>
        </w:tc>
        <w:tc>
          <w:tcPr>
            <w:tcW w:w="1089" w:type="dxa"/>
            <w:tcBorders>
              <w:bottom w:val="single" w:sz="8" w:space="0" w:color="FFFFFF" w:themeColor="background1"/>
            </w:tcBorders>
            <w:shd w:val="clear" w:color="auto" w:fill="auto"/>
            <w:noWrap/>
            <w:tcMar>
              <w:left w:w="57" w:type="dxa"/>
              <w:right w:w="57" w:type="dxa"/>
            </w:tcMar>
          </w:tcPr>
          <w:p w14:paraId="67ABFCF4" w14:textId="77777777" w:rsidR="00DB240F" w:rsidRPr="00DB240F" w:rsidRDefault="00DB240F" w:rsidP="00DB240F">
            <w:pPr>
              <w:pStyle w:val="TableUnit"/>
            </w:pPr>
            <w:r>
              <w:t>%</w:t>
            </w:r>
          </w:p>
        </w:tc>
      </w:tr>
      <w:tr w:rsidR="002D6E3E" w:rsidRPr="00DB240F" w14:paraId="2AB9B48F"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114544" w14:textId="77777777" w:rsidR="002D6E3E" w:rsidRPr="00DB240F" w:rsidRDefault="002D6E3E" w:rsidP="002D6E3E">
            <w:pPr>
              <w:pStyle w:val="TableDataEntries"/>
              <w:jc w:val="left"/>
            </w:pPr>
            <w:r w:rsidRPr="00DB240F">
              <w:t>Sydney, NSW</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9B213D" w14:textId="77777777" w:rsidR="002D6E3E" w:rsidRPr="002D6E3E" w:rsidRDefault="002D6E3E" w:rsidP="002D6E3E">
            <w:pPr>
              <w:pStyle w:val="TableDataEntries"/>
              <w:rPr>
                <w:szCs w:val="16"/>
              </w:rPr>
            </w:pPr>
            <w:r w:rsidRPr="002D6E3E">
              <w:rPr>
                <w:szCs w:val="16"/>
              </w:rPr>
              <w:t>0.48</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56EB57" w14:textId="77777777" w:rsidR="002D6E3E" w:rsidRPr="002D6E3E" w:rsidRDefault="002D6E3E" w:rsidP="002D6E3E">
            <w:pPr>
              <w:pStyle w:val="TableDataEntries"/>
              <w:rPr>
                <w:szCs w:val="16"/>
              </w:rPr>
            </w:pPr>
            <w:r w:rsidRPr="002D6E3E">
              <w:rPr>
                <w:szCs w:val="16"/>
              </w:rPr>
              <w:t>0.88</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8F3BB3" w14:textId="77777777" w:rsidR="002D6E3E" w:rsidRPr="002D6E3E" w:rsidRDefault="002D6E3E" w:rsidP="002D6E3E">
            <w:pPr>
              <w:pStyle w:val="TableDataEntries"/>
              <w:rPr>
                <w:szCs w:val="16"/>
              </w:rPr>
            </w:pPr>
            <w:r w:rsidRPr="002D6E3E">
              <w:rPr>
                <w:szCs w:val="16"/>
              </w:rPr>
              <w:t>1.44</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F22CBA" w14:textId="77777777" w:rsidR="002D6E3E" w:rsidRPr="002D6E3E" w:rsidRDefault="002D6E3E" w:rsidP="002D6E3E">
            <w:pPr>
              <w:pStyle w:val="TableDataEntries"/>
              <w:rPr>
                <w:szCs w:val="16"/>
              </w:rPr>
            </w:pPr>
            <w:r w:rsidRPr="002D6E3E">
              <w:rPr>
                <w:szCs w:val="16"/>
              </w:rPr>
              <w:t>4.22</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9AAA839" w14:textId="77777777" w:rsidR="002D6E3E" w:rsidRPr="002D6E3E" w:rsidRDefault="002D6E3E" w:rsidP="002D6E3E">
            <w:pPr>
              <w:pStyle w:val="TableDataEntries"/>
              <w:rPr>
                <w:szCs w:val="16"/>
              </w:rPr>
            </w:pPr>
            <w:r w:rsidRPr="002D6E3E">
              <w:rPr>
                <w:szCs w:val="16"/>
              </w:rPr>
              <w:t>1.85</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046595" w14:textId="77777777" w:rsidR="002D6E3E" w:rsidRPr="002D6E3E" w:rsidRDefault="002D6E3E" w:rsidP="002D6E3E">
            <w:pPr>
              <w:pStyle w:val="TableDataEntries"/>
              <w:rPr>
                <w:szCs w:val="16"/>
              </w:rPr>
            </w:pPr>
            <w:r w:rsidRPr="002D6E3E">
              <w:rPr>
                <w:szCs w:val="16"/>
              </w:rPr>
              <w:t>5.43</w:t>
            </w:r>
          </w:p>
        </w:tc>
      </w:tr>
      <w:tr w:rsidR="002D6E3E" w:rsidRPr="00DB240F" w14:paraId="60732BC3"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0AAF7" w14:textId="77777777" w:rsidR="002D6E3E" w:rsidRPr="00DB240F" w:rsidRDefault="002D6E3E" w:rsidP="002D6E3E">
            <w:pPr>
              <w:pStyle w:val="TableDataEntries"/>
              <w:jc w:val="left"/>
            </w:pPr>
            <w:r w:rsidRPr="00DB240F">
              <w:t>Melbourne, Vic</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BB9779" w14:textId="77777777" w:rsidR="002D6E3E" w:rsidRPr="002D6E3E" w:rsidRDefault="002D6E3E" w:rsidP="002D6E3E">
            <w:pPr>
              <w:pStyle w:val="TableDataEntries"/>
              <w:rPr>
                <w:szCs w:val="16"/>
              </w:rPr>
            </w:pPr>
            <w:r w:rsidRPr="002D6E3E">
              <w:rPr>
                <w:szCs w:val="16"/>
              </w:rPr>
              <w:t>0.62</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AF03AD" w14:textId="77777777" w:rsidR="002D6E3E" w:rsidRPr="002D6E3E" w:rsidRDefault="002D6E3E" w:rsidP="002D6E3E">
            <w:pPr>
              <w:pStyle w:val="TableDataEntries"/>
              <w:rPr>
                <w:szCs w:val="16"/>
              </w:rPr>
            </w:pPr>
            <w:r w:rsidRPr="002D6E3E">
              <w:rPr>
                <w:szCs w:val="16"/>
              </w:rPr>
              <w:t>1.15</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2CF477" w14:textId="77777777" w:rsidR="002D6E3E" w:rsidRPr="002D6E3E" w:rsidRDefault="002D6E3E" w:rsidP="002D6E3E">
            <w:pPr>
              <w:pStyle w:val="TableDataEntries"/>
              <w:rPr>
                <w:szCs w:val="16"/>
              </w:rPr>
            </w:pPr>
            <w:r w:rsidRPr="002D6E3E">
              <w:rPr>
                <w:szCs w:val="16"/>
              </w:rPr>
              <w:t>1.87</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AB535E" w14:textId="77777777" w:rsidR="002D6E3E" w:rsidRPr="002D6E3E" w:rsidRDefault="002D6E3E" w:rsidP="002D6E3E">
            <w:pPr>
              <w:pStyle w:val="TableDataEntries"/>
              <w:rPr>
                <w:szCs w:val="16"/>
              </w:rPr>
            </w:pPr>
            <w:r w:rsidRPr="002D6E3E">
              <w:rPr>
                <w:szCs w:val="16"/>
              </w:rPr>
              <w:t>5.53</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AA2AB2" w14:textId="77777777" w:rsidR="002D6E3E" w:rsidRPr="002D6E3E" w:rsidRDefault="002D6E3E" w:rsidP="002D6E3E">
            <w:pPr>
              <w:pStyle w:val="TableDataEntries"/>
              <w:rPr>
                <w:szCs w:val="16"/>
              </w:rPr>
            </w:pPr>
            <w:r w:rsidRPr="002D6E3E">
              <w:rPr>
                <w:szCs w:val="16"/>
              </w:rPr>
              <w:t>2.39</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34B791" w14:textId="77777777" w:rsidR="002D6E3E" w:rsidRPr="002D6E3E" w:rsidRDefault="002D6E3E" w:rsidP="002D6E3E">
            <w:pPr>
              <w:pStyle w:val="TableDataEntries"/>
              <w:rPr>
                <w:szCs w:val="16"/>
              </w:rPr>
            </w:pPr>
            <w:r w:rsidRPr="002D6E3E">
              <w:rPr>
                <w:szCs w:val="16"/>
              </w:rPr>
              <w:t>7.10</w:t>
            </w:r>
          </w:p>
        </w:tc>
      </w:tr>
      <w:tr w:rsidR="002D6E3E" w:rsidRPr="00DB240F" w14:paraId="5B77BA1C"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62BBDF" w14:textId="77777777" w:rsidR="002D6E3E" w:rsidRPr="00DB240F" w:rsidRDefault="002D6E3E" w:rsidP="002D6E3E">
            <w:pPr>
              <w:pStyle w:val="TableDataEntries"/>
              <w:jc w:val="left"/>
            </w:pPr>
            <w:r w:rsidRPr="00DB240F">
              <w:t>Brisbane, Qld</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CE204C" w14:textId="77777777" w:rsidR="002D6E3E" w:rsidRPr="002D6E3E" w:rsidRDefault="002D6E3E" w:rsidP="002D6E3E">
            <w:pPr>
              <w:pStyle w:val="TableDataEntries"/>
              <w:rPr>
                <w:szCs w:val="16"/>
              </w:rPr>
            </w:pPr>
            <w:r w:rsidRPr="002D6E3E">
              <w:rPr>
                <w:szCs w:val="16"/>
              </w:rPr>
              <w:t>0.87</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B9C59E" w14:textId="77777777" w:rsidR="002D6E3E" w:rsidRPr="002D6E3E" w:rsidRDefault="002D6E3E" w:rsidP="002D6E3E">
            <w:pPr>
              <w:pStyle w:val="TableDataEntries"/>
              <w:rPr>
                <w:szCs w:val="16"/>
              </w:rPr>
            </w:pPr>
            <w:r w:rsidRPr="002D6E3E">
              <w:rPr>
                <w:szCs w:val="16"/>
              </w:rPr>
              <w:t>1.63</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DF3F92" w14:textId="77777777" w:rsidR="002D6E3E" w:rsidRPr="002D6E3E" w:rsidRDefault="002D6E3E" w:rsidP="002D6E3E">
            <w:pPr>
              <w:pStyle w:val="TableDataEntries"/>
              <w:rPr>
                <w:szCs w:val="16"/>
              </w:rPr>
            </w:pPr>
            <w:r w:rsidRPr="002D6E3E">
              <w:rPr>
                <w:szCs w:val="16"/>
              </w:rPr>
              <w:t>2.60</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96C9EF" w14:textId="77777777" w:rsidR="002D6E3E" w:rsidRPr="002D6E3E" w:rsidRDefault="002D6E3E" w:rsidP="002D6E3E">
            <w:pPr>
              <w:pStyle w:val="TableDataEntries"/>
              <w:rPr>
                <w:szCs w:val="16"/>
              </w:rPr>
            </w:pPr>
            <w:r w:rsidRPr="002D6E3E">
              <w:rPr>
                <w:szCs w:val="16"/>
              </w:rPr>
              <w:t>7.80</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CDC672" w14:textId="77777777" w:rsidR="002D6E3E" w:rsidRPr="002D6E3E" w:rsidRDefault="002D6E3E" w:rsidP="002D6E3E">
            <w:pPr>
              <w:pStyle w:val="TableDataEntries"/>
              <w:rPr>
                <w:szCs w:val="16"/>
              </w:rPr>
            </w:pPr>
            <w:r w:rsidRPr="002D6E3E">
              <w:rPr>
                <w:szCs w:val="16"/>
              </w:rPr>
              <w:t>3.33</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42B71E" w14:textId="77777777" w:rsidR="002D6E3E" w:rsidRPr="002D6E3E" w:rsidRDefault="002D6E3E" w:rsidP="002D6E3E">
            <w:pPr>
              <w:pStyle w:val="TableDataEntries"/>
              <w:rPr>
                <w:szCs w:val="16"/>
              </w:rPr>
            </w:pPr>
            <w:r w:rsidRPr="002D6E3E">
              <w:rPr>
                <w:szCs w:val="16"/>
              </w:rPr>
              <w:t>10.02</w:t>
            </w:r>
          </w:p>
        </w:tc>
      </w:tr>
      <w:tr w:rsidR="002D6E3E" w:rsidRPr="00DB240F" w14:paraId="0FEA162C"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2BB790" w14:textId="77777777" w:rsidR="002D6E3E" w:rsidRPr="00DB240F" w:rsidRDefault="002D6E3E" w:rsidP="002D6E3E">
            <w:pPr>
              <w:pStyle w:val="TableDataEntries"/>
              <w:jc w:val="left"/>
            </w:pPr>
            <w:r w:rsidRPr="00DB240F">
              <w:t>Adelaide, SA</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2DDEA9" w14:textId="77777777" w:rsidR="002D6E3E" w:rsidRPr="002D6E3E" w:rsidRDefault="002D6E3E" w:rsidP="002D6E3E">
            <w:pPr>
              <w:pStyle w:val="TableDataEntries"/>
              <w:rPr>
                <w:szCs w:val="16"/>
              </w:rPr>
            </w:pPr>
            <w:r w:rsidRPr="002D6E3E">
              <w:rPr>
                <w:szCs w:val="16"/>
              </w:rPr>
              <w:t>0.99</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C3E0F2" w14:textId="77777777" w:rsidR="002D6E3E" w:rsidRPr="002D6E3E" w:rsidRDefault="002D6E3E" w:rsidP="002D6E3E">
            <w:pPr>
              <w:pStyle w:val="TableDataEntries"/>
              <w:rPr>
                <w:szCs w:val="16"/>
              </w:rPr>
            </w:pPr>
            <w:r w:rsidRPr="002D6E3E">
              <w:rPr>
                <w:szCs w:val="16"/>
              </w:rPr>
              <w:t>1.87</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997EF4" w14:textId="77777777" w:rsidR="002D6E3E" w:rsidRPr="002D6E3E" w:rsidRDefault="002D6E3E" w:rsidP="002D6E3E">
            <w:pPr>
              <w:pStyle w:val="TableDataEntries"/>
              <w:rPr>
                <w:szCs w:val="16"/>
              </w:rPr>
            </w:pPr>
            <w:r w:rsidRPr="002D6E3E">
              <w:rPr>
                <w:szCs w:val="16"/>
              </w:rPr>
              <w:t>2.96</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A824B7" w14:textId="77777777" w:rsidR="002D6E3E" w:rsidRPr="002D6E3E" w:rsidRDefault="002D6E3E" w:rsidP="002D6E3E">
            <w:pPr>
              <w:pStyle w:val="TableDataEntries"/>
              <w:rPr>
                <w:szCs w:val="16"/>
              </w:rPr>
            </w:pPr>
            <w:r w:rsidRPr="002D6E3E">
              <w:rPr>
                <w:szCs w:val="16"/>
              </w:rPr>
              <w:t>8.95</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9564AA" w14:textId="77777777" w:rsidR="002D6E3E" w:rsidRPr="002D6E3E" w:rsidRDefault="002D6E3E" w:rsidP="002D6E3E">
            <w:pPr>
              <w:pStyle w:val="TableDataEntries"/>
              <w:rPr>
                <w:szCs w:val="16"/>
              </w:rPr>
            </w:pPr>
            <w:r w:rsidRPr="002D6E3E">
              <w:rPr>
                <w:szCs w:val="16"/>
              </w:rPr>
              <w:t>3.80</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437B9D" w14:textId="77777777" w:rsidR="002D6E3E" w:rsidRPr="002D6E3E" w:rsidRDefault="002D6E3E" w:rsidP="002D6E3E">
            <w:pPr>
              <w:pStyle w:val="TableDataEntries"/>
              <w:rPr>
                <w:szCs w:val="16"/>
              </w:rPr>
            </w:pPr>
            <w:r w:rsidRPr="002D6E3E">
              <w:rPr>
                <w:szCs w:val="16"/>
              </w:rPr>
              <w:t>11.49</w:t>
            </w:r>
          </w:p>
        </w:tc>
      </w:tr>
      <w:tr w:rsidR="002D6E3E" w:rsidRPr="00DB240F" w14:paraId="1B64271E"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616230" w14:textId="77777777" w:rsidR="002D6E3E" w:rsidRPr="00DB240F" w:rsidRDefault="002D6E3E" w:rsidP="002D6E3E">
            <w:pPr>
              <w:pStyle w:val="TableDataEntries"/>
              <w:jc w:val="left"/>
            </w:pPr>
            <w:r w:rsidRPr="00DB240F">
              <w:t>Perth, WA</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D009ADD" w14:textId="77777777" w:rsidR="002D6E3E" w:rsidRPr="002D6E3E" w:rsidRDefault="002D6E3E" w:rsidP="002D6E3E">
            <w:pPr>
              <w:pStyle w:val="TableDataEntries"/>
              <w:rPr>
                <w:szCs w:val="16"/>
              </w:rPr>
            </w:pPr>
            <w:r w:rsidRPr="002D6E3E">
              <w:rPr>
                <w:szCs w:val="16"/>
              </w:rPr>
              <w:t>0.92</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41D870" w14:textId="77777777" w:rsidR="002D6E3E" w:rsidRPr="002D6E3E" w:rsidRDefault="002D6E3E" w:rsidP="002D6E3E">
            <w:pPr>
              <w:pStyle w:val="TableDataEntries"/>
              <w:rPr>
                <w:szCs w:val="16"/>
              </w:rPr>
            </w:pPr>
            <w:r w:rsidRPr="002D6E3E">
              <w:rPr>
                <w:szCs w:val="16"/>
              </w:rPr>
              <w:t>1.67</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193DD1" w14:textId="77777777" w:rsidR="002D6E3E" w:rsidRPr="002D6E3E" w:rsidRDefault="002D6E3E" w:rsidP="002D6E3E">
            <w:pPr>
              <w:pStyle w:val="TableDataEntries"/>
              <w:rPr>
                <w:szCs w:val="16"/>
              </w:rPr>
            </w:pPr>
            <w:r w:rsidRPr="002D6E3E">
              <w:rPr>
                <w:szCs w:val="16"/>
              </w:rPr>
              <w:t>2.75</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6561F3" w14:textId="77777777" w:rsidR="002D6E3E" w:rsidRPr="002D6E3E" w:rsidRDefault="002D6E3E" w:rsidP="002D6E3E">
            <w:pPr>
              <w:pStyle w:val="TableDataEntries"/>
              <w:rPr>
                <w:szCs w:val="16"/>
              </w:rPr>
            </w:pPr>
            <w:r w:rsidRPr="002D6E3E">
              <w:rPr>
                <w:szCs w:val="16"/>
              </w:rPr>
              <w:t>8.00</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6B9E1D" w14:textId="77777777" w:rsidR="002D6E3E" w:rsidRPr="002D6E3E" w:rsidRDefault="002D6E3E" w:rsidP="002D6E3E">
            <w:pPr>
              <w:pStyle w:val="TableDataEntries"/>
              <w:rPr>
                <w:szCs w:val="16"/>
              </w:rPr>
            </w:pPr>
            <w:r w:rsidRPr="002D6E3E">
              <w:rPr>
                <w:szCs w:val="16"/>
              </w:rPr>
              <w:t>3.53</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9D9B85" w14:textId="77777777" w:rsidR="002D6E3E" w:rsidRPr="002D6E3E" w:rsidRDefault="002D6E3E" w:rsidP="002D6E3E">
            <w:pPr>
              <w:pStyle w:val="TableDataEntries"/>
              <w:rPr>
                <w:szCs w:val="16"/>
              </w:rPr>
            </w:pPr>
            <w:r w:rsidRPr="002D6E3E">
              <w:rPr>
                <w:szCs w:val="16"/>
              </w:rPr>
              <w:t>10.28</w:t>
            </w:r>
          </w:p>
        </w:tc>
      </w:tr>
      <w:tr w:rsidR="002D6E3E" w:rsidRPr="00DB240F" w14:paraId="44CD3739" w14:textId="77777777" w:rsidTr="00CD5352">
        <w:trPr>
          <w:trHeight w:val="252"/>
        </w:trPr>
        <w:tc>
          <w:tcPr>
            <w:tcW w:w="15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3D6FA8" w14:textId="77777777" w:rsidR="002D6E3E" w:rsidRPr="00DB240F" w:rsidRDefault="002D6E3E" w:rsidP="002D6E3E">
            <w:pPr>
              <w:pStyle w:val="TableDataEntries"/>
              <w:jc w:val="left"/>
            </w:pPr>
            <w:r w:rsidRPr="00DB240F">
              <w:t>Hobart, Tas</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F15DFF" w14:textId="77777777" w:rsidR="002D6E3E" w:rsidRPr="002D6E3E" w:rsidRDefault="002D6E3E" w:rsidP="002D6E3E">
            <w:pPr>
              <w:pStyle w:val="TableDataEntries"/>
              <w:rPr>
                <w:szCs w:val="16"/>
              </w:rPr>
            </w:pPr>
            <w:r w:rsidRPr="002D6E3E">
              <w:rPr>
                <w:szCs w:val="16"/>
              </w:rPr>
              <w:t>1.02</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AFAAB8" w14:textId="77777777" w:rsidR="002D6E3E" w:rsidRPr="002D6E3E" w:rsidRDefault="002D6E3E" w:rsidP="002D6E3E">
            <w:pPr>
              <w:pStyle w:val="TableDataEntries"/>
              <w:rPr>
                <w:szCs w:val="16"/>
              </w:rPr>
            </w:pPr>
            <w:r w:rsidRPr="002D6E3E">
              <w:rPr>
                <w:szCs w:val="16"/>
              </w:rPr>
              <w:t>1.89</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353FB0" w14:textId="77777777" w:rsidR="002D6E3E" w:rsidRPr="002D6E3E" w:rsidRDefault="002D6E3E" w:rsidP="002D6E3E">
            <w:pPr>
              <w:pStyle w:val="TableDataEntries"/>
              <w:rPr>
                <w:szCs w:val="16"/>
              </w:rPr>
            </w:pPr>
            <w:r w:rsidRPr="002D6E3E">
              <w:rPr>
                <w:szCs w:val="16"/>
              </w:rPr>
              <w:t>3.06</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D943E4" w14:textId="77777777" w:rsidR="002D6E3E" w:rsidRPr="002D6E3E" w:rsidRDefault="002D6E3E" w:rsidP="002D6E3E">
            <w:pPr>
              <w:pStyle w:val="TableDataEntries"/>
              <w:rPr>
                <w:szCs w:val="16"/>
              </w:rPr>
            </w:pPr>
            <w:r w:rsidRPr="002D6E3E">
              <w:rPr>
                <w:szCs w:val="16"/>
              </w:rPr>
              <w:t>9.05</w:t>
            </w:r>
          </w:p>
        </w:tc>
        <w:tc>
          <w:tcPr>
            <w:tcW w:w="10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0E4C89" w14:textId="77777777" w:rsidR="002D6E3E" w:rsidRPr="002D6E3E" w:rsidRDefault="002D6E3E" w:rsidP="002D6E3E">
            <w:pPr>
              <w:pStyle w:val="TableDataEntries"/>
              <w:rPr>
                <w:szCs w:val="16"/>
              </w:rPr>
            </w:pPr>
            <w:r w:rsidRPr="002D6E3E">
              <w:rPr>
                <w:szCs w:val="16"/>
              </w:rPr>
              <w:t>3.92</w:t>
            </w:r>
          </w:p>
        </w:tc>
        <w:tc>
          <w:tcPr>
            <w:tcW w:w="108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9ADAEA" w14:textId="77777777" w:rsidR="002D6E3E" w:rsidRPr="002D6E3E" w:rsidRDefault="002D6E3E" w:rsidP="002D6E3E">
            <w:pPr>
              <w:pStyle w:val="TableDataEntries"/>
              <w:rPr>
                <w:szCs w:val="16"/>
              </w:rPr>
            </w:pPr>
            <w:r w:rsidRPr="002D6E3E">
              <w:rPr>
                <w:szCs w:val="16"/>
              </w:rPr>
              <w:t>11.63</w:t>
            </w:r>
          </w:p>
        </w:tc>
      </w:tr>
      <w:tr w:rsidR="002D6E3E" w:rsidRPr="00DB240F" w14:paraId="155A5921" w14:textId="77777777" w:rsidTr="00CD5352">
        <w:trPr>
          <w:trHeight w:val="252"/>
        </w:trPr>
        <w:tc>
          <w:tcPr>
            <w:tcW w:w="157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FCC6BFD" w14:textId="77777777" w:rsidR="002D6E3E" w:rsidRPr="00DB240F" w:rsidRDefault="002D6E3E" w:rsidP="002D6E3E">
            <w:pPr>
              <w:pStyle w:val="TableDataEntries"/>
              <w:jc w:val="left"/>
            </w:pPr>
            <w:r w:rsidRPr="00DB240F">
              <w:t>Canberra, ACT</w:t>
            </w:r>
          </w:p>
        </w:tc>
        <w:tc>
          <w:tcPr>
            <w:tcW w:w="1033"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30577A10" w14:textId="77777777" w:rsidR="002D6E3E" w:rsidRPr="002D6E3E" w:rsidRDefault="002D6E3E" w:rsidP="002D6E3E">
            <w:pPr>
              <w:pStyle w:val="TableDataEntries"/>
              <w:rPr>
                <w:szCs w:val="16"/>
              </w:rPr>
            </w:pPr>
            <w:r w:rsidRPr="002D6E3E">
              <w:rPr>
                <w:szCs w:val="16"/>
              </w:rPr>
              <w:t>0.69</w:t>
            </w:r>
          </w:p>
        </w:tc>
        <w:tc>
          <w:tcPr>
            <w:tcW w:w="1089"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26F297A6" w14:textId="77777777" w:rsidR="002D6E3E" w:rsidRPr="002D6E3E" w:rsidRDefault="002D6E3E" w:rsidP="002D6E3E">
            <w:pPr>
              <w:pStyle w:val="TableDataEntries"/>
              <w:rPr>
                <w:szCs w:val="16"/>
              </w:rPr>
            </w:pPr>
            <w:r w:rsidRPr="002D6E3E">
              <w:rPr>
                <w:szCs w:val="16"/>
              </w:rPr>
              <w:t>1.49</w:t>
            </w:r>
          </w:p>
        </w:tc>
        <w:tc>
          <w:tcPr>
            <w:tcW w:w="1033"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3B07AFE" w14:textId="77777777" w:rsidR="002D6E3E" w:rsidRPr="002D6E3E" w:rsidRDefault="002D6E3E" w:rsidP="002D6E3E">
            <w:pPr>
              <w:pStyle w:val="TableDataEntries"/>
              <w:rPr>
                <w:szCs w:val="16"/>
              </w:rPr>
            </w:pPr>
            <w:r w:rsidRPr="002D6E3E">
              <w:rPr>
                <w:szCs w:val="16"/>
              </w:rPr>
              <w:t>2.05</w:t>
            </w:r>
          </w:p>
        </w:tc>
        <w:tc>
          <w:tcPr>
            <w:tcW w:w="1089"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46B4B3F" w14:textId="77777777" w:rsidR="002D6E3E" w:rsidRPr="002D6E3E" w:rsidRDefault="002D6E3E" w:rsidP="002D6E3E">
            <w:pPr>
              <w:pStyle w:val="TableDataEntries"/>
              <w:rPr>
                <w:szCs w:val="16"/>
              </w:rPr>
            </w:pPr>
            <w:r w:rsidRPr="002D6E3E">
              <w:rPr>
                <w:szCs w:val="16"/>
              </w:rPr>
              <w:t>7.14</w:t>
            </w:r>
          </w:p>
        </w:tc>
        <w:tc>
          <w:tcPr>
            <w:tcW w:w="1033"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3329C16" w14:textId="77777777" w:rsidR="002D6E3E" w:rsidRPr="002D6E3E" w:rsidRDefault="002D6E3E" w:rsidP="002D6E3E">
            <w:pPr>
              <w:pStyle w:val="TableDataEntries"/>
              <w:rPr>
                <w:szCs w:val="16"/>
              </w:rPr>
            </w:pPr>
            <w:r w:rsidRPr="002D6E3E">
              <w:rPr>
                <w:szCs w:val="16"/>
              </w:rPr>
              <w:t>2.63</w:t>
            </w:r>
          </w:p>
        </w:tc>
        <w:tc>
          <w:tcPr>
            <w:tcW w:w="1089"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79AB68F" w14:textId="77777777" w:rsidR="002D6E3E" w:rsidRPr="002D6E3E" w:rsidRDefault="002D6E3E" w:rsidP="002D6E3E">
            <w:pPr>
              <w:pStyle w:val="TableDataEntries"/>
              <w:rPr>
                <w:szCs w:val="16"/>
              </w:rPr>
            </w:pPr>
            <w:r w:rsidRPr="002D6E3E">
              <w:rPr>
                <w:szCs w:val="16"/>
              </w:rPr>
              <w:t>9.17</w:t>
            </w:r>
          </w:p>
        </w:tc>
      </w:tr>
    </w:tbl>
    <w:p w14:paraId="461A14EA" w14:textId="77777777" w:rsidR="00DB240F" w:rsidRPr="00424939" w:rsidRDefault="00DB240F" w:rsidP="00DB240F">
      <w:pPr>
        <w:pStyle w:val="Source"/>
        <w:rPr>
          <w:iCs/>
          <w:lang w:bidi="fa-IR"/>
        </w:rPr>
      </w:pPr>
      <w:r w:rsidRPr="00424939">
        <w:rPr>
          <w:iCs/>
          <w:lang w:bidi="fa-IR"/>
        </w:rPr>
        <w:lastRenderedPageBreak/>
        <w:t>Source: CIE calculation based on DCWC costing</w:t>
      </w:r>
      <w:r w:rsidR="002037B1" w:rsidRPr="00424939">
        <w:rPr>
          <w:iCs/>
          <w:lang w:bidi="fa-IR"/>
        </w:rPr>
        <w:t xml:space="preserve"> and space impact, </w:t>
      </w:r>
      <w:r w:rsidR="0084614B" w:rsidRPr="00424939">
        <w:rPr>
          <w:iCs/>
          <w:lang w:bidi="fa-IR"/>
        </w:rPr>
        <w:t xml:space="preserve">compliance verification </w:t>
      </w:r>
      <w:r w:rsidR="002037B1" w:rsidRPr="00424939">
        <w:rPr>
          <w:iCs/>
          <w:lang w:bidi="fa-IR"/>
        </w:rPr>
        <w:t>costs (central estimate)</w:t>
      </w:r>
      <w:r w:rsidRPr="00424939">
        <w:rPr>
          <w:iCs/>
          <w:lang w:bidi="fa-IR"/>
        </w:rPr>
        <w:t xml:space="preserve"> and capital city housing price (https://www.livingin-australia.com/australian-house-prices/)</w:t>
      </w:r>
    </w:p>
    <w:p w14:paraId="71A12B3F" w14:textId="0937DAA5" w:rsidR="00DB240F" w:rsidRDefault="005C49DD" w:rsidP="006C5856">
      <w:pPr>
        <w:pStyle w:val="BodyText"/>
        <w:rPr>
          <w:lang w:bidi="fa-IR"/>
        </w:rPr>
      </w:pPr>
      <w:r>
        <w:rPr>
          <w:lang w:bidi="fa-IR"/>
        </w:rPr>
        <w:t>This however does not suggest that the housing price</w:t>
      </w:r>
      <w:r w:rsidR="002D69F2">
        <w:rPr>
          <w:lang w:bidi="fa-IR"/>
        </w:rPr>
        <w:t>s</w:t>
      </w:r>
      <w:r>
        <w:rPr>
          <w:lang w:bidi="fa-IR"/>
        </w:rPr>
        <w:t xml:space="preserve"> would increase by the same percentage as shown in table</w:t>
      </w:r>
      <w:r w:rsidR="00B16794">
        <w:rPr>
          <w:lang w:bidi="fa-IR"/>
        </w:rPr>
        <w:t xml:space="preserve"> </w:t>
      </w:r>
      <w:r w:rsidR="00490F02">
        <w:rPr>
          <w:lang w:bidi="fa-IR"/>
        </w:rPr>
        <w:t>6.15</w:t>
      </w:r>
      <w:r>
        <w:rPr>
          <w:lang w:bidi="fa-IR"/>
        </w:rPr>
        <w:t>.</w:t>
      </w:r>
    </w:p>
    <w:p w14:paraId="4F0512B6" w14:textId="77777777" w:rsidR="00DF0EF2" w:rsidRDefault="00DF0EF2" w:rsidP="006C5856">
      <w:pPr>
        <w:pStyle w:val="BodyText"/>
        <w:rPr>
          <w:lang w:bidi="fa-IR"/>
        </w:rPr>
      </w:pPr>
      <w:r>
        <w:rPr>
          <w:lang w:bidi="fa-IR"/>
        </w:rPr>
        <w:t>In a typical supply-demand model, the higher cost would be partly absorbed by the suppliers and partly passed onto consumers.</w:t>
      </w:r>
      <w:r w:rsidR="003B00B0">
        <w:rPr>
          <w:lang w:bidi="fa-IR"/>
        </w:rPr>
        <w:t xml:space="preserve"> The magnitude of costs passed on is determined by the supply and demand elasticities. </w:t>
      </w:r>
    </w:p>
    <w:p w14:paraId="10ABAFA7" w14:textId="77777777" w:rsidR="000573F1" w:rsidRDefault="000573F1" w:rsidP="006C5856">
      <w:pPr>
        <w:pStyle w:val="BodyText"/>
        <w:rPr>
          <w:lang w:bidi="fa-IR"/>
        </w:rPr>
      </w:pPr>
      <w:r>
        <w:rPr>
          <w:lang w:bidi="fa-IR"/>
        </w:rPr>
        <w:t>As illustrated by chart 6.1</w:t>
      </w:r>
      <w:r w:rsidR="00C65C3A">
        <w:rPr>
          <w:lang w:bidi="fa-IR"/>
        </w:rPr>
        <w:t>6</w:t>
      </w:r>
      <w:r>
        <w:rPr>
          <w:lang w:bidi="fa-IR"/>
        </w:rPr>
        <w:t xml:space="preserve">, </w:t>
      </w:r>
      <w:r w:rsidR="003705B2">
        <w:rPr>
          <w:lang w:bidi="fa-IR"/>
        </w:rPr>
        <w:t xml:space="preserve">the proposed changes would increase the construction cost by </w:t>
      </w:r>
      <w:r w:rsidR="003705B2" w:rsidRPr="003705B2">
        <w:rPr>
          <w:i/>
          <w:iCs/>
          <w:lang w:bidi="fa-IR"/>
        </w:rPr>
        <w:t>c</w:t>
      </w:r>
      <w:r w:rsidR="003705B2">
        <w:rPr>
          <w:lang w:bidi="fa-IR"/>
        </w:rPr>
        <w:t>, shifting the supply curve up by that amount.</w:t>
      </w:r>
    </w:p>
    <w:p w14:paraId="257E63D9" w14:textId="6F4BC631" w:rsidR="003B00B0" w:rsidRDefault="00490F02" w:rsidP="000573F1">
      <w:pPr>
        <w:pStyle w:val="Caption"/>
      </w:pPr>
      <w:bookmarkStart w:id="492" w:name="_Toc70505581"/>
      <w:r>
        <w:t>6.16</w:t>
      </w:r>
      <w:r w:rsidR="003B00B0" w:rsidRPr="00695C93">
        <w:tab/>
      </w:r>
      <w:r w:rsidR="000573F1">
        <w:t>Illustration: price impact of increased supply cost</w:t>
      </w:r>
      <w:bookmarkEnd w:id="492"/>
    </w:p>
    <w:p w14:paraId="7CC94EED" w14:textId="77777777" w:rsidR="00457205" w:rsidRDefault="00457205" w:rsidP="00457205">
      <w:pPr>
        <w:pStyle w:val="Subtitlebox"/>
      </w:pPr>
      <w:r>
        <w:rPr>
          <w:noProof/>
        </w:rPr>
        <w:drawing>
          <wp:inline distT="0" distB="0" distL="0" distR="0" wp14:anchorId="39381B78" wp14:editId="3882A6AE">
            <wp:extent cx="5057775" cy="2929890"/>
            <wp:effectExtent l="57150" t="57150" r="66675" b="60960"/>
            <wp:docPr id="249" name="Picture 249" descr="Chart 6.16 illustrates the price impact of increased supply cost on construction. The proposed changes would increase the construction cost by 'c' in the diagram, shifting the supply curve up by that amount. The diagram is explained further in the following text paragraphs." title="Chart 6.16: Illustration: price impact of increased supply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924" r="-18286"/>
                    <a:stretch/>
                  </pic:blipFill>
                  <pic:spPr bwMode="auto">
                    <a:xfrm>
                      <a:off x="0" y="0"/>
                      <a:ext cx="5058655" cy="293040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1E5C4CB" w14:textId="77777777" w:rsidR="003B00B0" w:rsidRPr="00424939" w:rsidRDefault="003B00B0" w:rsidP="000573F1">
      <w:pPr>
        <w:pStyle w:val="Source"/>
        <w:rPr>
          <w:iCs/>
        </w:rPr>
      </w:pPr>
      <w:r w:rsidRPr="00424939">
        <w:rPr>
          <w:iCs/>
        </w:rPr>
        <w:t xml:space="preserve">Data source: </w:t>
      </w:r>
      <w:r w:rsidR="000573F1" w:rsidRPr="00424939">
        <w:rPr>
          <w:iCs/>
        </w:rPr>
        <w:t>CIE</w:t>
      </w:r>
      <w:r w:rsidR="00BD176C">
        <w:rPr>
          <w:iCs/>
        </w:rPr>
        <w:t>.</w:t>
      </w:r>
    </w:p>
    <w:p w14:paraId="76BB92C2" w14:textId="77777777" w:rsidR="00E52ECC" w:rsidRDefault="00E52ECC" w:rsidP="00E52ECC">
      <w:pPr>
        <w:pStyle w:val="BodyText"/>
        <w:rPr>
          <w:lang w:bidi="fa-IR"/>
        </w:rPr>
      </w:pPr>
      <w:r>
        <w:rPr>
          <w:lang w:bidi="fa-IR"/>
        </w:rPr>
        <w:t xml:space="preserve">Without the change, the housing price is </w:t>
      </w:r>
      <w:r w:rsidRPr="003705B2">
        <w:rPr>
          <w:i/>
          <w:iCs/>
          <w:lang w:bidi="fa-IR"/>
        </w:rPr>
        <w:t>P</w:t>
      </w:r>
      <w:r>
        <w:rPr>
          <w:lang w:bidi="fa-IR"/>
        </w:rPr>
        <w:t xml:space="preserve"> and the housing supply is </w:t>
      </w:r>
      <w:r w:rsidRPr="003705B2">
        <w:rPr>
          <w:i/>
          <w:iCs/>
          <w:lang w:bidi="fa-IR"/>
        </w:rPr>
        <w:t>Q</w:t>
      </w:r>
      <w:r>
        <w:rPr>
          <w:lang w:bidi="fa-IR"/>
        </w:rPr>
        <w:t xml:space="preserve">. With the proposed change, housing price and supply become </w:t>
      </w:r>
      <w:r w:rsidRPr="003705B2">
        <w:rPr>
          <w:i/>
          <w:iCs/>
          <w:lang w:bidi="fa-IR"/>
        </w:rPr>
        <w:t>P’</w:t>
      </w:r>
      <w:r>
        <w:rPr>
          <w:lang w:bidi="fa-IR"/>
        </w:rPr>
        <w:t xml:space="preserve"> and </w:t>
      </w:r>
      <w:r w:rsidRPr="003705B2">
        <w:rPr>
          <w:i/>
          <w:iCs/>
          <w:lang w:bidi="fa-IR"/>
        </w:rPr>
        <w:t>Q’</w:t>
      </w:r>
      <w:r>
        <w:rPr>
          <w:lang w:bidi="fa-IR"/>
        </w:rPr>
        <w:t>, respectively. The increase in price (</w:t>
      </w:r>
      <w:r w:rsidRPr="003705B2">
        <w:rPr>
          <w:i/>
          <w:iCs/>
          <w:lang w:bidi="fa-IR"/>
        </w:rPr>
        <w:t>P’P</w:t>
      </w:r>
      <w:r>
        <w:rPr>
          <w:lang w:bidi="fa-IR"/>
        </w:rPr>
        <w:t>) is less than the cost increase (</w:t>
      </w:r>
      <w:r w:rsidRPr="003705B2">
        <w:rPr>
          <w:i/>
          <w:iCs/>
          <w:lang w:bidi="fa-IR"/>
        </w:rPr>
        <w:t>c</w:t>
      </w:r>
      <w:r>
        <w:rPr>
          <w:lang w:bidi="fa-IR"/>
        </w:rPr>
        <w:t>), the balance of the full cost increase (</w:t>
      </w:r>
      <w:r w:rsidRPr="003705B2">
        <w:rPr>
          <w:i/>
          <w:iCs/>
          <w:lang w:bidi="fa-IR"/>
        </w:rPr>
        <w:t>PB</w:t>
      </w:r>
      <w:r>
        <w:rPr>
          <w:lang w:bidi="fa-IR"/>
        </w:rPr>
        <w:t>) is absorbed by the suppliers.</w:t>
      </w:r>
    </w:p>
    <w:p w14:paraId="14FA15B7" w14:textId="77777777" w:rsidR="00E52ECC" w:rsidRDefault="00E52ECC" w:rsidP="00E52ECC">
      <w:pPr>
        <w:pStyle w:val="BodyText"/>
        <w:rPr>
          <w:lang w:bidi="fa-IR"/>
        </w:rPr>
      </w:pPr>
      <w:r>
        <w:rPr>
          <w:lang w:bidi="fa-IR"/>
        </w:rPr>
        <w:t xml:space="preserve">In this particular case, the supply is more elastic than the demand, that is, </w:t>
      </w:r>
      <w:r w:rsidR="000954F6">
        <w:rPr>
          <w:lang w:bidi="fa-IR"/>
        </w:rPr>
        <w:t xml:space="preserve">it </w:t>
      </w:r>
      <w:r w:rsidR="00F4676D">
        <w:rPr>
          <w:lang w:bidi="fa-IR"/>
        </w:rPr>
        <w:t>is</w:t>
      </w:r>
      <w:r w:rsidR="000954F6">
        <w:rPr>
          <w:lang w:bidi="fa-IR"/>
        </w:rPr>
        <w:t xml:space="preserve"> </w:t>
      </w:r>
      <w:r>
        <w:rPr>
          <w:lang w:bidi="fa-IR"/>
        </w:rPr>
        <w:t>easi</w:t>
      </w:r>
      <w:r w:rsidR="000954F6">
        <w:rPr>
          <w:lang w:bidi="fa-IR"/>
        </w:rPr>
        <w:t>er</w:t>
      </w:r>
      <w:r>
        <w:rPr>
          <w:lang w:bidi="fa-IR"/>
        </w:rPr>
        <w:t xml:space="preserve"> for producers to adjust production in response to price change than consumers to adjust their demand. As a result, it is easier for suppliers to pass the higher cost on to consumers. By contrast, if the demand is more elastic than the supply, more of the cost increase would be absorbed by the industry.</w:t>
      </w:r>
    </w:p>
    <w:p w14:paraId="591FBD0F" w14:textId="77777777" w:rsidR="00D54F4E" w:rsidRDefault="00471EE4" w:rsidP="006C5856">
      <w:pPr>
        <w:pStyle w:val="BodyText"/>
        <w:rPr>
          <w:lang w:bidi="fa-IR"/>
        </w:rPr>
      </w:pPr>
      <w:r>
        <w:rPr>
          <w:lang w:bidi="fa-IR"/>
        </w:rPr>
        <w:t xml:space="preserve">In urban areas especially metropolitan </w:t>
      </w:r>
      <w:r w:rsidR="00196CEF">
        <w:rPr>
          <w:lang w:bidi="fa-IR"/>
        </w:rPr>
        <w:t>areas, land for new housing development is scarce and thus the housing supply is more inelastic, suggesting that more of the cost increase due to the proposed changes in the NCC would be absorbed by the industry</w:t>
      </w:r>
      <w:r w:rsidR="00B92965">
        <w:rPr>
          <w:lang w:bidi="fa-IR"/>
        </w:rPr>
        <w:t xml:space="preserve"> and less </w:t>
      </w:r>
      <w:r w:rsidR="008D286A">
        <w:rPr>
          <w:lang w:bidi="fa-IR"/>
        </w:rPr>
        <w:t xml:space="preserve">would </w:t>
      </w:r>
      <w:r w:rsidR="00B92965">
        <w:rPr>
          <w:lang w:bidi="fa-IR"/>
        </w:rPr>
        <w:t>be passed on to consumers</w:t>
      </w:r>
      <w:r w:rsidR="00196CEF">
        <w:rPr>
          <w:lang w:bidi="fa-IR"/>
        </w:rPr>
        <w:t>.</w:t>
      </w:r>
      <w:r w:rsidR="005A5DA9">
        <w:rPr>
          <w:lang w:bidi="fa-IR"/>
        </w:rPr>
        <w:t xml:space="preserve"> For example, as </w:t>
      </w:r>
      <w:r w:rsidR="00DC0903">
        <w:rPr>
          <w:lang w:bidi="fa-IR"/>
        </w:rPr>
        <w:t xml:space="preserve">CIE </w:t>
      </w:r>
      <w:r w:rsidR="005A5DA9">
        <w:rPr>
          <w:lang w:bidi="fa-IR"/>
        </w:rPr>
        <w:t xml:space="preserve">found for the </w:t>
      </w:r>
      <w:r w:rsidR="00F4676D">
        <w:rPr>
          <w:lang w:bidi="fa-IR"/>
        </w:rPr>
        <w:t>I</w:t>
      </w:r>
      <w:r w:rsidR="005A5DA9">
        <w:rPr>
          <w:lang w:bidi="fa-IR"/>
        </w:rPr>
        <w:t xml:space="preserve">nfrastructure </w:t>
      </w:r>
      <w:r w:rsidR="00F4676D">
        <w:rPr>
          <w:lang w:bidi="fa-IR"/>
        </w:rPr>
        <w:t>C</w:t>
      </w:r>
      <w:r w:rsidR="005A5DA9">
        <w:rPr>
          <w:lang w:bidi="fa-IR"/>
        </w:rPr>
        <w:t>ontribution</w:t>
      </w:r>
      <w:r w:rsidR="00F4676D">
        <w:rPr>
          <w:lang w:bidi="fa-IR"/>
        </w:rPr>
        <w:t>s</w:t>
      </w:r>
      <w:r w:rsidR="005A5DA9">
        <w:rPr>
          <w:lang w:bidi="fa-IR"/>
        </w:rPr>
        <w:t xml:space="preserve"> </w:t>
      </w:r>
      <w:r w:rsidR="00F4676D">
        <w:rPr>
          <w:lang w:bidi="fa-IR"/>
        </w:rPr>
        <w:t>Review</w:t>
      </w:r>
      <w:r w:rsidR="005A5DA9">
        <w:rPr>
          <w:lang w:bidi="fa-IR"/>
        </w:rPr>
        <w:t xml:space="preserve"> by the NSW Productivity Commission, </w:t>
      </w:r>
      <w:r w:rsidR="00DA1E17">
        <w:rPr>
          <w:lang w:bidi="fa-IR"/>
        </w:rPr>
        <w:t xml:space="preserve">land prices hold a substantial premium over the opportunity cost of the land for its next best use due to land </w:t>
      </w:r>
      <w:r w:rsidR="00DA1E17">
        <w:rPr>
          <w:lang w:bidi="fa-IR"/>
        </w:rPr>
        <w:lastRenderedPageBreak/>
        <w:t>use regulations</w:t>
      </w:r>
      <w:r w:rsidR="008D286A">
        <w:rPr>
          <w:lang w:bidi="fa-IR"/>
        </w:rPr>
        <w:t xml:space="preserve">. This means </w:t>
      </w:r>
      <w:r w:rsidR="00DA1E17">
        <w:rPr>
          <w:lang w:bidi="fa-IR"/>
        </w:rPr>
        <w:t xml:space="preserve">higher infrastructure contributions, or higher construction cost in general, would be </w:t>
      </w:r>
      <w:r w:rsidR="008D286A">
        <w:rPr>
          <w:lang w:bidi="fa-IR"/>
        </w:rPr>
        <w:t xml:space="preserve">reflected </w:t>
      </w:r>
      <w:r w:rsidR="00DA1E17">
        <w:rPr>
          <w:lang w:bidi="fa-IR"/>
        </w:rPr>
        <w:t xml:space="preserve">in lower land values </w:t>
      </w:r>
      <w:r w:rsidR="008D286A">
        <w:rPr>
          <w:lang w:bidi="fa-IR"/>
        </w:rPr>
        <w:t xml:space="preserve">(reduced land price premium) </w:t>
      </w:r>
      <w:r w:rsidR="00DA1E17">
        <w:rPr>
          <w:lang w:bidi="fa-IR"/>
        </w:rPr>
        <w:t>rather than higher housing prices.</w:t>
      </w:r>
      <w:r w:rsidR="00153A5D">
        <w:rPr>
          <w:rStyle w:val="FootnoteReference"/>
          <w:lang w:bidi="fa-IR"/>
        </w:rPr>
        <w:footnoteReference w:id="209"/>
      </w:r>
      <w:r w:rsidR="00196CEF">
        <w:rPr>
          <w:lang w:bidi="fa-IR"/>
        </w:rPr>
        <w:t xml:space="preserve"> </w:t>
      </w:r>
    </w:p>
    <w:p w14:paraId="31A4CF67" w14:textId="3ECBB166" w:rsidR="00196CEF" w:rsidRDefault="00D842C3" w:rsidP="006C5856">
      <w:pPr>
        <w:pStyle w:val="BodyText"/>
      </w:pPr>
      <w:r>
        <w:rPr>
          <w:rFonts w:eastAsia="SimSun"/>
          <w:lang w:eastAsia="zh-CN" w:bidi="fa-IR"/>
        </w:rPr>
        <w:t xml:space="preserve">In other regions where land for housing development is less scarce, </w:t>
      </w:r>
      <w:r w:rsidR="008D286A">
        <w:rPr>
          <w:rFonts w:eastAsia="SimSun"/>
          <w:lang w:eastAsia="zh-CN" w:bidi="fa-IR"/>
        </w:rPr>
        <w:t xml:space="preserve">relatively </w:t>
      </w:r>
      <w:r>
        <w:rPr>
          <w:rFonts w:eastAsia="SimSun"/>
          <w:lang w:eastAsia="zh-CN" w:bidi="fa-IR"/>
        </w:rPr>
        <w:t>mor</w:t>
      </w:r>
      <w:r w:rsidR="00013E6C">
        <w:rPr>
          <w:rFonts w:eastAsia="SimSun"/>
          <w:lang w:eastAsia="zh-CN" w:bidi="fa-IR"/>
        </w:rPr>
        <w:t>e</w:t>
      </w:r>
      <w:r>
        <w:rPr>
          <w:rFonts w:eastAsia="SimSun"/>
          <w:lang w:eastAsia="zh-CN" w:bidi="fa-IR"/>
        </w:rPr>
        <w:t xml:space="preserve"> of the construction cost increase due to the proposed changes in the NCC </w:t>
      </w:r>
      <w:r w:rsidR="00F4676D">
        <w:rPr>
          <w:rFonts w:eastAsia="SimSun"/>
          <w:lang w:eastAsia="zh-CN" w:bidi="fa-IR"/>
        </w:rPr>
        <w:t>is likely to be</w:t>
      </w:r>
      <w:r>
        <w:rPr>
          <w:rFonts w:eastAsia="SimSun"/>
          <w:lang w:eastAsia="zh-CN" w:bidi="fa-IR"/>
        </w:rPr>
        <w:t xml:space="preserve"> passed on to housing price.</w:t>
      </w:r>
      <w:r w:rsidR="002037B1">
        <w:rPr>
          <w:rFonts w:eastAsia="SimSun"/>
          <w:lang w:eastAsia="zh-CN" w:bidi="fa-IR"/>
        </w:rPr>
        <w:t xml:space="preserve"> </w:t>
      </w:r>
      <w:r w:rsidR="000954F6">
        <w:rPr>
          <w:rFonts w:eastAsia="SimSun"/>
          <w:lang w:eastAsia="zh-CN" w:bidi="fa-IR"/>
        </w:rPr>
        <w:t>All other things being equal, t</w:t>
      </w:r>
      <w:r w:rsidR="002037B1">
        <w:rPr>
          <w:rFonts w:eastAsia="SimSun"/>
          <w:lang w:eastAsia="zh-CN" w:bidi="fa-IR"/>
        </w:rPr>
        <w:t xml:space="preserve">he impact on housing price could be </w:t>
      </w:r>
      <w:r w:rsidR="000954F6">
        <w:rPr>
          <w:rFonts w:eastAsia="SimSun"/>
          <w:lang w:eastAsia="zh-CN" w:bidi="fa-IR"/>
        </w:rPr>
        <w:t>closer to the full amount estimated</w:t>
      </w:r>
      <w:r w:rsidR="002037B1">
        <w:rPr>
          <w:rFonts w:eastAsia="SimSun"/>
          <w:lang w:eastAsia="zh-CN" w:bidi="fa-IR"/>
        </w:rPr>
        <w:t>.</w:t>
      </w:r>
      <w:r w:rsidR="002475E5">
        <w:rPr>
          <w:rFonts w:eastAsia="SimSun"/>
          <w:lang w:eastAsia="zh-CN" w:bidi="fa-IR"/>
        </w:rPr>
        <w:t xml:space="preserve"> </w:t>
      </w:r>
      <w:r w:rsidR="00F4676D">
        <w:rPr>
          <w:rFonts w:eastAsia="SimSun"/>
          <w:lang w:eastAsia="zh-CN" w:bidi="fa-IR"/>
        </w:rPr>
        <w:t>While</w:t>
      </w:r>
      <w:r w:rsidR="002475E5">
        <w:rPr>
          <w:rFonts w:eastAsia="SimSun"/>
          <w:lang w:eastAsia="zh-CN" w:bidi="fa-IR"/>
        </w:rPr>
        <w:t xml:space="preserve"> it is not possible to definitely </w:t>
      </w:r>
      <w:r w:rsidR="002475E5">
        <w:t>state the quantum or scale of an impact on house prices</w:t>
      </w:r>
      <w:r w:rsidR="00F4676D">
        <w:t>, the impact could be higher in this case</w:t>
      </w:r>
      <w:r w:rsidR="002475E5">
        <w:t>.</w:t>
      </w:r>
    </w:p>
    <w:p w14:paraId="1AB56BED" w14:textId="77777777" w:rsidR="00A07CD8" w:rsidRDefault="00A07CD8" w:rsidP="006C5856">
      <w:pPr>
        <w:pStyle w:val="BodyText"/>
        <w:rPr>
          <w:rFonts w:eastAsia="SimSun"/>
          <w:lang w:eastAsia="zh-CN" w:bidi="fa-IR"/>
        </w:rPr>
      </w:pPr>
      <w:r>
        <w:t xml:space="preserve">Another factor that would </w:t>
      </w:r>
      <w:r w:rsidR="001532FD">
        <w:t xml:space="preserve">further </w:t>
      </w:r>
      <w:r>
        <w:t xml:space="preserve">limit the overall housing price increase is that the proposed </w:t>
      </w:r>
      <w:r w:rsidR="000954F6">
        <w:t xml:space="preserve">regulatory Options </w:t>
      </w:r>
      <w:r>
        <w:t xml:space="preserve">would </w:t>
      </w:r>
      <w:r w:rsidR="000954F6">
        <w:t xml:space="preserve">likely </w:t>
      </w:r>
      <w:r>
        <w:t>increase construction</w:t>
      </w:r>
      <w:r w:rsidR="000954F6">
        <w:t xml:space="preserve"> costs</w:t>
      </w:r>
      <w:r>
        <w:t xml:space="preserve"> of new dwellings only</w:t>
      </w:r>
      <w:r w:rsidR="000954F6">
        <w:t xml:space="preserve">. As </w:t>
      </w:r>
      <w:r>
        <w:t xml:space="preserve">new dwellings account for a small share of total </w:t>
      </w:r>
      <w:r w:rsidR="000954F6">
        <w:t xml:space="preserve">housing </w:t>
      </w:r>
      <w:r>
        <w:t>the overall impact on housing price is</w:t>
      </w:r>
      <w:r w:rsidR="000954F6">
        <w:t xml:space="preserve"> less observable</w:t>
      </w:r>
      <w:r>
        <w:t xml:space="preserve"> </w:t>
      </w:r>
      <w:r w:rsidR="000954F6">
        <w:t>due to</w:t>
      </w:r>
      <w:r>
        <w:t xml:space="preserve"> ‘averaging out’.</w:t>
      </w:r>
    </w:p>
    <w:p w14:paraId="3CFA1DD8" w14:textId="77777777" w:rsidR="005C49DD" w:rsidRDefault="000F4B73" w:rsidP="00F11AF4">
      <w:pPr>
        <w:pStyle w:val="Heading3"/>
        <w:numPr>
          <w:ilvl w:val="2"/>
          <w:numId w:val="5"/>
        </w:numPr>
        <w:rPr>
          <w:rFonts w:eastAsia="SimSun"/>
          <w:lang w:eastAsia="zh-CN" w:bidi="fa-IR"/>
        </w:rPr>
      </w:pPr>
      <w:r>
        <w:rPr>
          <w:rFonts w:eastAsia="SimSun"/>
          <w:lang w:eastAsia="zh-CN" w:bidi="fa-IR"/>
        </w:rPr>
        <w:t>Competition impact</w:t>
      </w:r>
    </w:p>
    <w:p w14:paraId="6257AA87" w14:textId="77777777" w:rsidR="00422CC6" w:rsidRDefault="00150BC3" w:rsidP="000F4B73">
      <w:pPr>
        <w:pStyle w:val="BodyText"/>
        <w:rPr>
          <w:rFonts w:eastAsia="SimSun"/>
          <w:lang w:eastAsia="zh-CN" w:bidi="fa-IR"/>
        </w:rPr>
      </w:pPr>
      <w:r>
        <w:rPr>
          <w:rFonts w:eastAsia="SimSun"/>
          <w:lang w:eastAsia="zh-CN" w:bidi="fa-IR"/>
        </w:rPr>
        <w:t xml:space="preserve">Competition effects of </w:t>
      </w:r>
      <w:r w:rsidR="00F4676D">
        <w:rPr>
          <w:rFonts w:eastAsia="SimSun"/>
          <w:lang w:eastAsia="zh-CN" w:bidi="fa-IR"/>
        </w:rPr>
        <w:t>a</w:t>
      </w:r>
      <w:r>
        <w:rPr>
          <w:rFonts w:eastAsia="SimSun"/>
          <w:lang w:eastAsia="zh-CN" w:bidi="fa-IR"/>
        </w:rPr>
        <w:t xml:space="preserve"> regulation c</w:t>
      </w:r>
      <w:r w:rsidR="00F4676D">
        <w:rPr>
          <w:rFonts w:eastAsia="SimSun"/>
          <w:lang w:eastAsia="zh-CN" w:bidi="fa-IR"/>
        </w:rPr>
        <w:t>an</w:t>
      </w:r>
      <w:r>
        <w:rPr>
          <w:rFonts w:eastAsia="SimSun"/>
          <w:lang w:eastAsia="zh-CN" w:bidi="fa-IR"/>
        </w:rPr>
        <w:t xml:space="preserve"> be assessed against the following aspects:</w:t>
      </w:r>
    </w:p>
    <w:p w14:paraId="5835ECAF" w14:textId="77777777" w:rsidR="00150BC3" w:rsidRDefault="00150BC3" w:rsidP="00150BC3">
      <w:pPr>
        <w:pStyle w:val="ListBullet"/>
        <w:rPr>
          <w:rFonts w:eastAsia="SimSun"/>
          <w:lang w:eastAsia="zh-CN" w:bidi="fa-IR"/>
        </w:rPr>
      </w:pPr>
      <w:r>
        <w:rPr>
          <w:rFonts w:eastAsia="SimSun"/>
          <w:lang w:eastAsia="zh-CN" w:bidi="fa-IR"/>
        </w:rPr>
        <w:t>imposing barriers to entry, exit, or innovation</w:t>
      </w:r>
    </w:p>
    <w:p w14:paraId="27C5E824" w14:textId="77777777" w:rsidR="00150BC3" w:rsidRDefault="00150BC3" w:rsidP="00150BC3">
      <w:pPr>
        <w:pStyle w:val="ListBullet"/>
        <w:rPr>
          <w:rFonts w:eastAsia="SimSun"/>
          <w:lang w:eastAsia="zh-CN" w:bidi="fa-IR"/>
        </w:rPr>
      </w:pPr>
      <w:r>
        <w:rPr>
          <w:rFonts w:eastAsia="SimSun"/>
          <w:lang w:eastAsia="zh-CN" w:bidi="fa-IR"/>
        </w:rPr>
        <w:t>restricting consumer choice</w:t>
      </w:r>
    </w:p>
    <w:p w14:paraId="6E677C80" w14:textId="77777777" w:rsidR="00150BC3" w:rsidRDefault="00150BC3" w:rsidP="00150BC3">
      <w:pPr>
        <w:pStyle w:val="ListBullet"/>
        <w:rPr>
          <w:rFonts w:eastAsia="SimSun"/>
          <w:lang w:eastAsia="zh-CN" w:bidi="fa-IR"/>
        </w:rPr>
      </w:pPr>
      <w:r>
        <w:rPr>
          <w:rFonts w:eastAsia="SimSun"/>
          <w:lang w:eastAsia="zh-CN" w:bidi="fa-IR"/>
        </w:rPr>
        <w:t>raising prices</w:t>
      </w:r>
      <w:r w:rsidR="00BD176C">
        <w:rPr>
          <w:rFonts w:eastAsia="SimSun"/>
          <w:lang w:eastAsia="zh-CN" w:bidi="fa-IR"/>
        </w:rPr>
        <w:t>, and</w:t>
      </w:r>
    </w:p>
    <w:p w14:paraId="13202906" w14:textId="77777777" w:rsidR="00150BC3" w:rsidRDefault="00150BC3" w:rsidP="00150BC3">
      <w:pPr>
        <w:pStyle w:val="ListBullet"/>
        <w:rPr>
          <w:rFonts w:eastAsia="SimSun"/>
          <w:lang w:eastAsia="zh-CN" w:bidi="fa-IR"/>
        </w:rPr>
      </w:pPr>
      <w:r>
        <w:rPr>
          <w:rFonts w:eastAsia="SimSun"/>
          <w:lang w:eastAsia="zh-CN" w:bidi="fa-IR"/>
        </w:rPr>
        <w:t>reducing overall economic efficiency and productivity.</w:t>
      </w:r>
    </w:p>
    <w:p w14:paraId="53D27BA8" w14:textId="77777777" w:rsidR="00150BC3" w:rsidRDefault="0009463D" w:rsidP="000F4B73">
      <w:pPr>
        <w:pStyle w:val="BodyText"/>
        <w:rPr>
          <w:rFonts w:eastAsia="SimSun"/>
          <w:lang w:eastAsia="zh-CN" w:bidi="fa-IR"/>
        </w:rPr>
      </w:pPr>
      <w:r>
        <w:rPr>
          <w:rFonts w:eastAsia="SimSun"/>
          <w:lang w:eastAsia="zh-CN" w:bidi="fa-IR"/>
        </w:rPr>
        <w:t>The proposed accessible requirement for residential buildings in the NCC would have minimal additional impact on competition.</w:t>
      </w:r>
    </w:p>
    <w:p w14:paraId="4CDEC9E0" w14:textId="77777777" w:rsidR="0009463D" w:rsidRDefault="0009463D" w:rsidP="000F4B73">
      <w:pPr>
        <w:pStyle w:val="BodyText"/>
        <w:rPr>
          <w:rFonts w:eastAsia="SimSun"/>
          <w:lang w:eastAsia="zh-CN" w:bidi="fa-IR"/>
        </w:rPr>
      </w:pPr>
      <w:r>
        <w:rPr>
          <w:rFonts w:eastAsia="SimSun"/>
          <w:lang w:eastAsia="zh-CN" w:bidi="fa-IR"/>
        </w:rPr>
        <w:t xml:space="preserve">Although the proposed changes in the NCC would favour existing architects, designers, developers, builders and certifiers with accessibility expertise, they do not impose any barriers for relevant players to enter or exit the market. Those who do not have the relevant expertise could improve their competitiveness through </w:t>
      </w:r>
      <w:r w:rsidR="005939FA">
        <w:rPr>
          <w:rFonts w:eastAsia="SimSun"/>
          <w:lang w:eastAsia="zh-CN" w:bidi="fa-IR"/>
        </w:rPr>
        <w:t>re</w:t>
      </w:r>
      <w:r>
        <w:rPr>
          <w:rFonts w:eastAsia="SimSun"/>
          <w:lang w:eastAsia="zh-CN" w:bidi="fa-IR"/>
        </w:rPr>
        <w:t>training</w:t>
      </w:r>
      <w:r w:rsidR="005939FA">
        <w:rPr>
          <w:rFonts w:eastAsia="SimSun"/>
          <w:lang w:eastAsia="zh-CN" w:bidi="fa-IR"/>
        </w:rPr>
        <w:t xml:space="preserve">. As discussed above, the retraining costs for industry practitioners are estimated </w:t>
      </w:r>
      <w:r w:rsidR="005939FA" w:rsidRPr="00CD5352">
        <w:rPr>
          <w:rFonts w:eastAsia="SimSun"/>
          <w:lang w:eastAsia="zh-CN" w:bidi="fa-IR"/>
        </w:rPr>
        <w:t>at $27.7 million</w:t>
      </w:r>
      <w:r w:rsidR="005939FA">
        <w:rPr>
          <w:rFonts w:eastAsia="SimSun"/>
          <w:lang w:eastAsia="zh-CN" w:bidi="fa-IR"/>
        </w:rPr>
        <w:t>.</w:t>
      </w:r>
    </w:p>
    <w:p w14:paraId="19F37B28" w14:textId="77777777" w:rsidR="005939FA" w:rsidRDefault="00F87039" w:rsidP="000F4B73">
      <w:pPr>
        <w:pStyle w:val="BodyText"/>
        <w:rPr>
          <w:rFonts w:eastAsia="SimSun"/>
          <w:lang w:eastAsia="zh-CN" w:bidi="fa-IR"/>
        </w:rPr>
      </w:pPr>
      <w:r>
        <w:rPr>
          <w:rFonts w:eastAsia="SimSun"/>
          <w:lang w:eastAsia="zh-CN" w:bidi="fa-IR"/>
        </w:rPr>
        <w:t xml:space="preserve">With respect to </w:t>
      </w:r>
      <w:r w:rsidR="00634BFE">
        <w:rPr>
          <w:rFonts w:eastAsia="SimSun"/>
          <w:lang w:eastAsia="zh-CN" w:bidi="fa-IR"/>
        </w:rPr>
        <w:t>consumer choice</w:t>
      </w:r>
      <w:r>
        <w:rPr>
          <w:rFonts w:eastAsia="SimSun"/>
          <w:lang w:eastAsia="zh-CN" w:bidi="fa-IR"/>
        </w:rPr>
        <w:t>,</w:t>
      </w:r>
      <w:r w:rsidR="00634BFE">
        <w:rPr>
          <w:rFonts w:eastAsia="SimSun"/>
          <w:lang w:eastAsia="zh-CN" w:bidi="fa-IR"/>
        </w:rPr>
        <w:t xml:space="preserve"> </w:t>
      </w:r>
      <w:r>
        <w:rPr>
          <w:rFonts w:eastAsia="SimSun"/>
          <w:lang w:eastAsia="zh-CN" w:bidi="fa-IR"/>
        </w:rPr>
        <w:t>t</w:t>
      </w:r>
      <w:r w:rsidR="00634BFE">
        <w:rPr>
          <w:rFonts w:eastAsia="SimSun"/>
          <w:lang w:eastAsia="zh-CN" w:bidi="fa-IR"/>
        </w:rPr>
        <w:t>hese requirements lead to more features in new dwellings provided to consumers</w:t>
      </w:r>
      <w:r>
        <w:rPr>
          <w:rFonts w:eastAsia="SimSun"/>
          <w:lang w:eastAsia="zh-CN" w:bidi="fa-IR"/>
        </w:rPr>
        <w:t xml:space="preserve"> </w:t>
      </w:r>
      <w:r w:rsidR="006B0D55" w:rsidRPr="006B0D55">
        <w:rPr>
          <w:rFonts w:eastAsia="SimSun"/>
          <w:lang w:eastAsia="zh-CN" w:bidi="fa-IR"/>
        </w:rPr>
        <w:t xml:space="preserve">and as such these requirements do not restrict consumer choice per se </w:t>
      </w:r>
      <w:r>
        <w:rPr>
          <w:rFonts w:eastAsia="SimSun"/>
          <w:lang w:eastAsia="zh-CN" w:bidi="fa-IR"/>
        </w:rPr>
        <w:t>(although</w:t>
      </w:r>
      <w:r w:rsidR="00634BFE">
        <w:rPr>
          <w:rFonts w:eastAsia="SimSun"/>
          <w:lang w:eastAsia="zh-CN" w:bidi="fa-IR"/>
        </w:rPr>
        <w:t xml:space="preserve"> </w:t>
      </w:r>
      <w:r>
        <w:rPr>
          <w:rFonts w:eastAsia="SimSun"/>
          <w:lang w:eastAsia="zh-CN" w:bidi="fa-IR"/>
        </w:rPr>
        <w:t>s</w:t>
      </w:r>
      <w:r w:rsidR="00634BFE">
        <w:rPr>
          <w:rFonts w:eastAsia="SimSun"/>
          <w:lang w:eastAsia="zh-CN" w:bidi="fa-IR"/>
        </w:rPr>
        <w:t xml:space="preserve">ome consumers without accessibility needs may not appreciate these additional features and place a low value or no </w:t>
      </w:r>
      <w:r w:rsidR="00DC1786">
        <w:rPr>
          <w:rFonts w:eastAsia="SimSun"/>
          <w:lang w:eastAsia="zh-CN" w:bidi="fa-IR"/>
        </w:rPr>
        <w:t xml:space="preserve">value </w:t>
      </w:r>
      <w:r w:rsidR="00634BFE">
        <w:rPr>
          <w:rFonts w:eastAsia="SimSun"/>
          <w:lang w:eastAsia="zh-CN" w:bidi="fa-IR"/>
        </w:rPr>
        <w:t>on them</w:t>
      </w:r>
      <w:r>
        <w:rPr>
          <w:rFonts w:eastAsia="SimSun"/>
          <w:lang w:eastAsia="zh-CN" w:bidi="fa-IR"/>
        </w:rPr>
        <w:t>)</w:t>
      </w:r>
      <w:r w:rsidR="006B0D55">
        <w:rPr>
          <w:rFonts w:eastAsia="SimSun"/>
          <w:lang w:eastAsia="zh-CN" w:bidi="fa-IR"/>
        </w:rPr>
        <w:t>.</w:t>
      </w:r>
      <w:r w:rsidR="00634BFE">
        <w:rPr>
          <w:rFonts w:eastAsia="SimSun"/>
          <w:lang w:eastAsia="zh-CN" w:bidi="fa-IR"/>
        </w:rPr>
        <w:t xml:space="preserve"> </w:t>
      </w:r>
    </w:p>
    <w:p w14:paraId="2CC86CC6" w14:textId="77777777" w:rsidR="00634BFE" w:rsidRDefault="00F87039" w:rsidP="000F4B73">
      <w:pPr>
        <w:pStyle w:val="BodyText"/>
        <w:rPr>
          <w:lang w:bidi="fa-IR"/>
        </w:rPr>
      </w:pPr>
      <w:r>
        <w:rPr>
          <w:lang w:bidi="fa-IR"/>
        </w:rPr>
        <w:t>There</w:t>
      </w:r>
      <w:r w:rsidR="00387D6C">
        <w:rPr>
          <w:lang w:bidi="fa-IR"/>
        </w:rPr>
        <w:t xml:space="preserve"> </w:t>
      </w:r>
      <w:r>
        <w:rPr>
          <w:lang w:bidi="fa-IR"/>
        </w:rPr>
        <w:t xml:space="preserve">may be some restriction in consumer choice with respect to </w:t>
      </w:r>
      <w:r w:rsidR="00387D6C">
        <w:rPr>
          <w:lang w:bidi="fa-IR"/>
        </w:rPr>
        <w:t xml:space="preserve">house designs </w:t>
      </w:r>
      <w:r>
        <w:rPr>
          <w:lang w:bidi="fa-IR"/>
        </w:rPr>
        <w:t xml:space="preserve">that </w:t>
      </w:r>
      <w:r w:rsidR="006E7F19">
        <w:rPr>
          <w:lang w:bidi="fa-IR"/>
        </w:rPr>
        <w:t xml:space="preserve">may be more difficult to build following </w:t>
      </w:r>
      <w:r w:rsidR="00387D6C">
        <w:rPr>
          <w:lang w:bidi="fa-IR"/>
        </w:rPr>
        <w:t>the introduction of proposed accessible requirement</w:t>
      </w:r>
      <w:r>
        <w:rPr>
          <w:lang w:bidi="fa-IR"/>
        </w:rPr>
        <w:t>s</w:t>
      </w:r>
      <w:r w:rsidR="00387D6C">
        <w:rPr>
          <w:lang w:bidi="fa-IR"/>
        </w:rPr>
        <w:t xml:space="preserve"> in the NCC</w:t>
      </w:r>
      <w:r>
        <w:rPr>
          <w:lang w:bidi="fa-IR"/>
        </w:rPr>
        <w:t>.</w:t>
      </w:r>
      <w:r w:rsidR="00387D6C">
        <w:rPr>
          <w:lang w:bidi="fa-IR"/>
        </w:rPr>
        <w:t xml:space="preserve"> For example, split level homes, those incorporating mezzanines, pole homes and traditional Queenslanders do not lend themselves to being very accessible by the nature</w:t>
      </w:r>
      <w:r w:rsidR="00B9295E">
        <w:rPr>
          <w:lang w:bidi="fa-IR"/>
        </w:rPr>
        <w:t xml:space="preserve"> of </w:t>
      </w:r>
      <w:r>
        <w:rPr>
          <w:lang w:bidi="fa-IR"/>
        </w:rPr>
        <w:t xml:space="preserve">their </w:t>
      </w:r>
      <w:r w:rsidR="00B9295E">
        <w:rPr>
          <w:lang w:bidi="fa-IR"/>
        </w:rPr>
        <w:t>design</w:t>
      </w:r>
      <w:r w:rsidR="00387D6C">
        <w:rPr>
          <w:lang w:bidi="fa-IR"/>
        </w:rPr>
        <w:t xml:space="preserve">. This </w:t>
      </w:r>
      <w:r w:rsidR="00387D6C" w:rsidRPr="00CD5352">
        <w:rPr>
          <w:lang w:bidi="fa-IR"/>
        </w:rPr>
        <w:t>restricti</w:t>
      </w:r>
      <w:r>
        <w:rPr>
          <w:lang w:bidi="fa-IR"/>
        </w:rPr>
        <w:t>on of</w:t>
      </w:r>
      <w:r w:rsidR="00387D6C" w:rsidRPr="00CD5352">
        <w:rPr>
          <w:lang w:bidi="fa-IR"/>
        </w:rPr>
        <w:t xml:space="preserve"> consumer choices </w:t>
      </w:r>
      <w:r>
        <w:rPr>
          <w:lang w:bidi="fa-IR"/>
        </w:rPr>
        <w:t>is</w:t>
      </w:r>
      <w:r w:rsidR="00D67EE9">
        <w:rPr>
          <w:lang w:bidi="fa-IR"/>
        </w:rPr>
        <w:t xml:space="preserve"> intended to</w:t>
      </w:r>
      <w:r w:rsidR="00D67EE9" w:rsidRPr="00CD5352">
        <w:rPr>
          <w:lang w:bidi="fa-IR"/>
        </w:rPr>
        <w:t xml:space="preserve"> </w:t>
      </w:r>
      <w:r w:rsidR="00387D6C" w:rsidRPr="00CD5352">
        <w:rPr>
          <w:lang w:bidi="fa-IR"/>
        </w:rPr>
        <w:t>be alleviated through the exemption clauses to be included in the NCC.</w:t>
      </w:r>
    </w:p>
    <w:p w14:paraId="2001A719" w14:textId="77777777" w:rsidR="00387D6C" w:rsidRDefault="00C02254" w:rsidP="000F4B73">
      <w:pPr>
        <w:pStyle w:val="BodyText"/>
        <w:rPr>
          <w:lang w:bidi="fa-IR"/>
        </w:rPr>
      </w:pPr>
      <w:r>
        <w:rPr>
          <w:lang w:bidi="fa-IR"/>
        </w:rPr>
        <w:lastRenderedPageBreak/>
        <w:t>Impact on housing prices has been discussed above. Overall</w:t>
      </w:r>
      <w:r w:rsidR="00813CEB">
        <w:rPr>
          <w:lang w:bidi="fa-IR"/>
        </w:rPr>
        <w:t>,</w:t>
      </w:r>
      <w:r>
        <w:rPr>
          <w:lang w:bidi="fa-IR"/>
        </w:rPr>
        <w:t xml:space="preserve"> the price impact </w:t>
      </w:r>
      <w:r w:rsidR="00F144EA">
        <w:rPr>
          <w:lang w:bidi="fa-IR"/>
        </w:rPr>
        <w:t xml:space="preserve">of the new requirements in the NCC </w:t>
      </w:r>
      <w:r>
        <w:rPr>
          <w:lang w:bidi="fa-IR"/>
        </w:rPr>
        <w:t xml:space="preserve">is </w:t>
      </w:r>
      <w:r w:rsidR="00C2576A">
        <w:rPr>
          <w:lang w:bidi="fa-IR"/>
        </w:rPr>
        <w:t xml:space="preserve">highly dependent on the housing type and location. It could be </w:t>
      </w:r>
      <w:r>
        <w:rPr>
          <w:lang w:bidi="fa-IR"/>
        </w:rPr>
        <w:t>small</w:t>
      </w:r>
      <w:r w:rsidR="00C2576A">
        <w:rPr>
          <w:lang w:bidi="fa-IR"/>
        </w:rPr>
        <w:t xml:space="preserve"> in </w:t>
      </w:r>
      <w:r>
        <w:rPr>
          <w:lang w:bidi="fa-IR"/>
        </w:rPr>
        <w:t>metropolitan areas where the supply is more inelastic due to land use regulations.</w:t>
      </w:r>
      <w:r w:rsidR="00C2576A">
        <w:rPr>
          <w:lang w:bidi="fa-IR"/>
        </w:rPr>
        <w:t xml:space="preserve"> In other places the impact could be larger.</w:t>
      </w:r>
      <w:r w:rsidR="002475E5">
        <w:rPr>
          <w:lang w:bidi="fa-IR"/>
        </w:rPr>
        <w:t xml:space="preserve"> </w:t>
      </w:r>
      <w:r w:rsidR="00DB55E0">
        <w:rPr>
          <w:lang w:bidi="fa-IR"/>
        </w:rPr>
        <w:t>I</w:t>
      </w:r>
      <w:r w:rsidR="002475E5">
        <w:rPr>
          <w:lang w:bidi="fa-IR"/>
        </w:rPr>
        <w:t xml:space="preserve">t is not possible to </w:t>
      </w:r>
      <w:r w:rsidR="002475E5">
        <w:t>definitively state the quantum or the scale of the impact.</w:t>
      </w:r>
    </w:p>
    <w:p w14:paraId="7A742246" w14:textId="77777777" w:rsidR="00C02254" w:rsidRPr="000F4B73" w:rsidRDefault="00DB55E0" w:rsidP="000F4B73">
      <w:pPr>
        <w:pStyle w:val="BodyText"/>
        <w:rPr>
          <w:rFonts w:eastAsia="SimSun"/>
          <w:lang w:eastAsia="zh-CN" w:bidi="fa-IR"/>
        </w:rPr>
      </w:pPr>
      <w:r>
        <w:rPr>
          <w:lang w:bidi="fa-IR"/>
        </w:rPr>
        <w:t>Other than</w:t>
      </w:r>
      <w:r w:rsidR="00C02254">
        <w:rPr>
          <w:lang w:bidi="fa-IR"/>
        </w:rPr>
        <w:t xml:space="preserve"> the cost estimates presented above, there would be no loss of economic efficiency and productivity. </w:t>
      </w:r>
      <w:r>
        <w:rPr>
          <w:lang w:bidi="fa-IR"/>
        </w:rPr>
        <w:t>T</w:t>
      </w:r>
      <w:r w:rsidR="00C02254">
        <w:rPr>
          <w:lang w:bidi="fa-IR"/>
        </w:rPr>
        <w:t>he additional costs arise from the additional requirements, that is, to provide more features</w:t>
      </w:r>
      <w:r w:rsidR="006B0D55">
        <w:rPr>
          <w:lang w:bidi="fa-IR"/>
        </w:rPr>
        <w:t>. I</w:t>
      </w:r>
      <w:r w:rsidR="00B60248">
        <w:rPr>
          <w:lang w:bidi="fa-IR"/>
        </w:rPr>
        <w:t>n</w:t>
      </w:r>
      <w:r>
        <w:rPr>
          <w:lang w:bidi="fa-IR"/>
        </w:rPr>
        <w:t xml:space="preserve"> </w:t>
      </w:r>
      <w:r w:rsidR="004472E4">
        <w:rPr>
          <w:lang w:bidi="fa-IR"/>
        </w:rPr>
        <w:t xml:space="preserve">measuring the productivity as resource costs per ‘feature’ or ‘functionality’, the proposed changes would not </w:t>
      </w:r>
      <w:r>
        <w:rPr>
          <w:lang w:bidi="fa-IR"/>
        </w:rPr>
        <w:t>reduce</w:t>
      </w:r>
      <w:r w:rsidR="004472E4">
        <w:rPr>
          <w:lang w:bidi="fa-IR"/>
        </w:rPr>
        <w:t xml:space="preserve"> productivity.</w:t>
      </w:r>
    </w:p>
    <w:p w14:paraId="5453E079" w14:textId="77777777" w:rsidR="004E736E" w:rsidRPr="005331B4" w:rsidRDefault="004E736E" w:rsidP="005B0289">
      <w:pPr>
        <w:pStyle w:val="Heading1"/>
      </w:pPr>
      <w:bookmarkStart w:id="493" w:name="_Toc32321764"/>
      <w:bookmarkStart w:id="494" w:name="_Toc44598452"/>
      <w:bookmarkStart w:id="495" w:name="_Toc45654083"/>
      <w:bookmarkStart w:id="496" w:name="_Ref59702059"/>
      <w:bookmarkStart w:id="497" w:name="_Ref60090377"/>
      <w:bookmarkStart w:id="498" w:name="_Ref60147428"/>
      <w:bookmarkStart w:id="499" w:name="_Toc70505118"/>
      <w:r w:rsidRPr="006D7EDA">
        <w:lastRenderedPageBreak/>
        <w:t>Estimating the benefits</w:t>
      </w:r>
      <w:bookmarkEnd w:id="493"/>
      <w:bookmarkEnd w:id="494"/>
      <w:bookmarkEnd w:id="495"/>
      <w:bookmarkEnd w:id="496"/>
      <w:bookmarkEnd w:id="497"/>
      <w:bookmarkEnd w:id="498"/>
      <w:bookmarkEnd w:id="499"/>
    </w:p>
    <w:p w14:paraId="30D76457" w14:textId="77777777" w:rsidR="00DC4314" w:rsidRDefault="00D623B0" w:rsidP="00DC4314">
      <w:pPr>
        <w:pStyle w:val="BodyText"/>
      </w:pPr>
      <w:r w:rsidRPr="00F11742">
        <w:t xml:space="preserve">This chapter </w:t>
      </w:r>
      <w:r w:rsidR="00510B61">
        <w:t xml:space="preserve">sets out </w:t>
      </w:r>
      <w:r w:rsidRPr="00F11742">
        <w:t xml:space="preserve">the </w:t>
      </w:r>
      <w:r w:rsidR="00510B61">
        <w:t xml:space="preserve">approach to estimating </w:t>
      </w:r>
      <w:r w:rsidR="00DC4314">
        <w:t>the benefits of each of the options.</w:t>
      </w:r>
    </w:p>
    <w:p w14:paraId="5231240A" w14:textId="77777777" w:rsidR="00DC4314" w:rsidRDefault="00510B61" w:rsidP="00DC4314">
      <w:pPr>
        <w:pStyle w:val="Heading2"/>
        <w:numPr>
          <w:ilvl w:val="1"/>
          <w:numId w:val="5"/>
        </w:numPr>
      </w:pPr>
      <w:bookmarkStart w:id="500" w:name="_Toc70505119"/>
      <w:r>
        <w:t xml:space="preserve">General approach </w:t>
      </w:r>
      <w:bookmarkStart w:id="501" w:name="_Toc32321765"/>
      <w:bookmarkStart w:id="502" w:name="_Toc44598453"/>
      <w:bookmarkStart w:id="503" w:name="_Toc45654084"/>
      <w:bookmarkStart w:id="504" w:name="_Toc56174528"/>
      <w:r w:rsidR="00DC4314">
        <w:t>to estimating the benefits</w:t>
      </w:r>
      <w:bookmarkEnd w:id="500"/>
      <w:bookmarkEnd w:id="501"/>
      <w:bookmarkEnd w:id="502"/>
      <w:bookmarkEnd w:id="503"/>
      <w:bookmarkEnd w:id="504"/>
    </w:p>
    <w:p w14:paraId="42406395" w14:textId="77777777" w:rsidR="00510B61" w:rsidRDefault="00510B61" w:rsidP="00510B61">
      <w:pPr>
        <w:pStyle w:val="BodyText"/>
      </w:pPr>
      <w:r>
        <w:t xml:space="preserve">In the Consultation RIS, </w:t>
      </w:r>
      <w:r w:rsidR="007B2F9D">
        <w:t>CIE</w:t>
      </w:r>
      <w:r>
        <w:t xml:space="preserve"> estimated</w:t>
      </w:r>
      <w:r w:rsidR="00DC4314">
        <w:t xml:space="preserve"> the benefits generated by each of the options using </w:t>
      </w:r>
      <w:r>
        <w:t>two different approaches.</w:t>
      </w:r>
    </w:p>
    <w:p w14:paraId="3B391DB3" w14:textId="77777777" w:rsidR="00510B61" w:rsidRDefault="00510B61" w:rsidP="00510B61">
      <w:pPr>
        <w:pStyle w:val="ListBullet"/>
        <w:numPr>
          <w:ilvl w:val="0"/>
          <w:numId w:val="16"/>
        </w:numPr>
        <w:rPr>
          <w:lang w:bidi="fa-IR"/>
        </w:rPr>
      </w:pPr>
      <w:r>
        <w:rPr>
          <w:lang w:bidi="fa-IR"/>
        </w:rPr>
        <w:t xml:space="preserve">The central approach was </w:t>
      </w:r>
      <w:r w:rsidR="00DC4314">
        <w:rPr>
          <w:lang w:bidi="fa-IR"/>
        </w:rPr>
        <w:t xml:space="preserve">based on </w:t>
      </w:r>
      <w:r w:rsidR="001A076C">
        <w:rPr>
          <w:lang w:bidi="fa-IR"/>
        </w:rPr>
        <w:t>an</w:t>
      </w:r>
      <w:r w:rsidR="00DC4314">
        <w:rPr>
          <w:lang w:bidi="fa-IR"/>
        </w:rPr>
        <w:t xml:space="preserve"> estimate of the extent to which the proposed changes to the NCC (and other options) </w:t>
      </w:r>
      <w:r w:rsidR="001A076C">
        <w:rPr>
          <w:lang w:bidi="fa-IR"/>
        </w:rPr>
        <w:t xml:space="preserve">would be expected </w:t>
      </w:r>
      <w:r w:rsidR="00DC4314">
        <w:rPr>
          <w:lang w:bidi="fa-IR"/>
        </w:rPr>
        <w:t xml:space="preserve">to address the extent of the </w:t>
      </w:r>
      <w:r>
        <w:rPr>
          <w:lang w:bidi="fa-IR"/>
        </w:rPr>
        <w:t>problem (see</w:t>
      </w:r>
      <w:r w:rsidR="00DC4314">
        <w:rPr>
          <w:lang w:bidi="fa-IR"/>
        </w:rPr>
        <w:t xml:space="preserve"> chapter </w:t>
      </w:r>
      <w:r w:rsidR="004C7A95">
        <w:rPr>
          <w:lang w:bidi="fa-IR"/>
        </w:rPr>
        <w:t>three</w:t>
      </w:r>
      <w:r>
        <w:rPr>
          <w:lang w:bidi="fa-IR"/>
        </w:rPr>
        <w:t>).</w:t>
      </w:r>
    </w:p>
    <w:p w14:paraId="19353C50" w14:textId="77777777" w:rsidR="00510B61" w:rsidRDefault="00510B61" w:rsidP="00510B61">
      <w:pPr>
        <w:pStyle w:val="ListBullet"/>
        <w:numPr>
          <w:ilvl w:val="0"/>
          <w:numId w:val="16"/>
        </w:numPr>
        <w:rPr>
          <w:lang w:bidi="fa-IR"/>
        </w:rPr>
      </w:pPr>
      <w:r>
        <w:rPr>
          <w:lang w:bidi="fa-IR"/>
        </w:rPr>
        <w:t>The alternative</w:t>
      </w:r>
      <w:r w:rsidR="00DC4314" w:rsidRPr="00731C93">
        <w:rPr>
          <w:lang w:bidi="fa-IR"/>
        </w:rPr>
        <w:t xml:space="preserve"> approach </w:t>
      </w:r>
      <w:r>
        <w:rPr>
          <w:lang w:bidi="fa-IR"/>
        </w:rPr>
        <w:t>was based on</w:t>
      </w:r>
      <w:r w:rsidR="00DC4314" w:rsidRPr="00731C93">
        <w:rPr>
          <w:lang w:bidi="fa-IR"/>
        </w:rPr>
        <w:t xml:space="preserve"> estimates of </w:t>
      </w:r>
      <w:r>
        <w:rPr>
          <w:lang w:bidi="fa-IR"/>
        </w:rPr>
        <w:t xml:space="preserve">household willingness to pay </w:t>
      </w:r>
      <w:r w:rsidR="00DC4314" w:rsidRPr="00731C93">
        <w:rPr>
          <w:lang w:bidi="fa-IR"/>
        </w:rPr>
        <w:t xml:space="preserve">for </w:t>
      </w:r>
      <w:r>
        <w:rPr>
          <w:lang w:bidi="fa-IR"/>
        </w:rPr>
        <w:t>various accessibility features when choosing a home to buy or rent.</w:t>
      </w:r>
      <w:r w:rsidR="00DC4314">
        <w:rPr>
          <w:lang w:bidi="fa-IR"/>
        </w:rPr>
        <w:t xml:space="preserve"> These </w:t>
      </w:r>
      <w:r>
        <w:rPr>
          <w:lang w:bidi="fa-IR"/>
        </w:rPr>
        <w:t xml:space="preserve">estimates </w:t>
      </w:r>
      <w:r w:rsidR="00DC4314">
        <w:rPr>
          <w:lang w:bidi="fa-IR"/>
        </w:rPr>
        <w:t xml:space="preserve">were derived from </w:t>
      </w:r>
      <w:r>
        <w:rPr>
          <w:lang w:bidi="fa-IR"/>
        </w:rPr>
        <w:t>the</w:t>
      </w:r>
      <w:r w:rsidR="00DC4314">
        <w:rPr>
          <w:lang w:bidi="fa-IR"/>
        </w:rPr>
        <w:t xml:space="preserve"> stated preference survey</w:t>
      </w:r>
      <w:r>
        <w:rPr>
          <w:lang w:bidi="fa-IR"/>
        </w:rPr>
        <w:t xml:space="preserve"> using questions that offered hypothetical choices between homes with differing accessibility features and rents.</w:t>
      </w:r>
    </w:p>
    <w:p w14:paraId="2A578C33" w14:textId="77777777" w:rsidR="00736117" w:rsidRDefault="00736117" w:rsidP="00DC4314">
      <w:pPr>
        <w:pStyle w:val="BodyText"/>
      </w:pPr>
      <w:r>
        <w:t>T</w:t>
      </w:r>
      <w:r w:rsidR="00510B61">
        <w:t xml:space="preserve">here are inherent uncertainties associated with relying entirely on stated preference surveys. </w:t>
      </w:r>
      <w:r>
        <w:t>As pointed out by OBPR</w:t>
      </w:r>
      <w:r w:rsidR="004C0993">
        <w:t>:</w:t>
      </w:r>
      <w:r>
        <w:rPr>
          <w:rStyle w:val="FootnoteReference"/>
        </w:rPr>
        <w:footnoteReference w:id="210"/>
      </w:r>
    </w:p>
    <w:p w14:paraId="7BAA50C6" w14:textId="77777777" w:rsidR="00736117" w:rsidRDefault="00736117" w:rsidP="00736117">
      <w:pPr>
        <w:pStyle w:val="Quote"/>
      </w:pPr>
      <w:r>
        <w:t>As a general rule, estimates of individuals’ valuations of goods and services derived from observing their behaviour in markets tend to be more credible than those from survey questionnaires (Boardman et al. 2010). Observing purchasing decisions directly reveals preferences, whereas surveys elicit statements about preferences.</w:t>
      </w:r>
    </w:p>
    <w:p w14:paraId="4FE9AA60" w14:textId="77777777" w:rsidR="00DC4314" w:rsidRPr="00F11742" w:rsidRDefault="00782750" w:rsidP="00DC4314">
      <w:pPr>
        <w:pStyle w:val="BodyText"/>
        <w:rPr>
          <w:lang w:val="en-US"/>
        </w:rPr>
      </w:pPr>
      <w:r>
        <w:t>Therefore,</w:t>
      </w:r>
      <w:r w:rsidR="007B2F9D">
        <w:t xml:space="preserve"> </w:t>
      </w:r>
      <w:r w:rsidR="009D1178">
        <w:t>in this chapter,</w:t>
      </w:r>
      <w:r w:rsidR="007B2F9D">
        <w:t xml:space="preserve"> CIE</w:t>
      </w:r>
      <w:r w:rsidR="00510B61">
        <w:t xml:space="preserve"> </w:t>
      </w:r>
      <w:r w:rsidR="0060090F">
        <w:t xml:space="preserve">has adopted a methodology that </w:t>
      </w:r>
      <w:r w:rsidR="00510B61">
        <w:t>estimate</w:t>
      </w:r>
      <w:r w:rsidR="006D452F">
        <w:t>s</w:t>
      </w:r>
      <w:r w:rsidR="00510B61">
        <w:t xml:space="preserve"> the benefits </w:t>
      </w:r>
      <w:r w:rsidR="0060090F">
        <w:t xml:space="preserve">for each option </w:t>
      </w:r>
      <w:r w:rsidR="00510B61">
        <w:t>based on</w:t>
      </w:r>
      <w:r w:rsidR="00DC4314">
        <w:rPr>
          <w:lang w:bidi="fa-IR"/>
        </w:rPr>
        <w:t xml:space="preserve"> the extent to which </w:t>
      </w:r>
      <w:r w:rsidR="00510B61">
        <w:t xml:space="preserve">each option will address the problem(s) </w:t>
      </w:r>
      <w:r w:rsidR="0060090F">
        <w:t>as defined</w:t>
      </w:r>
      <w:r w:rsidR="00510B61">
        <w:t xml:space="preserve"> in chapter </w:t>
      </w:r>
      <w:r w:rsidR="004C7A95">
        <w:t>three</w:t>
      </w:r>
      <w:r w:rsidR="00510B61">
        <w:t xml:space="preserve">. </w:t>
      </w:r>
    </w:p>
    <w:p w14:paraId="5239F4D3" w14:textId="77777777" w:rsidR="00510B61" w:rsidRDefault="00023D80" w:rsidP="00F11AF4">
      <w:pPr>
        <w:pStyle w:val="Heading2"/>
        <w:numPr>
          <w:ilvl w:val="1"/>
          <w:numId w:val="5"/>
        </w:numPr>
      </w:pPr>
      <w:bookmarkStart w:id="505" w:name="_Ref61361073"/>
      <w:bookmarkStart w:id="506" w:name="_Toc70505120"/>
      <w:r>
        <w:t>Accessibility of the NCC options</w:t>
      </w:r>
      <w:bookmarkEnd w:id="505"/>
      <w:bookmarkEnd w:id="506"/>
    </w:p>
    <w:p w14:paraId="1472153A" w14:textId="77777777" w:rsidR="00510B61" w:rsidRDefault="00510B61" w:rsidP="00510B61">
      <w:pPr>
        <w:pStyle w:val="BodyText"/>
      </w:pPr>
      <w:r>
        <w:t>The Consultation RIS assumed that:</w:t>
      </w:r>
    </w:p>
    <w:p w14:paraId="77A50BFD" w14:textId="77777777" w:rsidR="0060090F" w:rsidRDefault="0060090F" w:rsidP="0060090F">
      <w:pPr>
        <w:pStyle w:val="ListBullet"/>
      </w:pPr>
      <w:r>
        <w:t>Option 1 would meet the needs (and therefore address all of the associated problems) for all people with accessibility issues, except for wheelchair users.</w:t>
      </w:r>
    </w:p>
    <w:p w14:paraId="11C9D26A" w14:textId="77777777" w:rsidR="00510B61" w:rsidRDefault="00510B61" w:rsidP="00510B61">
      <w:pPr>
        <w:pStyle w:val="ListBullet"/>
      </w:pPr>
      <w:r>
        <w:t xml:space="preserve">Options 2 and 3 would meet the needs (and therefore address all of the </w:t>
      </w:r>
      <w:r w:rsidR="00736117">
        <w:t>associat</w:t>
      </w:r>
      <w:r>
        <w:t>ed problems) of all people with accessibility needs</w:t>
      </w:r>
      <w:r w:rsidR="0060090F">
        <w:t>.</w:t>
      </w:r>
    </w:p>
    <w:p w14:paraId="0699D666" w14:textId="77777777" w:rsidR="00510B61" w:rsidRDefault="00510B61" w:rsidP="00E23BB8">
      <w:pPr>
        <w:pStyle w:val="BodyText"/>
      </w:pPr>
      <w:r>
        <w:t xml:space="preserve">However, </w:t>
      </w:r>
      <w:r w:rsidR="00107D25">
        <w:t xml:space="preserve">feedback </w:t>
      </w:r>
      <w:r w:rsidR="00E701E6">
        <w:t xml:space="preserve">from </w:t>
      </w:r>
      <w:r w:rsidR="00107D25">
        <w:t xml:space="preserve">stakeholders during </w:t>
      </w:r>
      <w:r w:rsidR="00E701E6">
        <w:t xml:space="preserve">consultations and </w:t>
      </w:r>
      <w:r w:rsidR="00107D25">
        <w:t>associated further review of available data</w:t>
      </w:r>
      <w:r w:rsidR="00E701E6">
        <w:t xml:space="preserve"> suggests these assumptions may </w:t>
      </w:r>
      <w:r w:rsidR="00B636D3">
        <w:t xml:space="preserve">not necessarily be an accurate reflection </w:t>
      </w:r>
      <w:r w:rsidR="00B636D3">
        <w:lastRenderedPageBreak/>
        <w:t xml:space="preserve">of </w:t>
      </w:r>
      <w:r w:rsidR="00E701E6">
        <w:t xml:space="preserve">the benefits created </w:t>
      </w:r>
      <w:r w:rsidR="00B636D3">
        <w:t>in all circumstances</w:t>
      </w:r>
      <w:r w:rsidR="00E701E6">
        <w:t>.</w:t>
      </w:r>
      <w:r w:rsidR="00E23BB8">
        <w:t xml:space="preserve"> </w:t>
      </w:r>
      <w:r w:rsidR="00107D25">
        <w:t>Stakeholder</w:t>
      </w:r>
      <w:r>
        <w:t xml:space="preserve"> submissions made the following </w:t>
      </w:r>
      <w:r w:rsidR="00107D25">
        <w:t>point</w:t>
      </w:r>
      <w:r>
        <w:t>s:</w:t>
      </w:r>
    </w:p>
    <w:p w14:paraId="56C2A8C5" w14:textId="77777777" w:rsidR="00510B61" w:rsidRDefault="00510B61" w:rsidP="00510B61">
      <w:pPr>
        <w:pStyle w:val="ListBullet"/>
      </w:pPr>
      <w:r>
        <w:t>A dwelling needs</w:t>
      </w:r>
      <w:r w:rsidR="00DC4314">
        <w:rPr>
          <w:lang w:bidi="fa-IR"/>
        </w:rPr>
        <w:t xml:space="preserve"> to </w:t>
      </w:r>
      <w:r>
        <w:t xml:space="preserve">have all of the relevant features to be ‘accessible’. Under this view, a dwelling is either accessible or it is not (i.e. a dwelling cannot be a ‘bit accessible’). </w:t>
      </w:r>
      <w:r w:rsidR="000074B1">
        <w:t>For example, ANUHD</w:t>
      </w:r>
      <w:r w:rsidR="004C0993">
        <w:t xml:space="preserve"> (</w:t>
      </w:r>
      <w:r w:rsidR="000074B1">
        <w:t>supported by other stakeholders</w:t>
      </w:r>
      <w:r w:rsidR="004C0993">
        <w:t>)</w:t>
      </w:r>
      <w:r w:rsidR="000074B1">
        <w:t>, notes that the features only create benefits when provided as a ‘coherent suite’, not as individual items.</w:t>
      </w:r>
      <w:r w:rsidR="000074B1">
        <w:rPr>
          <w:rStyle w:val="FootnoteReference"/>
        </w:rPr>
        <w:footnoteReference w:id="211"/>
      </w:r>
    </w:p>
    <w:p w14:paraId="04D183BB" w14:textId="77777777" w:rsidR="00510B61" w:rsidRDefault="00510B61" w:rsidP="00510B61">
      <w:pPr>
        <w:pStyle w:val="ListBullet"/>
      </w:pPr>
      <w:r>
        <w:t xml:space="preserve">Option 1 (Silver) does not have all of the relevant features and cannot therefore be considered ‘accessible’. This is reflected in a strong preference for Option 2 over Option 1 (see chapter </w:t>
      </w:r>
      <w:r w:rsidR="004C7A95">
        <w:t>four</w:t>
      </w:r>
      <w:r>
        <w:t>).</w:t>
      </w:r>
    </w:p>
    <w:p w14:paraId="74B76191" w14:textId="77777777" w:rsidR="00510B61" w:rsidRDefault="00510B61" w:rsidP="00510B61">
      <w:pPr>
        <w:pStyle w:val="BodyText"/>
      </w:pPr>
      <w:r>
        <w:t xml:space="preserve">Together these arguments could be interpreted as </w:t>
      </w:r>
      <w:r w:rsidR="00E23BB8">
        <w:t>mean</w:t>
      </w:r>
      <w:r>
        <w:t>ing that a dwelling that complies with Option 1 would deliver no benefits.</w:t>
      </w:r>
    </w:p>
    <w:p w14:paraId="3A26E034" w14:textId="77777777" w:rsidR="00510B61" w:rsidRDefault="00510B61" w:rsidP="00510B61">
      <w:pPr>
        <w:pStyle w:val="BodyText"/>
      </w:pPr>
      <w:r>
        <w:t xml:space="preserve">Although some people may require all accessibility features, there is also evidence to suggest that not </w:t>
      </w:r>
      <w:r w:rsidR="00F737AF">
        <w:t>everyone</w:t>
      </w:r>
      <w:r>
        <w:t xml:space="preserve"> with accessibility needs require all features provided under the NCC proposal for a dwelling to meet their needs.</w:t>
      </w:r>
    </w:p>
    <w:p w14:paraId="0073ED5B" w14:textId="77777777" w:rsidR="00E23BB8" w:rsidRDefault="00E23BB8" w:rsidP="00510B61">
      <w:pPr>
        <w:pStyle w:val="ListBullet"/>
        <w:rPr>
          <w:lang w:bidi="fa-IR"/>
        </w:rPr>
      </w:pPr>
      <w:r>
        <w:rPr>
          <w:lang w:bidi="fa-IR"/>
        </w:rPr>
        <w:t>According to the</w:t>
      </w:r>
      <w:r w:rsidR="00510B61">
        <w:rPr>
          <w:lang w:bidi="fa-IR"/>
        </w:rPr>
        <w:t xml:space="preserve"> MDI</w:t>
      </w:r>
      <w:r w:rsidR="00DC4314">
        <w:rPr>
          <w:lang w:bidi="fa-IR"/>
        </w:rPr>
        <w:t xml:space="preserve"> survey</w:t>
      </w:r>
      <w:r>
        <w:rPr>
          <w:lang w:bidi="fa-IR"/>
        </w:rPr>
        <w:t>, a significant share of respondents rated their dwelling as ‘accessible’ even though the dwelling did not have all of the relevant features.</w:t>
      </w:r>
    </w:p>
    <w:p w14:paraId="7A6573F4" w14:textId="77777777" w:rsidR="00510B61" w:rsidRDefault="00E23BB8" w:rsidP="00E23BB8">
      <w:pPr>
        <w:pStyle w:val="ListBullet2"/>
        <w:rPr>
          <w:lang w:bidi="fa-IR"/>
        </w:rPr>
      </w:pPr>
      <w:r>
        <w:rPr>
          <w:lang w:bidi="fa-IR"/>
        </w:rPr>
        <w:t>For example,</w:t>
      </w:r>
      <w:r w:rsidR="00DC4314">
        <w:rPr>
          <w:lang w:bidi="fa-IR"/>
        </w:rPr>
        <w:t xml:space="preserve"> </w:t>
      </w:r>
      <w:r w:rsidR="00510B61">
        <w:rPr>
          <w:lang w:bidi="fa-IR"/>
        </w:rPr>
        <w:t>more than 40 per cent of homes were self</w:t>
      </w:r>
      <w:r w:rsidR="00510B61">
        <w:rPr>
          <w:lang w:bidi="fa-IR"/>
        </w:rPr>
        <w:noBreakHyphen/>
        <w:t xml:space="preserve">rated as ‘accessible’ by people with limited mobility, even though they did not have </w:t>
      </w:r>
      <w:r>
        <w:rPr>
          <w:lang w:bidi="fa-IR"/>
        </w:rPr>
        <w:t xml:space="preserve">at least one </w:t>
      </w:r>
      <w:r w:rsidR="00510B61">
        <w:rPr>
          <w:lang w:bidi="fa-IR"/>
        </w:rPr>
        <w:t>step</w:t>
      </w:r>
      <w:r w:rsidR="00510B61">
        <w:rPr>
          <w:lang w:bidi="fa-IR"/>
        </w:rPr>
        <w:noBreakHyphen/>
        <w:t xml:space="preserve">free </w:t>
      </w:r>
      <w:r>
        <w:rPr>
          <w:lang w:bidi="fa-IR"/>
        </w:rPr>
        <w:t>entrance</w:t>
      </w:r>
      <w:r w:rsidR="00510B61">
        <w:rPr>
          <w:lang w:bidi="fa-IR"/>
        </w:rPr>
        <w:t>.</w:t>
      </w:r>
    </w:p>
    <w:p w14:paraId="211E44D1" w14:textId="77777777" w:rsidR="00E23BB8" w:rsidRDefault="00E23BB8" w:rsidP="00E23BB8">
      <w:pPr>
        <w:pStyle w:val="ListBullet2"/>
        <w:rPr>
          <w:lang w:bidi="fa-IR"/>
        </w:rPr>
      </w:pPr>
      <w:r>
        <w:rPr>
          <w:lang w:bidi="fa-IR"/>
        </w:rPr>
        <w:t>Similarly, not all dwellings that were self</w:t>
      </w:r>
      <w:r>
        <w:rPr>
          <w:lang w:bidi="fa-IR"/>
        </w:rPr>
        <w:noBreakHyphen/>
        <w:t>rated as accessible had other relevant features (including safe continuous step-free path from the street or parking to the entrance and a hobless shower).</w:t>
      </w:r>
    </w:p>
    <w:p w14:paraId="2142B79B" w14:textId="77777777" w:rsidR="00510B61" w:rsidRPr="00E701E6" w:rsidRDefault="00E701E6" w:rsidP="00510B61">
      <w:pPr>
        <w:pStyle w:val="ListBullet"/>
        <w:rPr>
          <w:lang w:bidi="fa-IR"/>
        </w:rPr>
      </w:pPr>
      <w:r w:rsidRPr="00E701E6">
        <w:rPr>
          <w:lang w:bidi="fa-IR"/>
        </w:rPr>
        <w:t xml:space="preserve">The SDAC </w:t>
      </w:r>
      <w:r w:rsidR="00E23BB8">
        <w:rPr>
          <w:lang w:bidi="fa-IR"/>
        </w:rPr>
        <w:t>data also</w:t>
      </w:r>
      <w:r w:rsidRPr="00E701E6">
        <w:rPr>
          <w:lang w:bidi="fa-IR"/>
        </w:rPr>
        <w:t xml:space="preserve"> suggests that </w:t>
      </w:r>
      <w:r w:rsidR="00F26087">
        <w:rPr>
          <w:lang w:bidi="fa-IR"/>
        </w:rPr>
        <w:t>when homes are modified to meet accessibility needs, not all of the features included in the NCC proposal appear to be provided.</w:t>
      </w:r>
    </w:p>
    <w:p w14:paraId="178A7932" w14:textId="77777777" w:rsidR="00E701E6" w:rsidRDefault="00F26087" w:rsidP="00E701E6">
      <w:pPr>
        <w:pStyle w:val="ListBullet2"/>
        <w:rPr>
          <w:lang w:bidi="fa-IR"/>
        </w:rPr>
      </w:pPr>
      <w:r>
        <w:rPr>
          <w:lang w:bidi="fa-IR"/>
        </w:rPr>
        <w:t xml:space="preserve">For example, </w:t>
      </w:r>
      <w:r w:rsidR="000074B1">
        <w:rPr>
          <w:lang w:bidi="fa-IR"/>
        </w:rPr>
        <w:t xml:space="preserve">only </w:t>
      </w:r>
      <w:r w:rsidR="00E701E6">
        <w:rPr>
          <w:lang w:bidi="fa-IR"/>
        </w:rPr>
        <w:t xml:space="preserve">60 per cent of electric wheelchair users </w:t>
      </w:r>
      <w:r w:rsidR="001A076C" w:rsidRPr="001A076C">
        <w:rPr>
          <w:lang w:bidi="fa-IR"/>
        </w:rPr>
        <w:t xml:space="preserve">and only 20 per cent of people who use walking sticks </w:t>
      </w:r>
      <w:r w:rsidR="00E701E6">
        <w:rPr>
          <w:lang w:bidi="fa-IR"/>
        </w:rPr>
        <w:t xml:space="preserve">implement toilet, bath or laundry modifications, </w:t>
      </w:r>
      <w:r>
        <w:rPr>
          <w:lang w:bidi="fa-IR"/>
        </w:rPr>
        <w:t>(t</w:t>
      </w:r>
      <w:r w:rsidRPr="000074B1">
        <w:rPr>
          <w:lang w:bidi="fa-IR"/>
        </w:rPr>
        <w:t>able 7.1</w:t>
      </w:r>
      <w:r>
        <w:rPr>
          <w:lang w:bidi="fa-IR"/>
        </w:rPr>
        <w:t>)</w:t>
      </w:r>
      <w:r w:rsidR="000074B1">
        <w:rPr>
          <w:lang w:bidi="fa-IR"/>
        </w:rPr>
        <w:t>.</w:t>
      </w:r>
    </w:p>
    <w:p w14:paraId="36583C5F" w14:textId="77777777" w:rsidR="00E701E6" w:rsidRDefault="00F26087" w:rsidP="00E701E6">
      <w:pPr>
        <w:pStyle w:val="ListBullet2"/>
        <w:rPr>
          <w:lang w:bidi="fa-IR"/>
        </w:rPr>
      </w:pPr>
      <w:r>
        <w:rPr>
          <w:lang w:bidi="fa-IR"/>
        </w:rPr>
        <w:t xml:space="preserve">In general the prevalence rate is low. However some types of modifications are more prevalent than others. </w:t>
      </w:r>
      <w:r w:rsidR="00E701E6">
        <w:rPr>
          <w:lang w:bidi="fa-IR"/>
        </w:rPr>
        <w:t>For example, toilet</w:t>
      </w:r>
      <w:r w:rsidR="00E23BB8">
        <w:rPr>
          <w:lang w:bidi="fa-IR"/>
        </w:rPr>
        <w:t>,</w:t>
      </w:r>
      <w:r w:rsidR="00E701E6">
        <w:rPr>
          <w:lang w:bidi="fa-IR"/>
        </w:rPr>
        <w:t xml:space="preserve"> bathroom and laundry modifications are the most prevalent, followed by ramps. In contrast, door widening and kitchen modifications have a much lower level of prevalence. </w:t>
      </w:r>
    </w:p>
    <w:p w14:paraId="7210CDBE" w14:textId="77777777" w:rsidR="00E701E6" w:rsidRDefault="00E23BB8" w:rsidP="00E701E6">
      <w:pPr>
        <w:pStyle w:val="BodyText"/>
      </w:pPr>
      <w:r>
        <w:t>While this</w:t>
      </w:r>
      <w:r w:rsidR="00E701E6">
        <w:t xml:space="preserve"> data may be consistent with the</w:t>
      </w:r>
      <w:r w:rsidR="000074B1">
        <w:t xml:space="preserve"> proposition that</w:t>
      </w:r>
      <w:r w:rsidR="00E701E6">
        <w:t xml:space="preserve"> </w:t>
      </w:r>
      <w:r w:rsidR="000074B1">
        <w:t xml:space="preserve">some proposed features </w:t>
      </w:r>
      <w:r w:rsidR="00E701E6">
        <w:t>are not essential</w:t>
      </w:r>
      <w:r w:rsidR="00F26087">
        <w:t>,</w:t>
      </w:r>
      <w:r w:rsidR="00E701E6">
        <w:t xml:space="preserve"> data on modifications must be interpreted carefully because many people who require modifications may be budget constrained</w:t>
      </w:r>
      <w:r w:rsidR="005B1D53">
        <w:t xml:space="preserve"> (and government subsidy programmes often have strict eligibility requirements), </w:t>
      </w:r>
      <w:r w:rsidR="00F26087">
        <w:t xml:space="preserve">and </w:t>
      </w:r>
      <w:r w:rsidR="005B1D53">
        <w:t>the</w:t>
      </w:r>
      <w:r w:rsidR="00F26087">
        <w:t>refore</w:t>
      </w:r>
      <w:r w:rsidR="005B1D53">
        <w:t xml:space="preserve"> </w:t>
      </w:r>
      <w:r w:rsidR="00F26087">
        <w:t xml:space="preserve">are </w:t>
      </w:r>
      <w:r w:rsidR="005B1D53">
        <w:t>not able to make modifications that they want and need</w:t>
      </w:r>
      <w:r w:rsidR="00E701E6">
        <w:t xml:space="preserve">. </w:t>
      </w:r>
    </w:p>
    <w:p w14:paraId="09B1EBEF" w14:textId="335F6A9D" w:rsidR="00E701E6" w:rsidRDefault="00490F02" w:rsidP="00E701E6">
      <w:pPr>
        <w:pStyle w:val="Caption"/>
      </w:pPr>
      <w:bookmarkStart w:id="507" w:name="_Toc70505582"/>
      <w:r>
        <w:lastRenderedPageBreak/>
        <w:t>7.1</w:t>
      </w:r>
      <w:r w:rsidR="00E701E6" w:rsidRPr="00695C93">
        <w:tab/>
      </w:r>
      <w:r w:rsidR="00E701E6">
        <w:t>Prevalence of modifications, by selected mobility aids</w:t>
      </w:r>
      <w:bookmarkEnd w:id="507"/>
      <w:r w:rsidR="00E701E6">
        <w:t xml:space="preserve"> </w:t>
      </w:r>
    </w:p>
    <w:tbl>
      <w:tblPr>
        <w:tblW w:w="8120" w:type="dxa"/>
        <w:tblLook w:val="04A0" w:firstRow="1" w:lastRow="0" w:firstColumn="1" w:lastColumn="0" w:noHBand="0" w:noVBand="1"/>
        <w:tblCaption w:val="Table 7.1: Prevalence of modifications, by selected mobility aids "/>
        <w:tblDescription w:val="Table 7.1 lists mobility aids (electric wheelchair, manual wheelchair, walking frame, walking stick) and  types of modifications (toilet/bath/laundry modifications, ramps, structural changes, doors widened, kitchen modifications). For each type of mobility aid and each type of modification, the data is the number of people who implement the relevant modification, divided by the number of people who use the relevant aid. For example, 60% of people who use electric wheelchairs have toilet, bath or laundry modifications, compared with only 20% of people who use a walking stick. "/>
      </w:tblPr>
      <w:tblGrid>
        <w:gridCol w:w="1524"/>
        <w:gridCol w:w="1384"/>
        <w:gridCol w:w="1073"/>
        <w:gridCol w:w="1073"/>
        <w:gridCol w:w="1715"/>
        <w:gridCol w:w="1351"/>
      </w:tblGrid>
      <w:tr w:rsidR="00E701E6" w:rsidRPr="00D5489D" w14:paraId="538544FB" w14:textId="77777777" w:rsidTr="00E701E6">
        <w:trPr>
          <w:trHeight w:val="250"/>
        </w:trPr>
        <w:tc>
          <w:tcPr>
            <w:tcW w:w="1524" w:type="dxa"/>
            <w:tcBorders>
              <w:bottom w:val="single" w:sz="8" w:space="0" w:color="FFFFFF" w:themeColor="background1"/>
            </w:tcBorders>
            <w:shd w:val="clear" w:color="auto" w:fill="6F6652"/>
            <w:noWrap/>
            <w:tcMar>
              <w:left w:w="57" w:type="dxa"/>
              <w:right w:w="57" w:type="dxa"/>
            </w:tcMar>
            <w:hideMark/>
          </w:tcPr>
          <w:p w14:paraId="09B4F7AF" w14:textId="77777777" w:rsidR="00E701E6" w:rsidRPr="00D5489D" w:rsidRDefault="00E24C3A" w:rsidP="00E24C3A">
            <w:pPr>
              <w:pStyle w:val="TableDataColumnHeading"/>
              <w:jc w:val="left"/>
            </w:pPr>
            <w:r>
              <w:t>Mobility aid</w:t>
            </w:r>
          </w:p>
        </w:tc>
        <w:tc>
          <w:tcPr>
            <w:tcW w:w="1384" w:type="dxa"/>
            <w:tcBorders>
              <w:bottom w:val="single" w:sz="8" w:space="0" w:color="FFFFFF" w:themeColor="background1"/>
            </w:tcBorders>
            <w:shd w:val="clear" w:color="auto" w:fill="6F6652"/>
            <w:noWrap/>
            <w:tcMar>
              <w:left w:w="57" w:type="dxa"/>
              <w:right w:w="57" w:type="dxa"/>
            </w:tcMar>
            <w:hideMark/>
          </w:tcPr>
          <w:p w14:paraId="7E8EAF77" w14:textId="77777777" w:rsidR="00E701E6" w:rsidRPr="000B77E0" w:rsidRDefault="00E701E6" w:rsidP="00E701E6">
            <w:pPr>
              <w:pStyle w:val="TableDataColumnHeading"/>
            </w:pPr>
            <w:r w:rsidRPr="000B77E0">
              <w:t>Toilet, bath or laundry modifications</w:t>
            </w:r>
          </w:p>
        </w:tc>
        <w:tc>
          <w:tcPr>
            <w:tcW w:w="1073" w:type="dxa"/>
            <w:tcBorders>
              <w:bottom w:val="single" w:sz="8" w:space="0" w:color="FFFFFF" w:themeColor="background1"/>
            </w:tcBorders>
            <w:shd w:val="clear" w:color="auto" w:fill="6F6652"/>
            <w:noWrap/>
            <w:tcMar>
              <w:left w:w="57" w:type="dxa"/>
              <w:right w:w="57" w:type="dxa"/>
            </w:tcMar>
            <w:hideMark/>
          </w:tcPr>
          <w:p w14:paraId="42EE5F97" w14:textId="77777777" w:rsidR="00E701E6" w:rsidRPr="000B77E0" w:rsidRDefault="00E701E6" w:rsidP="00E701E6">
            <w:pPr>
              <w:pStyle w:val="TableDataColumnHeading"/>
            </w:pPr>
            <w:r w:rsidRPr="000B77E0">
              <w:t>Ramps</w:t>
            </w:r>
          </w:p>
        </w:tc>
        <w:tc>
          <w:tcPr>
            <w:tcW w:w="1073" w:type="dxa"/>
            <w:tcBorders>
              <w:bottom w:val="single" w:sz="8" w:space="0" w:color="FFFFFF" w:themeColor="background1"/>
            </w:tcBorders>
            <w:shd w:val="clear" w:color="auto" w:fill="6F6652"/>
            <w:noWrap/>
            <w:tcMar>
              <w:left w:w="57" w:type="dxa"/>
              <w:right w:w="57" w:type="dxa"/>
            </w:tcMar>
            <w:hideMark/>
          </w:tcPr>
          <w:p w14:paraId="4DD60B55" w14:textId="77777777" w:rsidR="00E701E6" w:rsidRPr="000B77E0" w:rsidRDefault="00E701E6" w:rsidP="00E701E6">
            <w:pPr>
              <w:pStyle w:val="TableDataColumnHeading"/>
            </w:pPr>
            <w:r w:rsidRPr="000B77E0">
              <w:t>Structural changes</w:t>
            </w:r>
          </w:p>
        </w:tc>
        <w:tc>
          <w:tcPr>
            <w:tcW w:w="1715" w:type="dxa"/>
            <w:tcBorders>
              <w:bottom w:val="single" w:sz="8" w:space="0" w:color="FFFFFF" w:themeColor="background1"/>
            </w:tcBorders>
            <w:shd w:val="clear" w:color="auto" w:fill="6F6652"/>
            <w:noWrap/>
            <w:tcMar>
              <w:left w:w="57" w:type="dxa"/>
              <w:right w:w="57" w:type="dxa"/>
            </w:tcMar>
            <w:hideMark/>
          </w:tcPr>
          <w:p w14:paraId="277D8FCD" w14:textId="77777777" w:rsidR="00E701E6" w:rsidRPr="000B77E0" w:rsidRDefault="00E701E6" w:rsidP="00E701E6">
            <w:pPr>
              <w:pStyle w:val="TableDataColumnHeading"/>
            </w:pPr>
            <w:r w:rsidRPr="000B77E0">
              <w:t xml:space="preserve">Doors </w:t>
            </w:r>
            <w:r w:rsidRPr="00D5489D">
              <w:t>widened</w:t>
            </w:r>
          </w:p>
        </w:tc>
        <w:tc>
          <w:tcPr>
            <w:tcW w:w="1351" w:type="dxa"/>
            <w:tcBorders>
              <w:bottom w:val="single" w:sz="8" w:space="0" w:color="FFFFFF" w:themeColor="background1"/>
            </w:tcBorders>
            <w:shd w:val="clear" w:color="auto" w:fill="6F6652"/>
            <w:noWrap/>
            <w:tcMar>
              <w:left w:w="57" w:type="dxa"/>
              <w:right w:w="57" w:type="dxa"/>
            </w:tcMar>
            <w:hideMark/>
          </w:tcPr>
          <w:p w14:paraId="17026FBC" w14:textId="77777777" w:rsidR="00E701E6" w:rsidRPr="000B77E0" w:rsidRDefault="00E701E6" w:rsidP="00E701E6">
            <w:pPr>
              <w:pStyle w:val="TableDataColumnHeading"/>
            </w:pPr>
            <w:r w:rsidRPr="000B77E0">
              <w:t>Kitchen modifications</w:t>
            </w:r>
          </w:p>
        </w:tc>
      </w:tr>
      <w:tr w:rsidR="00E701E6" w:rsidRPr="00D5489D" w14:paraId="276C75D6" w14:textId="77777777" w:rsidTr="00E701E6">
        <w:trPr>
          <w:trHeight w:val="250"/>
        </w:trPr>
        <w:tc>
          <w:tcPr>
            <w:tcW w:w="15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B4282D" w14:textId="77777777" w:rsidR="00E701E6" w:rsidRPr="00D5489D" w:rsidRDefault="00E701E6" w:rsidP="00E701E6">
            <w:pPr>
              <w:pStyle w:val="TableUnit"/>
              <w:jc w:val="left"/>
            </w:pPr>
            <w:r w:rsidRPr="00D5489D">
              <w:t>E</w:t>
            </w:r>
            <w:r w:rsidR="00E24C3A">
              <w:t>lectric</w:t>
            </w:r>
            <w:r w:rsidRPr="00D5489D">
              <w:t xml:space="preserve"> </w:t>
            </w:r>
            <w:r w:rsidR="00E24C3A">
              <w:t>w</w:t>
            </w:r>
            <w:r w:rsidRPr="00D5489D">
              <w:t>heelchair</w:t>
            </w:r>
          </w:p>
        </w:tc>
        <w:tc>
          <w:tcPr>
            <w:tcW w:w="13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761BC4" w14:textId="77777777" w:rsidR="00E701E6" w:rsidRPr="00D5489D" w:rsidRDefault="00E701E6" w:rsidP="00E701E6">
            <w:pPr>
              <w:pStyle w:val="TableUnit"/>
            </w:pPr>
            <w:r w:rsidRPr="00D5489D">
              <w:t>0.6</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140ABD" w14:textId="77777777" w:rsidR="00E701E6" w:rsidRPr="00D5489D" w:rsidRDefault="00E701E6" w:rsidP="00E701E6">
            <w:pPr>
              <w:pStyle w:val="TableUnit"/>
            </w:pPr>
            <w:r w:rsidRPr="00D5489D">
              <w:t>0.5</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ECDB02" w14:textId="77777777" w:rsidR="00E701E6" w:rsidRPr="00D5489D" w:rsidRDefault="00E701E6" w:rsidP="00E701E6">
            <w:pPr>
              <w:pStyle w:val="TableUnit"/>
            </w:pPr>
            <w:r w:rsidRPr="00D5489D">
              <w:t>0.3</w:t>
            </w:r>
          </w:p>
        </w:tc>
        <w:tc>
          <w:tcPr>
            <w:tcW w:w="17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9AE094" w14:textId="77777777" w:rsidR="00E701E6" w:rsidRPr="00D5489D" w:rsidRDefault="00E701E6" w:rsidP="00E701E6">
            <w:pPr>
              <w:pStyle w:val="TableUnit"/>
            </w:pPr>
            <w:r w:rsidRPr="00D5489D">
              <w:t>0.3</w:t>
            </w:r>
          </w:p>
        </w:tc>
        <w:tc>
          <w:tcPr>
            <w:tcW w:w="13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A64331" w14:textId="77777777" w:rsidR="00E701E6" w:rsidRPr="00D5489D" w:rsidRDefault="00E701E6" w:rsidP="00E701E6">
            <w:pPr>
              <w:pStyle w:val="TableUnit"/>
            </w:pPr>
            <w:r w:rsidRPr="00D5489D">
              <w:t>0.2</w:t>
            </w:r>
          </w:p>
        </w:tc>
      </w:tr>
      <w:tr w:rsidR="00E701E6" w:rsidRPr="00D5489D" w14:paraId="4A228B4D" w14:textId="77777777" w:rsidTr="00E701E6">
        <w:trPr>
          <w:trHeight w:val="250"/>
        </w:trPr>
        <w:tc>
          <w:tcPr>
            <w:tcW w:w="15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F164B5" w14:textId="77777777" w:rsidR="00E701E6" w:rsidRPr="00D5489D" w:rsidRDefault="00E701E6" w:rsidP="00E701E6">
            <w:pPr>
              <w:pStyle w:val="TableDataEntries"/>
              <w:jc w:val="left"/>
            </w:pPr>
            <w:r w:rsidRPr="00D5489D">
              <w:t>M</w:t>
            </w:r>
            <w:r w:rsidR="00E24C3A">
              <w:t>anual</w:t>
            </w:r>
            <w:r w:rsidRPr="00D5489D">
              <w:t xml:space="preserve"> </w:t>
            </w:r>
            <w:r w:rsidR="00E24C3A">
              <w:t>w</w:t>
            </w:r>
            <w:r w:rsidRPr="00D5489D">
              <w:t>heelchair</w:t>
            </w:r>
          </w:p>
        </w:tc>
        <w:tc>
          <w:tcPr>
            <w:tcW w:w="13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B13367" w14:textId="77777777" w:rsidR="00E701E6" w:rsidRPr="00D5489D" w:rsidRDefault="00E701E6" w:rsidP="00E701E6">
            <w:pPr>
              <w:pStyle w:val="TableDataEntries"/>
            </w:pPr>
            <w:r w:rsidRPr="00D5489D">
              <w:t>0.4</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0DEF17" w14:textId="77777777" w:rsidR="00E701E6" w:rsidRPr="00D5489D" w:rsidRDefault="00E701E6" w:rsidP="00E701E6">
            <w:pPr>
              <w:pStyle w:val="TableDataEntries"/>
            </w:pPr>
            <w:r w:rsidRPr="00D5489D">
              <w:t>0.3</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9A208A" w14:textId="77777777" w:rsidR="00E701E6" w:rsidRPr="00D5489D" w:rsidRDefault="00E701E6" w:rsidP="00E701E6">
            <w:pPr>
              <w:pStyle w:val="TableDataEntries"/>
            </w:pPr>
            <w:r w:rsidRPr="00D5489D">
              <w:t>0.1</w:t>
            </w:r>
          </w:p>
        </w:tc>
        <w:tc>
          <w:tcPr>
            <w:tcW w:w="17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DF5081" w14:textId="77777777" w:rsidR="00E701E6" w:rsidRPr="00D5489D" w:rsidRDefault="00E701E6" w:rsidP="00E701E6">
            <w:pPr>
              <w:pStyle w:val="TableDataEntries"/>
            </w:pPr>
            <w:r w:rsidRPr="00D5489D">
              <w:t>0.1</w:t>
            </w:r>
          </w:p>
        </w:tc>
        <w:tc>
          <w:tcPr>
            <w:tcW w:w="13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206729" w14:textId="77777777" w:rsidR="00E701E6" w:rsidRPr="00D5489D" w:rsidRDefault="00E701E6" w:rsidP="00E701E6">
            <w:pPr>
              <w:pStyle w:val="TableDataEntries"/>
            </w:pPr>
            <w:r w:rsidRPr="00D5489D">
              <w:t>0.1</w:t>
            </w:r>
          </w:p>
        </w:tc>
      </w:tr>
      <w:tr w:rsidR="00E701E6" w:rsidRPr="00D5489D" w14:paraId="62D27B60" w14:textId="77777777" w:rsidTr="00E701E6">
        <w:trPr>
          <w:trHeight w:val="250"/>
        </w:trPr>
        <w:tc>
          <w:tcPr>
            <w:tcW w:w="15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46E908" w14:textId="77777777" w:rsidR="00E701E6" w:rsidRPr="00D5489D" w:rsidRDefault="00E701E6" w:rsidP="00E701E6">
            <w:pPr>
              <w:pStyle w:val="TableDataEntries"/>
              <w:jc w:val="left"/>
            </w:pPr>
            <w:r w:rsidRPr="00D5489D">
              <w:t>Walking frame</w:t>
            </w:r>
          </w:p>
        </w:tc>
        <w:tc>
          <w:tcPr>
            <w:tcW w:w="13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66AC7F" w14:textId="77777777" w:rsidR="00E701E6" w:rsidRPr="00D5489D" w:rsidRDefault="00E701E6" w:rsidP="00E701E6">
            <w:pPr>
              <w:pStyle w:val="TableDataEntries"/>
            </w:pPr>
            <w:r w:rsidRPr="00D5489D">
              <w:t>0.3</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F4871C" w14:textId="77777777" w:rsidR="00E701E6" w:rsidRPr="00D5489D" w:rsidRDefault="00E701E6" w:rsidP="00E701E6">
            <w:pPr>
              <w:pStyle w:val="TableDataEntries"/>
            </w:pPr>
            <w:r w:rsidRPr="00D5489D">
              <w:t>0.2</w:t>
            </w:r>
          </w:p>
        </w:tc>
        <w:tc>
          <w:tcPr>
            <w:tcW w:w="107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F02A7E" w14:textId="77777777" w:rsidR="00E701E6" w:rsidRPr="00D5489D" w:rsidRDefault="00E701E6" w:rsidP="00E701E6">
            <w:pPr>
              <w:pStyle w:val="TableDataEntries"/>
            </w:pPr>
            <w:r w:rsidRPr="00D5489D">
              <w:t>0.1</w:t>
            </w:r>
          </w:p>
        </w:tc>
        <w:tc>
          <w:tcPr>
            <w:tcW w:w="17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9AFE24" w14:textId="77777777" w:rsidR="00E701E6" w:rsidRPr="00D5489D" w:rsidRDefault="00E701E6" w:rsidP="00E701E6">
            <w:pPr>
              <w:pStyle w:val="TableDataEntries"/>
            </w:pPr>
            <w:r w:rsidRPr="00D5489D">
              <w:t>0.0</w:t>
            </w:r>
          </w:p>
        </w:tc>
        <w:tc>
          <w:tcPr>
            <w:tcW w:w="13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1460CE" w14:textId="77777777" w:rsidR="00E701E6" w:rsidRPr="00D5489D" w:rsidRDefault="00E701E6" w:rsidP="00E701E6">
            <w:pPr>
              <w:pStyle w:val="TableDataEntries"/>
            </w:pPr>
            <w:r w:rsidRPr="00D5489D">
              <w:t>0.0</w:t>
            </w:r>
          </w:p>
        </w:tc>
      </w:tr>
      <w:tr w:rsidR="00E701E6" w:rsidRPr="00D5489D" w14:paraId="2B8535F1" w14:textId="77777777" w:rsidTr="00E701E6">
        <w:trPr>
          <w:trHeight w:val="250"/>
        </w:trPr>
        <w:tc>
          <w:tcPr>
            <w:tcW w:w="152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FD40917" w14:textId="77777777" w:rsidR="00E701E6" w:rsidRPr="00D5489D" w:rsidRDefault="00E701E6" w:rsidP="00E701E6">
            <w:pPr>
              <w:pStyle w:val="TableDataEntries"/>
              <w:jc w:val="left"/>
            </w:pPr>
            <w:r w:rsidRPr="00D5489D">
              <w:t>Walking stick</w:t>
            </w:r>
          </w:p>
        </w:tc>
        <w:tc>
          <w:tcPr>
            <w:tcW w:w="13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46D8176" w14:textId="77777777" w:rsidR="00E701E6" w:rsidRPr="00D5489D" w:rsidRDefault="00E701E6" w:rsidP="00E701E6">
            <w:pPr>
              <w:pStyle w:val="TableDataEntries"/>
            </w:pPr>
            <w:r w:rsidRPr="00D5489D">
              <w:t>0.2</w:t>
            </w:r>
          </w:p>
        </w:tc>
        <w:tc>
          <w:tcPr>
            <w:tcW w:w="107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80C57FF" w14:textId="77777777" w:rsidR="00E701E6" w:rsidRPr="00D5489D" w:rsidRDefault="00E701E6" w:rsidP="00E701E6">
            <w:pPr>
              <w:pStyle w:val="TableDataEntries"/>
            </w:pPr>
            <w:r w:rsidRPr="00D5489D">
              <w:t>0.1</w:t>
            </w:r>
          </w:p>
        </w:tc>
        <w:tc>
          <w:tcPr>
            <w:tcW w:w="107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C989A18" w14:textId="77777777" w:rsidR="00E701E6" w:rsidRPr="00D5489D" w:rsidRDefault="00E701E6" w:rsidP="00E701E6">
            <w:pPr>
              <w:pStyle w:val="TableDataEntries"/>
            </w:pPr>
            <w:r w:rsidRPr="00D5489D">
              <w:t>0.0</w:t>
            </w:r>
          </w:p>
        </w:tc>
        <w:tc>
          <w:tcPr>
            <w:tcW w:w="171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55C5700" w14:textId="77777777" w:rsidR="00E701E6" w:rsidRPr="00D5489D" w:rsidRDefault="00E701E6" w:rsidP="00E701E6">
            <w:pPr>
              <w:pStyle w:val="TableDataEntries"/>
            </w:pPr>
            <w:r w:rsidRPr="00D5489D">
              <w:t>0.0</w:t>
            </w:r>
          </w:p>
        </w:tc>
        <w:tc>
          <w:tcPr>
            <w:tcW w:w="13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2824B08" w14:textId="77777777" w:rsidR="00E701E6" w:rsidRPr="00D5489D" w:rsidRDefault="00E701E6" w:rsidP="00E701E6">
            <w:pPr>
              <w:pStyle w:val="TableDataEntries"/>
            </w:pPr>
            <w:r w:rsidRPr="00D5489D">
              <w:t>0.0</w:t>
            </w:r>
          </w:p>
        </w:tc>
      </w:tr>
    </w:tbl>
    <w:p w14:paraId="307335B2" w14:textId="77777777" w:rsidR="00E701E6" w:rsidRPr="00424939" w:rsidRDefault="00E701E6" w:rsidP="00E701E6">
      <w:pPr>
        <w:pStyle w:val="Source"/>
        <w:rPr>
          <w:iCs/>
          <w:lang w:bidi="fa-IR"/>
        </w:rPr>
      </w:pPr>
      <w:r w:rsidRPr="00424939">
        <w:rPr>
          <w:iCs/>
          <w:lang w:bidi="fa-IR"/>
        </w:rPr>
        <w:t xml:space="preserve">Note: Data is drawn from people who live in households, who have a mobility limitation. For each type of mobility aid, for each type of modification, the data is the number of people who implement the relevant modification, divided by the number of people who use the relevant aid. </w:t>
      </w:r>
    </w:p>
    <w:p w14:paraId="4EDFAAA8" w14:textId="77777777" w:rsidR="00E701E6" w:rsidRPr="00424939" w:rsidRDefault="00E701E6" w:rsidP="00E701E6">
      <w:pPr>
        <w:pStyle w:val="Source"/>
        <w:rPr>
          <w:iCs/>
          <w:lang w:bidi="fa-IR"/>
        </w:rPr>
      </w:pPr>
      <w:r w:rsidRPr="00424939">
        <w:rPr>
          <w:iCs/>
          <w:lang w:bidi="fa-IR"/>
        </w:rPr>
        <w:t>Source: CIE</w:t>
      </w:r>
      <w:r w:rsidR="00BD176C">
        <w:rPr>
          <w:iCs/>
          <w:lang w:bidi="fa-IR"/>
        </w:rPr>
        <w:t>.</w:t>
      </w:r>
    </w:p>
    <w:p w14:paraId="75A2C353" w14:textId="77777777" w:rsidR="00F26087" w:rsidRDefault="00F26087" w:rsidP="00D22812">
      <w:pPr>
        <w:pStyle w:val="BodyText"/>
        <w:rPr>
          <w:lang w:eastAsia="en-US" w:bidi="fa-IR"/>
        </w:rPr>
      </w:pPr>
      <w:r>
        <w:rPr>
          <w:lang w:eastAsia="en-US" w:bidi="fa-IR"/>
        </w:rPr>
        <w:t>As the above evidence suggests that not all people with limited mobility need all of the accessibility features provided under the NCC, this suggests that Option 1 (Silver) will provide some benefits, even though it is not accessible to all.</w:t>
      </w:r>
    </w:p>
    <w:p w14:paraId="002C2E42" w14:textId="77777777" w:rsidR="00542AC5" w:rsidRDefault="00542AC5" w:rsidP="00542AC5">
      <w:pPr>
        <w:pStyle w:val="Heading3"/>
      </w:pPr>
      <w:r>
        <w:t>Review of the features provided under each option</w:t>
      </w:r>
    </w:p>
    <w:p w14:paraId="39F74B0E" w14:textId="77777777" w:rsidR="00542AC5" w:rsidRDefault="00542AC5" w:rsidP="00542AC5">
      <w:pPr>
        <w:pStyle w:val="BodyText"/>
      </w:pPr>
      <w:r>
        <w:t xml:space="preserve">Table 4.1 </w:t>
      </w:r>
      <w:r w:rsidR="00E21F18">
        <w:t xml:space="preserve">in chapter </w:t>
      </w:r>
      <w:r w:rsidR="004C7A95">
        <w:t>four</w:t>
      </w:r>
      <w:r w:rsidR="00E21F18">
        <w:t xml:space="preserve"> </w:t>
      </w:r>
      <w:r>
        <w:t>summarises the features required under the proposal. These features could be grouped by</w:t>
      </w:r>
    </w:p>
    <w:p w14:paraId="5F0730F3" w14:textId="77777777" w:rsidR="00542AC5" w:rsidRDefault="00542AC5" w:rsidP="00542AC5">
      <w:pPr>
        <w:pStyle w:val="ListBullet"/>
      </w:pPr>
      <w:r>
        <w:t>dwelling access requirements</w:t>
      </w:r>
    </w:p>
    <w:p w14:paraId="31EDD2D7" w14:textId="77777777" w:rsidR="00542AC5" w:rsidRDefault="00542AC5" w:rsidP="00542AC5">
      <w:pPr>
        <w:pStyle w:val="ListBullet"/>
      </w:pPr>
      <w:r>
        <w:t>wider internal doorways and corridors</w:t>
      </w:r>
    </w:p>
    <w:p w14:paraId="0BBE3F8D" w14:textId="77777777" w:rsidR="00542AC5" w:rsidRDefault="00542AC5" w:rsidP="00542AC5">
      <w:pPr>
        <w:pStyle w:val="ListBullet"/>
      </w:pPr>
      <w:r>
        <w:t>toilet</w:t>
      </w:r>
    </w:p>
    <w:p w14:paraId="1C98B59A" w14:textId="77777777" w:rsidR="00542AC5" w:rsidRDefault="00542AC5" w:rsidP="00542AC5">
      <w:pPr>
        <w:pStyle w:val="ListBullet"/>
      </w:pPr>
      <w:r>
        <w:t>shower</w:t>
      </w:r>
    </w:p>
    <w:p w14:paraId="297BA352" w14:textId="77777777" w:rsidR="00542AC5" w:rsidRDefault="00542AC5" w:rsidP="00542AC5">
      <w:pPr>
        <w:pStyle w:val="ListBullet"/>
      </w:pPr>
      <w:r>
        <w:t>kitchen and laundry</w:t>
      </w:r>
    </w:p>
    <w:p w14:paraId="07355A7B" w14:textId="77777777" w:rsidR="00542AC5" w:rsidRPr="00542AC5" w:rsidRDefault="00542AC5" w:rsidP="00542AC5">
      <w:pPr>
        <w:pStyle w:val="ListBullet"/>
      </w:pPr>
      <w:r>
        <w:t>space for bedroom on entrance level</w:t>
      </w:r>
    </w:p>
    <w:p w14:paraId="24DCE46C" w14:textId="77777777" w:rsidR="00542AC5" w:rsidRDefault="00542AC5" w:rsidP="00D22812">
      <w:pPr>
        <w:pStyle w:val="BodyText"/>
      </w:pPr>
      <w:r>
        <w:t>This section provides a detailed review of these features with respect to how they help people with disability and older people.</w:t>
      </w:r>
    </w:p>
    <w:p w14:paraId="4933BE81" w14:textId="77777777" w:rsidR="00510B61" w:rsidRDefault="00542AC5" w:rsidP="00F11AF4">
      <w:pPr>
        <w:pStyle w:val="Heading4"/>
      </w:pPr>
      <w:r>
        <w:t>Dwelling a</w:t>
      </w:r>
      <w:r w:rsidR="00510B61">
        <w:t>ccess</w:t>
      </w:r>
      <w:r>
        <w:t xml:space="preserve"> requirements</w:t>
      </w:r>
    </w:p>
    <w:p w14:paraId="61202856" w14:textId="77777777" w:rsidR="004A3E82" w:rsidRDefault="004A3E82" w:rsidP="004A3E82">
      <w:pPr>
        <w:pStyle w:val="BodyText"/>
      </w:pPr>
      <w:r>
        <w:t>In general, the dwelling access requirements under all options provide step</w:t>
      </w:r>
      <w:r>
        <w:noBreakHyphen/>
        <w:t>free access into the dwelling via either a path from the perimeter of the property or from a parking space. The main differences between the options are as follows.</w:t>
      </w:r>
    </w:p>
    <w:p w14:paraId="29B86467" w14:textId="77777777" w:rsidR="004A3E82" w:rsidRDefault="004A3E82" w:rsidP="004A3E82">
      <w:pPr>
        <w:pStyle w:val="ListBullet"/>
      </w:pPr>
      <w:r>
        <w:t>Options 2 and 3 provide a wider access path, compared with Option 1 (1 100 mm wide versus 1 000 mm wide)</w:t>
      </w:r>
    </w:p>
    <w:p w14:paraId="21F0923F" w14:textId="77777777" w:rsidR="004A3E82" w:rsidRPr="00ED5592" w:rsidRDefault="004A3E82" w:rsidP="004A3E82">
      <w:pPr>
        <w:pStyle w:val="ListBullet"/>
      </w:pPr>
      <w:r>
        <w:t>Options 2 and 3 provide a wider entrance (850 mm), compared with Option 1 (820 mm).</w:t>
      </w:r>
    </w:p>
    <w:p w14:paraId="252731A9" w14:textId="77777777" w:rsidR="00510B61" w:rsidRDefault="00510B61" w:rsidP="00510B61">
      <w:pPr>
        <w:pStyle w:val="BodyText"/>
      </w:pPr>
      <w:r>
        <w:t>In principle, step</w:t>
      </w:r>
      <w:r>
        <w:noBreakHyphen/>
        <w:t>free access should:</w:t>
      </w:r>
    </w:p>
    <w:p w14:paraId="6BA8F1C4" w14:textId="77777777" w:rsidR="00510B61" w:rsidRDefault="00510B61" w:rsidP="00510B61">
      <w:pPr>
        <w:pStyle w:val="ListBullet"/>
      </w:pPr>
      <w:r>
        <w:t>enable access (unassisted) for:</w:t>
      </w:r>
    </w:p>
    <w:p w14:paraId="4B4FD015" w14:textId="77777777" w:rsidR="00510B61" w:rsidRDefault="00510B61" w:rsidP="00510B61">
      <w:pPr>
        <w:pStyle w:val="ListBullet2"/>
      </w:pPr>
      <w:r>
        <w:t>users of</w:t>
      </w:r>
      <w:r w:rsidR="00DC4314">
        <w:rPr>
          <w:lang w:bidi="fa-IR"/>
        </w:rPr>
        <w:t xml:space="preserve"> some </w:t>
      </w:r>
      <w:r>
        <w:t>mobility aids (potentially including wheelchair users, users of walking frames, crutches and walking sticks)</w:t>
      </w:r>
    </w:p>
    <w:p w14:paraId="4FEE946A" w14:textId="77777777" w:rsidR="00510B61" w:rsidRDefault="00510B61" w:rsidP="00510B61">
      <w:pPr>
        <w:pStyle w:val="ListBullet2"/>
      </w:pPr>
      <w:r>
        <w:t>people unable to lift their feet</w:t>
      </w:r>
    </w:p>
    <w:p w14:paraId="0EC077BC" w14:textId="77777777" w:rsidR="00510B61" w:rsidRPr="00C66155" w:rsidRDefault="00510B61" w:rsidP="00510B61">
      <w:pPr>
        <w:pStyle w:val="ListBullet"/>
      </w:pPr>
      <w:r>
        <w:lastRenderedPageBreak/>
        <w:t>improve safety outcomes by removing a trip hazard.</w:t>
      </w:r>
    </w:p>
    <w:p w14:paraId="08BE16E1" w14:textId="77777777" w:rsidR="00510B61" w:rsidRDefault="00F737AF" w:rsidP="00510B61">
      <w:pPr>
        <w:pStyle w:val="BodyText"/>
      </w:pPr>
      <w:r>
        <w:t>However,</w:t>
      </w:r>
      <w:r w:rsidR="00510B61">
        <w:t xml:space="preserve"> it is not clear that a dwelling that complies with the step</w:t>
      </w:r>
      <w:r w:rsidR="00510B61">
        <w:noBreakHyphen/>
        <w:t xml:space="preserve">free </w:t>
      </w:r>
      <w:r w:rsidR="000B55CB">
        <w:t xml:space="preserve">access </w:t>
      </w:r>
      <w:r w:rsidR="00510B61">
        <w:t>requirements under the NCC proposal would provide accessibility for all</w:t>
      </w:r>
      <w:r>
        <w:t xml:space="preserve"> as explained below</w:t>
      </w:r>
      <w:r w:rsidR="00510B61">
        <w:t>.</w:t>
      </w:r>
    </w:p>
    <w:p w14:paraId="7F807653" w14:textId="77777777" w:rsidR="00510B61" w:rsidRDefault="00510B61" w:rsidP="00510B61">
      <w:pPr>
        <w:pStyle w:val="ListBullet"/>
      </w:pPr>
      <w:r>
        <w:t>Consistent with the L</w:t>
      </w:r>
      <w:r w:rsidR="004A3E82">
        <w:t>H</w:t>
      </w:r>
      <w:r w:rsidR="00550324">
        <w:t>D</w:t>
      </w:r>
      <w:r w:rsidR="0011795C">
        <w:t>G</w:t>
      </w:r>
      <w:r>
        <w:t xml:space="preserve">, the proposed NCC access standard under </w:t>
      </w:r>
      <w:r w:rsidR="004A3E82">
        <w:t xml:space="preserve">all of </w:t>
      </w:r>
      <w:r w:rsidR="008A586E">
        <w:t xml:space="preserve">the </w:t>
      </w:r>
      <w:r w:rsidR="004A3E82">
        <w:t>NCC options</w:t>
      </w:r>
      <w:r>
        <w:t xml:space="preserve"> allows for a 56 mm transition at the entrance.</w:t>
      </w:r>
    </w:p>
    <w:p w14:paraId="7E483E04" w14:textId="77777777" w:rsidR="00510B61" w:rsidRDefault="00510B61" w:rsidP="00510B61">
      <w:pPr>
        <w:pStyle w:val="ListBullet2"/>
      </w:pPr>
      <w:r>
        <w:t>Discussions with accessibility experts</w:t>
      </w:r>
      <w:r w:rsidR="004A3E82">
        <w:rPr>
          <w:rStyle w:val="FootnoteReference"/>
        </w:rPr>
        <w:footnoteReference w:id="212"/>
      </w:r>
      <w:r>
        <w:t xml:space="preserve"> suggest that many wheelchair users, users of walking frames and others who are unable to lift their feet may be unable to negotiate a 56 mm transition</w:t>
      </w:r>
      <w:r w:rsidR="006E7F19">
        <w:t xml:space="preserve"> (unless a ramped threshold is provided)</w:t>
      </w:r>
      <w:r>
        <w:t>.</w:t>
      </w:r>
    </w:p>
    <w:p w14:paraId="34802700" w14:textId="77777777" w:rsidR="00510B61" w:rsidRDefault="004A3E82" w:rsidP="00510B61">
      <w:pPr>
        <w:pStyle w:val="ListBullet2"/>
      </w:pPr>
      <w:r>
        <w:t>While t</w:t>
      </w:r>
      <w:r w:rsidR="00510B61">
        <w:t>his issue could potentially be addressed by providing a transition ramp</w:t>
      </w:r>
      <w:r>
        <w:t>,</w:t>
      </w:r>
      <w:r w:rsidR="00510B61">
        <w:t xml:space="preserve"> it is not clear </w:t>
      </w:r>
      <w:r>
        <w:t xml:space="preserve">that </w:t>
      </w:r>
      <w:r w:rsidR="00510B61">
        <w:t xml:space="preserve">a </w:t>
      </w:r>
      <w:r>
        <w:t xml:space="preserve">56 mm transition ramp </w:t>
      </w:r>
      <w:r w:rsidR="00510B61">
        <w:t>would be accessible for all</w:t>
      </w:r>
    </w:p>
    <w:p w14:paraId="3364F51B" w14:textId="77777777" w:rsidR="004A3E82" w:rsidRDefault="004A3E82" w:rsidP="004A3E82">
      <w:pPr>
        <w:pStyle w:val="ListBullet2"/>
      </w:pPr>
      <w:r>
        <w:t>A 56 mm threshold with a threshold ramp exceeds the maximum entry transition used in some other standards.</w:t>
      </w:r>
    </w:p>
    <w:p w14:paraId="431BD8F0" w14:textId="77777777" w:rsidR="004A3E82" w:rsidRDefault="004A3E82" w:rsidP="004A3E82">
      <w:pPr>
        <w:pStyle w:val="ListBullet3"/>
      </w:pPr>
      <w:r>
        <w:t xml:space="preserve">Similarly, the NDIS SDA Design Standards refer to </w:t>
      </w:r>
      <w:r w:rsidR="00FB777A">
        <w:t>t</w:t>
      </w:r>
      <w:r w:rsidR="00FB777A" w:rsidRPr="004713C3">
        <w:t xml:space="preserve">he Australian standard </w:t>
      </w:r>
      <w:r w:rsidR="00FB777A" w:rsidRPr="000846CB">
        <w:rPr>
          <w:i/>
          <w:iCs/>
        </w:rPr>
        <w:t>AS1428.1: Design for access and mobility</w:t>
      </w:r>
      <w:r w:rsidR="00FB777A" w:rsidRPr="004713C3">
        <w:t xml:space="preserve"> (which applies to public buildings)</w:t>
      </w:r>
      <w:r>
        <w:t xml:space="preserve"> and allows a maximum threshold of 35 mm (and requires a threshold ramp for entrance thresholds between 5 mm and 35 mm).</w:t>
      </w:r>
      <w:r>
        <w:rPr>
          <w:rStyle w:val="FootnoteReference"/>
        </w:rPr>
        <w:footnoteReference w:id="213"/>
      </w:r>
      <w:r>
        <w:t xml:space="preserve"> This applies across all SDA Design categories, including ‘Improved Liveability’ and ‘Robust’, where many features are based on Silver requirements.</w:t>
      </w:r>
    </w:p>
    <w:p w14:paraId="1E5E37A5" w14:textId="77777777" w:rsidR="00510B61" w:rsidRDefault="00510B61" w:rsidP="00510B61">
      <w:pPr>
        <w:pStyle w:val="ListBullet2"/>
      </w:pPr>
      <w:r>
        <w:t xml:space="preserve">It is not necessarily the case that a transition ramp would be used in all cases. While it is reasonable to assume that someone </w:t>
      </w:r>
      <w:r w:rsidR="00F737AF">
        <w:t>who</w:t>
      </w:r>
      <w:r>
        <w:t xml:space="preserve"> was prevented from accessing their own home </w:t>
      </w:r>
      <w:r w:rsidR="00F737AF">
        <w:t>by a 56mm threshold</w:t>
      </w:r>
      <w:r>
        <w:t xml:space="preserve"> would use a transition ramp, there are likely to be circumstances where a transition ramp is not provided</w:t>
      </w:r>
      <w:r w:rsidR="0067389D">
        <w:t>, including for visitors (although presumably some households would provide a transition ramp if friends/family with accessibility needs visited regularly)</w:t>
      </w:r>
      <w:r>
        <w:t>.</w:t>
      </w:r>
    </w:p>
    <w:p w14:paraId="1F898139" w14:textId="77777777" w:rsidR="00510B61" w:rsidRDefault="00510B61" w:rsidP="00510B61">
      <w:pPr>
        <w:pStyle w:val="ListBullet"/>
      </w:pPr>
      <w:r>
        <w:t>The proposed accessibility standard allows for step</w:t>
      </w:r>
      <w:r>
        <w:noBreakHyphen/>
        <w:t xml:space="preserve">free access via a path from the perimeter of the property </w:t>
      </w:r>
      <w:r w:rsidRPr="00060298">
        <w:rPr>
          <w:b/>
          <w:bCs/>
        </w:rPr>
        <w:t>or</w:t>
      </w:r>
      <w:r>
        <w:t xml:space="preserve"> the garage.</w:t>
      </w:r>
    </w:p>
    <w:p w14:paraId="792F17BC" w14:textId="77777777" w:rsidR="00510B61" w:rsidRDefault="00510B61" w:rsidP="00F11AF4">
      <w:pPr>
        <w:pStyle w:val="Heading4"/>
      </w:pPr>
      <w:r>
        <w:t>Wider internal doorways and corridors</w:t>
      </w:r>
    </w:p>
    <w:p w14:paraId="1EAE71B3" w14:textId="77777777" w:rsidR="0067389D" w:rsidRDefault="00510B61" w:rsidP="00510B61">
      <w:pPr>
        <w:pStyle w:val="BodyText"/>
      </w:pPr>
      <w:r>
        <w:t xml:space="preserve">Wider doorways and corridors allow for easier movement around the dwelling, </w:t>
      </w:r>
      <w:r w:rsidR="0067389D">
        <w:t>by providing additional circulation space for users of some mobility aids (such as wheelchairs and walking frames with wheels). Additional width can also be helpful where a person with limited mobility requires assistance moving around the dwelling.</w:t>
      </w:r>
    </w:p>
    <w:p w14:paraId="254C90CF" w14:textId="77777777" w:rsidR="0093131C" w:rsidRDefault="0093131C" w:rsidP="0093131C">
      <w:pPr>
        <w:pStyle w:val="BodyText"/>
      </w:pPr>
      <w:r>
        <w:t>The main differences across the options are as follows.</w:t>
      </w:r>
    </w:p>
    <w:p w14:paraId="055C1232" w14:textId="77777777" w:rsidR="0093131C" w:rsidRDefault="0093131C" w:rsidP="0093131C">
      <w:pPr>
        <w:pStyle w:val="ListBullet"/>
      </w:pPr>
      <w:r>
        <w:t>Options 2 and 3 provide wider internal doorways (850 mm), compared with Option 1 (820 mm).</w:t>
      </w:r>
    </w:p>
    <w:p w14:paraId="3832B619" w14:textId="77777777" w:rsidR="0093131C" w:rsidRDefault="0093131C" w:rsidP="0093131C">
      <w:pPr>
        <w:pStyle w:val="ListBullet"/>
      </w:pPr>
      <w:r>
        <w:lastRenderedPageBreak/>
        <w:t>Options 2 and 3 provide wider corridors (1200 mm), compared with Option 1 (1000 mm).</w:t>
      </w:r>
    </w:p>
    <w:p w14:paraId="0C809DD3" w14:textId="77777777" w:rsidR="00CB5D29" w:rsidRDefault="0093131C" w:rsidP="00CB5D29">
      <w:pPr>
        <w:pStyle w:val="ListBullet"/>
      </w:pPr>
      <w:r>
        <w:t xml:space="preserve">The </w:t>
      </w:r>
      <w:r w:rsidR="00CB5D29">
        <w:t>door widths may not be wide enough to meet all accessibility needs.</w:t>
      </w:r>
    </w:p>
    <w:p w14:paraId="3D3358BB" w14:textId="77777777" w:rsidR="00CB5D29" w:rsidRDefault="00CB5D29" w:rsidP="00CB5D29">
      <w:pPr>
        <w:pStyle w:val="ListBullet2"/>
        <w:ind w:left="568" w:hanging="284"/>
      </w:pPr>
      <w:r>
        <w:t xml:space="preserve">Discussions with accessibility experts suggest that 820 mm doorways provided under Option 1 </w:t>
      </w:r>
      <w:r w:rsidR="007E5FED">
        <w:t xml:space="preserve">are </w:t>
      </w:r>
      <w:r>
        <w:t>unlikely to be sufficiently wide for some people (such as wheelchair users and potentially users of walking frames with wheels).</w:t>
      </w:r>
      <w:r>
        <w:rPr>
          <w:rStyle w:val="FootnoteReference"/>
        </w:rPr>
        <w:footnoteReference w:id="214"/>
      </w:r>
    </w:p>
    <w:p w14:paraId="75DFD6CC" w14:textId="77777777" w:rsidR="00CB5D29" w:rsidRDefault="00CB5D29" w:rsidP="00CB5D29">
      <w:pPr>
        <w:pStyle w:val="ListBullet2"/>
        <w:ind w:left="568" w:hanging="284"/>
      </w:pPr>
      <w:r>
        <w:t xml:space="preserve">The 850 mm door width provided under Options 2 and 3 is somewhat consistent with </w:t>
      </w:r>
      <w:r w:rsidRPr="00E03FE3">
        <w:rPr>
          <w:i/>
          <w:iCs/>
        </w:rPr>
        <w:t>AS1428.1</w:t>
      </w:r>
      <w:r>
        <w:rPr>
          <w:rStyle w:val="FootnoteReference"/>
        </w:rPr>
        <w:footnoteReference w:id="215"/>
      </w:r>
      <w:r>
        <w:t xml:space="preserve"> and is therefore likely to be sufficiently wide for at least 80 per cent of people with accessibility needs. However, this still may not be wide enough to provide easy access for some people.</w:t>
      </w:r>
    </w:p>
    <w:p w14:paraId="27403A49" w14:textId="77777777" w:rsidR="00CB5D29" w:rsidRDefault="00CB5D29" w:rsidP="00CB5D29">
      <w:pPr>
        <w:pStyle w:val="ListBullet3"/>
      </w:pPr>
      <w:r>
        <w:t>Discussions with Occupational Therapy Australia suggest that some people may require 900 mm or more.</w:t>
      </w:r>
      <w:r>
        <w:rPr>
          <w:rStyle w:val="FootnoteReference"/>
        </w:rPr>
        <w:footnoteReference w:id="216"/>
      </w:r>
    </w:p>
    <w:p w14:paraId="6608C4D4" w14:textId="77777777" w:rsidR="00CB5D29" w:rsidRDefault="00CB5D29" w:rsidP="00CB5D29">
      <w:pPr>
        <w:pStyle w:val="ListBullet3"/>
      </w:pPr>
      <w:r>
        <w:t>The SDA Design Standards require wider door widths for ‘Fully Accessible’ (900 mm) and High Physical Support (950 mm) dwellings.</w:t>
      </w:r>
      <w:r>
        <w:rPr>
          <w:rStyle w:val="FootnoteReference"/>
        </w:rPr>
        <w:footnoteReference w:id="217"/>
      </w:r>
    </w:p>
    <w:p w14:paraId="7973EFB3" w14:textId="77777777" w:rsidR="00510B61" w:rsidRDefault="00510B61" w:rsidP="00F11AF4">
      <w:pPr>
        <w:pStyle w:val="Heading4"/>
      </w:pPr>
      <w:r>
        <w:t>Toilet</w:t>
      </w:r>
    </w:p>
    <w:p w14:paraId="6FBF9B70" w14:textId="77777777" w:rsidR="0093131C" w:rsidRDefault="0093131C" w:rsidP="0093131C">
      <w:pPr>
        <w:pStyle w:val="BodyText"/>
      </w:pPr>
      <w:r>
        <w:t>The main difference between the options in relation to toilet requirements is that Options 2 and 3 provide extra space (1200 mm between walls) compared with Option 1 (900 mm between walls) where the toilet is provided in a separate room.</w:t>
      </w:r>
    </w:p>
    <w:p w14:paraId="24BB09CE" w14:textId="77777777" w:rsidR="00510B61" w:rsidRDefault="00510B61" w:rsidP="00510B61">
      <w:pPr>
        <w:pStyle w:val="BodyText"/>
      </w:pPr>
      <w:r>
        <w:t>These requirements are broadly consistent with the requirements of an ambulant toilet (i.e. a toilet that can be used by someone who can walk).</w:t>
      </w:r>
      <w:r w:rsidR="00742E3B">
        <w:rPr>
          <w:rStyle w:val="FootnoteReference"/>
        </w:rPr>
        <w:footnoteReference w:id="218"/>
      </w:r>
      <w:r>
        <w:t xml:space="preserve"> However, </w:t>
      </w:r>
      <w:r w:rsidR="0093131C">
        <w:t xml:space="preserve">feedback received during consultation suggested </w:t>
      </w:r>
      <w:r>
        <w:t>it is not clear there would be sufficient space for a wheelchair user to transition onto the toilet without assistance. In some cases it may be possible to transition onto a toileting aid outside the bathroom/toilet cubicle and then roll into position.</w:t>
      </w:r>
      <w:r w:rsidR="0093131C" w:rsidRPr="0093131C">
        <w:rPr>
          <w:rStyle w:val="FootnoteReference"/>
        </w:rPr>
        <w:t xml:space="preserve"> </w:t>
      </w:r>
      <w:r w:rsidR="0093131C">
        <w:rPr>
          <w:rStyle w:val="FootnoteReference"/>
        </w:rPr>
        <w:footnoteReference w:id="219"/>
      </w:r>
      <w:r>
        <w:t xml:space="preserve"> However, such an arrangement may not be suitable for everyone and toileting aids will not necessarily be available for visitors.</w:t>
      </w:r>
    </w:p>
    <w:p w14:paraId="3673EFE4" w14:textId="77777777" w:rsidR="00510B61" w:rsidRDefault="00133827" w:rsidP="00510B61">
      <w:pPr>
        <w:pStyle w:val="BodyText"/>
      </w:pPr>
      <w:r>
        <w:t>T</w:t>
      </w:r>
      <w:r w:rsidR="00510B61">
        <w:t>he NCC proposal provides for reinforced walls to facilitate installation of grab-rails</w:t>
      </w:r>
      <w:r w:rsidR="00C64A16">
        <w:t>, which is a feature of all regulatory options</w:t>
      </w:r>
      <w:r w:rsidR="00A624AD">
        <w:t>.</w:t>
      </w:r>
      <w:r w:rsidR="005D5BD8">
        <w:t xml:space="preserve"> In general</w:t>
      </w:r>
      <w:r>
        <w:t>,</w:t>
      </w:r>
      <w:r w:rsidR="00510B61">
        <w:t xml:space="preserve"> grab-rails are helpful for many people with limited mobility. </w:t>
      </w:r>
      <w:r w:rsidR="005D5BD8">
        <w:t>But this</w:t>
      </w:r>
      <w:r w:rsidR="00510B61">
        <w:t xml:space="preserve"> does not necessarily mean that grab-rails will be installed. In particular, it is less likely that grab-rails would be installed:</w:t>
      </w:r>
    </w:p>
    <w:p w14:paraId="18C6BF51" w14:textId="77777777" w:rsidR="00510B61" w:rsidRDefault="00510B61" w:rsidP="00510B61">
      <w:pPr>
        <w:pStyle w:val="ListBullet"/>
      </w:pPr>
      <w:r>
        <w:t>for visitors</w:t>
      </w:r>
    </w:p>
    <w:p w14:paraId="1BA656D4" w14:textId="77777777" w:rsidR="00510B61" w:rsidRDefault="00510B61" w:rsidP="00510B61">
      <w:pPr>
        <w:pStyle w:val="ListBullet"/>
      </w:pPr>
      <w:r>
        <w:t>in rental properties (where evidence has been provided that landlords are reluctant to allow any sort of modification).</w:t>
      </w:r>
    </w:p>
    <w:p w14:paraId="575DB2AB" w14:textId="77777777" w:rsidR="00510B61" w:rsidRDefault="0093131C" w:rsidP="00510B61">
      <w:pPr>
        <w:pStyle w:val="BodyText"/>
      </w:pPr>
      <w:r>
        <w:lastRenderedPageBreak/>
        <w:t>This</w:t>
      </w:r>
      <w:r w:rsidR="00510B61">
        <w:t xml:space="preserve"> s</w:t>
      </w:r>
      <w:r>
        <w:t>uggests</w:t>
      </w:r>
      <w:r w:rsidR="00510B61">
        <w:t xml:space="preserve"> the NCC requirements </w:t>
      </w:r>
      <w:r>
        <w:t>may not</w:t>
      </w:r>
      <w:r w:rsidR="00510B61">
        <w:t xml:space="preserve"> address accessibility issues for some people in these contexts.</w:t>
      </w:r>
    </w:p>
    <w:p w14:paraId="409C380B" w14:textId="77777777" w:rsidR="00510B61" w:rsidRDefault="00510B61" w:rsidP="00F11AF4">
      <w:pPr>
        <w:pStyle w:val="Heading4"/>
      </w:pPr>
      <w:r>
        <w:t>Shower</w:t>
      </w:r>
    </w:p>
    <w:p w14:paraId="441EC361" w14:textId="77777777" w:rsidR="00510B61" w:rsidRDefault="00510B61" w:rsidP="00510B61">
      <w:pPr>
        <w:pStyle w:val="BodyText"/>
      </w:pPr>
      <w:r>
        <w:t>The requirement</w:t>
      </w:r>
      <w:r w:rsidR="00693947">
        <w:t>s relating to showers are significantly different across o</w:t>
      </w:r>
      <w:r>
        <w:t>ption</w:t>
      </w:r>
      <w:r w:rsidR="00693947">
        <w:t>s</w:t>
      </w:r>
      <w:r>
        <w:t>:</w:t>
      </w:r>
    </w:p>
    <w:p w14:paraId="6B3A41B8" w14:textId="77777777" w:rsidR="00693947" w:rsidRDefault="00693947" w:rsidP="00693947">
      <w:pPr>
        <w:pStyle w:val="ListBullet"/>
      </w:pPr>
      <w:r>
        <w:t>Option 1 requires:</w:t>
      </w:r>
    </w:p>
    <w:p w14:paraId="34F815BF" w14:textId="77777777" w:rsidR="00693947" w:rsidRDefault="00693947" w:rsidP="00693947">
      <w:pPr>
        <w:pStyle w:val="ListBullet2"/>
        <w:ind w:left="568" w:hanging="284"/>
      </w:pPr>
      <w:r>
        <w:t>step-free access</w:t>
      </w:r>
    </w:p>
    <w:p w14:paraId="2C671B6D" w14:textId="77777777" w:rsidR="00693947" w:rsidRDefault="00693947" w:rsidP="00693947">
      <w:pPr>
        <w:pStyle w:val="ListBullet2"/>
        <w:ind w:left="568" w:hanging="284"/>
      </w:pPr>
      <w:r>
        <w:t>a removable shower screen.</w:t>
      </w:r>
    </w:p>
    <w:p w14:paraId="0A93F2AD" w14:textId="77777777" w:rsidR="00693947" w:rsidRDefault="00693947" w:rsidP="00693947">
      <w:pPr>
        <w:pStyle w:val="ListBullet"/>
        <w:rPr>
          <w:lang w:bidi="fa-IR"/>
        </w:rPr>
      </w:pPr>
      <w:r>
        <w:t>Options 2 and 3 also require:</w:t>
      </w:r>
    </w:p>
    <w:p w14:paraId="68D194A9" w14:textId="77777777" w:rsidR="00693947" w:rsidRDefault="00693947" w:rsidP="00693947">
      <w:pPr>
        <w:pStyle w:val="ListBullet2"/>
        <w:ind w:left="568" w:hanging="284"/>
        <w:rPr>
          <w:lang w:bidi="fa-IR"/>
        </w:rPr>
      </w:pPr>
      <w:r>
        <w:rPr>
          <w:lang w:bidi="fa-IR"/>
        </w:rPr>
        <w:t>Shower on ground floor/level of entry</w:t>
      </w:r>
    </w:p>
    <w:p w14:paraId="4B4111FA" w14:textId="77777777" w:rsidR="00693947" w:rsidRDefault="00693947" w:rsidP="00693947">
      <w:pPr>
        <w:pStyle w:val="ListBullet2"/>
        <w:ind w:left="568" w:hanging="284"/>
        <w:rPr>
          <w:lang w:bidi="fa-IR"/>
        </w:rPr>
      </w:pPr>
      <w:r>
        <w:rPr>
          <w:lang w:bidi="fa-IR"/>
        </w:rPr>
        <w:t>900mm</w:t>
      </w:r>
      <w:r w:rsidR="00C005E9">
        <w:rPr>
          <w:lang w:bidi="fa-IR"/>
        </w:rPr>
        <w:t xml:space="preserve"> by </w:t>
      </w:r>
      <w:r>
        <w:rPr>
          <w:lang w:bidi="fa-IR"/>
        </w:rPr>
        <w:t>900mm shower space</w:t>
      </w:r>
    </w:p>
    <w:p w14:paraId="1A5B83F5" w14:textId="77777777" w:rsidR="00693947" w:rsidRDefault="00693947" w:rsidP="00693947">
      <w:pPr>
        <w:pStyle w:val="ListBullet2"/>
        <w:ind w:left="568" w:hanging="284"/>
      </w:pPr>
      <w:r>
        <w:rPr>
          <w:lang w:bidi="fa-IR"/>
        </w:rPr>
        <w:t>1200mm</w:t>
      </w:r>
      <w:r w:rsidR="00C005E9">
        <w:rPr>
          <w:lang w:bidi="fa-IR"/>
        </w:rPr>
        <w:t xml:space="preserve"> by </w:t>
      </w:r>
      <w:r>
        <w:rPr>
          <w:lang w:bidi="fa-IR"/>
        </w:rPr>
        <w:t>1200mm adjacent space</w:t>
      </w:r>
    </w:p>
    <w:p w14:paraId="43E20334" w14:textId="77777777" w:rsidR="00693947" w:rsidRDefault="00693947" w:rsidP="00693947">
      <w:pPr>
        <w:pStyle w:val="BodyText"/>
      </w:pPr>
      <w:r>
        <w:t>Under Options 2 and 3, the shower is likely to be accessible for most people with disability. The extra space would be beneficial for carers providing assistance with showering.</w:t>
      </w:r>
      <w:r>
        <w:rPr>
          <w:rStyle w:val="FootnoteReference"/>
        </w:rPr>
        <w:footnoteReference w:id="220"/>
      </w:r>
    </w:p>
    <w:p w14:paraId="50A1BA61" w14:textId="77777777" w:rsidR="00510B61" w:rsidRDefault="00BC78A4" w:rsidP="00BC78A4">
      <w:pPr>
        <w:pStyle w:val="BodyText"/>
      </w:pPr>
      <w:r>
        <w:t>However, under Option 1 t</w:t>
      </w:r>
      <w:r w:rsidR="00510B61">
        <w:t>here is no requirement for a shower to be on the</w:t>
      </w:r>
      <w:r w:rsidR="00133827">
        <w:t xml:space="preserve"> ground floor/</w:t>
      </w:r>
      <w:r w:rsidR="00510B61">
        <w:t xml:space="preserve">entry level. Where there is no shower on the </w:t>
      </w:r>
      <w:r w:rsidR="00133827">
        <w:t>ground floor/</w:t>
      </w:r>
      <w:r w:rsidR="00510B61">
        <w:t>entry level, the house may not be suitable for people who have trouble ascending and descending stairs (see discussion below)</w:t>
      </w:r>
      <w:r>
        <w:t>, without significant modification</w:t>
      </w:r>
      <w:r w:rsidR="00510B61">
        <w:t>.</w:t>
      </w:r>
    </w:p>
    <w:p w14:paraId="677808EE" w14:textId="77777777" w:rsidR="00510B61" w:rsidRDefault="00510B61" w:rsidP="00F11AF4">
      <w:pPr>
        <w:pStyle w:val="Heading4"/>
      </w:pPr>
      <w:r>
        <w:t>Kitchens and laundries</w:t>
      </w:r>
    </w:p>
    <w:p w14:paraId="02FB8FAC" w14:textId="77777777" w:rsidR="00510B61" w:rsidRDefault="00510B61" w:rsidP="00BC78A4">
      <w:pPr>
        <w:pStyle w:val="BodyText"/>
      </w:pPr>
      <w:r>
        <w:t xml:space="preserve">Under </w:t>
      </w:r>
      <w:r w:rsidR="00BC78A4">
        <w:t>Option 1 (</w:t>
      </w:r>
      <w:r w:rsidR="00926CC0">
        <w:t>S</w:t>
      </w:r>
      <w:r>
        <w:t>ilver</w:t>
      </w:r>
      <w:r w:rsidR="00BC78A4">
        <w:t>)</w:t>
      </w:r>
      <w:r>
        <w:t>, there is no requirement relating to accessibility of</w:t>
      </w:r>
      <w:r w:rsidR="00BC78A4">
        <w:t xml:space="preserve"> </w:t>
      </w:r>
      <w:r>
        <w:t>kitchens</w:t>
      </w:r>
      <w:r w:rsidR="00BC78A4">
        <w:t xml:space="preserve"> and </w:t>
      </w:r>
      <w:r>
        <w:t>laundries.</w:t>
      </w:r>
    </w:p>
    <w:p w14:paraId="07C35A9B" w14:textId="77777777" w:rsidR="00510B61" w:rsidRDefault="00510B61" w:rsidP="00510B61">
      <w:pPr>
        <w:pStyle w:val="BodyText"/>
      </w:pPr>
      <w:r>
        <w:t>It is therefore questionable whether a Silver</w:t>
      </w:r>
      <w:r>
        <w:noBreakHyphen/>
        <w:t xml:space="preserve">level dwelling would fully support independent living for people with limited mobility without </w:t>
      </w:r>
      <w:r w:rsidR="00CD5B46">
        <w:t>additional</w:t>
      </w:r>
      <w:r>
        <w:t xml:space="preserve"> modifications.</w:t>
      </w:r>
    </w:p>
    <w:p w14:paraId="6C77AAB9" w14:textId="77777777" w:rsidR="00BC78A4" w:rsidRDefault="00BC78A4" w:rsidP="00BC78A4">
      <w:pPr>
        <w:pStyle w:val="BodyText"/>
      </w:pPr>
      <w:r>
        <w:t>Options 2 and 3 provide for additional space in kitchens and laundries. This additional space would not necessarily make these spaces accessible for some people with limited mobility (such as wheelchair users). For example, standard benches may not meet the needs of wheelchair users. However, the additional space would allow kitchens and laundries to be more easily adapted.</w:t>
      </w:r>
    </w:p>
    <w:p w14:paraId="45DD77CE" w14:textId="77777777" w:rsidR="00BC78A4" w:rsidRDefault="00BC78A4" w:rsidP="00BC78A4">
      <w:pPr>
        <w:pStyle w:val="Heading4"/>
      </w:pPr>
      <w:r>
        <w:t>Space for bedroom on entrance level</w:t>
      </w:r>
    </w:p>
    <w:p w14:paraId="5C49E716" w14:textId="77777777" w:rsidR="00BC78A4" w:rsidRPr="00A2265B" w:rsidRDefault="00BC78A4" w:rsidP="00BC78A4">
      <w:pPr>
        <w:pStyle w:val="BodyText"/>
      </w:pPr>
      <w:r>
        <w:t xml:space="preserve">Options 2 and 3 require a space that could be used as a bedroom to be provided on the </w:t>
      </w:r>
      <w:r w:rsidR="00085734">
        <w:t>ground floor/</w:t>
      </w:r>
      <w:r>
        <w:t xml:space="preserve">entry level. If a resident acquired a disability that prevented them from using stairs, this requirement would enable them to live satisfactorily on the </w:t>
      </w:r>
      <w:r w:rsidR="00085734">
        <w:t>ground floor/</w:t>
      </w:r>
      <w:r>
        <w:t>entry level.</w:t>
      </w:r>
    </w:p>
    <w:p w14:paraId="1A331B40" w14:textId="77777777" w:rsidR="00BC78A4" w:rsidRDefault="00BC78A4" w:rsidP="00BC78A4">
      <w:pPr>
        <w:pStyle w:val="BodyText"/>
      </w:pPr>
      <w:r>
        <w:t>It is not clear whether the requirement for a space on ground</w:t>
      </w:r>
      <w:r>
        <w:noBreakHyphen/>
        <w:t xml:space="preserve">level that could be used as a bedroom would have any material impact on housing designs. In principle, any space </w:t>
      </w:r>
      <w:r>
        <w:lastRenderedPageBreak/>
        <w:t>(such as living spaces) could be used as a bedroom for the purposes of complying with the NCC requirements</w:t>
      </w:r>
      <w:r w:rsidR="00085734">
        <w:t>,</w:t>
      </w:r>
      <w:r w:rsidR="006E7F19">
        <w:t xml:space="preserve"> provided it also meets existing NCC requirements for natural light and ventilation</w:t>
      </w:r>
      <w:r>
        <w:t>. However, in the event that a resident did acquire a disability, it is not clear how practical this arrangement would be in some houses. For instance, partitioning off an area of the living space to be used as a bedroom may not be convenient for some households.</w:t>
      </w:r>
    </w:p>
    <w:p w14:paraId="35A91B13" w14:textId="77777777" w:rsidR="00BC78A4" w:rsidRDefault="00BC78A4" w:rsidP="00BC78A4">
      <w:pPr>
        <w:pStyle w:val="BodyText"/>
      </w:pPr>
      <w:r w:rsidRPr="00992178">
        <w:t>Option 1 d</w:t>
      </w:r>
      <w:r w:rsidRPr="0038138F">
        <w:t xml:space="preserve">oes not specifically require a space that could be used as a bedroom to be provided on the </w:t>
      </w:r>
      <w:r w:rsidR="00085734">
        <w:t>ground floor/</w:t>
      </w:r>
      <w:r w:rsidRPr="0038138F">
        <w:t>entry level. In principle a downstairs living space might be converted to a bedroom. However, it is not clear how satisfactory this arrangement would be in the longer term, particularly where there are other people living in the dwelling.</w:t>
      </w:r>
    </w:p>
    <w:p w14:paraId="338083EA" w14:textId="77777777" w:rsidR="00BC78A4" w:rsidRDefault="001B36DA" w:rsidP="001B36DA">
      <w:pPr>
        <w:pStyle w:val="Heading3"/>
      </w:pPr>
      <w:r>
        <w:t>Key points</w:t>
      </w:r>
    </w:p>
    <w:p w14:paraId="645183F1" w14:textId="77777777" w:rsidR="00510B61" w:rsidRDefault="001B36DA" w:rsidP="00510B61">
      <w:pPr>
        <w:pStyle w:val="BodyText"/>
      </w:pPr>
      <w:r>
        <w:t>S</w:t>
      </w:r>
      <w:r w:rsidR="00510B61">
        <w:t>ome general points that emerge from the discussion above are set out in table </w:t>
      </w:r>
      <w:r w:rsidR="008511BA">
        <w:rPr>
          <w:noProof/>
        </w:rPr>
        <w:t>7.2</w:t>
      </w:r>
      <w:r w:rsidR="00510B61">
        <w:t>.</w:t>
      </w:r>
      <w:r>
        <w:t xml:space="preserve"> </w:t>
      </w:r>
      <w:r w:rsidR="0038138F">
        <w:t>T</w:t>
      </w:r>
      <w:r>
        <w:t>hese points are further elaborated below.</w:t>
      </w:r>
    </w:p>
    <w:p w14:paraId="263FAFE2" w14:textId="72E99E10" w:rsidR="00510B61" w:rsidRDefault="00490F02" w:rsidP="00510B61">
      <w:pPr>
        <w:pStyle w:val="Caption"/>
      </w:pPr>
      <w:bookmarkStart w:id="508" w:name="_Toc70505583"/>
      <w:r>
        <w:t>7.2</w:t>
      </w:r>
      <w:r w:rsidR="00510B61" w:rsidRPr="00695C93">
        <w:tab/>
      </w:r>
      <w:r w:rsidR="00510B61">
        <w:t>Key points</w:t>
      </w:r>
      <w:bookmarkEnd w:id="508"/>
    </w:p>
    <w:tbl>
      <w:tblPr>
        <w:tblW w:w="0" w:type="auto"/>
        <w:tblLayout w:type="fixed"/>
        <w:tblLook w:val="0000" w:firstRow="0" w:lastRow="0" w:firstColumn="0" w:lastColumn="0" w:noHBand="0" w:noVBand="0"/>
        <w:tblCaption w:val="Table 7.2: Key points"/>
        <w:tblDescription w:val="Table 7.2 contains key points from the discussion in the text preceding the table. These points are listed by type of dwelling - Single storey (Class 1a), Two-storey (Class 1a), Apartment (Class 2) on ground floor of 3-storey walk-up or in a 4+ storey complex, and Apartment (Class 2) above the ground floor of a 3-storey walk-up building. Key points are given for Silver standard and Gold or Gold+ standard. Further information on these key points is given in the text below the table."/>
      </w:tblPr>
      <w:tblGrid>
        <w:gridCol w:w="1843"/>
        <w:gridCol w:w="3047"/>
        <w:gridCol w:w="3047"/>
      </w:tblGrid>
      <w:tr w:rsidR="00510B61" w14:paraId="5DD9D847" w14:textId="77777777" w:rsidTr="0088031C">
        <w:trPr>
          <w:tblHeader/>
        </w:trPr>
        <w:tc>
          <w:tcPr>
            <w:tcW w:w="1843" w:type="dxa"/>
            <w:tcBorders>
              <w:bottom w:val="single" w:sz="8" w:space="0" w:color="FFFFFF" w:themeColor="background1"/>
            </w:tcBorders>
            <w:shd w:val="clear" w:color="auto" w:fill="6F6652"/>
            <w:tcMar>
              <w:left w:w="57" w:type="dxa"/>
              <w:right w:w="57" w:type="dxa"/>
            </w:tcMar>
          </w:tcPr>
          <w:p w14:paraId="744B4A30" w14:textId="77777777" w:rsidR="00510B61" w:rsidRDefault="00510B61" w:rsidP="0088031C">
            <w:pPr>
              <w:pStyle w:val="TableTextColumnHeading"/>
            </w:pPr>
            <w:r>
              <w:t>Type of dwelling</w:t>
            </w:r>
          </w:p>
        </w:tc>
        <w:tc>
          <w:tcPr>
            <w:tcW w:w="3047" w:type="dxa"/>
            <w:tcBorders>
              <w:bottom w:val="single" w:sz="8" w:space="0" w:color="FFFFFF" w:themeColor="background1"/>
            </w:tcBorders>
            <w:shd w:val="clear" w:color="auto" w:fill="6F6652"/>
            <w:tcMar>
              <w:left w:w="57" w:type="dxa"/>
              <w:right w:w="57" w:type="dxa"/>
            </w:tcMar>
          </w:tcPr>
          <w:p w14:paraId="076A1285" w14:textId="77777777" w:rsidR="00510B61" w:rsidRDefault="00510B61" w:rsidP="0088031C">
            <w:pPr>
              <w:pStyle w:val="TableTextColumnHeading"/>
            </w:pPr>
            <w:r>
              <w:t>Silver standard</w:t>
            </w:r>
          </w:p>
        </w:tc>
        <w:tc>
          <w:tcPr>
            <w:tcW w:w="3047" w:type="dxa"/>
            <w:tcBorders>
              <w:bottom w:val="single" w:sz="8" w:space="0" w:color="FFFFFF" w:themeColor="background1"/>
            </w:tcBorders>
            <w:shd w:val="clear" w:color="auto" w:fill="6F6652"/>
            <w:tcMar>
              <w:left w:w="57" w:type="dxa"/>
              <w:right w:w="57" w:type="dxa"/>
            </w:tcMar>
          </w:tcPr>
          <w:p w14:paraId="0B552E32" w14:textId="77777777" w:rsidR="00510B61" w:rsidRDefault="00510B61" w:rsidP="0088031C">
            <w:pPr>
              <w:pStyle w:val="TableTextColumnHeading"/>
            </w:pPr>
            <w:r>
              <w:t>Gold or Gold+ standard</w:t>
            </w:r>
          </w:p>
        </w:tc>
      </w:tr>
      <w:tr w:rsidR="00510B61" w14:paraId="45BE509F" w14:textId="77777777" w:rsidTr="0088031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4B0AC4" w14:textId="77777777" w:rsidR="00510B61" w:rsidRDefault="00510B61" w:rsidP="0088031C">
            <w:pPr>
              <w:pStyle w:val="TableTextEntries"/>
            </w:pPr>
            <w:r>
              <w:t>Single storey (Class 1a) dwelling</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8B50E" w14:textId="77777777" w:rsidR="00510B61" w:rsidRDefault="00510B61" w:rsidP="0088031C">
            <w:pPr>
              <w:pStyle w:val="TableListBullet"/>
            </w:pPr>
            <w:r>
              <w:t>May be a suitable long</w:t>
            </w:r>
            <w:r>
              <w:noBreakHyphen/>
              <w:t>term dwelling for some people with limited mobility (but not wheelchair users and users of some walking frames), assuming a transition ramp would be provided.</w:t>
            </w:r>
          </w:p>
          <w:p w14:paraId="6076A83C" w14:textId="77777777" w:rsidR="00510B61" w:rsidRDefault="00510B61" w:rsidP="0088031C">
            <w:pPr>
              <w:pStyle w:val="TableListBullet"/>
            </w:pPr>
            <w:r>
              <w:t>May not be a suitable long</w:t>
            </w:r>
            <w:r>
              <w:noBreakHyphen/>
              <w:t>term dwelling for wheelchair users, people who use a scooter/gopher inside and some walking frame users</w:t>
            </w:r>
            <w:r w:rsidR="00A03280">
              <w:t>.</w:t>
            </w:r>
          </w:p>
          <w:p w14:paraId="4320F0F2" w14:textId="77777777" w:rsidR="00510B61" w:rsidRDefault="00510B61" w:rsidP="0088031C">
            <w:pPr>
              <w:pStyle w:val="TableListBullet"/>
            </w:pPr>
            <w:r>
              <w:t>May be visitable for most people with limited mobility, but only if a transition ramp is provided.</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C84403" w14:textId="77777777" w:rsidR="00510B61" w:rsidRDefault="00510B61" w:rsidP="0088031C">
            <w:pPr>
              <w:pStyle w:val="TableListBullet"/>
            </w:pPr>
            <w:r>
              <w:t>May be a suitable long-term dwelling for most (but not all) people with limited mobility (assuming a transition ramp is provided).</w:t>
            </w:r>
          </w:p>
          <w:p w14:paraId="5AE60799" w14:textId="77777777" w:rsidR="00510B61" w:rsidRDefault="00510B61" w:rsidP="0088031C">
            <w:pPr>
              <w:pStyle w:val="TableListBullet"/>
            </w:pPr>
            <w:r>
              <w:t>May be visitable for most (but not all) people with limited mobility, but only if a transition ramp is provided.</w:t>
            </w:r>
          </w:p>
        </w:tc>
      </w:tr>
      <w:tr w:rsidR="00510B61" w14:paraId="768AD115" w14:textId="77777777" w:rsidTr="0088031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27CE03" w14:textId="77777777" w:rsidR="00510B61" w:rsidRDefault="00510B61" w:rsidP="0088031C">
            <w:pPr>
              <w:pStyle w:val="TableTextEntries"/>
            </w:pPr>
            <w:r>
              <w:t>Two</w:t>
            </w:r>
            <w:r>
              <w:noBreakHyphen/>
              <w:t>storey (Class 1a) dwelling</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17124B" w14:textId="77777777" w:rsidR="00510B61" w:rsidRDefault="00510B61" w:rsidP="0088031C">
            <w:pPr>
              <w:pStyle w:val="TableListBullet"/>
            </w:pPr>
            <w:r>
              <w:t>May not be a suitable long</w:t>
            </w:r>
            <w:r>
              <w:noBreakHyphen/>
              <w:t>term dwelling for people with limited mobility (unless bedrooms and showers are provided downstairs or there are modifications to allow people with limited mobility to get to the upper floor).</w:t>
            </w:r>
          </w:p>
          <w:p w14:paraId="1325B2D9" w14:textId="77777777" w:rsidR="00510B61" w:rsidRDefault="00510B61" w:rsidP="0088031C">
            <w:pPr>
              <w:pStyle w:val="TableListBullet"/>
            </w:pPr>
            <w:r>
              <w:t>May be visitable for some people with limited mobility (except wheelchair users and some users of walking frames)</w:t>
            </w:r>
            <w:r w:rsidR="007F1EFB">
              <w:t>.</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4ADC04" w14:textId="77777777" w:rsidR="00510B61" w:rsidRDefault="00510B61" w:rsidP="0088031C">
            <w:pPr>
              <w:pStyle w:val="TableListBullet"/>
            </w:pPr>
            <w:r>
              <w:t>May be a suitable long</w:t>
            </w:r>
            <w:r>
              <w:noBreakHyphen/>
              <w:t>term dwelling for people with limited mobility (but may require conversion of a downstairs living space to a bedroom).</w:t>
            </w:r>
          </w:p>
          <w:p w14:paraId="5AE74D3C" w14:textId="77777777" w:rsidR="00510B61" w:rsidRDefault="00510B61" w:rsidP="0088031C">
            <w:pPr>
              <w:pStyle w:val="TableListBullet"/>
            </w:pPr>
            <w:r>
              <w:t>May be visitable for some people with limited mobility.</w:t>
            </w:r>
          </w:p>
        </w:tc>
      </w:tr>
      <w:tr w:rsidR="00510B61" w14:paraId="1893A565" w14:textId="77777777" w:rsidTr="0088031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840E1C" w14:textId="77777777" w:rsidR="00510B61" w:rsidRDefault="00510B61" w:rsidP="0088031C">
            <w:pPr>
              <w:pStyle w:val="TableTextEntries"/>
            </w:pPr>
            <w:r>
              <w:t>Apartment (Class 2) on the ground floor of a 3-storey walk-up or in a 4+ storey complex</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1E2F33" w14:textId="77777777" w:rsidR="00510B61" w:rsidRDefault="00510B61" w:rsidP="0088031C">
            <w:pPr>
              <w:pStyle w:val="TableListBullet"/>
            </w:pPr>
            <w:r>
              <w:t>May be a suitable long</w:t>
            </w:r>
            <w:r>
              <w:noBreakHyphen/>
              <w:t>term dwelling for some people with limited mobility</w:t>
            </w:r>
            <w:r w:rsidR="00A03280">
              <w:t>.</w:t>
            </w:r>
          </w:p>
          <w:p w14:paraId="48058800" w14:textId="77777777" w:rsidR="00510B61" w:rsidRDefault="00510B61" w:rsidP="0088031C">
            <w:pPr>
              <w:pStyle w:val="TableListBullet"/>
            </w:pPr>
            <w:r>
              <w:t>May not be a suitable long</w:t>
            </w:r>
            <w:r>
              <w:noBreakHyphen/>
              <w:t>term dwelling for wheelchair users, users of walking frames</w:t>
            </w:r>
            <w:r w:rsidR="00A03280">
              <w:t>.</w:t>
            </w:r>
          </w:p>
          <w:p w14:paraId="173F44FD" w14:textId="77777777" w:rsidR="00510B61" w:rsidRDefault="00510B61" w:rsidP="0088031C">
            <w:pPr>
              <w:pStyle w:val="TableListBullet"/>
            </w:pPr>
            <w:r>
              <w:t>May be visitable for people with limited mobility</w:t>
            </w:r>
            <w:r w:rsidR="007F1EFB">
              <w:t>.</w:t>
            </w:r>
          </w:p>
        </w:tc>
        <w:tc>
          <w:tcPr>
            <w:tcW w:w="30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466158" w14:textId="77777777" w:rsidR="00510B61" w:rsidRDefault="00510B61" w:rsidP="0088031C">
            <w:pPr>
              <w:pStyle w:val="TableListBullet"/>
            </w:pPr>
            <w:r>
              <w:t>May be a suitable long</w:t>
            </w:r>
            <w:r>
              <w:noBreakHyphen/>
              <w:t>term dwelling for most (but not all) people with limited mobility.</w:t>
            </w:r>
          </w:p>
          <w:p w14:paraId="34115917" w14:textId="77777777" w:rsidR="00510B61" w:rsidRDefault="005D586F" w:rsidP="005D586F">
            <w:pPr>
              <w:pStyle w:val="TableListBullet"/>
            </w:pPr>
            <w:r>
              <w:t>May be v</w:t>
            </w:r>
            <w:r w:rsidR="00510B61">
              <w:t xml:space="preserve">isitable </w:t>
            </w:r>
            <w:r>
              <w:t>for people with limited mobility</w:t>
            </w:r>
            <w:r w:rsidR="00BE4D9E">
              <w:t>.</w:t>
            </w:r>
          </w:p>
        </w:tc>
      </w:tr>
      <w:tr w:rsidR="00510B61" w14:paraId="7A4D28DE" w14:textId="77777777" w:rsidTr="0088031C">
        <w:tc>
          <w:tcPr>
            <w:tcW w:w="1843" w:type="dxa"/>
            <w:tcBorders>
              <w:top w:val="single" w:sz="8" w:space="0" w:color="FFFFFF" w:themeColor="background1"/>
              <w:bottom w:val="single" w:sz="6" w:space="0" w:color="6F6652"/>
            </w:tcBorders>
            <w:shd w:val="clear" w:color="auto" w:fill="E9E8E5" w:themeFill="background2"/>
            <w:tcMar>
              <w:left w:w="57" w:type="dxa"/>
              <w:right w:w="57" w:type="dxa"/>
            </w:tcMar>
          </w:tcPr>
          <w:p w14:paraId="733CC597" w14:textId="77777777" w:rsidR="00510B61" w:rsidRDefault="00510B61" w:rsidP="0088031C">
            <w:pPr>
              <w:pStyle w:val="TableTextEntries"/>
            </w:pPr>
            <w:r>
              <w:lastRenderedPageBreak/>
              <w:t>Apartment (Class 2) above the ground floor in a 3-storey walk-up building</w:t>
            </w:r>
          </w:p>
        </w:tc>
        <w:tc>
          <w:tcPr>
            <w:tcW w:w="3047" w:type="dxa"/>
            <w:tcBorders>
              <w:top w:val="single" w:sz="8" w:space="0" w:color="FFFFFF" w:themeColor="background1"/>
              <w:bottom w:val="single" w:sz="6" w:space="0" w:color="6F6652"/>
            </w:tcBorders>
            <w:shd w:val="clear" w:color="auto" w:fill="E9E8E5" w:themeFill="background2"/>
            <w:tcMar>
              <w:left w:w="57" w:type="dxa"/>
              <w:right w:w="57" w:type="dxa"/>
            </w:tcMar>
          </w:tcPr>
          <w:p w14:paraId="7D753101" w14:textId="77777777" w:rsidR="00510B61" w:rsidRDefault="00510B61" w:rsidP="0088031C">
            <w:pPr>
              <w:pStyle w:val="TableListBullet"/>
            </w:pPr>
            <w:r>
              <w:t>May not be a suitable long</w:t>
            </w:r>
            <w:r>
              <w:noBreakHyphen/>
              <w:t>term dwelling for people with limited mobility</w:t>
            </w:r>
            <w:r w:rsidR="00A03280">
              <w:t>.</w:t>
            </w:r>
          </w:p>
          <w:p w14:paraId="13E5FD02" w14:textId="77777777" w:rsidR="00510B61" w:rsidRDefault="00510B61" w:rsidP="0088031C">
            <w:pPr>
              <w:pStyle w:val="TableListBullet"/>
            </w:pPr>
            <w:r>
              <w:t>May not be visitable for people with limited mobility.</w:t>
            </w:r>
          </w:p>
        </w:tc>
        <w:tc>
          <w:tcPr>
            <w:tcW w:w="3047" w:type="dxa"/>
            <w:tcBorders>
              <w:top w:val="single" w:sz="8" w:space="0" w:color="FFFFFF" w:themeColor="background1"/>
              <w:bottom w:val="single" w:sz="6" w:space="0" w:color="6F6652"/>
            </w:tcBorders>
            <w:shd w:val="clear" w:color="auto" w:fill="E9E8E5" w:themeFill="background2"/>
            <w:tcMar>
              <w:left w:w="57" w:type="dxa"/>
              <w:right w:w="57" w:type="dxa"/>
            </w:tcMar>
          </w:tcPr>
          <w:p w14:paraId="79280320" w14:textId="77777777" w:rsidR="00510B61" w:rsidRDefault="00510B61" w:rsidP="0088031C">
            <w:pPr>
              <w:pStyle w:val="TableListBullet"/>
            </w:pPr>
            <w:r>
              <w:t>May not be a suitable long</w:t>
            </w:r>
            <w:r>
              <w:noBreakHyphen/>
              <w:t>term dwelling for people with limited mobility</w:t>
            </w:r>
            <w:r w:rsidR="00A03280">
              <w:t>.</w:t>
            </w:r>
          </w:p>
          <w:p w14:paraId="0F0CD4D2" w14:textId="77777777" w:rsidR="00510B61" w:rsidRDefault="00510B61" w:rsidP="0088031C">
            <w:pPr>
              <w:pStyle w:val="TableListBullet"/>
            </w:pPr>
            <w:r>
              <w:t>May not be visitable for people with limited mobility.</w:t>
            </w:r>
          </w:p>
        </w:tc>
      </w:tr>
    </w:tbl>
    <w:p w14:paraId="7D25CFC5" w14:textId="77777777" w:rsidR="00510B61" w:rsidRPr="00424939" w:rsidRDefault="00510B61" w:rsidP="00510B61">
      <w:pPr>
        <w:pStyle w:val="Source"/>
        <w:rPr>
          <w:iCs/>
        </w:rPr>
      </w:pPr>
      <w:r w:rsidRPr="00424939">
        <w:rPr>
          <w:iCs/>
        </w:rPr>
        <w:t>Source: CIE.</w:t>
      </w:r>
    </w:p>
    <w:p w14:paraId="2EA0B3FA" w14:textId="77777777" w:rsidR="00C21D58" w:rsidRDefault="00C21D58" w:rsidP="00C21D58">
      <w:pPr>
        <w:pStyle w:val="Heading4"/>
        <w:rPr>
          <w:lang w:eastAsia="en-US"/>
        </w:rPr>
      </w:pPr>
      <w:r>
        <w:rPr>
          <w:lang w:eastAsia="en-US"/>
        </w:rPr>
        <w:t>Accessibility of NCC options</w:t>
      </w:r>
    </w:p>
    <w:p w14:paraId="66253797" w14:textId="77777777" w:rsidR="00C21D58" w:rsidRDefault="00C21D58" w:rsidP="00C21D58">
      <w:pPr>
        <w:pStyle w:val="BodyText"/>
      </w:pPr>
      <w:r>
        <w:t>Some general points on the accessibility of the NCC options are as follows.</w:t>
      </w:r>
    </w:p>
    <w:p w14:paraId="3CD2776B" w14:textId="77777777" w:rsidR="00C21D58" w:rsidRDefault="00C21D58" w:rsidP="00C21D58">
      <w:pPr>
        <w:pStyle w:val="ListBullet"/>
      </w:pPr>
      <w:r>
        <w:t>Options 2 (Gold) and 3 (Gold +) provide greater accessibility than Option 1 (Silver).</w:t>
      </w:r>
    </w:p>
    <w:p w14:paraId="713C1C5C" w14:textId="77777777" w:rsidR="00C21D58" w:rsidRDefault="00C21D58" w:rsidP="00C21D58">
      <w:pPr>
        <w:pStyle w:val="ListBullet"/>
      </w:pPr>
      <w:r>
        <w:t>A Silver level dwelling is unlikely to be a long</w:t>
      </w:r>
      <w:r>
        <w:noBreakHyphen/>
        <w:t>term suitable dwelling for some people with disability, including wheelchair users and some users of walking frames (particularly those with wheels). However, it may provide adequate levels of accessibility temporarily or for visitors.</w:t>
      </w:r>
      <w:r>
        <w:rPr>
          <w:rStyle w:val="FootnoteReference"/>
        </w:rPr>
        <w:footnoteReference w:id="221"/>
      </w:r>
    </w:p>
    <w:p w14:paraId="2A18E31E" w14:textId="77777777" w:rsidR="00C21D58" w:rsidRPr="00CA7F8C" w:rsidRDefault="00C21D58" w:rsidP="00C21D58">
      <w:pPr>
        <w:pStyle w:val="ListBullet"/>
      </w:pPr>
      <w:r>
        <w:t>A Gold and Gold+ level dwelling would generally be suitable for most people with disability. However, it may not provide sufficient accessibility to be a suitable dwelling for people with high accessibility needs.</w:t>
      </w:r>
    </w:p>
    <w:p w14:paraId="17CDCCBE" w14:textId="77777777" w:rsidR="00C21D58" w:rsidRPr="00C21D58" w:rsidRDefault="00C21D58" w:rsidP="00C21D58">
      <w:pPr>
        <w:pStyle w:val="Heading4"/>
      </w:pPr>
      <w:r w:rsidRPr="00C21D58">
        <w:t>Two</w:t>
      </w:r>
      <w:r w:rsidRPr="00C21D58">
        <w:noBreakHyphen/>
        <w:t>storey homes</w:t>
      </w:r>
    </w:p>
    <w:p w14:paraId="4D345C81" w14:textId="77777777" w:rsidR="00C21D58" w:rsidRDefault="00C21D58" w:rsidP="00C21D58">
      <w:pPr>
        <w:pStyle w:val="BodyText"/>
      </w:pPr>
      <w:r>
        <w:t>Dwellings built to Gold and Gold+ standard are required to:</w:t>
      </w:r>
    </w:p>
    <w:p w14:paraId="6CCDA5A4" w14:textId="77777777" w:rsidR="00C21D58" w:rsidRDefault="00C21D58" w:rsidP="00C21D58">
      <w:pPr>
        <w:pStyle w:val="ListBullet"/>
      </w:pPr>
      <w:r>
        <w:t xml:space="preserve">provide space for a bedroom on entry-level </w:t>
      </w:r>
    </w:p>
    <w:p w14:paraId="28586A2F" w14:textId="77777777" w:rsidR="00C21D58" w:rsidRDefault="00C21D58" w:rsidP="00C21D58">
      <w:pPr>
        <w:pStyle w:val="ListBullet"/>
      </w:pPr>
      <w:r>
        <w:t>provide a shower on entry level.</w:t>
      </w:r>
    </w:p>
    <w:p w14:paraId="62EE4C3D" w14:textId="77777777" w:rsidR="00C21D58" w:rsidRDefault="00C21D58" w:rsidP="00C21D58">
      <w:pPr>
        <w:pStyle w:val="BodyText"/>
      </w:pPr>
      <w:r>
        <w:t>In the event that a resident of a two</w:t>
      </w:r>
      <w:r>
        <w:noBreakHyphen/>
        <w:t>storey Gold or Gold+ standard dwelling acquires a disability that limits their ability to climb stairs, these requirements mean they would be able to use the ground</w:t>
      </w:r>
      <w:r>
        <w:noBreakHyphen/>
        <w:t>level bedroom space and remain living in the dwelling.</w:t>
      </w:r>
    </w:p>
    <w:p w14:paraId="6AEF9EB8" w14:textId="77777777" w:rsidR="00C21D58" w:rsidRPr="000846CB" w:rsidRDefault="00C21D58" w:rsidP="00C21D58">
      <w:pPr>
        <w:pStyle w:val="BodyText"/>
      </w:pPr>
      <w:r w:rsidRPr="000846CB">
        <w:t>However, two</w:t>
      </w:r>
      <w:r w:rsidRPr="000846CB">
        <w:noBreakHyphen/>
        <w:t>storey dwellings designed to comply with Silver</w:t>
      </w:r>
      <w:r w:rsidRPr="000846CB">
        <w:noBreakHyphen/>
        <w:t>level requirements could potentially retain a number of features that are ‘inaccessible’. It is therefore not clear that two</w:t>
      </w:r>
      <w:r w:rsidRPr="000846CB">
        <w:noBreakHyphen/>
        <w:t xml:space="preserve">storey dwellings would be accessible for people with limited mobility, even if designed to meet </w:t>
      </w:r>
      <w:r w:rsidR="00C943A7">
        <w:t>S</w:t>
      </w:r>
      <w:r w:rsidRPr="000846CB">
        <w:t>ilver</w:t>
      </w:r>
      <w:r w:rsidRPr="000846CB">
        <w:noBreakHyphen/>
        <w:t>level requirements.</w:t>
      </w:r>
    </w:p>
    <w:p w14:paraId="05A8DB87" w14:textId="77777777" w:rsidR="00C21D58" w:rsidRPr="000846CB" w:rsidRDefault="00C21D58" w:rsidP="00C21D58">
      <w:pPr>
        <w:pStyle w:val="BodyText"/>
      </w:pPr>
      <w:r w:rsidRPr="000846CB">
        <w:t>Two</w:t>
      </w:r>
      <w:r w:rsidRPr="000846CB">
        <w:noBreakHyphen/>
        <w:t xml:space="preserve">storey dwellings </w:t>
      </w:r>
      <w:r w:rsidR="00C943A7">
        <w:t>c</w:t>
      </w:r>
      <w:r w:rsidRPr="000846CB">
        <w:t>ould continue to have internal stairs. Stairs can be a major issue for people with disability and older people.</w:t>
      </w:r>
    </w:p>
    <w:p w14:paraId="39FA8610" w14:textId="77777777" w:rsidR="00C21D58" w:rsidRPr="000846CB" w:rsidRDefault="00C21D58" w:rsidP="00C21D58">
      <w:pPr>
        <w:pStyle w:val="ListBullet"/>
      </w:pPr>
      <w:r w:rsidRPr="000846CB">
        <w:t>An (unpublished) survey of people over the age of 50 found that a single storey home was among the most important design features respondents would look for in a future home.</w:t>
      </w:r>
    </w:p>
    <w:p w14:paraId="5AF5DA3E" w14:textId="77777777" w:rsidR="00C21D58" w:rsidRPr="000846CB" w:rsidRDefault="00C21D58" w:rsidP="00C21D58">
      <w:pPr>
        <w:pStyle w:val="ListBullet"/>
      </w:pPr>
      <w:r w:rsidRPr="000846CB">
        <w:t xml:space="preserve">Some of the personal stories provided in submissions highlight the problems associated with steps. For example, one of the case studies in the submission from </w:t>
      </w:r>
      <w:r w:rsidR="00C943A7">
        <w:t xml:space="preserve">MDI and </w:t>
      </w:r>
      <w:r w:rsidRPr="000846CB">
        <w:t>the Summer Foundation</w:t>
      </w:r>
      <w:r w:rsidR="00C943A7">
        <w:t xml:space="preserve"> </w:t>
      </w:r>
      <w:r w:rsidRPr="000846CB">
        <w:t xml:space="preserve">— Andrea’s story in Box J.10 — referred to challenges associated with </w:t>
      </w:r>
      <w:r>
        <w:t>stairs</w:t>
      </w:r>
      <w:r w:rsidRPr="000846CB">
        <w:t>. Andrea’s bedroom is located upstairs, which requires her to sit and use her arms to push herself up and down the stairs.</w:t>
      </w:r>
    </w:p>
    <w:p w14:paraId="24C272D6" w14:textId="77777777" w:rsidR="00C21D58" w:rsidRPr="000846CB" w:rsidRDefault="00C21D58" w:rsidP="00C21D58">
      <w:pPr>
        <w:pStyle w:val="BodyText"/>
      </w:pPr>
      <w:r w:rsidRPr="000846CB">
        <w:lastRenderedPageBreak/>
        <w:t>A relatively common configuration of two</w:t>
      </w:r>
      <w:r w:rsidRPr="000846CB">
        <w:noBreakHyphen/>
        <w:t>storey homes has living spaces downstairs and bedrooms upstairs. These designs typically have a toilet downstairs, but full bathrooms are often located upstairs.</w:t>
      </w:r>
    </w:p>
    <w:p w14:paraId="52BC4E50" w14:textId="77777777" w:rsidR="00C21D58" w:rsidRPr="000846CB" w:rsidRDefault="00C21D58" w:rsidP="00C21D58">
      <w:pPr>
        <w:pStyle w:val="BodyText"/>
      </w:pPr>
      <w:r w:rsidRPr="000846CB">
        <w:t>People with limited mobility may be able to enter the dwelling; however, without significant modifications, they would not necessarily be able to access:</w:t>
      </w:r>
    </w:p>
    <w:p w14:paraId="1D153359" w14:textId="77777777" w:rsidR="00C21D58" w:rsidRPr="000846CB" w:rsidRDefault="00C21D58" w:rsidP="00C21D58">
      <w:pPr>
        <w:pStyle w:val="ListBullet"/>
      </w:pPr>
      <w:r w:rsidRPr="000846CB">
        <w:t>the bedrooms</w:t>
      </w:r>
      <w:r w:rsidR="00BD176C">
        <w:t>,</w:t>
      </w:r>
      <w:r w:rsidRPr="000846CB">
        <w:t xml:space="preserve"> or</w:t>
      </w:r>
    </w:p>
    <w:p w14:paraId="515FA078" w14:textId="77777777" w:rsidR="00C21D58" w:rsidRPr="000846CB" w:rsidRDefault="00C21D58" w:rsidP="00C21D58">
      <w:pPr>
        <w:pStyle w:val="ListBullet"/>
      </w:pPr>
      <w:r w:rsidRPr="000846CB">
        <w:t xml:space="preserve">the shower (there is no requirement for a shower to be downstairs under </w:t>
      </w:r>
      <w:r w:rsidR="00C943A7">
        <w:t>S</w:t>
      </w:r>
      <w:r w:rsidRPr="000846CB">
        <w:t>ilver).</w:t>
      </w:r>
    </w:p>
    <w:p w14:paraId="5C9BEBD7" w14:textId="77777777" w:rsidR="00C21D58" w:rsidRDefault="00C943A7" w:rsidP="00C943A7">
      <w:pPr>
        <w:pStyle w:val="Heading3"/>
        <w:rPr>
          <w:lang w:eastAsia="en-US"/>
        </w:rPr>
      </w:pPr>
      <w:r>
        <w:rPr>
          <w:lang w:eastAsia="en-US"/>
        </w:rPr>
        <w:t>General modelling assumptions</w:t>
      </w:r>
    </w:p>
    <w:p w14:paraId="64B3858C" w14:textId="77777777" w:rsidR="00C943A7" w:rsidRDefault="00C943A7" w:rsidP="00C943A7">
      <w:pPr>
        <w:pStyle w:val="BodyText"/>
      </w:pPr>
      <w:r>
        <w:t>As demonstrated by the discussion above, modelling the differences between options is a challenge. Accessibility needs are specific to each individual, making it difficult to generalise about accessibility needs based on the information available from SDAC and the extent to which the various options would address their needs.</w:t>
      </w:r>
    </w:p>
    <w:p w14:paraId="56174205" w14:textId="77777777" w:rsidR="00510B61" w:rsidRDefault="00510B61" w:rsidP="00510B61">
      <w:pPr>
        <w:pStyle w:val="BodyText"/>
        <w:rPr>
          <w:lang w:eastAsia="en-US"/>
        </w:rPr>
      </w:pPr>
      <w:r>
        <w:rPr>
          <w:lang w:eastAsia="en-US"/>
        </w:rPr>
        <w:t>A</w:t>
      </w:r>
      <w:r w:rsidR="00C943A7">
        <w:rPr>
          <w:lang w:eastAsia="en-US"/>
        </w:rPr>
        <w:t>lthough, as established in the above discussion,</w:t>
      </w:r>
      <w:r>
        <w:rPr>
          <w:lang w:eastAsia="en-US"/>
        </w:rPr>
        <w:t xml:space="preserve"> the needs and abilities of people within different groups (identifiable through SDAC cross</w:t>
      </w:r>
      <w:r>
        <w:rPr>
          <w:lang w:eastAsia="en-US"/>
        </w:rPr>
        <w:noBreakHyphen/>
        <w:t xml:space="preserve">tabulations) could vary considerably, </w:t>
      </w:r>
      <w:r w:rsidR="00E94DDA">
        <w:rPr>
          <w:lang w:eastAsia="en-US"/>
        </w:rPr>
        <w:t xml:space="preserve">it is necessary to define clear </w:t>
      </w:r>
      <w:r>
        <w:rPr>
          <w:lang w:eastAsia="en-US"/>
        </w:rPr>
        <w:t>assumptions</w:t>
      </w:r>
      <w:r w:rsidR="00E94DDA">
        <w:rPr>
          <w:lang w:eastAsia="en-US"/>
        </w:rPr>
        <w:t xml:space="preserve"> on which to base the modelling</w:t>
      </w:r>
      <w:r>
        <w:rPr>
          <w:lang w:eastAsia="en-US"/>
        </w:rPr>
        <w:t>.</w:t>
      </w:r>
    </w:p>
    <w:p w14:paraId="554CA4D0" w14:textId="77777777" w:rsidR="00E94DDA" w:rsidRDefault="00E94DDA" w:rsidP="00510B61">
      <w:pPr>
        <w:pStyle w:val="BodyText"/>
        <w:rPr>
          <w:lang w:eastAsia="en-US"/>
        </w:rPr>
      </w:pPr>
      <w:r>
        <w:rPr>
          <w:lang w:eastAsia="en-US"/>
        </w:rPr>
        <w:t>The modelling assumptions adopted are outlined below. They have been further refined from the Consultation RIS based on information provided during consultation.</w:t>
      </w:r>
    </w:p>
    <w:p w14:paraId="785BA816" w14:textId="77777777" w:rsidR="00510B61" w:rsidRDefault="00510B61" w:rsidP="00510B61">
      <w:pPr>
        <w:pStyle w:val="KeyPoint"/>
        <w:numPr>
          <w:ilvl w:val="0"/>
          <w:numId w:val="11"/>
        </w:numPr>
      </w:pPr>
      <w:r>
        <w:t>A Silver</w:t>
      </w:r>
      <w:r>
        <w:noBreakHyphen/>
        <w:t>level single</w:t>
      </w:r>
      <w:r>
        <w:noBreakHyphen/>
        <w:t>storey house/townhouse is:</w:t>
      </w:r>
    </w:p>
    <w:p w14:paraId="6F4C3CBD" w14:textId="77777777" w:rsidR="00510B61" w:rsidRDefault="00510B61" w:rsidP="00510B61">
      <w:pPr>
        <w:pStyle w:val="KeyPoint2"/>
        <w:numPr>
          <w:ilvl w:val="1"/>
          <w:numId w:val="11"/>
        </w:numPr>
      </w:pPr>
      <w:r>
        <w:t xml:space="preserve">liveable (i.e. would avoid the costs estimated in chapter </w:t>
      </w:r>
      <w:r w:rsidR="004C7A95">
        <w:t>three</w:t>
      </w:r>
      <w:r>
        <w:t>) for people with limited mobility living in the dwelling, except for wheelchair users (this is a similar assumption to that used in the Consultation RIS)</w:t>
      </w:r>
    </w:p>
    <w:p w14:paraId="5AC31C77" w14:textId="77777777" w:rsidR="00510B61" w:rsidRDefault="00510B61" w:rsidP="00510B61">
      <w:pPr>
        <w:pStyle w:val="KeyPoint2"/>
        <w:numPr>
          <w:ilvl w:val="1"/>
          <w:numId w:val="11"/>
        </w:numPr>
      </w:pPr>
      <w:r>
        <w:t>visitable for all people with limited mobility</w:t>
      </w:r>
    </w:p>
    <w:p w14:paraId="0A27DA2D" w14:textId="77777777" w:rsidR="00510B61" w:rsidRDefault="00510B61" w:rsidP="001F0CF7">
      <w:pPr>
        <w:pStyle w:val="KeyPoint"/>
        <w:numPr>
          <w:ilvl w:val="0"/>
          <w:numId w:val="11"/>
        </w:numPr>
        <w:suppressAutoHyphens/>
      </w:pPr>
      <w:r>
        <w:t>A Silver</w:t>
      </w:r>
      <w:r>
        <w:noBreakHyphen/>
        <w:t>level double</w:t>
      </w:r>
      <w:r>
        <w:noBreakHyphen/>
        <w:t xml:space="preserve">storey house/townhouse (where </w:t>
      </w:r>
      <w:r w:rsidR="00DC45B4">
        <w:t>a toilet is on the ground floor</w:t>
      </w:r>
      <w:r w:rsidR="0041602D">
        <w:t xml:space="preserve"> but a</w:t>
      </w:r>
      <w:r w:rsidR="0025059C">
        <w:t xml:space="preserve"> </w:t>
      </w:r>
      <w:r>
        <w:t>bathroom</w:t>
      </w:r>
      <w:r w:rsidR="0025059C">
        <w:t xml:space="preserve"> with a shower</w:t>
      </w:r>
      <w:r>
        <w:t>/bedrooms are upstairs) is:</w:t>
      </w:r>
    </w:p>
    <w:p w14:paraId="35E994C4" w14:textId="77777777" w:rsidR="00510B61" w:rsidRDefault="00510B61" w:rsidP="00510B61">
      <w:pPr>
        <w:pStyle w:val="KeyPoint2"/>
        <w:numPr>
          <w:ilvl w:val="1"/>
          <w:numId w:val="11"/>
        </w:numPr>
      </w:pPr>
      <w:r>
        <w:t>not liveable for people with limited mobility and would therefore deliver no</w:t>
      </w:r>
      <w:r w:rsidR="00DC4314">
        <w:rPr>
          <w:lang w:bidi="fa-IR"/>
        </w:rPr>
        <w:t xml:space="preserve"> benefits </w:t>
      </w:r>
      <w:r>
        <w:t>to these people</w:t>
      </w:r>
    </w:p>
    <w:p w14:paraId="5CFCE151" w14:textId="77777777" w:rsidR="00510B61" w:rsidRDefault="00510B61" w:rsidP="00510B61">
      <w:pPr>
        <w:pStyle w:val="KeyPoint2"/>
        <w:numPr>
          <w:ilvl w:val="1"/>
          <w:numId w:val="11"/>
        </w:numPr>
      </w:pPr>
      <w:r>
        <w:t>visitable for all.</w:t>
      </w:r>
    </w:p>
    <w:p w14:paraId="6C5CD084" w14:textId="77777777" w:rsidR="00510B61" w:rsidRDefault="00510B61" w:rsidP="00510B61">
      <w:pPr>
        <w:pStyle w:val="KeyPoint"/>
        <w:numPr>
          <w:ilvl w:val="0"/>
          <w:numId w:val="11"/>
        </w:numPr>
      </w:pPr>
      <w:r>
        <w:t>A Silver</w:t>
      </w:r>
      <w:r>
        <w:noBreakHyphen/>
        <w:t>level apartment on the ground floor of a 3</w:t>
      </w:r>
      <w:r>
        <w:noBreakHyphen/>
        <w:t>storey walk</w:t>
      </w:r>
      <w:r>
        <w:noBreakHyphen/>
        <w:t>up (with no lift) or in 4+ storey building is:</w:t>
      </w:r>
    </w:p>
    <w:p w14:paraId="3FB84DF7" w14:textId="77777777" w:rsidR="00510B61" w:rsidRDefault="00510B61" w:rsidP="00510B61">
      <w:pPr>
        <w:pStyle w:val="KeyPoint2"/>
        <w:numPr>
          <w:ilvl w:val="1"/>
          <w:numId w:val="11"/>
        </w:numPr>
      </w:pPr>
      <w:r>
        <w:t>liveable for all people with limited mobility except wheelchair users</w:t>
      </w:r>
    </w:p>
    <w:p w14:paraId="1C93D9DE" w14:textId="77777777" w:rsidR="00510B61" w:rsidRDefault="00510B61" w:rsidP="00510B61">
      <w:pPr>
        <w:pStyle w:val="KeyPoint2"/>
        <w:numPr>
          <w:ilvl w:val="1"/>
          <w:numId w:val="11"/>
        </w:numPr>
      </w:pPr>
      <w:r>
        <w:t>visitable for all people with limited mobility.</w:t>
      </w:r>
    </w:p>
    <w:p w14:paraId="6F19EB05" w14:textId="77777777" w:rsidR="00510B61" w:rsidRDefault="00510B61" w:rsidP="00510B61">
      <w:pPr>
        <w:pStyle w:val="KeyPoint"/>
        <w:numPr>
          <w:ilvl w:val="0"/>
          <w:numId w:val="11"/>
        </w:numPr>
      </w:pPr>
      <w:r>
        <w:t>A Silver apartment above ground floor in a 3</w:t>
      </w:r>
      <w:r>
        <w:noBreakHyphen/>
        <w:t>storey walk</w:t>
      </w:r>
      <w:r>
        <w:noBreakHyphen/>
        <w:t>up is:</w:t>
      </w:r>
    </w:p>
    <w:p w14:paraId="505A02B2" w14:textId="77777777" w:rsidR="00510B61" w:rsidRDefault="00510B61" w:rsidP="00510B61">
      <w:pPr>
        <w:pStyle w:val="KeyPoint2"/>
        <w:numPr>
          <w:ilvl w:val="1"/>
          <w:numId w:val="11"/>
        </w:numPr>
      </w:pPr>
      <w:r>
        <w:t>not liveable for people with limited mobility</w:t>
      </w:r>
    </w:p>
    <w:p w14:paraId="28264573" w14:textId="77777777" w:rsidR="00510B61" w:rsidRDefault="00510B61" w:rsidP="00510B61">
      <w:pPr>
        <w:pStyle w:val="KeyPoint2"/>
        <w:numPr>
          <w:ilvl w:val="1"/>
          <w:numId w:val="11"/>
        </w:numPr>
      </w:pPr>
      <w:r>
        <w:t>not visitable for people with limited mobility.</w:t>
      </w:r>
    </w:p>
    <w:p w14:paraId="5F431DFF" w14:textId="77777777" w:rsidR="00510B61" w:rsidRDefault="00510B61" w:rsidP="00510B61">
      <w:pPr>
        <w:pStyle w:val="KeyPoint"/>
        <w:numPr>
          <w:ilvl w:val="0"/>
          <w:numId w:val="11"/>
        </w:numPr>
      </w:pPr>
      <w:r>
        <w:t>A Gold or Gold+ level house (single or double</w:t>
      </w:r>
      <w:r>
        <w:noBreakHyphen/>
        <w:t>storey) is:</w:t>
      </w:r>
    </w:p>
    <w:p w14:paraId="2CE2BBF2" w14:textId="77777777" w:rsidR="00510B61" w:rsidRDefault="00510B61" w:rsidP="00510B61">
      <w:pPr>
        <w:pStyle w:val="KeyPoint2"/>
        <w:numPr>
          <w:ilvl w:val="1"/>
          <w:numId w:val="11"/>
        </w:numPr>
      </w:pPr>
      <w:r>
        <w:t>liveable for all people with limited mobility</w:t>
      </w:r>
    </w:p>
    <w:p w14:paraId="1150F381" w14:textId="77777777" w:rsidR="00510B61" w:rsidRDefault="00510B61" w:rsidP="00510B61">
      <w:pPr>
        <w:pStyle w:val="KeyPoint2"/>
        <w:numPr>
          <w:ilvl w:val="1"/>
          <w:numId w:val="11"/>
        </w:numPr>
      </w:pPr>
      <w:r>
        <w:t>visitable for all people with limited mobility.</w:t>
      </w:r>
    </w:p>
    <w:p w14:paraId="699A655E" w14:textId="77777777" w:rsidR="00510B61" w:rsidRDefault="00510B61" w:rsidP="00510B61">
      <w:pPr>
        <w:pStyle w:val="KeyPoint"/>
        <w:numPr>
          <w:ilvl w:val="0"/>
          <w:numId w:val="11"/>
        </w:numPr>
      </w:pPr>
      <w:r>
        <w:lastRenderedPageBreak/>
        <w:t>A Gold or Gold+ level apartment on the ground floor of a 3</w:t>
      </w:r>
      <w:r>
        <w:noBreakHyphen/>
        <w:t>storey walk-up or in 4+ storey building is:</w:t>
      </w:r>
    </w:p>
    <w:p w14:paraId="632FA841" w14:textId="77777777" w:rsidR="00510B61" w:rsidRDefault="00510B61" w:rsidP="00510B61">
      <w:pPr>
        <w:pStyle w:val="KeyPoint2"/>
        <w:numPr>
          <w:ilvl w:val="1"/>
          <w:numId w:val="11"/>
        </w:numPr>
      </w:pPr>
      <w:r>
        <w:t>livable for all people with limited mobility</w:t>
      </w:r>
    </w:p>
    <w:p w14:paraId="3656AF0A" w14:textId="77777777" w:rsidR="00510B61" w:rsidRDefault="00510B61" w:rsidP="00510B61">
      <w:pPr>
        <w:pStyle w:val="KeyPoint2"/>
        <w:numPr>
          <w:ilvl w:val="1"/>
          <w:numId w:val="11"/>
        </w:numPr>
      </w:pPr>
      <w:r>
        <w:t>visitable for all people with limited mobility.</w:t>
      </w:r>
    </w:p>
    <w:p w14:paraId="3685DBEA" w14:textId="77777777" w:rsidR="00510B61" w:rsidRDefault="00510B61" w:rsidP="00510B61">
      <w:pPr>
        <w:pStyle w:val="KeyPoint"/>
        <w:numPr>
          <w:ilvl w:val="0"/>
          <w:numId w:val="11"/>
        </w:numPr>
      </w:pPr>
      <w:r>
        <w:t>A Gold or Gold+ level apartment above the ground floor in 3</w:t>
      </w:r>
      <w:r>
        <w:noBreakHyphen/>
        <w:t>storey walk</w:t>
      </w:r>
      <w:r w:rsidR="00D25EF2">
        <w:t>-</w:t>
      </w:r>
      <w:r>
        <w:t>up is:</w:t>
      </w:r>
    </w:p>
    <w:p w14:paraId="48526C36" w14:textId="77777777" w:rsidR="00510B61" w:rsidRDefault="00510B61" w:rsidP="00510B61">
      <w:pPr>
        <w:pStyle w:val="KeyPoint2"/>
        <w:numPr>
          <w:ilvl w:val="1"/>
          <w:numId w:val="11"/>
        </w:numPr>
      </w:pPr>
      <w:r>
        <w:t>not livable for people with limited mobility</w:t>
      </w:r>
    </w:p>
    <w:p w14:paraId="1D0E230B" w14:textId="77777777" w:rsidR="00510B61" w:rsidRDefault="00510B61" w:rsidP="00510B61">
      <w:pPr>
        <w:pStyle w:val="KeyPoint2"/>
        <w:numPr>
          <w:ilvl w:val="1"/>
          <w:numId w:val="11"/>
        </w:numPr>
      </w:pPr>
      <w:r>
        <w:t>not visitable for people with limited mobility.</w:t>
      </w:r>
    </w:p>
    <w:p w14:paraId="42632527" w14:textId="77777777" w:rsidR="00E94DDA" w:rsidRDefault="00E94DDA" w:rsidP="00E94DDA">
      <w:pPr>
        <w:pStyle w:val="BodyText"/>
      </w:pPr>
      <w:r>
        <w:t>While it is impossible to model every individualised scenario</w:t>
      </w:r>
      <w:r w:rsidR="008D45C2">
        <w:t xml:space="preserve"> as the needs of people with disability vary and are highly individualised</w:t>
      </w:r>
      <w:r>
        <w:t>, these specific assumptions have been chosen as it is more likely they will overstate rather than understate the benefits of the proposed NCC standards for the following reasons:</w:t>
      </w:r>
    </w:p>
    <w:p w14:paraId="70951FEF" w14:textId="77777777" w:rsidR="00EA32D1" w:rsidRDefault="00334A3B" w:rsidP="00EA32D1">
      <w:pPr>
        <w:pStyle w:val="ListBullet"/>
      </w:pPr>
      <w:r>
        <w:t xml:space="preserve">houses/townhouses are assumed to </w:t>
      </w:r>
      <w:r w:rsidR="00337253">
        <w:t>be</w:t>
      </w:r>
      <w:r>
        <w:t xml:space="preserve"> visitable for all, despite allowing for a 56 mm transition threshold at the entrance</w:t>
      </w:r>
      <w:r w:rsidR="00BD176C">
        <w:t>,</w:t>
      </w:r>
      <w:r>
        <w:t xml:space="preserve"> and</w:t>
      </w:r>
    </w:p>
    <w:p w14:paraId="23F6FAB4" w14:textId="77777777" w:rsidR="00334A3B" w:rsidRDefault="00334A3B" w:rsidP="00EA32D1">
      <w:pPr>
        <w:pStyle w:val="ListBullet"/>
      </w:pPr>
      <w:r>
        <w:t>dwellings are assumed to be livable for renters with accessibility needs, even though the landlord could possibl</w:t>
      </w:r>
      <w:r w:rsidR="008D45C2">
        <w:t>y</w:t>
      </w:r>
      <w:r>
        <w:t xml:space="preserve"> prevent them from installing grab-rails.</w:t>
      </w:r>
    </w:p>
    <w:p w14:paraId="54FC8E00" w14:textId="77777777" w:rsidR="00334A3B" w:rsidRDefault="00AF40DF" w:rsidP="00334A3B">
      <w:pPr>
        <w:pStyle w:val="BodyText"/>
      </w:pPr>
      <w:r>
        <w:t>However, these assumptions are considered broadly reasonable from a high-level modelling perspective based on the information available.</w:t>
      </w:r>
    </w:p>
    <w:p w14:paraId="77E08232" w14:textId="77777777" w:rsidR="00510B61" w:rsidRDefault="008D45C2" w:rsidP="00F11AF4">
      <w:pPr>
        <w:pStyle w:val="Heading3"/>
        <w:numPr>
          <w:ilvl w:val="2"/>
          <w:numId w:val="5"/>
        </w:numPr>
      </w:pPr>
      <w:r>
        <w:t>Specific m</w:t>
      </w:r>
      <w:r w:rsidR="00510B61">
        <w:t>odelling assumptions</w:t>
      </w:r>
    </w:p>
    <w:p w14:paraId="7AEF9D17" w14:textId="77777777" w:rsidR="00510B61" w:rsidRDefault="00510B61" w:rsidP="00510B61">
      <w:pPr>
        <w:pStyle w:val="BodyText"/>
      </w:pPr>
      <w:r>
        <w:t>The</w:t>
      </w:r>
      <w:r w:rsidR="008D45C2">
        <w:t xml:space="preserve"> specific</w:t>
      </w:r>
      <w:r>
        <w:t xml:space="preserve"> assumptions used in the modelling are set out below.</w:t>
      </w:r>
    </w:p>
    <w:p w14:paraId="556A6EF8" w14:textId="77777777" w:rsidR="00510B61" w:rsidRDefault="00510B61" w:rsidP="00F11AF4">
      <w:pPr>
        <w:pStyle w:val="Heading4"/>
      </w:pPr>
      <w:r>
        <w:t>Proportion of wheelchair users</w:t>
      </w:r>
    </w:p>
    <w:p w14:paraId="6F30046C" w14:textId="77777777" w:rsidR="00510B61" w:rsidRDefault="00510B61" w:rsidP="00510B61">
      <w:pPr>
        <w:pStyle w:val="BodyText"/>
      </w:pPr>
      <w:r>
        <w:t>Based on the assumptions outlined above, housing designed to Silver level would not be a suitable long</w:t>
      </w:r>
      <w:r>
        <w:noBreakHyphen/>
        <w:t>term dwelling for wheelchair users.</w:t>
      </w:r>
    </w:p>
    <w:p w14:paraId="20268565" w14:textId="77777777" w:rsidR="003823A3" w:rsidRDefault="00840FD6" w:rsidP="003823A3">
      <w:pPr>
        <w:pStyle w:val="BodyText"/>
      </w:pPr>
      <w:r>
        <w:t>While</w:t>
      </w:r>
      <w:r w:rsidR="00510B61">
        <w:t xml:space="preserve"> wheelchair users are around 6 per cent of all people with limited mobility, they tend to be</w:t>
      </w:r>
      <w:r w:rsidR="003636CB">
        <w:t xml:space="preserve">nefit </w:t>
      </w:r>
      <w:r w:rsidR="00063EA1">
        <w:t xml:space="preserve">from accessible housing </w:t>
      </w:r>
      <w:r w:rsidR="003636CB">
        <w:t xml:space="preserve">more proportionately than other people with disability. As a result, wheelchair users would </w:t>
      </w:r>
      <w:r w:rsidR="00063EA1">
        <w:t>represent</w:t>
      </w:r>
      <w:r w:rsidR="003636CB">
        <w:t xml:space="preserve"> more than </w:t>
      </w:r>
      <w:r w:rsidR="00063EA1">
        <w:t xml:space="preserve">a </w:t>
      </w:r>
      <w:r w:rsidR="003636CB">
        <w:t xml:space="preserve">6 per cent </w:t>
      </w:r>
      <w:r w:rsidR="00063EA1">
        <w:t xml:space="preserve">share </w:t>
      </w:r>
      <w:r w:rsidR="003636CB">
        <w:t xml:space="preserve">of </w:t>
      </w:r>
      <w:r w:rsidR="00063EA1">
        <w:t>people with</w:t>
      </w:r>
      <w:r w:rsidR="003636CB">
        <w:t xml:space="preserve"> </w:t>
      </w:r>
      <w:r w:rsidR="00510B61">
        <w:t xml:space="preserve">the various problems estimated in chapter </w:t>
      </w:r>
      <w:r w:rsidR="004C7A95">
        <w:t>three</w:t>
      </w:r>
      <w:r w:rsidR="00510B61">
        <w:t xml:space="preserve">. </w:t>
      </w:r>
      <w:r w:rsidR="003636CB">
        <w:t>Table 7.3 reports t</w:t>
      </w:r>
      <w:r w:rsidR="00510B61">
        <w:t xml:space="preserve">he estimated share of wheelchair users in each of the problems estimated in chapter </w:t>
      </w:r>
      <w:r w:rsidR="004C7A95">
        <w:t>three</w:t>
      </w:r>
      <w:r w:rsidR="00510B61">
        <w:t xml:space="preserve"> and the adjusted size of the problem that could potentially be addressed through mandating Silver</w:t>
      </w:r>
      <w:r w:rsidR="00510B61">
        <w:noBreakHyphen/>
        <w:t>level dwellings.</w:t>
      </w:r>
      <w:r w:rsidR="003823A3">
        <w:t xml:space="preserve"> The adjusted size of the problem in table 7.3 is used as a base to determine the benefits of Option 1 in the CBA subject to the allocation and additionality adjustments (discussed in the next two sections).</w:t>
      </w:r>
    </w:p>
    <w:p w14:paraId="00D82560" w14:textId="538C0C1D" w:rsidR="00510B61" w:rsidRDefault="00490F02" w:rsidP="00510B61">
      <w:pPr>
        <w:pStyle w:val="Caption"/>
      </w:pPr>
      <w:bookmarkStart w:id="509" w:name="_Toc70505584"/>
      <w:r>
        <w:t>7.3</w:t>
      </w:r>
      <w:r w:rsidR="00510B61" w:rsidRPr="00695C93">
        <w:tab/>
      </w:r>
      <w:r w:rsidR="00510B61">
        <w:t>Adjusted size of the problem</w:t>
      </w:r>
      <w:bookmarkEnd w:id="509"/>
    </w:p>
    <w:tbl>
      <w:tblPr>
        <w:tblW w:w="7938" w:type="dxa"/>
        <w:tblLayout w:type="fixed"/>
        <w:tblLook w:val="0000" w:firstRow="0" w:lastRow="0" w:firstColumn="0" w:lastColumn="0" w:noHBand="0" w:noVBand="0"/>
        <w:tblCaption w:val="Table 7.3: Adjusted size of the problem"/>
        <w:tblDescription w:val="Table 7.3 reports the estimated share of wheelchair users in each of the problems in chapter 3 and the adjusted size of the problem that could potentially be addressed through mandating Silver level dwellings. The total adjusted size of the problem is given as $3,696,290,000."/>
      </w:tblPr>
      <w:tblGrid>
        <w:gridCol w:w="4723"/>
        <w:gridCol w:w="1607"/>
        <w:gridCol w:w="1608"/>
      </w:tblGrid>
      <w:tr w:rsidR="00510B61" w14:paraId="2E17F0E7" w14:textId="77777777" w:rsidTr="00457205">
        <w:trPr>
          <w:trHeight w:val="567"/>
          <w:tblHeader/>
        </w:trPr>
        <w:tc>
          <w:tcPr>
            <w:tcW w:w="4723" w:type="dxa"/>
            <w:tcBorders>
              <w:bottom w:val="single" w:sz="8" w:space="0" w:color="FFFFFF" w:themeColor="background1"/>
            </w:tcBorders>
            <w:shd w:val="clear" w:color="auto" w:fill="6F6652"/>
            <w:tcMar>
              <w:left w:w="57" w:type="dxa"/>
              <w:right w:w="57" w:type="dxa"/>
            </w:tcMar>
          </w:tcPr>
          <w:p w14:paraId="7F1E7165" w14:textId="77777777" w:rsidR="00510B61" w:rsidRDefault="00510B61" w:rsidP="0088031C">
            <w:pPr>
              <w:pStyle w:val="TableDataColumnHeading"/>
              <w:jc w:val="left"/>
            </w:pPr>
            <w:r>
              <w:t>Cost item</w:t>
            </w:r>
          </w:p>
        </w:tc>
        <w:tc>
          <w:tcPr>
            <w:tcW w:w="1607" w:type="dxa"/>
            <w:tcBorders>
              <w:bottom w:val="single" w:sz="8" w:space="0" w:color="FFFFFF" w:themeColor="background1"/>
            </w:tcBorders>
            <w:shd w:val="clear" w:color="auto" w:fill="6F6652"/>
            <w:tcMar>
              <w:left w:w="57" w:type="dxa"/>
              <w:right w:w="57" w:type="dxa"/>
            </w:tcMar>
          </w:tcPr>
          <w:p w14:paraId="4DF11F43" w14:textId="77777777" w:rsidR="00510B61" w:rsidRDefault="00510B61" w:rsidP="0088031C">
            <w:pPr>
              <w:pStyle w:val="TableDataColumnHeading"/>
            </w:pPr>
            <w:r>
              <w:t>Share of wheelchair users (%)</w:t>
            </w:r>
          </w:p>
        </w:tc>
        <w:tc>
          <w:tcPr>
            <w:tcW w:w="1608" w:type="dxa"/>
            <w:tcBorders>
              <w:bottom w:val="single" w:sz="8" w:space="0" w:color="FFFFFF" w:themeColor="background1"/>
            </w:tcBorders>
            <w:shd w:val="clear" w:color="auto" w:fill="6F6652"/>
            <w:tcMar>
              <w:left w:w="57" w:type="dxa"/>
              <w:right w:w="57" w:type="dxa"/>
            </w:tcMar>
          </w:tcPr>
          <w:p w14:paraId="36491E30" w14:textId="77777777" w:rsidR="00510B61" w:rsidRDefault="00510B61" w:rsidP="0088031C">
            <w:pPr>
              <w:pStyle w:val="TableDataColumnHeading"/>
            </w:pPr>
            <w:r>
              <w:t>Adjusted size of the problem</w:t>
            </w:r>
            <w:r w:rsidRPr="00060298">
              <w:rPr>
                <w:rStyle w:val="NoteLabel"/>
              </w:rPr>
              <w:t>a</w:t>
            </w:r>
            <w:r>
              <w:t xml:space="preserve"> ($ million)</w:t>
            </w:r>
          </w:p>
        </w:tc>
      </w:tr>
      <w:tr w:rsidR="00510B61" w14:paraId="372FA5E5"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81A31C" w14:textId="77777777" w:rsidR="00510B61" w:rsidRDefault="00510B61" w:rsidP="0088031C">
            <w:pPr>
              <w:pStyle w:val="TableDataEntries"/>
              <w:jc w:val="left"/>
            </w:pPr>
            <w:r>
              <w:t>Safety-related costs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5B572A" w14:textId="77777777" w:rsidR="00510B61" w:rsidRDefault="00510B61" w:rsidP="0088031C">
            <w:pPr>
              <w:pStyle w:val="TableDataEntries"/>
            </w:pPr>
            <w:r>
              <w:t xml:space="preserve"> 6.1</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2BD8FA" w14:textId="77777777" w:rsidR="00510B61" w:rsidRPr="00060298" w:rsidRDefault="00510B61" w:rsidP="0088031C">
            <w:pPr>
              <w:pStyle w:val="TableDataEntries"/>
            </w:pPr>
            <w:r w:rsidRPr="00060298">
              <w:t xml:space="preserve"> 100.61</w:t>
            </w:r>
          </w:p>
        </w:tc>
      </w:tr>
      <w:tr w:rsidR="00510B61" w14:paraId="262CC475"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FC0913" w14:textId="77777777" w:rsidR="00510B61" w:rsidRDefault="00510B61" w:rsidP="0088031C">
            <w:pPr>
              <w:pStyle w:val="TableDataEntries"/>
              <w:jc w:val="left"/>
            </w:pPr>
            <w:r>
              <w:t>Additional carer-related costs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F4F14D" w14:textId="77777777" w:rsidR="00510B61" w:rsidRDefault="00510B61" w:rsidP="0088031C">
            <w:pPr>
              <w:pStyle w:val="TableDataEntries"/>
            </w:pPr>
            <w:r>
              <w:t xml:space="preserve"> 8.1</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D9D0D2" w14:textId="77777777" w:rsidR="00510B61" w:rsidRPr="00060298" w:rsidRDefault="00510B61" w:rsidP="0088031C">
            <w:pPr>
              <w:pStyle w:val="TableDataEntries"/>
            </w:pPr>
            <w:r w:rsidRPr="00060298">
              <w:t xml:space="preserve"> 862.06</w:t>
            </w:r>
          </w:p>
        </w:tc>
      </w:tr>
      <w:tr w:rsidR="00510B61" w14:paraId="05C70C85"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7990E0" w14:textId="77777777" w:rsidR="00510B61" w:rsidRDefault="00510B61" w:rsidP="0088031C">
            <w:pPr>
              <w:pStyle w:val="TableDataEntries"/>
              <w:jc w:val="left"/>
            </w:pPr>
            <w:r>
              <w:t>Quality of life</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7A915" w14:textId="77777777" w:rsidR="00510B61" w:rsidRDefault="00510B61" w:rsidP="0088031C">
            <w:pPr>
              <w:pStyle w:val="TableDataEntries"/>
            </w:pPr>
            <w:r>
              <w:t xml:space="preserve"> 10.5</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DE5DF2" w14:textId="77777777" w:rsidR="00510B61" w:rsidRPr="00060298" w:rsidRDefault="00510B61" w:rsidP="0088031C">
            <w:pPr>
              <w:pStyle w:val="TableDataEntries"/>
            </w:pPr>
            <w:r w:rsidRPr="00060298">
              <w:t>1 712.18</w:t>
            </w:r>
          </w:p>
        </w:tc>
      </w:tr>
      <w:tr w:rsidR="00510B61" w14:paraId="3F22AB71"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380AAE" w14:textId="77777777" w:rsidR="00510B61" w:rsidRDefault="00510B61" w:rsidP="0088031C">
            <w:pPr>
              <w:pStyle w:val="TableDataEntries"/>
              <w:jc w:val="left"/>
            </w:pPr>
            <w:r>
              <w:lastRenderedPageBreak/>
              <w:t>Additional time in hospital/transition care</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FE902D" w14:textId="77777777" w:rsidR="00510B61" w:rsidRDefault="00510B61" w:rsidP="0088031C">
            <w:pPr>
              <w:pStyle w:val="TableDataEntries"/>
            </w:pPr>
            <w:r>
              <w:t xml:space="preserve"> 6.0</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EDD575" w14:textId="77777777" w:rsidR="00510B61" w:rsidRPr="00060298" w:rsidRDefault="00510B61" w:rsidP="0088031C">
            <w:pPr>
              <w:pStyle w:val="TableDataEntries"/>
            </w:pPr>
            <w:r w:rsidRPr="00060298">
              <w:t xml:space="preserve"> 220.51</w:t>
            </w:r>
          </w:p>
        </w:tc>
      </w:tr>
      <w:tr w:rsidR="00510B61" w14:paraId="24F71C1B"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17E1E6" w14:textId="77777777" w:rsidR="00510B61" w:rsidRDefault="00510B61" w:rsidP="0088031C">
            <w:pPr>
              <w:pStyle w:val="TableDataEntries"/>
              <w:jc w:val="left"/>
            </w:pPr>
            <w:r>
              <w:t>Home modifications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41FD50" w14:textId="77777777" w:rsidR="00510B61" w:rsidRDefault="00510B61" w:rsidP="0088031C">
            <w:pPr>
              <w:pStyle w:val="TableDataEntries"/>
            </w:pPr>
            <w:r>
              <w:t xml:space="preserve"> 0.0</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9FA7DA" w14:textId="77777777" w:rsidR="00510B61" w:rsidRPr="00060298" w:rsidRDefault="00510B61" w:rsidP="0088031C">
            <w:pPr>
              <w:pStyle w:val="TableDataEntries"/>
            </w:pPr>
            <w:r w:rsidRPr="00060298">
              <w:t xml:space="preserve"> 452.30</w:t>
            </w:r>
          </w:p>
        </w:tc>
      </w:tr>
      <w:tr w:rsidR="00510B61" w14:paraId="3CF65CE5"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FDFD58" w14:textId="77777777" w:rsidR="00510B61" w:rsidRDefault="00510B61" w:rsidP="0088031C">
            <w:pPr>
              <w:pStyle w:val="TableDataEntries"/>
              <w:jc w:val="left"/>
            </w:pPr>
            <w:r>
              <w:t>Additional moving costs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ECE206" w14:textId="77777777" w:rsidR="00510B61" w:rsidRDefault="00510B61" w:rsidP="0088031C">
            <w:pPr>
              <w:pStyle w:val="TableDataEntries"/>
            </w:pPr>
            <w:r>
              <w:t xml:space="preserve"> 14.0</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A7DDD7" w14:textId="77777777" w:rsidR="00510B61" w:rsidRPr="00060298" w:rsidRDefault="00510B61" w:rsidP="0088031C">
            <w:pPr>
              <w:pStyle w:val="TableDataEntries"/>
            </w:pPr>
            <w:r w:rsidRPr="00060298">
              <w:t xml:space="preserve"> 139.24</w:t>
            </w:r>
          </w:p>
        </w:tc>
      </w:tr>
      <w:tr w:rsidR="00510B61" w14:paraId="37A1CBDD"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568439" w14:textId="77777777" w:rsidR="00510B61" w:rsidRDefault="00510B61" w:rsidP="0088031C">
            <w:pPr>
              <w:pStyle w:val="TableDataEntries"/>
              <w:jc w:val="left"/>
            </w:pPr>
            <w:r>
              <w:t>Premature/inappropriate entry into aged care</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1B600A" w14:textId="77777777" w:rsidR="00510B61" w:rsidRDefault="00510B61" w:rsidP="0088031C">
            <w:pPr>
              <w:pStyle w:val="TableDataEntries"/>
            </w:pPr>
            <w:r>
              <w:t xml:space="preserve"> 46.0</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40379A" w14:textId="77777777" w:rsidR="00510B61" w:rsidRPr="00060298" w:rsidRDefault="00510B61" w:rsidP="0088031C">
            <w:pPr>
              <w:pStyle w:val="TableDataEntries"/>
            </w:pPr>
            <w:r w:rsidRPr="00060298">
              <w:t xml:space="preserve"> 99.75</w:t>
            </w:r>
          </w:p>
        </w:tc>
      </w:tr>
      <w:tr w:rsidR="00510B61" w14:paraId="07477D5E"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16AA9C" w14:textId="77777777" w:rsidR="00510B61" w:rsidRDefault="00510B61" w:rsidP="0088031C">
            <w:pPr>
              <w:pStyle w:val="TableDataEntries"/>
              <w:jc w:val="left"/>
            </w:pPr>
            <w:r>
              <w:t>Cost of non-vis</w:t>
            </w:r>
            <w:r w:rsidR="00FE2041">
              <w:t>i</w:t>
            </w:r>
            <w:r>
              <w:t>tability</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9C0DE4" w14:textId="77777777" w:rsidR="00510B61" w:rsidRDefault="00510B61" w:rsidP="0088031C">
            <w:pPr>
              <w:pStyle w:val="TableDataEntries"/>
            </w:pPr>
            <w:r>
              <w:t>n.a.</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CDE142" w14:textId="77777777" w:rsidR="00510B61" w:rsidRPr="00060298" w:rsidRDefault="00510B61" w:rsidP="0088031C">
            <w:pPr>
              <w:pStyle w:val="TableDataEntries"/>
            </w:pPr>
            <w:r w:rsidRPr="00060298">
              <w:t xml:space="preserve"> 80.93</w:t>
            </w:r>
          </w:p>
        </w:tc>
      </w:tr>
      <w:tr w:rsidR="00510B61" w14:paraId="101644E0"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A13133" w14:textId="77777777" w:rsidR="00510B61" w:rsidRDefault="00510B61" w:rsidP="0088031C">
            <w:pPr>
              <w:pStyle w:val="TableDataEntries"/>
              <w:jc w:val="left"/>
            </w:pPr>
            <w:r>
              <w:t xml:space="preserve">Families with </w:t>
            </w:r>
            <w:r w:rsidR="00960745">
              <w:t>young depend</w:t>
            </w:r>
            <w:r w:rsidR="003F2BCB">
              <w:t>a</w:t>
            </w:r>
            <w:r w:rsidR="00960745">
              <w:t>nts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E95841" w14:textId="77777777" w:rsidR="00510B61" w:rsidRDefault="00510B61" w:rsidP="0088031C">
            <w:pPr>
              <w:pStyle w:val="TableDataEntries"/>
            </w:pPr>
            <w:r>
              <w:t>n.a.</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EB9093" w14:textId="77777777" w:rsidR="00510B61" w:rsidRPr="00060298" w:rsidRDefault="00510B61" w:rsidP="0088031C">
            <w:pPr>
              <w:pStyle w:val="TableDataEntries"/>
            </w:pPr>
            <w:r w:rsidRPr="00060298">
              <w:t xml:space="preserve"> 0.62</w:t>
            </w:r>
          </w:p>
        </w:tc>
      </w:tr>
      <w:tr w:rsidR="00510B61" w14:paraId="0F9EDEFF" w14:textId="77777777" w:rsidTr="0088031C">
        <w:trPr>
          <w:trHeight w:val="245"/>
        </w:trPr>
        <w:tc>
          <w:tcPr>
            <w:tcW w:w="47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5D0750" w14:textId="77777777" w:rsidR="00510B61" w:rsidRDefault="00510B61" w:rsidP="0088031C">
            <w:pPr>
              <w:pStyle w:val="TableDataEntries"/>
              <w:jc w:val="left"/>
            </w:pPr>
            <w:r>
              <w:t>Short-term injuries</w:t>
            </w:r>
          </w:p>
        </w:tc>
        <w:tc>
          <w:tcPr>
            <w:tcW w:w="16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EE5BE9" w14:textId="77777777" w:rsidR="00510B61" w:rsidRDefault="00510B61" w:rsidP="0088031C">
            <w:pPr>
              <w:pStyle w:val="TableDataEntries"/>
            </w:pPr>
            <w:r>
              <w:t>n.a.</w:t>
            </w:r>
          </w:p>
        </w:tc>
        <w:tc>
          <w:tcPr>
            <w:tcW w:w="16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48B6EF" w14:textId="77777777" w:rsidR="00510B61" w:rsidRPr="00060298" w:rsidRDefault="00510B61" w:rsidP="0088031C">
            <w:pPr>
              <w:pStyle w:val="TableDataEntries"/>
            </w:pPr>
            <w:r w:rsidRPr="00060298">
              <w:t xml:space="preserve"> 28.09</w:t>
            </w:r>
          </w:p>
        </w:tc>
      </w:tr>
      <w:tr w:rsidR="00510B61" w:rsidRPr="00D7784D" w14:paraId="552D3B72" w14:textId="77777777" w:rsidTr="0088031C">
        <w:trPr>
          <w:trHeight w:val="245"/>
        </w:trPr>
        <w:tc>
          <w:tcPr>
            <w:tcW w:w="472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CDD8CE4" w14:textId="77777777" w:rsidR="00510B61" w:rsidRPr="00060298" w:rsidRDefault="00510B61" w:rsidP="0088031C">
            <w:pPr>
              <w:pStyle w:val="TableDataEntries"/>
              <w:jc w:val="left"/>
              <w:rPr>
                <w:rFonts w:ascii="Franklin Gothic Demi" w:hAnsi="Franklin Gothic Demi"/>
              </w:rPr>
            </w:pPr>
            <w:r w:rsidRPr="00060298">
              <w:rPr>
                <w:rFonts w:ascii="Franklin Gothic Demi" w:hAnsi="Franklin Gothic Demi"/>
              </w:rPr>
              <w:t>Total</w:t>
            </w:r>
          </w:p>
        </w:tc>
        <w:tc>
          <w:tcPr>
            <w:tcW w:w="160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A72DFC5" w14:textId="77777777" w:rsidR="00510B61" w:rsidRPr="00060298" w:rsidRDefault="00510B61" w:rsidP="0088031C">
            <w:pPr>
              <w:pStyle w:val="TableDataEntries"/>
              <w:rPr>
                <w:rFonts w:ascii="Franklin Gothic Demi" w:hAnsi="Franklin Gothic Demi"/>
              </w:rPr>
            </w:pPr>
          </w:p>
        </w:tc>
        <w:tc>
          <w:tcPr>
            <w:tcW w:w="160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3FF5358" w14:textId="77777777" w:rsidR="00510B61" w:rsidRPr="00060298" w:rsidRDefault="00510B61" w:rsidP="0088031C">
            <w:pPr>
              <w:pStyle w:val="TableDataEntries"/>
              <w:rPr>
                <w:rFonts w:ascii="Franklin Gothic Demi" w:hAnsi="Franklin Gothic Demi"/>
              </w:rPr>
            </w:pPr>
            <w:r w:rsidRPr="00060298">
              <w:rPr>
                <w:rFonts w:ascii="Franklin Gothic Demi" w:hAnsi="Franklin Gothic Demi"/>
              </w:rPr>
              <w:t>3 696.29</w:t>
            </w:r>
          </w:p>
        </w:tc>
      </w:tr>
    </w:tbl>
    <w:p w14:paraId="434E7482" w14:textId="77777777" w:rsidR="00510B61" w:rsidRPr="00424939" w:rsidRDefault="00510B61" w:rsidP="00510B61">
      <w:pPr>
        <w:pStyle w:val="Note"/>
        <w:rPr>
          <w:iCs/>
        </w:rPr>
      </w:pPr>
      <w:r w:rsidRPr="00424939">
        <w:rPr>
          <w:iCs/>
        </w:rPr>
        <w:t>Note: The adjusted size of the problem shown in the table is based on the central case assumptions.</w:t>
      </w:r>
    </w:p>
    <w:p w14:paraId="33D86EE0" w14:textId="77777777" w:rsidR="0072115C" w:rsidRPr="00424939" w:rsidRDefault="0072115C" w:rsidP="0072115C">
      <w:pPr>
        <w:pStyle w:val="Note"/>
        <w:rPr>
          <w:iCs/>
        </w:rPr>
      </w:pPr>
      <w:r w:rsidRPr="00424939">
        <w:rPr>
          <w:iCs/>
        </w:rPr>
        <w:t xml:space="preserve">Source: CIE (details are provided in chapter </w:t>
      </w:r>
      <w:r w:rsidR="004C7A95" w:rsidRPr="00424939">
        <w:rPr>
          <w:iCs/>
        </w:rPr>
        <w:t>three</w:t>
      </w:r>
      <w:r w:rsidRPr="00424939">
        <w:rPr>
          <w:iCs/>
        </w:rPr>
        <w:t xml:space="preserve"> and appendices B to I)</w:t>
      </w:r>
      <w:r w:rsidR="00BD176C">
        <w:rPr>
          <w:iCs/>
        </w:rPr>
        <w:t>.</w:t>
      </w:r>
    </w:p>
    <w:p w14:paraId="11226470" w14:textId="77777777" w:rsidR="00510B61" w:rsidRDefault="00510B61" w:rsidP="00F11AF4">
      <w:pPr>
        <w:pStyle w:val="Heading4"/>
      </w:pPr>
      <w:r>
        <w:t>Number of inaccessible dwellings</w:t>
      </w:r>
    </w:p>
    <w:p w14:paraId="6F73E717" w14:textId="77777777" w:rsidR="00510B61" w:rsidRDefault="00840FD6" w:rsidP="00510B61">
      <w:pPr>
        <w:pStyle w:val="BodyText"/>
      </w:pPr>
      <w:r>
        <w:t xml:space="preserve">CIE has employed the following </w:t>
      </w:r>
      <w:r w:rsidR="00510B61">
        <w:t>assumptions relating to the accessibility of dwellings</w:t>
      </w:r>
      <w:r>
        <w:t>:</w:t>
      </w:r>
    </w:p>
    <w:p w14:paraId="4C75455B" w14:textId="77777777" w:rsidR="00510B61" w:rsidRDefault="00510B61" w:rsidP="00510B61">
      <w:pPr>
        <w:pStyle w:val="ListBullet"/>
      </w:pPr>
      <w:r>
        <w:t>Double</w:t>
      </w:r>
      <w:r>
        <w:noBreakHyphen/>
        <w:t>storey houses built to Silver level that do not have a bedroom and/or a shower on the entrance level are not a suitable long</w:t>
      </w:r>
      <w:r>
        <w:noBreakHyphen/>
        <w:t>term dwelling for people with limited mobility.</w:t>
      </w:r>
    </w:p>
    <w:p w14:paraId="49F29265" w14:textId="77777777" w:rsidR="00510B61" w:rsidRDefault="00510B61" w:rsidP="00510B61">
      <w:pPr>
        <w:pStyle w:val="ListBullet"/>
      </w:pPr>
      <w:r>
        <w:t>Apartments in a 3</w:t>
      </w:r>
      <w:r>
        <w:noBreakHyphen/>
        <w:t>storey walk-up building that are above ground</w:t>
      </w:r>
      <w:r>
        <w:noBreakHyphen/>
        <w:t>level would not be a suitable dwelling under any</w:t>
      </w:r>
      <w:r w:rsidR="00266965">
        <w:t xml:space="preserve"> option</w:t>
      </w:r>
      <w:r w:rsidR="0022763B">
        <w:t>.</w:t>
      </w:r>
    </w:p>
    <w:p w14:paraId="79E6FA77" w14:textId="77777777" w:rsidR="00510B61" w:rsidRDefault="00510B61" w:rsidP="00510B61">
      <w:pPr>
        <w:pStyle w:val="BodyText"/>
      </w:pPr>
      <w:r>
        <w:t>As the number of high</w:t>
      </w:r>
      <w:r>
        <w:noBreakHyphen/>
        <w:t>rise residential towers has increased (particularly in the major cities), the share of apartments in blocks that are 3</w:t>
      </w:r>
      <w:r>
        <w:noBreakHyphen/>
        <w:t>storeys or less has declined significantly (chart </w:t>
      </w:r>
      <w:r w:rsidR="005E6916">
        <w:rPr>
          <w:noProof/>
        </w:rPr>
        <w:t>7.4</w:t>
      </w:r>
      <w:r>
        <w:t>).</w:t>
      </w:r>
    </w:p>
    <w:p w14:paraId="2D2395E7" w14:textId="77777777" w:rsidR="00510B61" w:rsidRDefault="00510B61" w:rsidP="00510B61">
      <w:pPr>
        <w:pStyle w:val="ListBullet"/>
      </w:pPr>
      <w:r>
        <w:t>Based on the most recent data, only around 10 per cent of new apartments are in blocks that are 3</w:t>
      </w:r>
      <w:r>
        <w:noBreakHyphen/>
        <w:t>stories or less.</w:t>
      </w:r>
    </w:p>
    <w:p w14:paraId="493A7D55" w14:textId="77777777" w:rsidR="00510B61" w:rsidRDefault="00510B61" w:rsidP="00510B61">
      <w:pPr>
        <w:pStyle w:val="ListBullet"/>
      </w:pPr>
      <w:r>
        <w:t xml:space="preserve">For the purposes of the CBA, </w:t>
      </w:r>
      <w:r w:rsidR="009847FE">
        <w:t xml:space="preserve">it is </w:t>
      </w:r>
      <w:r>
        <w:t>assume</w:t>
      </w:r>
      <w:r w:rsidR="009847FE">
        <w:t>d</w:t>
      </w:r>
      <w:r>
        <w:t xml:space="preserve"> that two</w:t>
      </w:r>
      <w:r>
        <w:noBreakHyphen/>
        <w:t>thirds of these apartments would not be suitable for people with limited mobility (i.e. dwellings on the ground floor would be accessible, but not on the second and third storeys). This implies that around 6.7 per cent of new apartments would not be accessible.</w:t>
      </w:r>
    </w:p>
    <w:p w14:paraId="63E70B7B" w14:textId="032F060B" w:rsidR="00510B61" w:rsidRDefault="00490F02" w:rsidP="00510B61">
      <w:pPr>
        <w:pStyle w:val="Caption"/>
      </w:pPr>
      <w:bookmarkStart w:id="510" w:name="_Toc70505585"/>
      <w:r>
        <w:lastRenderedPageBreak/>
        <w:t>7.4</w:t>
      </w:r>
      <w:r w:rsidR="00510B61" w:rsidRPr="00695C93">
        <w:tab/>
      </w:r>
      <w:r w:rsidR="00510B61">
        <w:t>Share of new apartments in buildings 3-storeys or less</w:t>
      </w:r>
      <w:bookmarkEnd w:id="510"/>
    </w:p>
    <w:p w14:paraId="31B05336" w14:textId="77777777" w:rsidR="00510B61" w:rsidRDefault="00457205" w:rsidP="00510B61">
      <w:pPr>
        <w:pStyle w:val="Source"/>
      </w:pPr>
      <w:r w:rsidRPr="00FD5ABC">
        <w:rPr>
          <w:noProof/>
          <w:lang w:eastAsia="en-AU"/>
        </w:rPr>
        <w:drawing>
          <wp:inline distT="0" distB="0" distL="0" distR="0" wp14:anchorId="0741441F" wp14:editId="6DDF03BE">
            <wp:extent cx="4924425" cy="2327275"/>
            <wp:effectExtent l="57150" t="57150" r="66675" b="53975"/>
            <wp:docPr id="32" name="Picture 32" descr="This graph illustrates the decline of the share of apartments in blocks that are 3 storeys or less, from 2003-2004 (over 30%) to 2017-2018 (less than 10%)." title="Chart 7.4: Share of new apartments in buildings 3-storeys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308" r="2207"/>
                    <a:stretch/>
                  </pic:blipFill>
                  <pic:spPr bwMode="auto">
                    <a:xfrm>
                      <a:off x="0" y="0"/>
                      <a:ext cx="4924425" cy="232727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r w:rsidR="00510B61">
        <w:rPr>
          <w:i/>
        </w:rPr>
        <w:t>Data source</w:t>
      </w:r>
      <w:r w:rsidR="00510B61" w:rsidRPr="00A67576">
        <w:rPr>
          <w:i/>
        </w:rPr>
        <w:t>:</w:t>
      </w:r>
      <w:r w:rsidR="00510B61">
        <w:t xml:space="preserve"> ABS.</w:t>
      </w:r>
    </w:p>
    <w:p w14:paraId="54751D2D" w14:textId="77777777" w:rsidR="00510B61" w:rsidRDefault="00F356A3" w:rsidP="00510B61">
      <w:pPr>
        <w:pStyle w:val="BodyText"/>
      </w:pPr>
      <w:r>
        <w:t>To date, t</w:t>
      </w:r>
      <w:r w:rsidR="00510B61">
        <w:t>here is no data on:</w:t>
      </w:r>
    </w:p>
    <w:p w14:paraId="2BED2A08" w14:textId="77777777" w:rsidR="00510B61" w:rsidRDefault="00510B61" w:rsidP="00510B61">
      <w:pPr>
        <w:pStyle w:val="ListBullet"/>
      </w:pPr>
      <w:r>
        <w:t>the proportion of new build houses that are double</w:t>
      </w:r>
      <w:r>
        <w:noBreakHyphen/>
        <w:t>storey</w:t>
      </w:r>
      <w:r w:rsidR="00BD176C">
        <w:t>,</w:t>
      </w:r>
      <w:r>
        <w:t xml:space="preserve"> or</w:t>
      </w:r>
    </w:p>
    <w:p w14:paraId="447230D9" w14:textId="77777777" w:rsidR="00510B61" w:rsidRDefault="00510B61" w:rsidP="00510B61">
      <w:pPr>
        <w:pStyle w:val="ListBullet"/>
      </w:pPr>
      <w:r>
        <w:t>the proportion of double</w:t>
      </w:r>
      <w:r>
        <w:noBreakHyphen/>
        <w:t>storey houses that have no bedrooms or showers on the entrance</w:t>
      </w:r>
      <w:r w:rsidR="002D0950">
        <w:t xml:space="preserve"> </w:t>
      </w:r>
      <w:r>
        <w:t>level.</w:t>
      </w:r>
    </w:p>
    <w:p w14:paraId="6BC8DAA8" w14:textId="77777777" w:rsidR="00510B61" w:rsidRDefault="00F356A3" w:rsidP="00510B61">
      <w:pPr>
        <w:pStyle w:val="BodyText"/>
      </w:pPr>
      <w:r>
        <w:t>W</w:t>
      </w:r>
      <w:r w:rsidR="00510B61">
        <w:t>ith lot sizes declining (particularly in major cities), the proportion of double</w:t>
      </w:r>
      <w:r w:rsidR="00510B61">
        <w:noBreakHyphen/>
        <w:t>storey dwellings has reportedly been increasing.</w:t>
      </w:r>
      <w:r w:rsidR="00510B61">
        <w:rPr>
          <w:rStyle w:val="FootnoteReference"/>
        </w:rPr>
        <w:footnoteReference w:id="222"/>
      </w:r>
    </w:p>
    <w:p w14:paraId="13795978" w14:textId="77777777" w:rsidR="00510B61" w:rsidRPr="00060298" w:rsidRDefault="00510B61" w:rsidP="00510B61">
      <w:pPr>
        <w:pStyle w:val="ListBullet"/>
      </w:pPr>
      <w:r w:rsidRPr="00060298">
        <w:t>In the</w:t>
      </w:r>
      <w:r w:rsidR="00F356A3">
        <w:t>ir</w:t>
      </w:r>
      <w:r w:rsidRPr="00060298">
        <w:t xml:space="preserve"> cost estimates, DCWC estimated that around 26 per cent of townhouses would need to relocate the shower to comply with Gold and Gold+ requirements. </w:t>
      </w:r>
      <w:r w:rsidR="00F356A3">
        <w:t xml:space="preserve">On this basis CIE </w:t>
      </w:r>
      <w:r w:rsidRPr="00060298">
        <w:t>assume that 26 per cent of townhouses would not be accessible due to the shower being upstairs.</w:t>
      </w:r>
    </w:p>
    <w:p w14:paraId="3169FC94" w14:textId="77777777" w:rsidR="00510B61" w:rsidRPr="00060298" w:rsidRDefault="00510B61" w:rsidP="00510B61">
      <w:pPr>
        <w:pStyle w:val="ListBullet"/>
      </w:pPr>
      <w:r w:rsidRPr="00060298">
        <w:t xml:space="preserve">In the absence of </w:t>
      </w:r>
      <w:r w:rsidR="00F356A3">
        <w:t>other</w:t>
      </w:r>
      <w:r w:rsidRPr="00060298">
        <w:t xml:space="preserve"> information,</w:t>
      </w:r>
      <w:r w:rsidR="00F356A3">
        <w:t xml:space="preserve"> CIE</w:t>
      </w:r>
      <w:r w:rsidRPr="00060298">
        <w:t xml:space="preserve"> also assume</w:t>
      </w:r>
      <w:r w:rsidR="00E764DE">
        <w:t>s</w:t>
      </w:r>
      <w:r w:rsidRPr="00060298">
        <w:t xml:space="preserve"> that 26 per cent of separate houses built to Silver level would be inaccessible for people with limited mobility due to a lack of a bedroom and/or shower on the ground level.</w:t>
      </w:r>
    </w:p>
    <w:p w14:paraId="4A0B8525" w14:textId="77777777" w:rsidR="00510B61" w:rsidRPr="0052196B" w:rsidRDefault="00510B61" w:rsidP="00EE4164">
      <w:pPr>
        <w:pStyle w:val="Heading4"/>
      </w:pPr>
      <w:r w:rsidRPr="0052196B">
        <w:t>Accessible housing as a share of the dwelling stock</w:t>
      </w:r>
    </w:p>
    <w:p w14:paraId="36FFABF1" w14:textId="77777777" w:rsidR="00510B61" w:rsidRPr="0052196B" w:rsidRDefault="00510B61" w:rsidP="00510B61">
      <w:pPr>
        <w:pStyle w:val="BodyText"/>
      </w:pPr>
      <w:r w:rsidRPr="0052196B">
        <w:t>Based on the assumptions outlined above and the dwelling projections presented previously, the number of accessible dwellings as a share of the dwelling stock under the various options is shown in chart </w:t>
      </w:r>
      <w:r w:rsidR="0052196B" w:rsidRPr="0052196B">
        <w:t>7.5</w:t>
      </w:r>
      <w:r w:rsidRPr="0052196B">
        <w:t>.</w:t>
      </w:r>
    </w:p>
    <w:p w14:paraId="09740BAE" w14:textId="3DB26078" w:rsidR="00510B61" w:rsidRDefault="00490F02" w:rsidP="00510B61">
      <w:pPr>
        <w:pStyle w:val="Caption"/>
      </w:pPr>
      <w:bookmarkStart w:id="511" w:name="_Toc70505586"/>
      <w:r>
        <w:lastRenderedPageBreak/>
        <w:t>7.5</w:t>
      </w:r>
      <w:r w:rsidR="00510B61" w:rsidRPr="00695C93">
        <w:tab/>
      </w:r>
      <w:r w:rsidR="00510B61">
        <w:t>Accessible dwellings as a share of the dwelling stock</w:t>
      </w:r>
      <w:bookmarkEnd w:id="511"/>
    </w:p>
    <w:p w14:paraId="43F0BE7E" w14:textId="77777777" w:rsidR="00457205" w:rsidRPr="00457205" w:rsidRDefault="00457205" w:rsidP="00457205">
      <w:pPr>
        <w:pStyle w:val="Subtitlebox"/>
      </w:pPr>
      <w:r w:rsidRPr="00653B0C">
        <w:rPr>
          <w:noProof/>
        </w:rPr>
        <w:drawing>
          <wp:inline distT="0" distB="0" distL="0" distR="0" wp14:anchorId="1F9F8FDA" wp14:editId="475E738A">
            <wp:extent cx="4867275" cy="2298065"/>
            <wp:effectExtent l="57150" t="57150" r="66675" b="64135"/>
            <wp:docPr id="33" name="Picture 33" descr="This graph illustrates the percentage of accessible dwellings as a share of the dwelling stock, projected from 2022 to 2031. While all options shown (Option 1,2 and 4) will result in an proportional increase in both owner-occupied and rental accessible dwellings, the most significant increase is for Option 2 rentals (from about 2% to nearly 18%." title="Chart 7.5: Accessible dwellings as a share of the dwelling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484" r="3439"/>
                    <a:stretch/>
                  </pic:blipFill>
                  <pic:spPr bwMode="auto">
                    <a:xfrm>
                      <a:off x="0" y="0"/>
                      <a:ext cx="4867275" cy="229806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05C8CF07" w14:textId="77777777" w:rsidR="00510B61" w:rsidRPr="00424939" w:rsidRDefault="00510B61" w:rsidP="00510B61">
      <w:pPr>
        <w:pStyle w:val="Source"/>
        <w:rPr>
          <w:iCs/>
        </w:rPr>
      </w:pPr>
      <w:r w:rsidRPr="00424939">
        <w:rPr>
          <w:iCs/>
        </w:rPr>
        <w:t>Data source: CIE estimates</w:t>
      </w:r>
      <w:r w:rsidR="00BD176C">
        <w:rPr>
          <w:iCs/>
        </w:rPr>
        <w:t>.</w:t>
      </w:r>
    </w:p>
    <w:p w14:paraId="03BAFE90" w14:textId="77777777" w:rsidR="00510B61" w:rsidRDefault="00510B61" w:rsidP="00510B61">
      <w:pPr>
        <w:pStyle w:val="BodyText"/>
        <w:rPr>
          <w:lang w:bidi="fa-IR"/>
        </w:rPr>
      </w:pPr>
      <w:r>
        <w:rPr>
          <w:lang w:bidi="fa-IR"/>
        </w:rPr>
        <w:t xml:space="preserve">As the characteristics of the dwelling stock (and the likelihood that a person with limited mobility would </w:t>
      </w:r>
      <w:r w:rsidR="00F356A3">
        <w:rPr>
          <w:lang w:bidi="fa-IR"/>
        </w:rPr>
        <w:t xml:space="preserve">live </w:t>
      </w:r>
      <w:r>
        <w:rPr>
          <w:lang w:bidi="fa-IR"/>
        </w:rPr>
        <w:t>in an accessible dwelling — see below) varies</w:t>
      </w:r>
      <w:r w:rsidR="00A603B7">
        <w:rPr>
          <w:lang w:bidi="fa-IR"/>
        </w:rPr>
        <w:t>,</w:t>
      </w:r>
      <w:r>
        <w:rPr>
          <w:lang w:bidi="fa-IR"/>
        </w:rPr>
        <w:t xml:space="preserve"> </w:t>
      </w:r>
      <w:r w:rsidR="0052196B">
        <w:rPr>
          <w:lang w:bidi="fa-IR"/>
        </w:rPr>
        <w:t xml:space="preserve">it is necessary to </w:t>
      </w:r>
      <w:r>
        <w:rPr>
          <w:lang w:bidi="fa-IR"/>
        </w:rPr>
        <w:t>differentiate between owner</w:t>
      </w:r>
      <w:r>
        <w:rPr>
          <w:lang w:bidi="fa-IR"/>
        </w:rPr>
        <w:noBreakHyphen/>
        <w:t>occupied homes and rental properties.</w:t>
      </w:r>
    </w:p>
    <w:p w14:paraId="37C48493" w14:textId="77777777" w:rsidR="00510B61" w:rsidRDefault="0052196B" w:rsidP="00510B61">
      <w:pPr>
        <w:pStyle w:val="BodyText"/>
        <w:rPr>
          <w:lang w:bidi="fa-IR"/>
        </w:rPr>
      </w:pPr>
      <w:r>
        <w:rPr>
          <w:lang w:bidi="fa-IR"/>
        </w:rPr>
        <w:t>It is</w:t>
      </w:r>
      <w:r w:rsidR="00510B61">
        <w:rPr>
          <w:lang w:bidi="fa-IR"/>
        </w:rPr>
        <w:t xml:space="preserve"> assume</w:t>
      </w:r>
      <w:r>
        <w:rPr>
          <w:lang w:bidi="fa-IR"/>
        </w:rPr>
        <w:t>d</w:t>
      </w:r>
      <w:r w:rsidR="00510B61">
        <w:rPr>
          <w:lang w:bidi="fa-IR"/>
        </w:rPr>
        <w:t xml:space="preserve"> that the share </w:t>
      </w:r>
      <w:r w:rsidR="00A03280">
        <w:rPr>
          <w:lang w:bidi="fa-IR"/>
        </w:rPr>
        <w:t xml:space="preserve">of </w:t>
      </w:r>
      <w:r w:rsidR="00510B61">
        <w:rPr>
          <w:lang w:bidi="fa-IR"/>
        </w:rPr>
        <w:t xml:space="preserve">each type of dwelling (house/townhouse/apartment) </w:t>
      </w:r>
      <w:r w:rsidR="00EE4164">
        <w:rPr>
          <w:lang w:bidi="fa-IR"/>
        </w:rPr>
        <w:t xml:space="preserve">that </w:t>
      </w:r>
      <w:r w:rsidR="00510B61">
        <w:rPr>
          <w:lang w:bidi="fa-IR"/>
        </w:rPr>
        <w:t xml:space="preserve">is occupied by the owner or a renter </w:t>
      </w:r>
      <w:r w:rsidR="00F356A3">
        <w:rPr>
          <w:lang w:bidi="fa-IR"/>
        </w:rPr>
        <w:t xml:space="preserve">is </w:t>
      </w:r>
      <w:r w:rsidR="00510B61">
        <w:rPr>
          <w:lang w:bidi="fa-IR"/>
        </w:rPr>
        <w:t>based on the current share</w:t>
      </w:r>
      <w:r w:rsidR="00662466">
        <w:rPr>
          <w:lang w:bidi="fa-IR"/>
        </w:rPr>
        <w:t xml:space="preserve"> of </w:t>
      </w:r>
      <w:r w:rsidR="00510B61">
        <w:rPr>
          <w:lang w:bidi="fa-IR"/>
        </w:rPr>
        <w:t>(from the 2016 Census) (table </w:t>
      </w:r>
      <w:r>
        <w:rPr>
          <w:lang w:bidi="fa-IR"/>
        </w:rPr>
        <w:t>7.6</w:t>
      </w:r>
      <w:r w:rsidR="00510B61">
        <w:rPr>
          <w:lang w:bidi="fa-IR"/>
        </w:rPr>
        <w:t xml:space="preserve">). Apartments </w:t>
      </w:r>
      <w:r w:rsidR="00951EA6">
        <w:rPr>
          <w:lang w:bidi="fa-IR"/>
        </w:rPr>
        <w:t>account for</w:t>
      </w:r>
      <w:r w:rsidR="00510B61">
        <w:rPr>
          <w:lang w:bidi="fa-IR"/>
        </w:rPr>
        <w:t xml:space="preserve"> a higher share of new dwellings than </w:t>
      </w:r>
      <w:r w:rsidR="00951EA6">
        <w:rPr>
          <w:lang w:bidi="fa-IR"/>
        </w:rPr>
        <w:t xml:space="preserve">their share in </w:t>
      </w:r>
      <w:r w:rsidR="00510B61">
        <w:rPr>
          <w:lang w:bidi="fa-IR"/>
        </w:rPr>
        <w:t>the existing stock and a greater proportion of apartments are used as rental properties</w:t>
      </w:r>
      <w:r w:rsidR="00951EA6">
        <w:rPr>
          <w:lang w:bidi="fa-IR"/>
        </w:rPr>
        <w:t xml:space="preserve">. </w:t>
      </w:r>
      <w:r w:rsidR="00EE4164">
        <w:rPr>
          <w:lang w:bidi="fa-IR"/>
        </w:rPr>
        <w:t>On this basis</w:t>
      </w:r>
      <w:r w:rsidR="00510B61">
        <w:rPr>
          <w:lang w:bidi="fa-IR"/>
        </w:rPr>
        <w:t xml:space="preserve"> the share of rental properties </w:t>
      </w:r>
      <w:r w:rsidR="00EE4164">
        <w:rPr>
          <w:lang w:bidi="fa-IR"/>
        </w:rPr>
        <w:t>is likely to</w:t>
      </w:r>
      <w:r w:rsidR="00510B61">
        <w:rPr>
          <w:lang w:bidi="fa-IR"/>
        </w:rPr>
        <w:t xml:space="preserve"> continue to increase over time.</w:t>
      </w:r>
    </w:p>
    <w:p w14:paraId="091EBFF7" w14:textId="311686D8" w:rsidR="00510B61" w:rsidRDefault="00490F02" w:rsidP="00510B61">
      <w:pPr>
        <w:pStyle w:val="Caption"/>
      </w:pPr>
      <w:bookmarkStart w:id="512" w:name="_Toc70505587"/>
      <w:r>
        <w:t>7.6</w:t>
      </w:r>
      <w:r w:rsidR="00510B61" w:rsidRPr="00695C93">
        <w:tab/>
      </w:r>
      <w:r w:rsidR="00510B61">
        <w:t>New accessible dwellings by tenure</w:t>
      </w:r>
      <w:bookmarkEnd w:id="512"/>
    </w:p>
    <w:tbl>
      <w:tblPr>
        <w:tblW w:w="0" w:type="auto"/>
        <w:tblLayout w:type="fixed"/>
        <w:tblLook w:val="0000" w:firstRow="0" w:lastRow="0" w:firstColumn="0" w:lastColumn="0" w:noHBand="0" w:noVBand="0"/>
        <w:tblCaption w:val="Table 7.6: New accessible dwellings by tenure"/>
        <w:tblDescription w:val="Table 7.6 lists the types of new accessible dwellings (separate houses, townhouses and apartments) by whether they are owner-occupied or rented. Separate houses are listed as 77% owner-occupied, compared with 23% that are rented. For townhouses the proportions are 48% owner-occupied and 52% rental. Apartments are 32% owner-occupied and 68% rental. The total across all new accessible dwelling types is 66% owner-occupied and 34% rental."/>
      </w:tblPr>
      <w:tblGrid>
        <w:gridCol w:w="2645"/>
        <w:gridCol w:w="2646"/>
        <w:gridCol w:w="2646"/>
      </w:tblGrid>
      <w:tr w:rsidR="00510B61" w14:paraId="36A04B64" w14:textId="77777777" w:rsidTr="0088031C">
        <w:tc>
          <w:tcPr>
            <w:tcW w:w="2645" w:type="dxa"/>
            <w:tcBorders>
              <w:bottom w:val="single" w:sz="8" w:space="0" w:color="FFFFFF" w:themeColor="background1"/>
            </w:tcBorders>
            <w:shd w:val="clear" w:color="auto" w:fill="6F6652"/>
            <w:tcMar>
              <w:left w:w="57" w:type="dxa"/>
              <w:right w:w="57" w:type="dxa"/>
            </w:tcMar>
          </w:tcPr>
          <w:p w14:paraId="7BB721EC" w14:textId="77777777" w:rsidR="00510B61" w:rsidRDefault="00E24C3A" w:rsidP="0088031C">
            <w:pPr>
              <w:pStyle w:val="TableDataColumnHeading"/>
              <w:jc w:val="left"/>
              <w:rPr>
                <w:lang w:bidi="fa-IR"/>
              </w:rPr>
            </w:pPr>
            <w:r>
              <w:rPr>
                <w:lang w:bidi="fa-IR"/>
              </w:rPr>
              <w:t>Type of dwelling</w:t>
            </w:r>
          </w:p>
        </w:tc>
        <w:tc>
          <w:tcPr>
            <w:tcW w:w="2646" w:type="dxa"/>
            <w:tcBorders>
              <w:bottom w:val="single" w:sz="8" w:space="0" w:color="FFFFFF" w:themeColor="background1"/>
            </w:tcBorders>
            <w:shd w:val="clear" w:color="auto" w:fill="6F6652"/>
            <w:tcMar>
              <w:left w:w="57" w:type="dxa"/>
              <w:right w:w="57" w:type="dxa"/>
            </w:tcMar>
          </w:tcPr>
          <w:p w14:paraId="3B9D479B" w14:textId="77777777" w:rsidR="00510B61" w:rsidRDefault="00510B61" w:rsidP="0088031C">
            <w:pPr>
              <w:pStyle w:val="TableDataColumnHeading"/>
              <w:rPr>
                <w:lang w:bidi="fa-IR"/>
              </w:rPr>
            </w:pPr>
            <w:r>
              <w:rPr>
                <w:lang w:bidi="fa-IR"/>
              </w:rPr>
              <w:t>Owner-occupied (%)</w:t>
            </w:r>
          </w:p>
        </w:tc>
        <w:tc>
          <w:tcPr>
            <w:tcW w:w="2646" w:type="dxa"/>
            <w:tcBorders>
              <w:bottom w:val="single" w:sz="8" w:space="0" w:color="FFFFFF" w:themeColor="background1"/>
            </w:tcBorders>
            <w:shd w:val="clear" w:color="auto" w:fill="6F6652"/>
            <w:tcMar>
              <w:left w:w="57" w:type="dxa"/>
              <w:right w:w="57" w:type="dxa"/>
            </w:tcMar>
          </w:tcPr>
          <w:p w14:paraId="1BD0DC4E" w14:textId="77777777" w:rsidR="00510B61" w:rsidRDefault="00510B61" w:rsidP="0088031C">
            <w:pPr>
              <w:pStyle w:val="TableDataColumnHeading"/>
              <w:rPr>
                <w:lang w:bidi="fa-IR"/>
              </w:rPr>
            </w:pPr>
            <w:r>
              <w:rPr>
                <w:lang w:bidi="fa-IR"/>
              </w:rPr>
              <w:t>Rental (%)</w:t>
            </w:r>
          </w:p>
        </w:tc>
      </w:tr>
      <w:tr w:rsidR="00510B61" w14:paraId="144084BE" w14:textId="77777777" w:rsidTr="0088031C">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917DD" w14:textId="77777777" w:rsidR="00510B61" w:rsidRDefault="00510B61" w:rsidP="0088031C">
            <w:pPr>
              <w:pStyle w:val="TableDataEntries"/>
              <w:jc w:val="left"/>
              <w:rPr>
                <w:lang w:bidi="fa-IR"/>
              </w:rPr>
            </w:pPr>
            <w:r>
              <w:rPr>
                <w:lang w:bidi="fa-IR"/>
              </w:rPr>
              <w:t>Separate houses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955FA3" w14:textId="77777777" w:rsidR="00510B61" w:rsidRDefault="00BF6B65" w:rsidP="0088031C">
            <w:pPr>
              <w:pStyle w:val="TableDataEntries"/>
              <w:rPr>
                <w:lang w:bidi="fa-IR"/>
              </w:rPr>
            </w:pPr>
            <w:r>
              <w:rPr>
                <w:lang w:bidi="fa-IR"/>
              </w:rPr>
              <w:t>77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82CEB2" w14:textId="77777777" w:rsidR="00510B61" w:rsidRDefault="00BF6B65" w:rsidP="0088031C">
            <w:pPr>
              <w:pStyle w:val="TableDataEntries"/>
              <w:rPr>
                <w:lang w:bidi="fa-IR"/>
              </w:rPr>
            </w:pPr>
            <w:r>
              <w:rPr>
                <w:lang w:bidi="fa-IR"/>
              </w:rPr>
              <w:t>23</w:t>
            </w:r>
          </w:p>
        </w:tc>
      </w:tr>
      <w:tr w:rsidR="00510B61" w14:paraId="5E1B802A" w14:textId="77777777" w:rsidTr="0088031C">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312D17" w14:textId="77777777" w:rsidR="00510B61" w:rsidRDefault="00510B61" w:rsidP="0088031C">
            <w:pPr>
              <w:pStyle w:val="TableDataEntries"/>
              <w:jc w:val="left"/>
              <w:rPr>
                <w:lang w:bidi="fa-IR"/>
              </w:rPr>
            </w:pPr>
            <w:r>
              <w:rPr>
                <w:lang w:bidi="fa-IR"/>
              </w:rPr>
              <w:t>Townhouses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9B8A73" w14:textId="77777777" w:rsidR="00510B61" w:rsidRDefault="00BF6B65" w:rsidP="0088031C">
            <w:pPr>
              <w:pStyle w:val="TableDataEntries"/>
              <w:rPr>
                <w:lang w:bidi="fa-IR"/>
              </w:rPr>
            </w:pPr>
            <w:r>
              <w:rPr>
                <w:lang w:bidi="fa-IR"/>
              </w:rPr>
              <w:t>48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1B0F02" w14:textId="77777777" w:rsidR="00510B61" w:rsidRDefault="00BF6B65" w:rsidP="0088031C">
            <w:pPr>
              <w:pStyle w:val="TableDataEntries"/>
              <w:rPr>
                <w:lang w:bidi="fa-IR"/>
              </w:rPr>
            </w:pPr>
            <w:r>
              <w:rPr>
                <w:lang w:bidi="fa-IR"/>
              </w:rPr>
              <w:t>52</w:t>
            </w:r>
          </w:p>
        </w:tc>
      </w:tr>
      <w:tr w:rsidR="00510B61" w14:paraId="5B48D310" w14:textId="77777777" w:rsidTr="00BF6B6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10AD30" w14:textId="77777777" w:rsidR="00510B61" w:rsidRDefault="00510B61" w:rsidP="0088031C">
            <w:pPr>
              <w:pStyle w:val="TableDataEntries"/>
              <w:jc w:val="left"/>
              <w:rPr>
                <w:lang w:bidi="fa-IR"/>
              </w:rPr>
            </w:pPr>
            <w:r>
              <w:rPr>
                <w:lang w:bidi="fa-IR"/>
              </w:rPr>
              <w:t>Apartments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D0F3C9" w14:textId="77777777" w:rsidR="00510B61" w:rsidRDefault="00BF6B65" w:rsidP="0088031C">
            <w:pPr>
              <w:pStyle w:val="TableDataEntries"/>
              <w:rPr>
                <w:lang w:bidi="fa-IR"/>
              </w:rPr>
            </w:pPr>
            <w:r>
              <w:rPr>
                <w:lang w:bidi="fa-IR"/>
              </w:rPr>
              <w:t>32</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254EB2" w14:textId="77777777" w:rsidR="00510B61" w:rsidRDefault="00BF6B65" w:rsidP="0088031C">
            <w:pPr>
              <w:pStyle w:val="TableDataEntries"/>
              <w:rPr>
                <w:lang w:bidi="fa-IR"/>
              </w:rPr>
            </w:pPr>
            <w:r>
              <w:rPr>
                <w:lang w:bidi="fa-IR"/>
              </w:rPr>
              <w:t>68</w:t>
            </w:r>
          </w:p>
        </w:tc>
      </w:tr>
      <w:tr w:rsidR="00510B61" w:rsidRPr="00BF6B65" w14:paraId="1CFE3A86" w14:textId="77777777" w:rsidTr="00BF6B65">
        <w:tc>
          <w:tcPr>
            <w:tcW w:w="26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3D5E2D5" w14:textId="77777777" w:rsidR="00510B61" w:rsidRPr="00BF6B65" w:rsidRDefault="00510B61" w:rsidP="0088031C">
            <w:pPr>
              <w:pStyle w:val="TableDataEntries"/>
              <w:jc w:val="left"/>
              <w:rPr>
                <w:rFonts w:ascii="Franklin Gothic Demi" w:hAnsi="Franklin Gothic Demi"/>
                <w:lang w:bidi="fa-IR"/>
              </w:rPr>
            </w:pPr>
            <w:r w:rsidRPr="00BF6B65">
              <w:rPr>
                <w:rFonts w:ascii="Franklin Gothic Demi" w:hAnsi="Franklin Gothic Demi"/>
                <w:lang w:bidi="fa-IR"/>
              </w:rPr>
              <w:t>Total</w:t>
            </w:r>
          </w:p>
        </w:tc>
        <w:tc>
          <w:tcPr>
            <w:tcW w:w="26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F6BCCF0" w14:textId="77777777" w:rsidR="00510B61" w:rsidRPr="00BF6B65" w:rsidRDefault="00BF6B65" w:rsidP="0088031C">
            <w:pPr>
              <w:pStyle w:val="TableDataEntries"/>
              <w:rPr>
                <w:rFonts w:ascii="Franklin Gothic Demi" w:hAnsi="Franklin Gothic Demi"/>
                <w:lang w:bidi="fa-IR"/>
              </w:rPr>
            </w:pPr>
            <w:r w:rsidRPr="00BF6B65">
              <w:rPr>
                <w:rFonts w:ascii="Franklin Gothic Demi" w:hAnsi="Franklin Gothic Demi"/>
                <w:lang w:bidi="fa-IR"/>
              </w:rPr>
              <w:t>66</w:t>
            </w:r>
          </w:p>
        </w:tc>
        <w:tc>
          <w:tcPr>
            <w:tcW w:w="26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5A1D892" w14:textId="77777777" w:rsidR="00510B61" w:rsidRPr="00BF6B65" w:rsidRDefault="00BF6B65" w:rsidP="0088031C">
            <w:pPr>
              <w:pStyle w:val="TableDataEntries"/>
              <w:rPr>
                <w:rFonts w:ascii="Franklin Gothic Demi" w:hAnsi="Franklin Gothic Demi"/>
                <w:lang w:bidi="fa-IR"/>
              </w:rPr>
            </w:pPr>
            <w:r w:rsidRPr="00BF6B65">
              <w:rPr>
                <w:rFonts w:ascii="Franklin Gothic Demi" w:hAnsi="Franklin Gothic Demi"/>
                <w:lang w:bidi="fa-IR"/>
              </w:rPr>
              <w:t>34</w:t>
            </w:r>
          </w:p>
        </w:tc>
      </w:tr>
    </w:tbl>
    <w:p w14:paraId="6017E638" w14:textId="77777777" w:rsidR="00510B61" w:rsidRPr="00424939" w:rsidRDefault="00510B61" w:rsidP="00510B61">
      <w:pPr>
        <w:pStyle w:val="Source"/>
        <w:rPr>
          <w:iCs/>
          <w:lang w:bidi="fa-IR"/>
        </w:rPr>
      </w:pPr>
      <w:r w:rsidRPr="00424939">
        <w:rPr>
          <w:iCs/>
          <w:lang w:bidi="fa-IR"/>
        </w:rPr>
        <w:t>Source: 2016 Census</w:t>
      </w:r>
      <w:r w:rsidR="00BD176C">
        <w:rPr>
          <w:iCs/>
          <w:lang w:bidi="fa-IR"/>
        </w:rPr>
        <w:t>.</w:t>
      </w:r>
    </w:p>
    <w:p w14:paraId="0FE7CD63" w14:textId="77777777" w:rsidR="00510B61" w:rsidRDefault="00510B61" w:rsidP="00F11AF4">
      <w:pPr>
        <w:pStyle w:val="Heading2"/>
        <w:numPr>
          <w:ilvl w:val="1"/>
          <w:numId w:val="5"/>
        </w:numPr>
        <w:rPr>
          <w:lang w:bidi="fa-IR"/>
        </w:rPr>
      </w:pPr>
      <w:bookmarkStart w:id="513" w:name="_Toc70505121"/>
      <w:r>
        <w:rPr>
          <w:lang w:bidi="fa-IR"/>
        </w:rPr>
        <w:t>Allocation of accessible housing to people with limited mobility</w:t>
      </w:r>
      <w:bookmarkEnd w:id="513"/>
    </w:p>
    <w:p w14:paraId="4ABEF6AD" w14:textId="77777777" w:rsidR="001A033D" w:rsidRDefault="001A033D" w:rsidP="00510B61">
      <w:pPr>
        <w:pStyle w:val="BodyText"/>
      </w:pPr>
      <w:r>
        <w:rPr>
          <w:lang w:bidi="fa-IR"/>
        </w:rPr>
        <w:t>New housing is generally allocated through the market so it is not necessarily the case that new accessible housing will be occupied</w:t>
      </w:r>
      <w:r w:rsidR="002C7117">
        <w:rPr>
          <w:lang w:bidi="fa-IR"/>
        </w:rPr>
        <w:t xml:space="preserve"> (either purchased or rented)</w:t>
      </w:r>
      <w:r>
        <w:rPr>
          <w:lang w:bidi="fa-IR"/>
        </w:rPr>
        <w:t xml:space="preserve"> by those with accessibility needs.</w:t>
      </w:r>
    </w:p>
    <w:p w14:paraId="1B0A2F08" w14:textId="77777777" w:rsidR="00510B61" w:rsidRDefault="00510B61" w:rsidP="00510B61">
      <w:pPr>
        <w:pStyle w:val="BodyText"/>
      </w:pPr>
      <w:r>
        <w:t>There are broadly two types of benefits from an increase in accessible housing under the various options.</w:t>
      </w:r>
    </w:p>
    <w:p w14:paraId="70BAF3C2" w14:textId="77777777" w:rsidR="00510B61" w:rsidRDefault="00EE4164" w:rsidP="00510B61">
      <w:pPr>
        <w:pStyle w:val="ListBullet"/>
      </w:pPr>
      <w:r>
        <w:t>The greatest benefits</w:t>
      </w:r>
      <w:r w:rsidR="00510B61">
        <w:t xml:space="preserve"> (but not all) are contingent on people with accessibility needs living in the additional accessible housing provided under the various options. The</w:t>
      </w:r>
      <w:r>
        <w:t xml:space="preserve"> </w:t>
      </w:r>
      <w:r w:rsidR="00510B61">
        <w:lastRenderedPageBreak/>
        <w:t>e</w:t>
      </w:r>
      <w:r>
        <w:t>xtent of these</w:t>
      </w:r>
      <w:r w:rsidR="00510B61">
        <w:t xml:space="preserve"> benefits therefore depend on the extent to which </w:t>
      </w:r>
      <w:r>
        <w:t xml:space="preserve">people with limited mobility live in the </w:t>
      </w:r>
      <w:r w:rsidR="00510B61">
        <w:t>new accessible housing.</w:t>
      </w:r>
    </w:p>
    <w:p w14:paraId="4F265FF9" w14:textId="77777777" w:rsidR="00510B61" w:rsidRPr="00731C93" w:rsidRDefault="00510B61" w:rsidP="00510B61">
      <w:pPr>
        <w:pStyle w:val="ListBullet"/>
      </w:pPr>
      <w:r>
        <w:t xml:space="preserve">Additional accessible housing also has some benefits for people other than residents. In particular, more accessible housing increases the ability for people with limited mobility to visit family and friends. These </w:t>
      </w:r>
      <w:r w:rsidR="00DF3C8F">
        <w:t xml:space="preserve">‘visitability’ </w:t>
      </w:r>
      <w:r>
        <w:t>benefits would generally be proportional to the share of ‘visitable housing’ in the total dwelling stock.</w:t>
      </w:r>
      <w:r w:rsidR="00DF3C8F">
        <w:t xml:space="preserve"> For example, if there are 10 per cent visitable dwellings in the total housing stock, the </w:t>
      </w:r>
      <w:r w:rsidR="0022763B">
        <w:t xml:space="preserve">cost associated with a lack of </w:t>
      </w:r>
      <w:r w:rsidR="00DF3C8F">
        <w:t>visitability would be re</w:t>
      </w:r>
      <w:r w:rsidR="0022763B">
        <w:t>duced</w:t>
      </w:r>
      <w:r w:rsidR="00DF3C8F">
        <w:t xml:space="preserve"> by 10 per cent.</w:t>
      </w:r>
    </w:p>
    <w:p w14:paraId="0E3CAF19" w14:textId="77777777" w:rsidR="00510B61" w:rsidRDefault="00EE4164" w:rsidP="00510B61">
      <w:pPr>
        <w:pStyle w:val="BodyText"/>
        <w:rPr>
          <w:lang w:bidi="fa-IR"/>
        </w:rPr>
      </w:pPr>
      <w:r>
        <w:rPr>
          <w:lang w:bidi="fa-IR"/>
        </w:rPr>
        <w:t>I</w:t>
      </w:r>
      <w:r w:rsidR="00510B61">
        <w:rPr>
          <w:lang w:bidi="fa-IR"/>
        </w:rPr>
        <w:t xml:space="preserve">ncreasing the stock of accessible housing would reduce the size of the problem (estimated </w:t>
      </w:r>
      <w:r>
        <w:rPr>
          <w:lang w:bidi="fa-IR"/>
        </w:rPr>
        <w:t xml:space="preserve">in chapter </w:t>
      </w:r>
      <w:r w:rsidR="004C7A95">
        <w:rPr>
          <w:lang w:bidi="fa-IR"/>
        </w:rPr>
        <w:t>three</w:t>
      </w:r>
      <w:r w:rsidR="00510B61">
        <w:rPr>
          <w:lang w:bidi="fa-IR"/>
        </w:rPr>
        <w:t>) over time</w:t>
      </w:r>
      <w:r>
        <w:rPr>
          <w:lang w:bidi="fa-IR"/>
        </w:rPr>
        <w:t xml:space="preserve"> in the following ways</w:t>
      </w:r>
      <w:r w:rsidR="00510B61">
        <w:rPr>
          <w:lang w:bidi="fa-IR"/>
        </w:rPr>
        <w:t>.</w:t>
      </w:r>
    </w:p>
    <w:p w14:paraId="49160B2D" w14:textId="77777777" w:rsidR="00510B61" w:rsidRDefault="00510B61" w:rsidP="00510B61">
      <w:pPr>
        <w:pStyle w:val="ListBullet"/>
        <w:numPr>
          <w:ilvl w:val="0"/>
          <w:numId w:val="16"/>
        </w:numPr>
        <w:rPr>
          <w:lang w:bidi="fa-IR"/>
        </w:rPr>
      </w:pPr>
      <w:r>
        <w:rPr>
          <w:lang w:bidi="fa-IR"/>
        </w:rPr>
        <w:t>The proportion of the population who acquire a disability already living in accessible housing will increase over time.</w:t>
      </w:r>
    </w:p>
    <w:p w14:paraId="6DB7A6EB" w14:textId="77777777" w:rsidR="00510B61" w:rsidRDefault="00510B61" w:rsidP="00510B61">
      <w:pPr>
        <w:pStyle w:val="ListBullet"/>
        <w:numPr>
          <w:ilvl w:val="0"/>
          <w:numId w:val="16"/>
        </w:numPr>
        <w:rPr>
          <w:lang w:bidi="fa-IR"/>
        </w:rPr>
      </w:pPr>
      <w:r>
        <w:rPr>
          <w:lang w:bidi="fa-IR"/>
        </w:rPr>
        <w:t xml:space="preserve">For people </w:t>
      </w:r>
      <w:r w:rsidR="008A47B8">
        <w:rPr>
          <w:lang w:bidi="fa-IR"/>
        </w:rPr>
        <w:t>not already living in accessible housing and</w:t>
      </w:r>
      <w:r>
        <w:rPr>
          <w:lang w:bidi="fa-IR"/>
        </w:rPr>
        <w:t xml:space="preserve"> who acquire a disability (or have a pre</w:t>
      </w:r>
      <w:r>
        <w:rPr>
          <w:lang w:bidi="fa-IR"/>
        </w:rPr>
        <w:noBreakHyphen/>
        <w:t>existing disability), there will be</w:t>
      </w:r>
      <w:r w:rsidR="00662466">
        <w:rPr>
          <w:lang w:bidi="fa-IR"/>
        </w:rPr>
        <w:t>,</w:t>
      </w:r>
      <w:r w:rsidR="006F565A">
        <w:rPr>
          <w:lang w:bidi="fa-IR"/>
        </w:rPr>
        <w:t xml:space="preserve"> in general</w:t>
      </w:r>
      <w:r w:rsidR="00662466">
        <w:rPr>
          <w:lang w:bidi="fa-IR"/>
        </w:rPr>
        <w:t>,</w:t>
      </w:r>
      <w:r>
        <w:rPr>
          <w:lang w:bidi="fa-IR"/>
        </w:rPr>
        <w:t xml:space="preserve"> greater options available to move to an accessible dwelling.</w:t>
      </w:r>
      <w:r w:rsidR="006F565A">
        <w:rPr>
          <w:lang w:bidi="fa-IR"/>
        </w:rPr>
        <w:t xml:space="preserve"> The impacts are different for owner-occupiers and renters</w:t>
      </w:r>
      <w:r w:rsidR="00EE4164">
        <w:rPr>
          <w:lang w:bidi="fa-IR"/>
        </w:rPr>
        <w:t xml:space="preserve"> based on the </w:t>
      </w:r>
      <w:r w:rsidR="006F565A">
        <w:rPr>
          <w:lang w:bidi="fa-IR"/>
        </w:rPr>
        <w:t>assum</w:t>
      </w:r>
      <w:r w:rsidR="00EE4164">
        <w:rPr>
          <w:lang w:bidi="fa-IR"/>
        </w:rPr>
        <w:t>ption</w:t>
      </w:r>
      <w:r w:rsidR="006F565A">
        <w:rPr>
          <w:lang w:bidi="fa-IR"/>
        </w:rPr>
        <w:t xml:space="preserve"> that</w:t>
      </w:r>
    </w:p>
    <w:p w14:paraId="398B82F4" w14:textId="77777777" w:rsidR="00DC4314" w:rsidRDefault="00DC4314" w:rsidP="00DC4314">
      <w:pPr>
        <w:pStyle w:val="ListBullet2"/>
        <w:numPr>
          <w:ilvl w:val="1"/>
          <w:numId w:val="16"/>
        </w:numPr>
        <w:ind w:left="568" w:hanging="284"/>
        <w:rPr>
          <w:lang w:bidi="fa-IR"/>
        </w:rPr>
      </w:pPr>
      <w:r>
        <w:rPr>
          <w:lang w:bidi="fa-IR"/>
        </w:rPr>
        <w:t>the proposed changes to the NCC would have minimal impact on owner</w:t>
      </w:r>
      <w:r>
        <w:rPr>
          <w:lang w:bidi="fa-IR"/>
        </w:rPr>
        <w:noBreakHyphen/>
        <w:t>occupiers due to a range of factors outlined below</w:t>
      </w:r>
      <w:r w:rsidR="00BD176C">
        <w:rPr>
          <w:lang w:bidi="fa-IR"/>
        </w:rPr>
        <w:t>,</w:t>
      </w:r>
      <w:r w:rsidR="006F565A">
        <w:rPr>
          <w:lang w:bidi="fa-IR"/>
        </w:rPr>
        <w:t xml:space="preserve"> and</w:t>
      </w:r>
    </w:p>
    <w:p w14:paraId="382B8E9A" w14:textId="77777777" w:rsidR="00DC4314" w:rsidRDefault="00DC4314" w:rsidP="00DC4314">
      <w:pPr>
        <w:pStyle w:val="ListBullet2"/>
        <w:numPr>
          <w:ilvl w:val="1"/>
          <w:numId w:val="16"/>
        </w:numPr>
        <w:ind w:left="568" w:hanging="284"/>
        <w:rPr>
          <w:lang w:bidi="fa-IR"/>
        </w:rPr>
      </w:pPr>
      <w:r w:rsidRPr="00562AB2">
        <w:rPr>
          <w:lang w:bidi="fa-IR"/>
        </w:rPr>
        <w:t>the proposed changes will significantly increase the proportion of renters moving</w:t>
      </w:r>
      <w:r>
        <w:rPr>
          <w:lang w:bidi="fa-IR"/>
        </w:rPr>
        <w:t xml:space="preserve">. </w:t>
      </w:r>
    </w:p>
    <w:p w14:paraId="7A0A7A1E" w14:textId="77777777" w:rsidR="00510B61" w:rsidRDefault="00510B61" w:rsidP="00A62D1C">
      <w:pPr>
        <w:pStyle w:val="Heading3"/>
        <w:rPr>
          <w:lang w:bidi="fa-IR"/>
        </w:rPr>
      </w:pPr>
      <w:r>
        <w:rPr>
          <w:lang w:bidi="fa-IR"/>
        </w:rPr>
        <w:t>Owner-occupiers</w:t>
      </w:r>
    </w:p>
    <w:p w14:paraId="7EFBB85F" w14:textId="77777777" w:rsidR="00510B61" w:rsidRDefault="00510B61" w:rsidP="00510B61">
      <w:pPr>
        <w:pStyle w:val="BodyText"/>
        <w:rPr>
          <w:lang w:bidi="fa-IR"/>
        </w:rPr>
      </w:pPr>
      <w:r>
        <w:rPr>
          <w:lang w:bidi="fa-IR"/>
        </w:rPr>
        <w:t>As noted above, as accessible housing increases as a share of the stock over time, a greater proportion of people (including both owner</w:t>
      </w:r>
      <w:r>
        <w:rPr>
          <w:lang w:bidi="fa-IR"/>
        </w:rPr>
        <w:noBreakHyphen/>
        <w:t>occupiers and renters) will already be living in accessible housing at the time they acquire a disability.</w:t>
      </w:r>
    </w:p>
    <w:p w14:paraId="19DD0EDF" w14:textId="77777777" w:rsidR="00DC4314" w:rsidRDefault="00D120C8" w:rsidP="00DC4314">
      <w:pPr>
        <w:pStyle w:val="BodyText"/>
        <w:rPr>
          <w:lang w:bidi="fa-IR"/>
        </w:rPr>
      </w:pPr>
      <w:r>
        <w:rPr>
          <w:lang w:bidi="fa-IR"/>
        </w:rPr>
        <w:t>It is</w:t>
      </w:r>
      <w:r w:rsidR="00DC4314">
        <w:rPr>
          <w:lang w:bidi="fa-IR"/>
        </w:rPr>
        <w:t xml:space="preserve"> estimate</w:t>
      </w:r>
      <w:r>
        <w:rPr>
          <w:lang w:bidi="fa-IR"/>
        </w:rPr>
        <w:t>d</w:t>
      </w:r>
      <w:r w:rsidR="00DC4314">
        <w:rPr>
          <w:lang w:bidi="fa-IR"/>
        </w:rPr>
        <w:t xml:space="preserve"> that around 4.5 per cent of the total number of people with mobility limitation due to disability have newly acquired the disability in the past year. This estimate is based on:</w:t>
      </w:r>
    </w:p>
    <w:p w14:paraId="50904C50" w14:textId="77777777" w:rsidR="00DC4314" w:rsidRDefault="00DC4314" w:rsidP="00DC4314">
      <w:pPr>
        <w:pStyle w:val="ListBullet"/>
        <w:numPr>
          <w:ilvl w:val="0"/>
          <w:numId w:val="16"/>
        </w:numPr>
        <w:rPr>
          <w:lang w:bidi="fa-IR"/>
        </w:rPr>
      </w:pPr>
      <w:r>
        <w:rPr>
          <w:lang w:bidi="fa-IR"/>
        </w:rPr>
        <w:t>the growth in the number of people with mobility limitation each year</w:t>
      </w:r>
    </w:p>
    <w:p w14:paraId="4ACC87F5" w14:textId="77777777" w:rsidR="00DC4314" w:rsidRPr="00BF3453" w:rsidRDefault="00DC4314" w:rsidP="00DC4314">
      <w:pPr>
        <w:pStyle w:val="ListBullet"/>
        <w:numPr>
          <w:ilvl w:val="0"/>
          <w:numId w:val="16"/>
        </w:numPr>
        <w:rPr>
          <w:lang w:bidi="fa-IR"/>
        </w:rPr>
      </w:pPr>
      <w:r w:rsidRPr="00E337E1">
        <w:rPr>
          <w:b/>
          <w:bCs/>
          <w:lang w:bidi="fa-IR"/>
        </w:rPr>
        <w:t>plus:</w:t>
      </w:r>
      <w:r>
        <w:rPr>
          <w:lang w:bidi="fa-IR"/>
        </w:rPr>
        <w:t xml:space="preserve"> the estimated number of deaths (based on weighted</w:t>
      </w:r>
      <w:r>
        <w:rPr>
          <w:lang w:bidi="fa-IR"/>
        </w:rPr>
        <w:noBreakHyphen/>
        <w:t>average mortality rates by age).</w:t>
      </w:r>
    </w:p>
    <w:p w14:paraId="23889540" w14:textId="77777777" w:rsidR="00DC4314" w:rsidRDefault="00D120C8" w:rsidP="00DC4314">
      <w:pPr>
        <w:pStyle w:val="BodyText"/>
        <w:rPr>
          <w:lang w:bidi="fa-IR"/>
        </w:rPr>
      </w:pPr>
      <w:r>
        <w:rPr>
          <w:lang w:bidi="fa-IR"/>
        </w:rPr>
        <w:t xml:space="preserve">This </w:t>
      </w:r>
      <w:r w:rsidR="00DC4314">
        <w:rPr>
          <w:lang w:bidi="fa-IR"/>
        </w:rPr>
        <w:t>approach assumes that people with mobility</w:t>
      </w:r>
      <w:r w:rsidR="00DC4314">
        <w:rPr>
          <w:lang w:bidi="fa-IR"/>
        </w:rPr>
        <w:noBreakHyphen/>
        <w:t>related disabilit</w:t>
      </w:r>
      <w:r w:rsidR="00662466">
        <w:rPr>
          <w:lang w:bidi="fa-IR"/>
        </w:rPr>
        <w:t>y</w:t>
      </w:r>
      <w:r w:rsidR="00DC4314">
        <w:rPr>
          <w:lang w:bidi="fa-IR"/>
        </w:rPr>
        <w:t xml:space="preserve"> have the same age</w:t>
      </w:r>
      <w:r w:rsidR="00DC4314">
        <w:rPr>
          <w:lang w:bidi="fa-IR"/>
        </w:rPr>
        <w:noBreakHyphen/>
        <w:t>specific mortality rates as the broader community</w:t>
      </w:r>
      <w:r>
        <w:rPr>
          <w:lang w:bidi="fa-IR"/>
        </w:rPr>
        <w:t xml:space="preserve">. It </w:t>
      </w:r>
      <w:r w:rsidR="00DC4314">
        <w:rPr>
          <w:lang w:bidi="fa-IR"/>
        </w:rPr>
        <w:t>effectively assumes that all people with a mobility</w:t>
      </w:r>
      <w:r w:rsidR="00DC4314">
        <w:rPr>
          <w:lang w:bidi="fa-IR"/>
        </w:rPr>
        <w:noBreakHyphen/>
        <w:t>related disability have that disability until their death (i.e. ignores the possibility that a disability is resolved); and ignores the net impact of migration. It is a reasonable approximation of the number of newly acquired disabilities in each period.</w:t>
      </w:r>
    </w:p>
    <w:p w14:paraId="49D28A85" w14:textId="77777777" w:rsidR="00DC4314" w:rsidRDefault="00D120C8" w:rsidP="00F11742">
      <w:pPr>
        <w:pStyle w:val="KeyPoint"/>
        <w:numPr>
          <w:ilvl w:val="0"/>
          <w:numId w:val="11"/>
        </w:numPr>
        <w:rPr>
          <w:lang w:bidi="fa-IR"/>
        </w:rPr>
      </w:pPr>
      <w:r>
        <w:rPr>
          <w:lang w:bidi="fa-IR"/>
        </w:rPr>
        <w:t>It is</w:t>
      </w:r>
      <w:r w:rsidR="00510B61">
        <w:rPr>
          <w:lang w:bidi="fa-IR"/>
        </w:rPr>
        <w:t xml:space="preserve"> assume</w:t>
      </w:r>
      <w:r>
        <w:rPr>
          <w:lang w:bidi="fa-IR"/>
        </w:rPr>
        <w:t>d</w:t>
      </w:r>
      <w:r w:rsidR="00510B61">
        <w:rPr>
          <w:lang w:bidi="fa-IR"/>
        </w:rPr>
        <w:t xml:space="preserve"> that the proportion of owner</w:t>
      </w:r>
      <w:r w:rsidR="00510B61">
        <w:rPr>
          <w:lang w:bidi="fa-IR"/>
        </w:rPr>
        <w:noBreakHyphen/>
        <w:t>occupiers</w:t>
      </w:r>
      <w:r w:rsidR="00DC4314">
        <w:rPr>
          <w:lang w:bidi="fa-IR"/>
        </w:rPr>
        <w:t xml:space="preserve"> already living in accessible housing when they acquire a disability will reflect the share of new accessible housing built under a revised NCC in the total dwelling stock.</w:t>
      </w:r>
    </w:p>
    <w:p w14:paraId="2D18FB17" w14:textId="77777777" w:rsidR="00DC4314" w:rsidRDefault="00DC4314" w:rsidP="00DC4314">
      <w:pPr>
        <w:pStyle w:val="BodyText"/>
        <w:rPr>
          <w:lang w:bidi="fa-IR"/>
        </w:rPr>
      </w:pPr>
      <w:r>
        <w:rPr>
          <w:lang w:bidi="fa-IR"/>
        </w:rPr>
        <w:t>As the proportion of new accessible dwellings (i.e. those that would comply with the proposed accessibility requirements) being built under the current code is not known, this issue is addressed separately (see below).</w:t>
      </w:r>
    </w:p>
    <w:p w14:paraId="326574FA" w14:textId="77777777" w:rsidR="00510B61" w:rsidRDefault="00510B61" w:rsidP="00510B61">
      <w:pPr>
        <w:pStyle w:val="BodyText"/>
        <w:rPr>
          <w:lang w:bidi="fa-IR"/>
        </w:rPr>
      </w:pPr>
      <w:r>
        <w:rPr>
          <w:lang w:bidi="fa-IR"/>
        </w:rPr>
        <w:lastRenderedPageBreak/>
        <w:t>For owner</w:t>
      </w:r>
      <w:r>
        <w:rPr>
          <w:lang w:bidi="fa-IR"/>
        </w:rPr>
        <w:noBreakHyphen/>
        <w:t>occupiers who already have a mobility</w:t>
      </w:r>
      <w:r>
        <w:rPr>
          <w:lang w:bidi="fa-IR"/>
        </w:rPr>
        <w:noBreakHyphen/>
        <w:t>related disability or acquire a mobility</w:t>
      </w:r>
      <w:r>
        <w:rPr>
          <w:lang w:bidi="fa-IR"/>
        </w:rPr>
        <w:noBreakHyphen/>
        <w:t xml:space="preserve">related disability and are not already living in accessible housing when they acquire it, the </w:t>
      </w:r>
      <w:r w:rsidRPr="009816AA">
        <w:rPr>
          <w:lang w:bidi="fa-IR"/>
        </w:rPr>
        <w:t>benefits of the proposed changes to the NCC are less clear</w:t>
      </w:r>
      <w:r>
        <w:rPr>
          <w:lang w:bidi="fa-IR"/>
        </w:rPr>
        <w:t>. In principle, the stock of accessible housing would increase over time as a result of the proposed change to the NCC. This would give these people (and their families) greater choice of accessible dwellings should they choose to move to a dwelling that better meets their needs.</w:t>
      </w:r>
    </w:p>
    <w:p w14:paraId="79456991" w14:textId="77777777" w:rsidR="00510B61" w:rsidRDefault="00510B61" w:rsidP="00510B61">
      <w:pPr>
        <w:pStyle w:val="BodyText"/>
        <w:rPr>
          <w:lang w:bidi="fa-IR"/>
        </w:rPr>
      </w:pPr>
      <w:r>
        <w:rPr>
          <w:lang w:bidi="fa-IR"/>
        </w:rPr>
        <w:t>However, the following factors would limit the impact of the proposed changes to the NCC on the available stock of accessible housing.</w:t>
      </w:r>
    </w:p>
    <w:p w14:paraId="76EFDC34" w14:textId="77777777" w:rsidR="00510B61" w:rsidRDefault="00510B61" w:rsidP="00510B61">
      <w:pPr>
        <w:pStyle w:val="ListBullet"/>
        <w:numPr>
          <w:ilvl w:val="0"/>
          <w:numId w:val="16"/>
        </w:numPr>
        <w:rPr>
          <w:lang w:bidi="fa-IR"/>
        </w:rPr>
      </w:pPr>
      <w:r>
        <w:rPr>
          <w:lang w:bidi="fa-IR"/>
        </w:rPr>
        <w:t xml:space="preserve">First, the option of building an accessible house that meets </w:t>
      </w:r>
      <w:r w:rsidRPr="009816AA">
        <w:rPr>
          <w:lang w:bidi="fa-IR"/>
        </w:rPr>
        <w:t>their specific needs is already available to people who acquire a mobility</w:t>
      </w:r>
      <w:r w:rsidRPr="009816AA">
        <w:rPr>
          <w:lang w:bidi="fa-IR"/>
        </w:rPr>
        <w:noBreakHyphen/>
        <w:t>related disability</w:t>
      </w:r>
      <w:r w:rsidR="00A35577">
        <w:rPr>
          <w:lang w:bidi="fa-IR"/>
        </w:rPr>
        <w:t>. While there are many reasons people do not choose this option including financial constraints, location etc,</w:t>
      </w:r>
      <w:r w:rsidRPr="009816AA">
        <w:rPr>
          <w:lang w:bidi="fa-IR"/>
        </w:rPr>
        <w:t xml:space="preserve"> </w:t>
      </w:r>
      <w:r w:rsidR="00A35577">
        <w:rPr>
          <w:lang w:bidi="fa-IR"/>
        </w:rPr>
        <w:t>t</w:t>
      </w:r>
      <w:r>
        <w:rPr>
          <w:lang w:bidi="fa-IR"/>
        </w:rPr>
        <w:t xml:space="preserve">he proposed regulation would not </w:t>
      </w:r>
      <w:r w:rsidR="00A35577">
        <w:rPr>
          <w:lang w:bidi="fa-IR"/>
        </w:rPr>
        <w:t>change</w:t>
      </w:r>
      <w:r>
        <w:rPr>
          <w:lang w:bidi="fa-IR"/>
        </w:rPr>
        <w:t xml:space="preserve"> this choice.</w:t>
      </w:r>
    </w:p>
    <w:p w14:paraId="6ADFB2E5" w14:textId="77777777" w:rsidR="00E8238F" w:rsidRDefault="00510B61" w:rsidP="00510B61">
      <w:pPr>
        <w:pStyle w:val="ListBullet"/>
        <w:numPr>
          <w:ilvl w:val="0"/>
          <w:numId w:val="16"/>
        </w:numPr>
        <w:rPr>
          <w:lang w:bidi="fa-IR"/>
        </w:rPr>
      </w:pPr>
      <w:r>
        <w:rPr>
          <w:lang w:bidi="fa-IR"/>
        </w:rPr>
        <w:t xml:space="preserve">Second, to the extent that the regulation encourages additional accessible </w:t>
      </w:r>
      <w:r w:rsidR="00E8238F">
        <w:rPr>
          <w:lang w:bidi="fa-IR"/>
        </w:rPr>
        <w:t xml:space="preserve">houses </w:t>
      </w:r>
      <w:r>
        <w:rPr>
          <w:lang w:bidi="fa-IR"/>
        </w:rPr>
        <w:t xml:space="preserve">to be built, it is </w:t>
      </w:r>
      <w:r w:rsidR="00A35577">
        <w:rPr>
          <w:lang w:bidi="fa-IR"/>
        </w:rPr>
        <w:t>likely</w:t>
      </w:r>
      <w:r>
        <w:rPr>
          <w:lang w:bidi="fa-IR"/>
        </w:rPr>
        <w:t xml:space="preserve"> that the initial owner would not have accessibility needs (if they did, they would have chosen to build an accessible home </w:t>
      </w:r>
      <w:r w:rsidR="00A35577">
        <w:rPr>
          <w:lang w:bidi="fa-IR"/>
        </w:rPr>
        <w:t>under current conditions</w:t>
      </w:r>
      <w:r>
        <w:rPr>
          <w:lang w:bidi="fa-IR"/>
        </w:rPr>
        <w:t>).</w:t>
      </w:r>
    </w:p>
    <w:p w14:paraId="22DEECB6" w14:textId="77777777" w:rsidR="00E8238F" w:rsidRDefault="00510B61" w:rsidP="00E8238F">
      <w:pPr>
        <w:pStyle w:val="ListBullet2"/>
        <w:rPr>
          <w:lang w:bidi="fa-IR"/>
        </w:rPr>
      </w:pPr>
      <w:r>
        <w:rPr>
          <w:lang w:bidi="fa-IR"/>
        </w:rPr>
        <w:t xml:space="preserve">The regulations are therefore unlikely to </w:t>
      </w:r>
      <w:r w:rsidR="00A35577">
        <w:rPr>
          <w:lang w:bidi="fa-IR"/>
        </w:rPr>
        <w:t xml:space="preserve">directly </w:t>
      </w:r>
      <w:r>
        <w:rPr>
          <w:lang w:bidi="fa-IR"/>
        </w:rPr>
        <w:t>benefit the initial owner (unless they acquire a disability while still living in the dwelling – see above).</w:t>
      </w:r>
    </w:p>
    <w:p w14:paraId="5D2BBCC9" w14:textId="77777777" w:rsidR="00510B61" w:rsidRDefault="00510B61" w:rsidP="00E8238F">
      <w:pPr>
        <w:pStyle w:val="ListBullet2"/>
        <w:rPr>
          <w:lang w:bidi="fa-IR"/>
        </w:rPr>
      </w:pPr>
      <w:r>
        <w:rPr>
          <w:lang w:bidi="fa-IR"/>
        </w:rPr>
        <w:t>Additional accessible dwellings would become available to people with accessibility needs only when the initial owner moves out.</w:t>
      </w:r>
      <w:r w:rsidR="00184B1B">
        <w:rPr>
          <w:lang w:bidi="fa-IR"/>
        </w:rPr>
        <w:t xml:space="preserve"> The RBA reports that owner</w:t>
      </w:r>
      <w:r w:rsidR="00184B1B">
        <w:rPr>
          <w:lang w:bidi="fa-IR"/>
        </w:rPr>
        <w:noBreakHyphen/>
        <w:t>occupier turnover rates have been less than 4 per cent over recent years.</w:t>
      </w:r>
      <w:r w:rsidR="00184B1B">
        <w:rPr>
          <w:rStyle w:val="FootnoteReference"/>
          <w:lang w:bidi="fa-IR"/>
        </w:rPr>
        <w:footnoteReference w:id="223"/>
      </w:r>
      <w:r w:rsidR="00184B1B">
        <w:rPr>
          <w:lang w:bidi="fa-IR"/>
        </w:rPr>
        <w:t xml:space="preserve"> This implies that on average</w:t>
      </w:r>
      <w:r w:rsidR="007B14BD">
        <w:rPr>
          <w:lang w:bidi="fa-IR"/>
        </w:rPr>
        <w:t xml:space="preserve"> it would take around 25 years for the</w:t>
      </w:r>
      <w:r w:rsidR="00184B1B">
        <w:rPr>
          <w:lang w:bidi="fa-IR"/>
        </w:rPr>
        <w:t xml:space="preserve"> </w:t>
      </w:r>
      <w:r w:rsidR="007B14BD">
        <w:rPr>
          <w:lang w:bidi="fa-IR"/>
        </w:rPr>
        <w:t>accessible home</w:t>
      </w:r>
      <w:r w:rsidR="00E8238F">
        <w:rPr>
          <w:lang w:bidi="fa-IR"/>
        </w:rPr>
        <w:t xml:space="preserve"> </w:t>
      </w:r>
      <w:r w:rsidR="007B14BD">
        <w:rPr>
          <w:lang w:bidi="fa-IR"/>
        </w:rPr>
        <w:t>to</w:t>
      </w:r>
      <w:r w:rsidR="00E8238F">
        <w:rPr>
          <w:lang w:bidi="fa-IR"/>
        </w:rPr>
        <w:t xml:space="preserve"> become available </w:t>
      </w:r>
      <w:r w:rsidR="007B14BD">
        <w:rPr>
          <w:lang w:bidi="fa-IR"/>
        </w:rPr>
        <w:t>for</w:t>
      </w:r>
      <w:r w:rsidR="00E8238F">
        <w:rPr>
          <w:lang w:bidi="fa-IR"/>
        </w:rPr>
        <w:t xml:space="preserve"> a person with accessibility needs to purchase</w:t>
      </w:r>
      <w:r w:rsidR="00184B1B">
        <w:rPr>
          <w:lang w:bidi="fa-IR"/>
        </w:rPr>
        <w:t>.</w:t>
      </w:r>
    </w:p>
    <w:p w14:paraId="71F64D79" w14:textId="77777777" w:rsidR="00510B61" w:rsidRDefault="0086087F" w:rsidP="00510B61">
      <w:pPr>
        <w:pStyle w:val="BodyText"/>
        <w:rPr>
          <w:lang w:bidi="fa-IR"/>
        </w:rPr>
      </w:pPr>
      <w:r>
        <w:rPr>
          <w:lang w:bidi="fa-IR"/>
        </w:rPr>
        <w:t>E</w:t>
      </w:r>
      <w:r w:rsidR="00510B61">
        <w:rPr>
          <w:lang w:bidi="fa-IR"/>
        </w:rPr>
        <w:t>ven if more accessible dwellings become available, there are a range of factors that suggest that the number of people who would choose to move to a more accessible dwelling would likely be relatively low for owner</w:t>
      </w:r>
      <w:r w:rsidR="00510B61">
        <w:rPr>
          <w:lang w:bidi="fa-IR"/>
        </w:rPr>
        <w:noBreakHyphen/>
        <w:t>occupiers.</w:t>
      </w:r>
    </w:p>
    <w:p w14:paraId="11070EB9" w14:textId="77777777" w:rsidR="00510B61" w:rsidRDefault="00510B61" w:rsidP="00510B61">
      <w:pPr>
        <w:pStyle w:val="ListBullet"/>
        <w:numPr>
          <w:ilvl w:val="0"/>
          <w:numId w:val="16"/>
        </w:numPr>
        <w:rPr>
          <w:lang w:bidi="fa-IR"/>
        </w:rPr>
      </w:pPr>
      <w:r>
        <w:rPr>
          <w:lang w:bidi="fa-IR"/>
        </w:rPr>
        <w:t xml:space="preserve">SDAC data suggests that </w:t>
      </w:r>
      <w:r w:rsidR="00B453DC">
        <w:rPr>
          <w:lang w:bidi="fa-IR"/>
        </w:rPr>
        <w:t>between 2 and 6</w:t>
      </w:r>
      <w:r>
        <w:rPr>
          <w:lang w:bidi="fa-IR"/>
        </w:rPr>
        <w:t> per cent of owner</w:t>
      </w:r>
      <w:r>
        <w:rPr>
          <w:lang w:bidi="fa-IR"/>
        </w:rPr>
        <w:noBreakHyphen/>
        <w:t xml:space="preserve">occupiers have </w:t>
      </w:r>
      <w:r w:rsidR="00E8238F">
        <w:rPr>
          <w:lang w:bidi="fa-IR"/>
        </w:rPr>
        <w:t xml:space="preserve">ever </w:t>
      </w:r>
      <w:r>
        <w:rPr>
          <w:lang w:bidi="fa-IR"/>
        </w:rPr>
        <w:t>moved because of their condition</w:t>
      </w:r>
      <w:r w:rsidR="00B453DC">
        <w:rPr>
          <w:lang w:bidi="fa-IR"/>
        </w:rPr>
        <w:t xml:space="preserve"> for reasons that are either directly or possibly related to the characteristics of the dwelling</w:t>
      </w:r>
      <w:r>
        <w:rPr>
          <w:lang w:bidi="fa-IR"/>
        </w:rPr>
        <w:t xml:space="preserve">. </w:t>
      </w:r>
      <w:r w:rsidRPr="009816AA">
        <w:rPr>
          <w:lang w:bidi="fa-IR"/>
        </w:rPr>
        <w:t>That said, the reason that some people have not moved may have been a lack of available accessible dwellings.</w:t>
      </w:r>
    </w:p>
    <w:p w14:paraId="56CC9B1C" w14:textId="77777777" w:rsidR="00510B61" w:rsidRDefault="00510B61" w:rsidP="00510B61">
      <w:pPr>
        <w:pStyle w:val="ListBullet"/>
        <w:numPr>
          <w:ilvl w:val="0"/>
          <w:numId w:val="16"/>
        </w:numPr>
        <w:rPr>
          <w:lang w:bidi="fa-IR"/>
        </w:rPr>
      </w:pPr>
      <w:r>
        <w:rPr>
          <w:lang w:bidi="fa-IR"/>
        </w:rPr>
        <w:t>Several stakeholders, as well as a number of studies stressed the importance of factors such as affordability and location, as well as accessibility</w:t>
      </w:r>
      <w:r w:rsidR="005C5F2B">
        <w:rPr>
          <w:lang w:bidi="fa-IR"/>
        </w:rPr>
        <w:t xml:space="preserve"> for</w:t>
      </w:r>
      <w:r w:rsidR="00962198">
        <w:rPr>
          <w:lang w:bidi="fa-IR"/>
        </w:rPr>
        <w:t xml:space="preserve"> the decision of buying a house.</w:t>
      </w:r>
      <w:r>
        <w:rPr>
          <w:lang w:bidi="fa-IR"/>
        </w:rPr>
        <w:t xml:space="preserve"> </w:t>
      </w:r>
      <w:r w:rsidRPr="00782A86">
        <w:t>Affordability and location issues could reduce the likelihood of people moving to newly built accessible housing</w:t>
      </w:r>
      <w:r w:rsidRPr="001C7D22">
        <w:rPr>
          <w:lang w:bidi="fa-IR"/>
        </w:rPr>
        <w:t>.</w:t>
      </w:r>
    </w:p>
    <w:p w14:paraId="02675B17" w14:textId="77777777" w:rsidR="00510B61" w:rsidRDefault="00510B61" w:rsidP="00510B61">
      <w:pPr>
        <w:pStyle w:val="ListBullet2"/>
        <w:numPr>
          <w:ilvl w:val="1"/>
          <w:numId w:val="16"/>
        </w:numPr>
        <w:ind w:left="568" w:hanging="284"/>
        <w:rPr>
          <w:lang w:bidi="fa-IR"/>
        </w:rPr>
      </w:pPr>
      <w:r>
        <w:rPr>
          <w:lang w:bidi="fa-IR"/>
        </w:rPr>
        <w:t>In particular, the new accessible housing may not be in the preferred neighbourhood for many people with a mobility</w:t>
      </w:r>
      <w:r>
        <w:rPr>
          <w:lang w:bidi="fa-IR"/>
        </w:rPr>
        <w:noBreakHyphen/>
        <w:t>related disability.</w:t>
      </w:r>
    </w:p>
    <w:p w14:paraId="521E33A2" w14:textId="77777777" w:rsidR="00510B61" w:rsidRDefault="00510B61" w:rsidP="00510B61">
      <w:pPr>
        <w:pStyle w:val="ListBullet3"/>
        <w:numPr>
          <w:ilvl w:val="2"/>
          <w:numId w:val="16"/>
        </w:numPr>
        <w:rPr>
          <w:lang w:bidi="fa-IR"/>
        </w:rPr>
      </w:pPr>
      <w:r>
        <w:rPr>
          <w:lang w:bidi="fa-IR"/>
        </w:rPr>
        <w:t xml:space="preserve">In NSW, just 11 (out of 131) </w:t>
      </w:r>
      <w:r w:rsidR="00662466">
        <w:rPr>
          <w:lang w:bidi="fa-IR"/>
        </w:rPr>
        <w:t>LGAs</w:t>
      </w:r>
      <w:r>
        <w:rPr>
          <w:lang w:bidi="fa-IR"/>
        </w:rPr>
        <w:t xml:space="preserve"> account for 50 per cent of all dwelling approvals</w:t>
      </w:r>
      <w:r>
        <w:rPr>
          <w:rStyle w:val="FootnoteReference"/>
          <w:lang w:bidi="fa-IR"/>
        </w:rPr>
        <w:footnoteReference w:id="224"/>
      </w:r>
    </w:p>
    <w:p w14:paraId="6BAFA31F" w14:textId="77777777" w:rsidR="00510B61" w:rsidRDefault="00510B61" w:rsidP="00510B61">
      <w:pPr>
        <w:pStyle w:val="ListBullet3"/>
        <w:numPr>
          <w:ilvl w:val="2"/>
          <w:numId w:val="16"/>
        </w:numPr>
        <w:rPr>
          <w:lang w:bidi="fa-IR"/>
        </w:rPr>
      </w:pPr>
      <w:r>
        <w:rPr>
          <w:lang w:bidi="fa-IR"/>
        </w:rPr>
        <w:t>Currently, only 29 per cent of all people in NSW with a mobility limitation live in these LGAs</w:t>
      </w:r>
      <w:r w:rsidR="00E305A0">
        <w:rPr>
          <w:lang w:bidi="fa-IR"/>
        </w:rPr>
        <w:t xml:space="preserve"> according to SDAC data</w:t>
      </w:r>
    </w:p>
    <w:p w14:paraId="4C11C1DD" w14:textId="77777777" w:rsidR="00510B61" w:rsidRDefault="00510B61" w:rsidP="00510B61">
      <w:pPr>
        <w:pStyle w:val="ListBullet3"/>
        <w:numPr>
          <w:ilvl w:val="2"/>
          <w:numId w:val="16"/>
        </w:numPr>
        <w:rPr>
          <w:lang w:bidi="fa-IR"/>
        </w:rPr>
      </w:pPr>
      <w:r>
        <w:rPr>
          <w:lang w:bidi="fa-IR"/>
        </w:rPr>
        <w:lastRenderedPageBreak/>
        <w:t>Analysis of Census data suggests that more than 80 per cent of all people who moved house over the past 5 years, moved within the same LGA. This proportion increases to more than 90 per cent for people over the age of 65.</w:t>
      </w:r>
    </w:p>
    <w:p w14:paraId="604720D0" w14:textId="77777777" w:rsidR="00510B61" w:rsidRDefault="00510B61" w:rsidP="00510B61">
      <w:pPr>
        <w:pStyle w:val="ListBullet2"/>
        <w:numPr>
          <w:ilvl w:val="1"/>
          <w:numId w:val="16"/>
        </w:numPr>
        <w:ind w:left="568" w:hanging="284"/>
        <w:rPr>
          <w:lang w:bidi="fa-IR"/>
        </w:rPr>
      </w:pPr>
      <w:r>
        <w:rPr>
          <w:lang w:bidi="fa-IR"/>
        </w:rPr>
        <w:t>The financial cost of moving house is relatively high for owner</w:t>
      </w:r>
      <w:r>
        <w:rPr>
          <w:lang w:bidi="fa-IR"/>
        </w:rPr>
        <w:noBreakHyphen/>
        <w:t>occupiers</w:t>
      </w:r>
      <w:r w:rsidR="005C56EB">
        <w:rPr>
          <w:lang w:bidi="fa-IR"/>
        </w:rPr>
        <w:t xml:space="preserve"> relative to renters because moving house for owner-occupiers</w:t>
      </w:r>
      <w:r w:rsidR="00E8238F">
        <w:rPr>
          <w:lang w:bidi="fa-IR"/>
        </w:rPr>
        <w:t xml:space="preserve"> generally</w:t>
      </w:r>
      <w:r w:rsidR="005C56EB">
        <w:rPr>
          <w:lang w:bidi="fa-IR"/>
        </w:rPr>
        <w:t xml:space="preserve"> involves buying a new dwelling and selling the existing dwelling, both incurring transaction costs </w:t>
      </w:r>
      <w:r w:rsidR="007B14BD">
        <w:rPr>
          <w:lang w:bidi="fa-IR"/>
        </w:rPr>
        <w:t>(including</w:t>
      </w:r>
      <w:r w:rsidR="005C56EB">
        <w:rPr>
          <w:lang w:bidi="fa-IR"/>
        </w:rPr>
        <w:t xml:space="preserve"> stamp duties, real estate agent commissions and legal expenses</w:t>
      </w:r>
      <w:r w:rsidR="007B14BD">
        <w:rPr>
          <w:lang w:bidi="fa-IR"/>
        </w:rPr>
        <w:t>)</w:t>
      </w:r>
      <w:r>
        <w:rPr>
          <w:lang w:bidi="fa-IR"/>
        </w:rPr>
        <w:t>. This means that in many cases home modifications (where possible) may be more cost</w:t>
      </w:r>
      <w:r>
        <w:rPr>
          <w:lang w:bidi="fa-IR"/>
        </w:rPr>
        <w:noBreakHyphen/>
        <w:t>effective, particularly as home modifications are subsidised through the NDIS and various aged care programs.</w:t>
      </w:r>
    </w:p>
    <w:p w14:paraId="23C2AA20" w14:textId="77777777" w:rsidR="00510B61" w:rsidRDefault="00510B61" w:rsidP="00510B61">
      <w:pPr>
        <w:pStyle w:val="ListBullet3"/>
        <w:numPr>
          <w:ilvl w:val="2"/>
          <w:numId w:val="16"/>
        </w:numPr>
        <w:rPr>
          <w:lang w:bidi="fa-IR"/>
        </w:rPr>
      </w:pPr>
      <w:r>
        <w:rPr>
          <w:lang w:bidi="fa-IR"/>
        </w:rPr>
        <w:t>Many households containing people with disabilit</w:t>
      </w:r>
      <w:r w:rsidR="00D870C0">
        <w:rPr>
          <w:lang w:bidi="fa-IR"/>
        </w:rPr>
        <w:t>y</w:t>
      </w:r>
      <w:r>
        <w:rPr>
          <w:lang w:bidi="fa-IR"/>
        </w:rPr>
        <w:t xml:space="preserve"> have lower than average incomes (see </w:t>
      </w:r>
      <w:r w:rsidR="00F91048">
        <w:rPr>
          <w:lang w:bidi="fa-IR"/>
        </w:rPr>
        <w:t xml:space="preserve">chapter </w:t>
      </w:r>
      <w:r w:rsidR="003451B3">
        <w:rPr>
          <w:lang w:bidi="fa-IR"/>
        </w:rPr>
        <w:t>three</w:t>
      </w:r>
      <w:r>
        <w:rPr>
          <w:lang w:bidi="fa-IR"/>
        </w:rPr>
        <w:t>).</w:t>
      </w:r>
    </w:p>
    <w:p w14:paraId="7E0549F0" w14:textId="521A08DF" w:rsidR="00510B61" w:rsidRDefault="00510B61" w:rsidP="00510B61">
      <w:pPr>
        <w:pStyle w:val="ListBullet3"/>
        <w:numPr>
          <w:ilvl w:val="2"/>
          <w:numId w:val="16"/>
        </w:numPr>
        <w:rPr>
          <w:lang w:bidi="fa-IR"/>
        </w:rPr>
      </w:pPr>
      <w:r>
        <w:rPr>
          <w:lang w:bidi="fa-IR"/>
        </w:rPr>
        <w:t>The financial cost of selling an existing home and buying a new one is estimated at close to $30 000</w:t>
      </w:r>
      <w:r w:rsidR="006E409D">
        <w:rPr>
          <w:lang w:bidi="fa-IR"/>
        </w:rPr>
        <w:t xml:space="preserve"> (see table E.1 in </w:t>
      </w:r>
      <w:r w:rsidR="00DC7B75">
        <w:rPr>
          <w:lang w:bidi="fa-IR"/>
        </w:rPr>
        <w:t>a</w:t>
      </w:r>
      <w:r w:rsidR="006E409D">
        <w:rPr>
          <w:lang w:bidi="fa-IR"/>
        </w:rPr>
        <w:t>ppendix </w:t>
      </w:r>
      <w:r w:rsidR="006E409D">
        <w:rPr>
          <w:lang w:bidi="fa-IR"/>
        </w:rPr>
        <w:fldChar w:fldCharType="begin"/>
      </w:r>
      <w:r w:rsidR="006E409D">
        <w:rPr>
          <w:lang w:bidi="fa-IR"/>
        </w:rPr>
        <w:instrText xml:space="preserve"> REF _Ref56248783 \n \h </w:instrText>
      </w:r>
      <w:r w:rsidR="006E409D">
        <w:rPr>
          <w:lang w:bidi="fa-IR"/>
        </w:rPr>
      </w:r>
      <w:r w:rsidR="006E409D">
        <w:rPr>
          <w:lang w:bidi="fa-IR"/>
        </w:rPr>
        <w:fldChar w:fldCharType="separate"/>
      </w:r>
      <w:r w:rsidR="000F445C">
        <w:rPr>
          <w:lang w:bidi="fa-IR"/>
        </w:rPr>
        <w:t>E</w:t>
      </w:r>
      <w:r w:rsidR="006E409D">
        <w:rPr>
          <w:lang w:bidi="fa-IR"/>
        </w:rPr>
        <w:fldChar w:fldCharType="end"/>
      </w:r>
      <w:r w:rsidR="006E409D">
        <w:rPr>
          <w:lang w:bidi="fa-IR"/>
        </w:rPr>
        <w:t>)</w:t>
      </w:r>
      <w:r>
        <w:rPr>
          <w:lang w:bidi="fa-IR"/>
        </w:rPr>
        <w:t>.</w:t>
      </w:r>
    </w:p>
    <w:p w14:paraId="2BF284DC" w14:textId="77777777" w:rsidR="00510B61" w:rsidRDefault="00510B61" w:rsidP="00510B61">
      <w:pPr>
        <w:pStyle w:val="ListBullet3"/>
        <w:numPr>
          <w:ilvl w:val="2"/>
          <w:numId w:val="16"/>
        </w:numPr>
        <w:rPr>
          <w:lang w:bidi="fa-IR"/>
        </w:rPr>
      </w:pPr>
      <w:r>
        <w:rPr>
          <w:lang w:bidi="fa-IR"/>
        </w:rPr>
        <w:t>Stamp duties are a significant barrier to moving in most States and Territories.</w:t>
      </w:r>
      <w:r>
        <w:rPr>
          <w:rStyle w:val="FootnoteReference"/>
          <w:lang w:bidi="fa-IR"/>
        </w:rPr>
        <w:footnoteReference w:id="225"/>
      </w:r>
      <w:r>
        <w:rPr>
          <w:lang w:bidi="fa-IR"/>
        </w:rPr>
        <w:t xml:space="preserve"> Stamp duties can amount to tens of thousands of dollars (particularly in the major cities).</w:t>
      </w:r>
      <w:r w:rsidR="00A40A9B">
        <w:rPr>
          <w:rStyle w:val="FootnoteReference"/>
          <w:lang w:bidi="fa-IR"/>
        </w:rPr>
        <w:footnoteReference w:id="226"/>
      </w:r>
      <w:r>
        <w:rPr>
          <w:lang w:bidi="fa-IR"/>
        </w:rPr>
        <w:t xml:space="preserve"> </w:t>
      </w:r>
    </w:p>
    <w:p w14:paraId="11DFAB64" w14:textId="77777777" w:rsidR="00510B61" w:rsidRDefault="00510B61" w:rsidP="00510B61">
      <w:pPr>
        <w:pStyle w:val="ListBullet3"/>
        <w:numPr>
          <w:ilvl w:val="2"/>
          <w:numId w:val="16"/>
        </w:numPr>
        <w:rPr>
          <w:lang w:bidi="fa-IR"/>
        </w:rPr>
      </w:pPr>
      <w:r>
        <w:rPr>
          <w:lang w:bidi="fa-IR"/>
        </w:rPr>
        <w:t>Some older Australians on a full or part pension could lose their pension if they choose to down</w:t>
      </w:r>
      <w:r>
        <w:rPr>
          <w:lang w:bidi="fa-IR"/>
        </w:rPr>
        <w:noBreakHyphen/>
        <w:t>size as the family home is not included in the pension asset test.</w:t>
      </w:r>
    </w:p>
    <w:p w14:paraId="4CBEC909" w14:textId="77777777" w:rsidR="00510B61" w:rsidRDefault="00510B61" w:rsidP="00510B61">
      <w:pPr>
        <w:pStyle w:val="BodyText"/>
        <w:rPr>
          <w:lang w:bidi="fa-IR"/>
        </w:rPr>
      </w:pPr>
      <w:r>
        <w:rPr>
          <w:lang w:bidi="fa-IR"/>
        </w:rPr>
        <w:t>People with pre</w:t>
      </w:r>
      <w:r>
        <w:rPr>
          <w:lang w:bidi="fa-IR"/>
        </w:rPr>
        <w:noBreakHyphen/>
        <w:t xml:space="preserve">existing mobility limitation (i.e. mobility limitation acquired prior to the commencement of the proposed regulations) </w:t>
      </w:r>
      <w:r w:rsidR="00162F9B">
        <w:rPr>
          <w:lang w:bidi="fa-IR"/>
        </w:rPr>
        <w:t>may be</w:t>
      </w:r>
      <w:r>
        <w:rPr>
          <w:lang w:bidi="fa-IR"/>
        </w:rPr>
        <w:t xml:space="preserve"> even less likely to be affected by the increased availability of accessible housing.</w:t>
      </w:r>
      <w:r w:rsidR="00364352">
        <w:rPr>
          <w:lang w:bidi="fa-IR"/>
        </w:rPr>
        <w:t xml:space="preserve"> </w:t>
      </w:r>
      <w:r>
        <w:rPr>
          <w:lang w:bidi="fa-IR"/>
        </w:rPr>
        <w:t xml:space="preserve">These people have already made a housing choice at the point </w:t>
      </w:r>
      <w:r w:rsidR="005C56EB">
        <w:rPr>
          <w:lang w:bidi="fa-IR"/>
        </w:rPr>
        <w:t>when</w:t>
      </w:r>
      <w:r>
        <w:rPr>
          <w:lang w:bidi="fa-IR"/>
        </w:rPr>
        <w:t xml:space="preserve"> they acquired the disability (although where the disability gets worse over time, these choices may be constantly re</w:t>
      </w:r>
      <w:r>
        <w:rPr>
          <w:lang w:bidi="fa-IR"/>
        </w:rPr>
        <w:noBreakHyphen/>
        <w:t>assessed). Furthermore, they may have already made choices to accommodate their disability in their existing home (such as through home modifications).</w:t>
      </w:r>
    </w:p>
    <w:p w14:paraId="4E333077" w14:textId="77777777" w:rsidR="00883739" w:rsidRDefault="00510B61" w:rsidP="00510B61">
      <w:pPr>
        <w:pStyle w:val="KeyPoint"/>
        <w:numPr>
          <w:ilvl w:val="0"/>
          <w:numId w:val="11"/>
        </w:numPr>
      </w:pPr>
      <w:r>
        <w:rPr>
          <w:lang w:bidi="fa-IR"/>
        </w:rPr>
        <w:t>This discussion suggests that including an accessibility standard in the NCC is unlikely to significantly affect owner</w:t>
      </w:r>
      <w:r>
        <w:rPr>
          <w:lang w:bidi="fa-IR"/>
        </w:rPr>
        <w:noBreakHyphen/>
        <w:t>occupiers with pre</w:t>
      </w:r>
      <w:r>
        <w:rPr>
          <w:lang w:bidi="fa-IR"/>
        </w:rPr>
        <w:noBreakHyphen/>
        <w:t>existing mobility</w:t>
      </w:r>
      <w:r>
        <w:rPr>
          <w:lang w:bidi="fa-IR"/>
        </w:rPr>
        <w:noBreakHyphen/>
        <w:t xml:space="preserve">related disability or those still living in inaccessible housing when they acquire a disability in the future </w:t>
      </w:r>
      <w:r>
        <w:t>(</w:t>
      </w:r>
      <w:r w:rsidRPr="008806D5">
        <w:t xml:space="preserve">in the CBA </w:t>
      </w:r>
      <w:r w:rsidR="005C5F2B">
        <w:t>CIE</w:t>
      </w:r>
      <w:r w:rsidRPr="008806D5">
        <w:t xml:space="preserve"> assume that the regulation has no benefits</w:t>
      </w:r>
      <w:r>
        <w:t xml:space="preserve"> for these people), a</w:t>
      </w:r>
      <w:r w:rsidRPr="008806D5">
        <w:t>lthough a small number may benefit from increased choice of accessible dwellings over time.</w:t>
      </w:r>
    </w:p>
    <w:p w14:paraId="1CD7290A" w14:textId="77777777" w:rsidR="00883739" w:rsidRDefault="00883739">
      <w:pPr>
        <w:spacing w:before="140"/>
        <w:rPr>
          <w:rFonts w:ascii="Franklin Gothic Demi" w:eastAsia="Times New Roman" w:hAnsi="Franklin Gothic Demi"/>
          <w:color w:val="6F6652" w:themeColor="text2"/>
          <w:szCs w:val="20"/>
          <w:lang w:eastAsia="en-US"/>
        </w:rPr>
      </w:pPr>
      <w:r>
        <w:br w:type="page"/>
      </w:r>
    </w:p>
    <w:p w14:paraId="054E1604" w14:textId="77777777" w:rsidR="00510B61" w:rsidRDefault="00510B61" w:rsidP="00A62D1C">
      <w:pPr>
        <w:pStyle w:val="Heading3"/>
        <w:rPr>
          <w:lang w:bidi="fa-IR"/>
        </w:rPr>
      </w:pPr>
      <w:r>
        <w:rPr>
          <w:lang w:bidi="fa-IR"/>
        </w:rPr>
        <w:lastRenderedPageBreak/>
        <w:t>Renters</w:t>
      </w:r>
    </w:p>
    <w:p w14:paraId="1FAF3F78" w14:textId="77777777" w:rsidR="00510B61" w:rsidRDefault="00510B61" w:rsidP="00510B61">
      <w:pPr>
        <w:pStyle w:val="BodyText"/>
        <w:rPr>
          <w:lang w:bidi="fa-IR"/>
        </w:rPr>
      </w:pPr>
      <w:r>
        <w:rPr>
          <w:lang w:bidi="fa-IR"/>
        </w:rPr>
        <w:t>As for owner</w:t>
      </w:r>
      <w:r>
        <w:rPr>
          <w:lang w:bidi="fa-IR"/>
        </w:rPr>
        <w:noBreakHyphen/>
        <w:t xml:space="preserve">occupiers, the proportion of renters that are already living in accessible housing at the time they acquire a disability will increase as the proportion of accessible housing in the rental stock increases over time. </w:t>
      </w:r>
      <w:r w:rsidR="00455BAD">
        <w:rPr>
          <w:lang w:bidi="fa-IR"/>
        </w:rPr>
        <w:t>R</w:t>
      </w:r>
      <w:r>
        <w:rPr>
          <w:lang w:bidi="fa-IR"/>
        </w:rPr>
        <w:t xml:space="preserve">enters </w:t>
      </w:r>
      <w:r w:rsidR="009959C5">
        <w:rPr>
          <w:lang w:bidi="fa-IR"/>
        </w:rPr>
        <w:t>who</w:t>
      </w:r>
      <w:r>
        <w:rPr>
          <w:lang w:bidi="fa-IR"/>
        </w:rPr>
        <w:t xml:space="preserve"> acquire a disability may be more likely to move as more accessible rental properties become available for </w:t>
      </w:r>
      <w:r w:rsidR="00932B94">
        <w:rPr>
          <w:lang w:bidi="fa-IR"/>
        </w:rPr>
        <w:t>the following</w:t>
      </w:r>
      <w:r>
        <w:rPr>
          <w:lang w:bidi="fa-IR"/>
        </w:rPr>
        <w:t xml:space="preserve"> reasons.</w:t>
      </w:r>
    </w:p>
    <w:p w14:paraId="212291EC" w14:textId="77777777" w:rsidR="00510B61" w:rsidRDefault="00510B61" w:rsidP="00510B61">
      <w:pPr>
        <w:pStyle w:val="ListBullet"/>
        <w:numPr>
          <w:ilvl w:val="0"/>
          <w:numId w:val="16"/>
        </w:numPr>
        <w:rPr>
          <w:lang w:bidi="fa-IR"/>
        </w:rPr>
      </w:pPr>
      <w:r>
        <w:rPr>
          <w:lang w:bidi="fa-IR"/>
        </w:rPr>
        <w:t>Renters generally move more frequently than owner</w:t>
      </w:r>
      <w:r>
        <w:rPr>
          <w:lang w:bidi="fa-IR"/>
        </w:rPr>
        <w:noBreakHyphen/>
        <w:t>occupiers</w:t>
      </w:r>
      <w:r w:rsidR="00FD3670">
        <w:rPr>
          <w:rStyle w:val="FootnoteReference"/>
          <w:lang w:bidi="fa-IR"/>
        </w:rPr>
        <w:footnoteReference w:id="227"/>
      </w:r>
      <w:r>
        <w:rPr>
          <w:lang w:bidi="fa-IR"/>
        </w:rPr>
        <w:t xml:space="preserve"> (although the proportion of renters with a mobility</w:t>
      </w:r>
      <w:r>
        <w:rPr>
          <w:lang w:bidi="fa-IR"/>
        </w:rPr>
        <w:noBreakHyphen/>
        <w:t>related disability who have moved because of their disability is only slightly higher than owner</w:t>
      </w:r>
      <w:r>
        <w:rPr>
          <w:lang w:bidi="fa-IR"/>
        </w:rPr>
        <w:noBreakHyphen/>
        <w:t>occupiers at 15 per cent).</w:t>
      </w:r>
    </w:p>
    <w:p w14:paraId="4644CE78" w14:textId="77777777" w:rsidR="00510B61" w:rsidRDefault="00510B61" w:rsidP="00510B61">
      <w:pPr>
        <w:pStyle w:val="ListBullet"/>
        <w:numPr>
          <w:ilvl w:val="0"/>
          <w:numId w:val="16"/>
        </w:numPr>
        <w:rPr>
          <w:lang w:bidi="fa-IR"/>
        </w:rPr>
      </w:pPr>
      <w:r>
        <w:rPr>
          <w:lang w:bidi="fa-IR"/>
        </w:rPr>
        <w:t>The financial disincentives for renters to mov</w:t>
      </w:r>
      <w:r w:rsidR="009959C5">
        <w:rPr>
          <w:lang w:bidi="fa-IR"/>
        </w:rPr>
        <w:t>e</w:t>
      </w:r>
      <w:r>
        <w:rPr>
          <w:lang w:bidi="fa-IR"/>
        </w:rPr>
        <w:t xml:space="preserve"> </w:t>
      </w:r>
      <w:r w:rsidR="009959C5">
        <w:rPr>
          <w:lang w:bidi="fa-IR"/>
        </w:rPr>
        <w:t xml:space="preserve">are less than owner-occupiers, </w:t>
      </w:r>
      <w:r w:rsidR="00A93D56">
        <w:rPr>
          <w:lang w:bidi="fa-IR"/>
        </w:rPr>
        <w:t xml:space="preserve">as renters do not </w:t>
      </w:r>
      <w:r w:rsidR="009959C5">
        <w:rPr>
          <w:lang w:bidi="fa-IR"/>
        </w:rPr>
        <w:t>incur</w:t>
      </w:r>
      <w:r w:rsidR="00A93D56">
        <w:rPr>
          <w:lang w:bidi="fa-IR"/>
        </w:rPr>
        <w:t xml:space="preserve"> stamp duties and selling agent commissions</w:t>
      </w:r>
      <w:r>
        <w:rPr>
          <w:lang w:bidi="fa-IR"/>
        </w:rPr>
        <w:t>.</w:t>
      </w:r>
    </w:p>
    <w:p w14:paraId="58B1B339" w14:textId="77777777" w:rsidR="00510B61" w:rsidRDefault="00510B61" w:rsidP="00510B61">
      <w:pPr>
        <w:pStyle w:val="ListBullet"/>
        <w:numPr>
          <w:ilvl w:val="0"/>
          <w:numId w:val="16"/>
        </w:numPr>
        <w:rPr>
          <w:lang w:bidi="fa-IR"/>
        </w:rPr>
      </w:pPr>
      <w:r>
        <w:rPr>
          <w:lang w:bidi="fa-IR"/>
        </w:rPr>
        <w:t xml:space="preserve">Renters are less </w:t>
      </w:r>
      <w:r w:rsidR="009959C5">
        <w:rPr>
          <w:lang w:bidi="fa-IR"/>
        </w:rPr>
        <w:t>likely</w:t>
      </w:r>
      <w:r>
        <w:rPr>
          <w:lang w:bidi="fa-IR"/>
        </w:rPr>
        <w:t xml:space="preserve"> to have </w:t>
      </w:r>
      <w:r w:rsidR="009959C5">
        <w:rPr>
          <w:lang w:bidi="fa-IR"/>
        </w:rPr>
        <w:t xml:space="preserve">already made home modifications </w:t>
      </w:r>
      <w:r>
        <w:rPr>
          <w:lang w:bidi="fa-IR"/>
        </w:rPr>
        <w:t>to meet their accessibility needs</w:t>
      </w:r>
      <w:r w:rsidR="009959C5">
        <w:rPr>
          <w:lang w:bidi="fa-IR"/>
        </w:rPr>
        <w:t xml:space="preserve"> as</w:t>
      </w:r>
      <w:r>
        <w:rPr>
          <w:lang w:bidi="fa-IR"/>
        </w:rPr>
        <w:t xml:space="preserve"> </w:t>
      </w:r>
      <w:r w:rsidR="009959C5">
        <w:rPr>
          <w:lang w:bidi="fa-IR"/>
        </w:rPr>
        <w:t>l</w:t>
      </w:r>
      <w:r w:rsidR="0058403E">
        <w:rPr>
          <w:lang w:bidi="fa-IR"/>
        </w:rPr>
        <w:t xml:space="preserve">andlords are reluctant to allow for major changes to their property and tenants are required to </w:t>
      </w:r>
      <w:r w:rsidR="00EE5B4B">
        <w:rPr>
          <w:lang w:bidi="fa-IR"/>
        </w:rPr>
        <w:t xml:space="preserve">make the property to its original condition when the lease is ended. </w:t>
      </w:r>
    </w:p>
    <w:p w14:paraId="3435858C" w14:textId="77777777" w:rsidR="00510B61" w:rsidRDefault="00510B61" w:rsidP="00510B61">
      <w:pPr>
        <w:pStyle w:val="BodyText"/>
        <w:rPr>
          <w:lang w:bidi="fa-IR"/>
        </w:rPr>
      </w:pPr>
      <w:r>
        <w:rPr>
          <w:lang w:bidi="fa-IR"/>
        </w:rPr>
        <w:t>The estimates of the share of renters with accessibility needs that are likely to live in an accessible rental propert</w:t>
      </w:r>
      <w:r w:rsidR="005C5F2B">
        <w:rPr>
          <w:lang w:bidi="fa-IR"/>
        </w:rPr>
        <w:t>y</w:t>
      </w:r>
      <w:r>
        <w:rPr>
          <w:lang w:bidi="fa-IR"/>
        </w:rPr>
        <w:t xml:space="preserve"> under the proposed regulations are based on the following assumptions.</w:t>
      </w:r>
    </w:p>
    <w:p w14:paraId="04511EA9" w14:textId="77777777" w:rsidR="00510B61" w:rsidRDefault="00510B61" w:rsidP="00510B61">
      <w:pPr>
        <w:pStyle w:val="ListBullet"/>
        <w:numPr>
          <w:ilvl w:val="0"/>
          <w:numId w:val="16"/>
        </w:numPr>
        <w:rPr>
          <w:lang w:bidi="fa-IR"/>
        </w:rPr>
      </w:pPr>
      <w:r>
        <w:rPr>
          <w:lang w:bidi="fa-IR"/>
        </w:rPr>
        <w:t>The probability of a tenant with accessibility needs liv</w:t>
      </w:r>
      <w:r w:rsidR="005C5F2B">
        <w:rPr>
          <w:lang w:bidi="fa-IR"/>
        </w:rPr>
        <w:t>ing</w:t>
      </w:r>
      <w:r>
        <w:rPr>
          <w:lang w:bidi="fa-IR"/>
        </w:rPr>
        <w:t xml:space="preserve"> in an accessible rental property is likely to be related to the share of accessible properties in the rental stock. Where the probability of a tenant with accessibility needs lives in an accessible dwelling is equal to the share of accessible dwellings in the rental stock</w:t>
      </w:r>
      <w:r w:rsidR="00455BAD">
        <w:rPr>
          <w:lang w:bidi="fa-IR"/>
        </w:rPr>
        <w:t xml:space="preserve"> (e.g. if accessible housing makes up 10 per cent of the dwelling stock, the probability of living in an accessible house is 10 per cent)</w:t>
      </w:r>
      <w:r>
        <w:rPr>
          <w:lang w:bidi="fa-IR"/>
        </w:rPr>
        <w:t>, this implies ‘random allocation’.</w:t>
      </w:r>
    </w:p>
    <w:p w14:paraId="3711E1DB" w14:textId="77777777" w:rsidR="00DC4314" w:rsidRDefault="00DC4314" w:rsidP="001A7346">
      <w:pPr>
        <w:pStyle w:val="ListBullet"/>
        <w:numPr>
          <w:ilvl w:val="0"/>
          <w:numId w:val="16"/>
        </w:numPr>
        <w:rPr>
          <w:lang w:bidi="fa-IR"/>
        </w:rPr>
      </w:pPr>
      <w:r>
        <w:rPr>
          <w:lang w:bidi="fa-IR"/>
        </w:rPr>
        <w:t>I</w:t>
      </w:r>
      <w:r w:rsidR="009959C5">
        <w:rPr>
          <w:lang w:bidi="fa-IR"/>
        </w:rPr>
        <w:t xml:space="preserve">t </w:t>
      </w:r>
      <w:r>
        <w:rPr>
          <w:lang w:bidi="fa-IR"/>
        </w:rPr>
        <w:t xml:space="preserve">would </w:t>
      </w:r>
      <w:r w:rsidR="009959C5">
        <w:rPr>
          <w:lang w:bidi="fa-IR"/>
        </w:rPr>
        <w:t xml:space="preserve">be reasonable to assume </w:t>
      </w:r>
      <w:r>
        <w:rPr>
          <w:lang w:bidi="fa-IR"/>
        </w:rPr>
        <w:t>that tenants with accessibility needs would value accessibility features more highly than those without accessibility needs and would therefore be more likely to be attracted to rental properties with these features.</w:t>
      </w:r>
      <w:r w:rsidR="009959C5">
        <w:rPr>
          <w:lang w:bidi="fa-IR"/>
        </w:rPr>
        <w:t xml:space="preserve"> </w:t>
      </w:r>
      <w:r>
        <w:rPr>
          <w:lang w:bidi="fa-IR"/>
        </w:rPr>
        <w:t xml:space="preserve">However, the evidence from </w:t>
      </w:r>
      <w:r w:rsidR="00A770BC">
        <w:rPr>
          <w:lang w:bidi="fa-IR"/>
        </w:rPr>
        <w:t xml:space="preserve">the </w:t>
      </w:r>
      <w:r w:rsidR="007C67EA">
        <w:rPr>
          <w:lang w:bidi="fa-IR"/>
        </w:rPr>
        <w:t xml:space="preserve">stated preference </w:t>
      </w:r>
      <w:r>
        <w:rPr>
          <w:lang w:bidi="fa-IR"/>
        </w:rPr>
        <w:t>survey of randomly</w:t>
      </w:r>
      <w:r>
        <w:rPr>
          <w:lang w:bidi="fa-IR"/>
        </w:rPr>
        <w:noBreakHyphen/>
        <w:t>selected households is mixed:</w:t>
      </w:r>
    </w:p>
    <w:p w14:paraId="44126BB2" w14:textId="77777777" w:rsidR="00DC4314" w:rsidRDefault="00DC4314" w:rsidP="00DC4314">
      <w:pPr>
        <w:pStyle w:val="ListBullet2"/>
        <w:numPr>
          <w:ilvl w:val="1"/>
          <w:numId w:val="16"/>
        </w:numPr>
        <w:ind w:left="568" w:hanging="284"/>
        <w:rPr>
          <w:lang w:bidi="fa-IR"/>
        </w:rPr>
      </w:pPr>
      <w:r>
        <w:rPr>
          <w:lang w:bidi="fa-IR"/>
        </w:rPr>
        <w:t xml:space="preserve">There is some evidence that </w:t>
      </w:r>
      <w:r w:rsidR="00A770BC">
        <w:rPr>
          <w:lang w:bidi="fa-IR"/>
        </w:rPr>
        <w:t>house</w:t>
      </w:r>
      <w:r w:rsidR="000843BC">
        <w:rPr>
          <w:lang w:bidi="fa-IR"/>
        </w:rPr>
        <w:t>holds</w:t>
      </w:r>
      <w:r>
        <w:rPr>
          <w:lang w:bidi="fa-IR"/>
        </w:rPr>
        <w:t xml:space="preserve"> containing a member with mobility limitation are more likely to have </w:t>
      </w:r>
      <w:r w:rsidR="000843BC">
        <w:rPr>
          <w:lang w:bidi="fa-IR"/>
        </w:rPr>
        <w:t xml:space="preserve">a dwelling with </w:t>
      </w:r>
      <w:r>
        <w:rPr>
          <w:lang w:bidi="fa-IR"/>
        </w:rPr>
        <w:t>some accessibility features.</w:t>
      </w:r>
    </w:p>
    <w:p w14:paraId="11BA5D0A" w14:textId="77777777" w:rsidR="00DC4314" w:rsidRDefault="00DC4314" w:rsidP="00DC4314">
      <w:pPr>
        <w:pStyle w:val="ListBullet2"/>
        <w:numPr>
          <w:ilvl w:val="1"/>
          <w:numId w:val="16"/>
        </w:numPr>
        <w:ind w:left="568" w:hanging="284"/>
        <w:rPr>
          <w:lang w:bidi="fa-IR"/>
        </w:rPr>
      </w:pPr>
      <w:r w:rsidRPr="006C3FC1">
        <w:rPr>
          <w:lang w:bidi="fa-IR"/>
        </w:rPr>
        <w:t>On the other hand, there were several accessibility features that were just as likely to be present in households that did not include a member with mobility limitation as those that did.</w:t>
      </w:r>
    </w:p>
    <w:p w14:paraId="35900626" w14:textId="7FF0B2EA" w:rsidR="00DC4314" w:rsidRPr="006C3FC1" w:rsidRDefault="00DC4314" w:rsidP="00DC4314">
      <w:pPr>
        <w:pStyle w:val="ListBullet"/>
        <w:numPr>
          <w:ilvl w:val="0"/>
          <w:numId w:val="16"/>
        </w:numPr>
        <w:rPr>
          <w:lang w:bidi="fa-IR"/>
        </w:rPr>
      </w:pPr>
      <w:r>
        <w:rPr>
          <w:lang w:bidi="fa-IR"/>
        </w:rPr>
        <w:lastRenderedPageBreak/>
        <w:t xml:space="preserve">Based on </w:t>
      </w:r>
      <w:r w:rsidR="009959C5">
        <w:rPr>
          <w:lang w:bidi="fa-IR"/>
        </w:rPr>
        <w:t>the</w:t>
      </w:r>
      <w:r>
        <w:rPr>
          <w:lang w:bidi="fa-IR"/>
        </w:rPr>
        <w:t xml:space="preserve"> analysis of the survey results (weighting accessibility features by the estimated willingness to pay for them), </w:t>
      </w:r>
      <w:r w:rsidR="000843BC">
        <w:rPr>
          <w:lang w:bidi="fa-IR"/>
        </w:rPr>
        <w:t xml:space="preserve">it </w:t>
      </w:r>
      <w:r w:rsidR="009959C5">
        <w:rPr>
          <w:lang w:bidi="fa-IR"/>
        </w:rPr>
        <w:t>can be</w:t>
      </w:r>
      <w:r>
        <w:rPr>
          <w:lang w:bidi="fa-IR"/>
        </w:rPr>
        <w:t xml:space="preserve"> </w:t>
      </w:r>
      <w:r w:rsidR="009959C5">
        <w:rPr>
          <w:lang w:bidi="fa-IR"/>
        </w:rPr>
        <w:t>determined</w:t>
      </w:r>
      <w:r>
        <w:rPr>
          <w:lang w:bidi="fa-IR"/>
        </w:rPr>
        <w:t xml:space="preserve"> that for renters, households that include a member with mobility limitation are around 12.6 per cent more likely to have accessibility features than rental households that do not contain a member with mobility limitation</w:t>
      </w:r>
      <w:r w:rsidR="00FC540B">
        <w:rPr>
          <w:lang w:bidi="fa-IR"/>
        </w:rPr>
        <w:t xml:space="preserve"> (see discussions in appendix </w:t>
      </w:r>
      <w:r w:rsidR="00FC540B">
        <w:rPr>
          <w:lang w:bidi="fa-IR"/>
        </w:rPr>
        <w:fldChar w:fldCharType="begin"/>
      </w:r>
      <w:r w:rsidR="00FC540B">
        <w:rPr>
          <w:lang w:bidi="fa-IR"/>
        </w:rPr>
        <w:instrText xml:space="preserve"> REF _Ref56677480 \n \h </w:instrText>
      </w:r>
      <w:r w:rsidR="00FC540B">
        <w:rPr>
          <w:lang w:bidi="fa-IR"/>
        </w:rPr>
      </w:r>
      <w:r w:rsidR="00FC540B">
        <w:rPr>
          <w:lang w:bidi="fa-IR"/>
        </w:rPr>
        <w:fldChar w:fldCharType="separate"/>
      </w:r>
      <w:r w:rsidR="000F445C">
        <w:rPr>
          <w:lang w:bidi="fa-IR"/>
        </w:rPr>
        <w:t>K</w:t>
      </w:r>
      <w:r w:rsidR="00FC540B">
        <w:rPr>
          <w:lang w:bidi="fa-IR"/>
        </w:rPr>
        <w:fldChar w:fldCharType="end"/>
      </w:r>
      <w:r w:rsidR="00FC540B">
        <w:rPr>
          <w:lang w:bidi="fa-IR"/>
        </w:rPr>
        <w:t xml:space="preserve"> for details)</w:t>
      </w:r>
      <w:r>
        <w:rPr>
          <w:lang w:bidi="fa-IR"/>
        </w:rPr>
        <w:t>.</w:t>
      </w:r>
    </w:p>
    <w:p w14:paraId="7148BE83" w14:textId="77777777" w:rsidR="00DC4314" w:rsidRDefault="00DC4314" w:rsidP="00F11742">
      <w:pPr>
        <w:pStyle w:val="KeyPoint"/>
        <w:numPr>
          <w:ilvl w:val="0"/>
          <w:numId w:val="11"/>
        </w:numPr>
        <w:rPr>
          <w:lang w:bidi="fa-IR"/>
        </w:rPr>
      </w:pPr>
      <w:r>
        <w:rPr>
          <w:lang w:bidi="fa-IR"/>
        </w:rPr>
        <w:t xml:space="preserve">Based on the above discussion, </w:t>
      </w:r>
      <w:r w:rsidR="005171E7">
        <w:rPr>
          <w:lang w:bidi="fa-IR"/>
        </w:rPr>
        <w:t>it is</w:t>
      </w:r>
      <w:r>
        <w:rPr>
          <w:lang w:bidi="fa-IR"/>
        </w:rPr>
        <w:t xml:space="preserve"> assume</w:t>
      </w:r>
      <w:r w:rsidR="005171E7">
        <w:rPr>
          <w:lang w:bidi="fa-IR"/>
        </w:rPr>
        <w:t>d</w:t>
      </w:r>
      <w:r>
        <w:rPr>
          <w:lang w:bidi="fa-IR"/>
        </w:rPr>
        <w:t xml:space="preserve"> that </w:t>
      </w:r>
      <w:r w:rsidR="005171E7">
        <w:rPr>
          <w:lang w:bidi="fa-IR"/>
        </w:rPr>
        <w:t xml:space="preserve">the probability that </w:t>
      </w:r>
      <w:r>
        <w:rPr>
          <w:lang w:bidi="fa-IR"/>
        </w:rPr>
        <w:t xml:space="preserve">households with accessibility needs </w:t>
      </w:r>
      <w:r w:rsidR="005171E7">
        <w:rPr>
          <w:lang w:bidi="fa-IR"/>
        </w:rPr>
        <w:t>live in an accessible rental property is</w:t>
      </w:r>
      <w:r>
        <w:rPr>
          <w:lang w:bidi="fa-IR"/>
        </w:rPr>
        <w:t xml:space="preserve"> 12.6 per cent </w:t>
      </w:r>
      <w:r w:rsidR="005171E7">
        <w:rPr>
          <w:lang w:bidi="fa-IR"/>
        </w:rPr>
        <w:t xml:space="preserve">higher than the share of accessible properties in the </w:t>
      </w:r>
      <w:r>
        <w:rPr>
          <w:lang w:bidi="fa-IR"/>
        </w:rPr>
        <w:t xml:space="preserve">rental </w:t>
      </w:r>
      <w:r w:rsidR="005171E7">
        <w:rPr>
          <w:lang w:bidi="fa-IR"/>
        </w:rPr>
        <w:t>stock</w:t>
      </w:r>
      <w:r>
        <w:rPr>
          <w:lang w:bidi="fa-IR"/>
        </w:rPr>
        <w:t>.</w:t>
      </w:r>
    </w:p>
    <w:p w14:paraId="0EC19836" w14:textId="77777777" w:rsidR="005C6D4F" w:rsidRDefault="005C6D4F" w:rsidP="005C6D4F">
      <w:pPr>
        <w:pStyle w:val="BodyText"/>
      </w:pPr>
      <w:r>
        <w:t>For example, if 50 per cent of rental properties were accessible, this approach implies that 56.3 per cent (i.e. 50 x 1.126) of households with accessibility needs would live in accessible rental properties.</w:t>
      </w:r>
    </w:p>
    <w:p w14:paraId="33F90365" w14:textId="77777777" w:rsidR="00510B61" w:rsidRPr="004E7F73" w:rsidRDefault="00510B61" w:rsidP="00F11AF4">
      <w:pPr>
        <w:pStyle w:val="Heading2"/>
        <w:numPr>
          <w:ilvl w:val="1"/>
          <w:numId w:val="5"/>
        </w:numPr>
      </w:pPr>
      <w:bookmarkStart w:id="514" w:name="_Toc70505122"/>
      <w:r w:rsidRPr="004E7F73">
        <w:t>Additionality</w:t>
      </w:r>
      <w:bookmarkEnd w:id="514"/>
    </w:p>
    <w:p w14:paraId="730400DF" w14:textId="77777777" w:rsidR="00510B61" w:rsidRDefault="00510B61" w:rsidP="00510B61">
      <w:pPr>
        <w:pStyle w:val="BodyText"/>
      </w:pPr>
      <w:r>
        <w:t>The benefits attributable to the proposed options could also depend on the extent to which dwellings with accessibility features would have been provided under the baseline scenario (i.e. the extent to which the accessibility features in dwellings built under the new code are ‘additional’ and therefore can be attributed to the new code).</w:t>
      </w:r>
    </w:p>
    <w:p w14:paraId="7BA25A47" w14:textId="77777777" w:rsidR="00510B61" w:rsidRDefault="00510B61" w:rsidP="00510B61">
      <w:pPr>
        <w:pStyle w:val="BodyText"/>
        <w:rPr>
          <w:lang w:bidi="fa-IR"/>
        </w:rPr>
      </w:pPr>
      <w:r>
        <w:t xml:space="preserve">Under the proposed changes to the NCC, all (or most) new dwellings would </w:t>
      </w:r>
      <w:r w:rsidR="001A7346">
        <w:t xml:space="preserve">need to </w:t>
      </w:r>
      <w:r>
        <w:t xml:space="preserve">comply with the relevant standard. However, </w:t>
      </w:r>
      <w:r>
        <w:rPr>
          <w:lang w:bidi="fa-IR"/>
        </w:rPr>
        <w:t>some proportion of new housing would have included some or all of the accessibility features set out in the standard, even without the proposed changes to the NCC. Previous estimates and stakeholder feedback suggest that around 5</w:t>
      </w:r>
      <w:r>
        <w:rPr>
          <w:lang w:bidi="fa-IR"/>
        </w:rPr>
        <w:noBreakHyphen/>
        <w:t xml:space="preserve">10 per cent of new stock current meets LHDG </w:t>
      </w:r>
      <w:r w:rsidR="001A7346">
        <w:rPr>
          <w:lang w:bidi="fa-IR"/>
        </w:rPr>
        <w:t>S</w:t>
      </w:r>
      <w:r>
        <w:rPr>
          <w:lang w:bidi="fa-IR"/>
        </w:rPr>
        <w:t>ilver standard.</w:t>
      </w:r>
    </w:p>
    <w:p w14:paraId="1E6E4BF5" w14:textId="77777777" w:rsidR="00510B61" w:rsidRDefault="001A7346" w:rsidP="00510B61">
      <w:pPr>
        <w:pStyle w:val="BodyText"/>
        <w:spacing w:before="100"/>
        <w:rPr>
          <w:lang w:bidi="fa-IR"/>
        </w:rPr>
      </w:pPr>
      <w:r>
        <w:rPr>
          <w:lang w:bidi="fa-IR"/>
        </w:rPr>
        <w:t>S</w:t>
      </w:r>
      <w:r w:rsidR="00510B61">
        <w:rPr>
          <w:lang w:bidi="fa-IR"/>
        </w:rPr>
        <w:t>takeholder</w:t>
      </w:r>
      <w:r>
        <w:rPr>
          <w:lang w:bidi="fa-IR"/>
        </w:rPr>
        <w:t xml:space="preserve"> feedback suggested that</w:t>
      </w:r>
      <w:r w:rsidR="00510B61">
        <w:rPr>
          <w:lang w:bidi="fa-IR"/>
        </w:rPr>
        <w:t xml:space="preserve">, although relatively few new dwellings incorporate </w:t>
      </w:r>
      <w:r w:rsidR="00510B61" w:rsidRPr="00261E18">
        <w:rPr>
          <w:b/>
          <w:bCs/>
          <w:lang w:bidi="fa-IR"/>
        </w:rPr>
        <w:t>all</w:t>
      </w:r>
      <w:r w:rsidR="00510B61">
        <w:rPr>
          <w:lang w:bidi="fa-IR"/>
        </w:rPr>
        <w:t xml:space="preserve"> of the design elements in the standard, a significant proportion incorporate at least </w:t>
      </w:r>
      <w:r w:rsidR="00510B61" w:rsidRPr="00261E18">
        <w:rPr>
          <w:b/>
          <w:bCs/>
          <w:lang w:bidi="fa-IR"/>
        </w:rPr>
        <w:t>some</w:t>
      </w:r>
      <w:r w:rsidR="00510B61">
        <w:rPr>
          <w:lang w:bidi="fa-IR"/>
        </w:rPr>
        <w:t xml:space="preserve"> of these design elements. This is </w:t>
      </w:r>
      <w:r>
        <w:rPr>
          <w:lang w:bidi="fa-IR"/>
        </w:rPr>
        <w:t xml:space="preserve">also </w:t>
      </w:r>
      <w:r w:rsidR="00510B61">
        <w:rPr>
          <w:lang w:bidi="fa-IR"/>
        </w:rPr>
        <w:t>evident in DCWC’s cost weightings where scenarios involving ‘no impact’ had significant weightings across some design elements, indicating that compliance with the standards reflects current practice for these dwellings.</w:t>
      </w:r>
    </w:p>
    <w:p w14:paraId="0864BAB8" w14:textId="77777777" w:rsidR="00510B61" w:rsidRDefault="00510B61" w:rsidP="00510B61">
      <w:pPr>
        <w:pStyle w:val="BodyText"/>
        <w:spacing w:before="100"/>
        <w:rPr>
          <w:lang w:bidi="fa-IR"/>
        </w:rPr>
      </w:pPr>
      <w:r>
        <w:rPr>
          <w:lang w:bidi="fa-IR"/>
        </w:rPr>
        <w:t>Where the proposed</w:t>
      </w:r>
      <w:r w:rsidR="00A770BC">
        <w:rPr>
          <w:lang w:bidi="fa-IR"/>
        </w:rPr>
        <w:t xml:space="preserve"> changes to the NCC</w:t>
      </w:r>
      <w:r>
        <w:rPr>
          <w:lang w:bidi="fa-IR"/>
        </w:rPr>
        <w:t xml:space="preserve"> reflect current practice for particular design elements, there are no additional costs and benefits from the standard. These costs have been excluded from our cost estimates (through a non</w:t>
      </w:r>
      <w:r>
        <w:rPr>
          <w:lang w:bidi="fa-IR"/>
        </w:rPr>
        <w:noBreakHyphen/>
        <w:t xml:space="preserve">zero weighting on a ‘no impact’ scenario). </w:t>
      </w:r>
      <w:r w:rsidR="001A7346">
        <w:rPr>
          <w:lang w:bidi="fa-IR"/>
        </w:rPr>
        <w:t>This is i</w:t>
      </w:r>
      <w:r>
        <w:rPr>
          <w:lang w:bidi="fa-IR"/>
        </w:rPr>
        <w:t>n</w:t>
      </w:r>
      <w:r w:rsidR="001A7346">
        <w:rPr>
          <w:lang w:bidi="fa-IR"/>
        </w:rPr>
        <w:t xml:space="preserve"> keeping with the approach adopted in</w:t>
      </w:r>
      <w:r>
        <w:rPr>
          <w:lang w:bidi="fa-IR"/>
        </w:rPr>
        <w:t xml:space="preserve"> the Consultation RIS.</w:t>
      </w:r>
    </w:p>
    <w:p w14:paraId="1B5BC79D" w14:textId="77777777" w:rsidR="00510B61" w:rsidRDefault="001A7346" w:rsidP="00510B61">
      <w:pPr>
        <w:pStyle w:val="BodyText"/>
        <w:spacing w:before="100"/>
        <w:rPr>
          <w:lang w:bidi="fa-IR"/>
        </w:rPr>
      </w:pPr>
      <w:r>
        <w:rPr>
          <w:lang w:bidi="fa-IR"/>
        </w:rPr>
        <w:t>Stakeholder</w:t>
      </w:r>
      <w:r w:rsidR="00510B61">
        <w:rPr>
          <w:lang w:bidi="fa-IR"/>
        </w:rPr>
        <w:t xml:space="preserve"> submissions </w:t>
      </w:r>
      <w:r>
        <w:rPr>
          <w:lang w:bidi="fa-IR"/>
        </w:rPr>
        <w:t>provided different suggestion on</w:t>
      </w:r>
      <w:r w:rsidR="00510B61">
        <w:rPr>
          <w:lang w:bidi="fa-IR"/>
        </w:rPr>
        <w:t xml:space="preserve"> how these ‘baseline effects’ should be taken into account in estimating the benefits.</w:t>
      </w:r>
    </w:p>
    <w:p w14:paraId="2B05904D" w14:textId="77777777" w:rsidR="00510B61" w:rsidRDefault="00510B61" w:rsidP="00510B61">
      <w:pPr>
        <w:pStyle w:val="ListBullet"/>
        <w:rPr>
          <w:lang w:bidi="fa-IR"/>
        </w:rPr>
      </w:pPr>
      <w:r>
        <w:rPr>
          <w:lang w:bidi="fa-IR"/>
        </w:rPr>
        <w:t xml:space="preserve">The HIA submission argued that as the weights used to derive </w:t>
      </w:r>
      <w:r w:rsidR="00EC4A78">
        <w:rPr>
          <w:lang w:bidi="fa-IR"/>
        </w:rPr>
        <w:t xml:space="preserve">the </w:t>
      </w:r>
      <w:r>
        <w:rPr>
          <w:lang w:bidi="fa-IR"/>
        </w:rPr>
        <w:t>weighted</w:t>
      </w:r>
      <w:r>
        <w:rPr>
          <w:lang w:bidi="fa-IR"/>
        </w:rPr>
        <w:noBreakHyphen/>
        <w:t>average costs imply that many accessibility features are already provided, the benefits would also need to be adjusted accordingly</w:t>
      </w:r>
      <w:r w:rsidR="00AC35F9">
        <w:rPr>
          <w:lang w:bidi="fa-IR"/>
        </w:rPr>
        <w:t>.</w:t>
      </w:r>
      <w:r>
        <w:rPr>
          <w:rStyle w:val="FootnoteReference"/>
          <w:lang w:bidi="fa-IR"/>
        </w:rPr>
        <w:footnoteReference w:id="228"/>
      </w:r>
      <w:r>
        <w:rPr>
          <w:lang w:bidi="fa-IR"/>
        </w:rPr>
        <w:t xml:space="preserve"> </w:t>
      </w:r>
      <w:r w:rsidR="00AC35F9">
        <w:rPr>
          <w:lang w:bidi="fa-IR"/>
        </w:rPr>
        <w:t xml:space="preserve">This argument is consistent with the approach in </w:t>
      </w:r>
      <w:r>
        <w:rPr>
          <w:lang w:bidi="fa-IR"/>
        </w:rPr>
        <w:t>the Consultation RIS.</w:t>
      </w:r>
    </w:p>
    <w:p w14:paraId="0F7DB1A4" w14:textId="77777777" w:rsidR="00510B61" w:rsidRDefault="00510B61" w:rsidP="001A7346">
      <w:pPr>
        <w:pStyle w:val="ListBullet"/>
        <w:rPr>
          <w:lang w:bidi="fa-IR"/>
        </w:rPr>
      </w:pPr>
      <w:r>
        <w:rPr>
          <w:lang w:bidi="fa-IR"/>
        </w:rPr>
        <w:lastRenderedPageBreak/>
        <w:t xml:space="preserve">On the other hand, some submissions </w:t>
      </w:r>
      <w:r w:rsidR="001A7346">
        <w:rPr>
          <w:lang w:bidi="fa-IR"/>
        </w:rPr>
        <w:t>suggested</w:t>
      </w:r>
      <w:r>
        <w:rPr>
          <w:lang w:bidi="fa-IR"/>
        </w:rPr>
        <w:t xml:space="preserve"> that dwellings must have all relevant features to be accessible and that the features must be provided in a coherent way.</w:t>
      </w:r>
      <w:r>
        <w:rPr>
          <w:rStyle w:val="FootnoteReference"/>
          <w:lang w:bidi="fa-IR"/>
        </w:rPr>
        <w:footnoteReference w:id="229"/>
      </w:r>
      <w:r>
        <w:rPr>
          <w:lang w:bidi="fa-IR"/>
        </w:rPr>
        <w:t xml:space="preserve"> To the extent that at least some accessibility features are currently provided in some dwellings, the additional cost of complying with the proposed standard would reflect only the cost of the features not already provided (as reflected in the weighted average approach </w:t>
      </w:r>
      <w:r w:rsidRPr="002D45BC">
        <w:rPr>
          <w:lang w:bidi="fa-IR"/>
        </w:rPr>
        <w:t xml:space="preserve">— see chapter </w:t>
      </w:r>
      <w:r w:rsidR="00B50EC7">
        <w:rPr>
          <w:lang w:bidi="fa-IR"/>
        </w:rPr>
        <w:t>six</w:t>
      </w:r>
      <w:r w:rsidRPr="002D45BC">
        <w:rPr>
          <w:lang w:bidi="fa-IR"/>
        </w:rPr>
        <w:t>)</w:t>
      </w:r>
      <w:r w:rsidR="001A7346">
        <w:rPr>
          <w:lang w:bidi="fa-IR"/>
        </w:rPr>
        <w:t xml:space="preserve"> and that </w:t>
      </w:r>
      <w:r>
        <w:rPr>
          <w:lang w:bidi="fa-IR"/>
        </w:rPr>
        <w:t xml:space="preserve">providing these additional features would </w:t>
      </w:r>
      <w:r w:rsidR="007C67EA">
        <w:rPr>
          <w:lang w:bidi="fa-IR"/>
        </w:rPr>
        <w:t>provide</w:t>
      </w:r>
      <w:r>
        <w:rPr>
          <w:lang w:bidi="fa-IR"/>
        </w:rPr>
        <w:t xml:space="preserve"> </w:t>
      </w:r>
      <w:r w:rsidRPr="001A7346">
        <w:rPr>
          <w:b/>
          <w:bCs/>
          <w:lang w:bidi="fa-IR"/>
        </w:rPr>
        <w:t>all</w:t>
      </w:r>
      <w:r>
        <w:rPr>
          <w:lang w:bidi="fa-IR"/>
        </w:rPr>
        <w:t xml:space="preserve"> of the benefits of accessibility.</w:t>
      </w:r>
    </w:p>
    <w:p w14:paraId="6414A7FC" w14:textId="6B9F0269" w:rsidR="00510B61" w:rsidRDefault="00685811" w:rsidP="00510B61">
      <w:pPr>
        <w:pStyle w:val="BodyText"/>
        <w:spacing w:before="100"/>
        <w:rPr>
          <w:lang w:bidi="fa-IR"/>
        </w:rPr>
      </w:pPr>
      <w:r>
        <w:rPr>
          <w:lang w:bidi="fa-IR"/>
        </w:rPr>
        <w:t>T</w:t>
      </w:r>
      <w:r w:rsidR="00510B61">
        <w:rPr>
          <w:lang w:bidi="fa-IR"/>
        </w:rPr>
        <w:t>here is limited data on what features are needed by specific people and the extent to which individual accessibility features provide benefits even when not combined with all of the other accessibility features under the NCC options.</w:t>
      </w:r>
      <w:r>
        <w:rPr>
          <w:lang w:bidi="fa-IR"/>
        </w:rPr>
        <w:t xml:space="preserve"> However, on the basis of the discussion </w:t>
      </w:r>
      <w:r w:rsidR="0060361B">
        <w:rPr>
          <w:lang w:bidi="fa-IR"/>
        </w:rPr>
        <w:t>in the second section (</w:t>
      </w:r>
      <w:r w:rsidR="0060361B">
        <w:rPr>
          <w:lang w:bidi="fa-IR"/>
        </w:rPr>
        <w:fldChar w:fldCharType="begin"/>
      </w:r>
      <w:r w:rsidR="0060361B">
        <w:rPr>
          <w:lang w:bidi="fa-IR"/>
        </w:rPr>
        <w:instrText xml:space="preserve"> REF _Ref61361073 \h </w:instrText>
      </w:r>
      <w:r w:rsidR="0060361B">
        <w:rPr>
          <w:lang w:bidi="fa-IR"/>
        </w:rPr>
      </w:r>
      <w:r w:rsidR="0060361B">
        <w:rPr>
          <w:lang w:bidi="fa-IR"/>
        </w:rPr>
        <w:fldChar w:fldCharType="separate"/>
      </w:r>
      <w:r w:rsidR="000F445C">
        <w:t>Accessibility of the NCC options</w:t>
      </w:r>
      <w:r w:rsidR="0060361B">
        <w:rPr>
          <w:lang w:bidi="fa-IR"/>
        </w:rPr>
        <w:fldChar w:fldCharType="end"/>
      </w:r>
      <w:r w:rsidR="0060361B">
        <w:rPr>
          <w:lang w:bidi="fa-IR"/>
        </w:rPr>
        <w:t>) in this chapter</w:t>
      </w:r>
      <w:r>
        <w:rPr>
          <w:lang w:bidi="fa-IR"/>
        </w:rPr>
        <w:t>, it may be assumed that there is a distinction between wheelchair users and non-wheelchair users. As noted in the Consultation RIS, all accessibility features are needed for the dwelling to be suitable for wheelchair users. By contrast, for other people with disability (non-wheelchair users), dwellings with some accessibility features could meet (at least part of) their needs, even without some of the features provided under the various NCC options.</w:t>
      </w:r>
    </w:p>
    <w:p w14:paraId="077D4C5C" w14:textId="77777777" w:rsidR="00510B61" w:rsidRDefault="0060361B" w:rsidP="00510B61">
      <w:pPr>
        <w:pStyle w:val="BodyText"/>
        <w:spacing w:before="100"/>
        <w:rPr>
          <w:lang w:bidi="fa-IR"/>
        </w:rPr>
      </w:pPr>
      <w:r>
        <w:rPr>
          <w:lang w:bidi="fa-IR"/>
        </w:rPr>
        <w:t>T</w:t>
      </w:r>
      <w:r w:rsidR="00510B61">
        <w:rPr>
          <w:lang w:bidi="fa-IR"/>
        </w:rPr>
        <w:t xml:space="preserve">he Consultation RIS reduced the benefits attributable to the NCC proposal based on the extent to which the provision of the various features reduced costs. </w:t>
      </w:r>
      <w:r>
        <w:rPr>
          <w:lang w:bidi="fa-IR"/>
        </w:rPr>
        <w:t>Consultation feedback and additional</w:t>
      </w:r>
      <w:r w:rsidR="00510B61">
        <w:rPr>
          <w:lang w:bidi="fa-IR"/>
        </w:rPr>
        <w:t xml:space="preserve"> evidence suggest that the relationship between the cost of</w:t>
      </w:r>
      <w:r w:rsidR="004824CE">
        <w:rPr>
          <w:lang w:bidi="fa-IR"/>
        </w:rPr>
        <w:t xml:space="preserve"> </w:t>
      </w:r>
      <w:r w:rsidR="00510B61">
        <w:rPr>
          <w:lang w:bidi="fa-IR"/>
        </w:rPr>
        <w:t>a particular accessibility feature and the benefits provided is weak.</w:t>
      </w:r>
      <w:r w:rsidR="00510B61">
        <w:rPr>
          <w:rStyle w:val="FootnoteReference"/>
          <w:lang w:bidi="fa-IR"/>
        </w:rPr>
        <w:footnoteReference w:id="230"/>
      </w:r>
    </w:p>
    <w:p w14:paraId="6CE728C8" w14:textId="77777777" w:rsidR="00510B61" w:rsidRDefault="00510B61" w:rsidP="00510B61">
      <w:pPr>
        <w:pStyle w:val="BodyText"/>
        <w:spacing w:before="100"/>
        <w:rPr>
          <w:lang w:bidi="fa-IR"/>
        </w:rPr>
      </w:pPr>
      <w:r>
        <w:rPr>
          <w:lang w:bidi="fa-IR"/>
        </w:rPr>
        <w:t>Where possible, the features provided under the</w:t>
      </w:r>
      <w:r w:rsidR="005C6D4F">
        <w:rPr>
          <w:lang w:bidi="fa-IR"/>
        </w:rPr>
        <w:t xml:space="preserve"> base case</w:t>
      </w:r>
      <w:r>
        <w:rPr>
          <w:lang w:bidi="fa-IR"/>
        </w:rPr>
        <w:t xml:space="preserve"> are weighted by the estimated </w:t>
      </w:r>
      <w:r w:rsidR="007C67EA">
        <w:rPr>
          <w:lang w:bidi="fa-IR"/>
        </w:rPr>
        <w:t>WTP</w:t>
      </w:r>
      <w:r>
        <w:rPr>
          <w:lang w:bidi="fa-IR"/>
        </w:rPr>
        <w:t xml:space="preserve"> for each feature (and cost where a separate </w:t>
      </w:r>
      <w:r w:rsidR="007C67EA">
        <w:rPr>
          <w:lang w:bidi="fa-IR"/>
        </w:rPr>
        <w:t>WTP</w:t>
      </w:r>
      <w:r>
        <w:rPr>
          <w:lang w:bidi="fa-IR"/>
        </w:rPr>
        <w:t xml:space="preserve"> estimate was not available).</w:t>
      </w:r>
    </w:p>
    <w:p w14:paraId="7B1465CE" w14:textId="77777777" w:rsidR="00510B61" w:rsidRDefault="00510B61" w:rsidP="00510B61">
      <w:pPr>
        <w:pStyle w:val="BodyText"/>
        <w:spacing w:before="100"/>
        <w:rPr>
          <w:lang w:bidi="fa-IR"/>
        </w:rPr>
      </w:pPr>
      <w:r>
        <w:rPr>
          <w:lang w:bidi="fa-IR"/>
        </w:rPr>
        <w:t>Based on this approach, the benefits attributable to the NCC proposal is:</w:t>
      </w:r>
    </w:p>
    <w:p w14:paraId="5892986E" w14:textId="77777777" w:rsidR="00510B61" w:rsidRDefault="00510B61" w:rsidP="00510B61">
      <w:pPr>
        <w:pStyle w:val="ListBullet"/>
        <w:rPr>
          <w:lang w:bidi="fa-IR"/>
        </w:rPr>
      </w:pPr>
      <w:r>
        <w:rPr>
          <w:lang w:bidi="fa-IR"/>
        </w:rPr>
        <w:t xml:space="preserve">around </w:t>
      </w:r>
      <w:r w:rsidR="00517655">
        <w:rPr>
          <w:lang w:bidi="fa-IR"/>
        </w:rPr>
        <w:t>6</w:t>
      </w:r>
      <w:r>
        <w:rPr>
          <w:lang w:bidi="fa-IR"/>
        </w:rPr>
        <w:t>6 per cent of the total estimated benefits for Option 1</w:t>
      </w:r>
    </w:p>
    <w:p w14:paraId="0AEE92E6" w14:textId="77777777" w:rsidR="00510B61" w:rsidRDefault="00510B61" w:rsidP="00510B61">
      <w:pPr>
        <w:pStyle w:val="ListBullet"/>
        <w:rPr>
          <w:lang w:bidi="fa-IR"/>
        </w:rPr>
      </w:pPr>
      <w:r>
        <w:rPr>
          <w:lang w:bidi="fa-IR"/>
        </w:rPr>
        <w:t xml:space="preserve">around </w:t>
      </w:r>
      <w:r w:rsidR="00517655">
        <w:rPr>
          <w:lang w:bidi="fa-IR"/>
        </w:rPr>
        <w:t>86</w:t>
      </w:r>
      <w:r>
        <w:rPr>
          <w:lang w:bidi="fa-IR"/>
        </w:rPr>
        <w:t> per cent of the total estimated benefits for Option 2</w:t>
      </w:r>
    </w:p>
    <w:p w14:paraId="7D863A59" w14:textId="77777777" w:rsidR="00510B61" w:rsidRDefault="00510B61" w:rsidP="00510B61">
      <w:pPr>
        <w:pStyle w:val="ListBullet"/>
        <w:rPr>
          <w:lang w:bidi="fa-IR"/>
        </w:rPr>
      </w:pPr>
      <w:r>
        <w:rPr>
          <w:lang w:bidi="fa-IR"/>
        </w:rPr>
        <w:t xml:space="preserve">around </w:t>
      </w:r>
      <w:r w:rsidR="00517655">
        <w:rPr>
          <w:lang w:bidi="fa-IR"/>
        </w:rPr>
        <w:t>86</w:t>
      </w:r>
      <w:r>
        <w:rPr>
          <w:lang w:bidi="fa-IR"/>
        </w:rPr>
        <w:t> per cent of the total estimated benefits for Option 3.</w:t>
      </w:r>
    </w:p>
    <w:p w14:paraId="21795C66" w14:textId="178C0B20" w:rsidR="00517655" w:rsidRDefault="00517655" w:rsidP="00510B61">
      <w:pPr>
        <w:pStyle w:val="BodyText"/>
        <w:spacing w:before="100"/>
        <w:rPr>
          <w:lang w:bidi="fa-IR"/>
        </w:rPr>
      </w:pPr>
      <w:r>
        <w:rPr>
          <w:lang w:bidi="fa-IR"/>
        </w:rPr>
        <w:t>The estimates of the average share of features provided in the baseline are presented in appendix </w:t>
      </w:r>
      <w:r>
        <w:rPr>
          <w:lang w:bidi="fa-IR"/>
        </w:rPr>
        <w:fldChar w:fldCharType="begin"/>
      </w:r>
      <w:r>
        <w:rPr>
          <w:lang w:bidi="fa-IR"/>
        </w:rPr>
        <w:instrText xml:space="preserve"> REF _Ref56677480 \n \h </w:instrText>
      </w:r>
      <w:r>
        <w:rPr>
          <w:lang w:bidi="fa-IR"/>
        </w:rPr>
      </w:r>
      <w:r>
        <w:rPr>
          <w:lang w:bidi="fa-IR"/>
        </w:rPr>
        <w:fldChar w:fldCharType="separate"/>
      </w:r>
      <w:r w:rsidR="000F445C">
        <w:rPr>
          <w:lang w:bidi="fa-IR"/>
        </w:rPr>
        <w:t>K</w:t>
      </w:r>
      <w:r>
        <w:rPr>
          <w:lang w:bidi="fa-IR"/>
        </w:rPr>
        <w:fldChar w:fldCharType="end"/>
      </w:r>
      <w:r>
        <w:rPr>
          <w:lang w:bidi="fa-IR"/>
        </w:rPr>
        <w:t xml:space="preserve">. </w:t>
      </w:r>
    </w:p>
    <w:p w14:paraId="47DA7678" w14:textId="77777777" w:rsidR="00510B61" w:rsidRDefault="00232861" w:rsidP="00510B61">
      <w:pPr>
        <w:pStyle w:val="BodyText"/>
        <w:spacing w:before="100"/>
        <w:rPr>
          <w:lang w:bidi="fa-IR"/>
        </w:rPr>
      </w:pPr>
      <w:r>
        <w:rPr>
          <w:lang w:bidi="fa-IR"/>
        </w:rPr>
        <w:t>T</w:t>
      </w:r>
      <w:r w:rsidR="00510B61">
        <w:rPr>
          <w:lang w:bidi="fa-IR"/>
        </w:rPr>
        <w:t xml:space="preserve">he benefits where no adjustment is made to the benefits based on features provided in the base case </w:t>
      </w:r>
      <w:r>
        <w:rPr>
          <w:lang w:bidi="fa-IR"/>
        </w:rPr>
        <w:t xml:space="preserve">are estimated </w:t>
      </w:r>
      <w:r w:rsidR="00510B61">
        <w:rPr>
          <w:lang w:bidi="fa-IR"/>
        </w:rPr>
        <w:t>as an alternative scenario in sensitivity testing.</w:t>
      </w:r>
    </w:p>
    <w:p w14:paraId="22FFA307" w14:textId="77777777" w:rsidR="00466D4C" w:rsidRDefault="00466D4C" w:rsidP="001F3043">
      <w:pPr>
        <w:pStyle w:val="Heading2"/>
        <w:rPr>
          <w:lang w:bidi="fa-IR"/>
        </w:rPr>
      </w:pPr>
      <w:bookmarkStart w:id="515" w:name="_Toc70505123"/>
      <w:r>
        <w:rPr>
          <w:lang w:bidi="fa-IR"/>
        </w:rPr>
        <w:t xml:space="preserve">The benefits of a subsidy on </w:t>
      </w:r>
      <w:r w:rsidR="001F3043">
        <w:rPr>
          <w:lang w:bidi="fa-IR"/>
        </w:rPr>
        <w:t>accessible rental properties</w:t>
      </w:r>
      <w:bookmarkEnd w:id="515"/>
    </w:p>
    <w:p w14:paraId="441DF752" w14:textId="77777777" w:rsidR="001F3043" w:rsidRDefault="001F3043" w:rsidP="00510B61">
      <w:pPr>
        <w:pStyle w:val="BodyText"/>
        <w:spacing w:before="100"/>
        <w:rPr>
          <w:lang w:bidi="fa-IR"/>
        </w:rPr>
      </w:pPr>
      <w:r>
        <w:rPr>
          <w:lang w:bidi="fa-IR"/>
        </w:rPr>
        <w:t xml:space="preserve">This option would reduce the number of people living in rental properties that do not meet their needs. </w:t>
      </w:r>
      <w:r w:rsidR="00432FA0">
        <w:rPr>
          <w:lang w:bidi="fa-IR"/>
        </w:rPr>
        <w:t xml:space="preserve">Where this option provides an accessible rental property to a household </w:t>
      </w:r>
      <w:r w:rsidR="00432FA0">
        <w:rPr>
          <w:lang w:bidi="fa-IR"/>
        </w:rPr>
        <w:lastRenderedPageBreak/>
        <w:t>with accessibility needs that would not otherwise be available</w:t>
      </w:r>
      <w:r>
        <w:rPr>
          <w:lang w:bidi="fa-IR"/>
        </w:rPr>
        <w:t xml:space="preserve">, </w:t>
      </w:r>
      <w:r w:rsidR="00651C94">
        <w:rPr>
          <w:lang w:bidi="fa-IR"/>
        </w:rPr>
        <w:t xml:space="preserve">this option </w:t>
      </w:r>
      <w:r>
        <w:rPr>
          <w:lang w:bidi="fa-IR"/>
        </w:rPr>
        <w:t xml:space="preserve">could </w:t>
      </w:r>
      <w:r w:rsidR="00432FA0">
        <w:rPr>
          <w:lang w:bidi="fa-IR"/>
        </w:rPr>
        <w:t>potentially</w:t>
      </w:r>
      <w:r>
        <w:rPr>
          <w:lang w:bidi="fa-IR"/>
        </w:rPr>
        <w:t>:</w:t>
      </w:r>
    </w:p>
    <w:p w14:paraId="4CA5CBF8" w14:textId="77777777" w:rsidR="001F3043" w:rsidRDefault="00432FA0" w:rsidP="00432FA0">
      <w:pPr>
        <w:pStyle w:val="ListBullet"/>
        <w:rPr>
          <w:lang w:bidi="fa-IR"/>
        </w:rPr>
      </w:pPr>
      <w:r>
        <w:rPr>
          <w:lang w:bidi="fa-IR"/>
        </w:rPr>
        <w:t>r</w:t>
      </w:r>
      <w:r w:rsidR="001F3043">
        <w:rPr>
          <w:lang w:bidi="fa-IR"/>
        </w:rPr>
        <w:t>educe the number of falls</w:t>
      </w:r>
    </w:p>
    <w:p w14:paraId="0F8ED85E" w14:textId="77777777" w:rsidR="001F3043" w:rsidRDefault="00432FA0" w:rsidP="00432FA0">
      <w:pPr>
        <w:pStyle w:val="ListBullet"/>
        <w:rPr>
          <w:lang w:bidi="fa-IR"/>
        </w:rPr>
      </w:pPr>
      <w:r>
        <w:rPr>
          <w:lang w:bidi="fa-IR"/>
        </w:rPr>
        <w:t>r</w:t>
      </w:r>
      <w:r w:rsidR="001F3043">
        <w:rPr>
          <w:lang w:bidi="fa-IR"/>
        </w:rPr>
        <w:t>educe the need for formal and informal care</w:t>
      </w:r>
    </w:p>
    <w:p w14:paraId="760F3782" w14:textId="77777777" w:rsidR="001F3043" w:rsidRDefault="00432FA0" w:rsidP="00432FA0">
      <w:pPr>
        <w:pStyle w:val="ListBullet"/>
        <w:rPr>
          <w:lang w:bidi="fa-IR"/>
        </w:rPr>
      </w:pPr>
      <w:r>
        <w:rPr>
          <w:lang w:bidi="fa-IR"/>
        </w:rPr>
        <w:t>i</w:t>
      </w:r>
      <w:r w:rsidR="001F3043">
        <w:rPr>
          <w:lang w:bidi="fa-IR"/>
        </w:rPr>
        <w:t>mprove quality of life</w:t>
      </w:r>
    </w:p>
    <w:p w14:paraId="40D15A42" w14:textId="77777777" w:rsidR="001F3043" w:rsidRDefault="00432FA0" w:rsidP="00432FA0">
      <w:pPr>
        <w:pStyle w:val="ListBullet"/>
        <w:rPr>
          <w:lang w:bidi="fa-IR"/>
        </w:rPr>
      </w:pPr>
      <w:r>
        <w:rPr>
          <w:lang w:bidi="fa-IR"/>
        </w:rPr>
        <w:t>r</w:t>
      </w:r>
      <w:r w:rsidR="001F3043">
        <w:rPr>
          <w:lang w:bidi="fa-IR"/>
        </w:rPr>
        <w:t xml:space="preserve">educe </w:t>
      </w:r>
      <w:r w:rsidR="00651C94">
        <w:rPr>
          <w:lang w:bidi="fa-IR"/>
        </w:rPr>
        <w:t>some time spent in hospital or transition care</w:t>
      </w:r>
    </w:p>
    <w:p w14:paraId="3A805C56" w14:textId="77777777" w:rsidR="00651C94" w:rsidRDefault="00432FA0" w:rsidP="00432FA0">
      <w:pPr>
        <w:pStyle w:val="ListBullet"/>
        <w:rPr>
          <w:lang w:bidi="fa-IR"/>
        </w:rPr>
      </w:pPr>
      <w:r>
        <w:rPr>
          <w:lang w:bidi="fa-IR"/>
        </w:rPr>
        <w:t>reduce premature or inappropriate entry into residential aged care.</w:t>
      </w:r>
    </w:p>
    <w:p w14:paraId="69631838" w14:textId="77777777" w:rsidR="00432FA0" w:rsidRDefault="00432FA0" w:rsidP="00510B61">
      <w:pPr>
        <w:pStyle w:val="BodyText"/>
        <w:spacing w:before="100"/>
        <w:rPr>
          <w:lang w:bidi="fa-IR"/>
        </w:rPr>
      </w:pPr>
      <w:r>
        <w:rPr>
          <w:lang w:bidi="fa-IR"/>
        </w:rPr>
        <w:t>However, this option is less likely to significantly:</w:t>
      </w:r>
    </w:p>
    <w:p w14:paraId="19A51967" w14:textId="77777777" w:rsidR="00432FA0" w:rsidRDefault="00432FA0" w:rsidP="00432FA0">
      <w:pPr>
        <w:pStyle w:val="ListBullet"/>
        <w:rPr>
          <w:lang w:bidi="fa-IR"/>
        </w:rPr>
      </w:pPr>
      <w:r>
        <w:rPr>
          <w:lang w:bidi="fa-IR"/>
        </w:rPr>
        <w:t>reduce the costs associated with moving to a more accessible home (this option would involve a person with disability moving to a subsidised accessible rental property and could in fact increase the number of moves and therefore the cost)</w:t>
      </w:r>
    </w:p>
    <w:p w14:paraId="6DCC3DF6" w14:textId="77777777" w:rsidR="00432FA0" w:rsidRDefault="00432FA0" w:rsidP="00432FA0">
      <w:pPr>
        <w:pStyle w:val="ListBullet"/>
        <w:rPr>
          <w:lang w:bidi="fa-IR"/>
        </w:rPr>
      </w:pPr>
      <w:r>
        <w:rPr>
          <w:lang w:bidi="fa-IR"/>
        </w:rPr>
        <w:t>reduce the cost of home modifications (as relatively few rental properties are modified)</w:t>
      </w:r>
    </w:p>
    <w:p w14:paraId="4F71F363" w14:textId="77777777" w:rsidR="00432FA0" w:rsidRDefault="00432FA0" w:rsidP="00432FA0">
      <w:pPr>
        <w:pStyle w:val="ListBullet"/>
        <w:rPr>
          <w:lang w:bidi="fa-IR"/>
        </w:rPr>
      </w:pPr>
      <w:r>
        <w:rPr>
          <w:lang w:bidi="fa-IR"/>
        </w:rPr>
        <w:t>improve the ability of people with disability to visit family and friends</w:t>
      </w:r>
    </w:p>
    <w:p w14:paraId="619301E4" w14:textId="77777777" w:rsidR="00432FA0" w:rsidRDefault="00432FA0" w:rsidP="00432FA0">
      <w:pPr>
        <w:pStyle w:val="ListBullet"/>
        <w:rPr>
          <w:lang w:bidi="fa-IR"/>
        </w:rPr>
      </w:pPr>
      <w:r>
        <w:rPr>
          <w:lang w:bidi="fa-IR"/>
        </w:rPr>
        <w:t>deliver benefits to households that do not contain a member with disability (as these households would presumably not be eligible for a subsidy).</w:t>
      </w:r>
    </w:p>
    <w:p w14:paraId="5FBC7B5E" w14:textId="77777777" w:rsidR="00432FA0" w:rsidRDefault="00C349E2" w:rsidP="00510B61">
      <w:pPr>
        <w:pStyle w:val="BodyText"/>
        <w:spacing w:before="100"/>
        <w:rPr>
          <w:lang w:bidi="fa-IR"/>
        </w:rPr>
      </w:pPr>
      <w:r>
        <w:rPr>
          <w:lang w:bidi="fa-IR"/>
        </w:rPr>
        <w:t>T</w:t>
      </w:r>
      <w:r w:rsidR="00EC4A78">
        <w:rPr>
          <w:lang w:bidi="fa-IR"/>
        </w:rPr>
        <w:t>he assumed uptake profile (see chart 5.1) is presented as a percentage of the total number of people with limited mobility that live in unmodified dwellings that require assistance o</w:t>
      </w:r>
      <w:r w:rsidR="007C67EA">
        <w:rPr>
          <w:lang w:bidi="fa-IR"/>
        </w:rPr>
        <w:t>r</w:t>
      </w:r>
      <w:r w:rsidR="00EC4A78">
        <w:rPr>
          <w:lang w:bidi="fa-IR"/>
        </w:rPr>
        <w:t xml:space="preserve"> have trouble moving around their place of residence (implying that their home does not meet their accessibility needs)</w:t>
      </w:r>
      <w:r w:rsidR="004751DA">
        <w:rPr>
          <w:lang w:bidi="fa-IR"/>
        </w:rPr>
        <w:t xml:space="preserve"> (chart 7.7)</w:t>
      </w:r>
      <w:r w:rsidR="00EC4A78">
        <w:rPr>
          <w:lang w:bidi="fa-IR"/>
        </w:rPr>
        <w:t>.</w:t>
      </w:r>
      <w:r>
        <w:rPr>
          <w:lang w:bidi="fa-IR"/>
        </w:rPr>
        <w:t xml:space="preserve"> This is an indicator of the extent to which a subsidy scheme could potentially reduce the extent of the problems identified above. </w:t>
      </w:r>
    </w:p>
    <w:p w14:paraId="5CD5A26F" w14:textId="2AC99B96" w:rsidR="00EC4A78" w:rsidRDefault="00490F02" w:rsidP="00EC4A78">
      <w:pPr>
        <w:pStyle w:val="Caption"/>
      </w:pPr>
      <w:bookmarkStart w:id="516" w:name="_Toc320545098"/>
      <w:bookmarkStart w:id="517" w:name="_Toc70505588"/>
      <w:r>
        <w:t>7.7</w:t>
      </w:r>
      <w:r w:rsidR="00EC4A78" w:rsidRPr="00695C93">
        <w:tab/>
      </w:r>
      <w:bookmarkEnd w:id="516"/>
      <w:r w:rsidR="004751DA">
        <w:t>Share of the problem addressed through a subsidy scheme</w:t>
      </w:r>
      <w:bookmarkEnd w:id="517"/>
    </w:p>
    <w:p w14:paraId="0AC55BA3" w14:textId="77777777" w:rsidR="00EC4A78" w:rsidRPr="00A97BEC" w:rsidRDefault="00457205" w:rsidP="00EC4A78">
      <w:pPr>
        <w:pStyle w:val="Note"/>
      </w:pPr>
      <w:r w:rsidRPr="00EC4A78">
        <w:rPr>
          <w:noProof/>
          <w:lang w:eastAsia="en-AU"/>
        </w:rPr>
        <w:drawing>
          <wp:inline distT="0" distB="0" distL="0" distR="0" wp14:anchorId="0D834AB4" wp14:editId="00D59F81">
            <wp:extent cx="4857750" cy="2269490"/>
            <wp:effectExtent l="57150" t="57150" r="57150" b="54610"/>
            <wp:docPr id="20" name="Picture 20" descr="This graph shows the assumed uptake profile (see chart 5.1) presented as a percentage of the total number of people with limited mobility that live in unmodified dwellings that require assistance or have trouble moving around their place of residence (implying that their home does not meet their accessibility needs). The graph shows a projected rise from under 2% in 2022 to about 12% in 2031." title="Chart 7.7: Share of the problem addressed through a subsi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659" r="3628"/>
                    <a:stretch/>
                  </pic:blipFill>
                  <pic:spPr bwMode="auto">
                    <a:xfrm>
                      <a:off x="0" y="0"/>
                      <a:ext cx="4857750" cy="226949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r w:rsidR="00EC4A78" w:rsidRPr="00A97BEC">
        <w:rPr>
          <w:i/>
        </w:rPr>
        <w:t xml:space="preserve">Note: </w:t>
      </w:r>
      <w:r w:rsidR="004751DA" w:rsidRPr="00BD176C">
        <w:rPr>
          <w:iCs/>
        </w:rPr>
        <w:t>This option reduces costs associated with: falls, additional care needs, reduce</w:t>
      </w:r>
      <w:r w:rsidR="00A53448" w:rsidRPr="00BD176C">
        <w:rPr>
          <w:iCs/>
        </w:rPr>
        <w:t>d</w:t>
      </w:r>
      <w:r w:rsidR="004751DA" w:rsidRPr="00BD176C">
        <w:rPr>
          <w:iCs/>
        </w:rPr>
        <w:t xml:space="preserve"> quality of life, additional time in hospital or transition care and premature or inappropriate entry into aged care.</w:t>
      </w:r>
    </w:p>
    <w:p w14:paraId="5059317D" w14:textId="77777777" w:rsidR="00EC4A78" w:rsidRDefault="00EC4A78" w:rsidP="00EC4A78">
      <w:pPr>
        <w:pStyle w:val="Source"/>
      </w:pPr>
      <w:r>
        <w:rPr>
          <w:i/>
        </w:rPr>
        <w:t>Data source</w:t>
      </w:r>
      <w:r w:rsidRPr="00A67576">
        <w:rPr>
          <w:i/>
        </w:rPr>
        <w:t>:</w:t>
      </w:r>
      <w:r>
        <w:t xml:space="preserve"> </w:t>
      </w:r>
      <w:r w:rsidR="004751DA">
        <w:t>CIE estimates based on ABS, 2018 Survey of Disabilities, Ageing and Carers, TableBuilder.</w:t>
      </w:r>
    </w:p>
    <w:p w14:paraId="08CC67DF" w14:textId="77777777" w:rsidR="00510B61" w:rsidRDefault="00510B61" w:rsidP="00510B61">
      <w:pPr>
        <w:pStyle w:val="Heading2"/>
        <w:numPr>
          <w:ilvl w:val="1"/>
          <w:numId w:val="5"/>
        </w:numPr>
      </w:pPr>
      <w:bookmarkStart w:id="518" w:name="_Toc70505124"/>
      <w:r>
        <w:lastRenderedPageBreak/>
        <w:t>Societal benefits</w:t>
      </w:r>
      <w:bookmarkEnd w:id="518"/>
    </w:p>
    <w:p w14:paraId="24B99939" w14:textId="77777777" w:rsidR="007773A0" w:rsidRPr="00510B61" w:rsidRDefault="00510B61" w:rsidP="00F11742">
      <w:pPr>
        <w:pStyle w:val="BodyText"/>
      </w:pPr>
      <w:r>
        <w:t xml:space="preserve">In </w:t>
      </w:r>
      <w:r w:rsidR="004751DA">
        <w:t xml:space="preserve">the Consultation RIS, CIE estimated the community’s preference for </w:t>
      </w:r>
      <w:r w:rsidR="007773A0">
        <w:t>more equitable housing outcomes for people with disability and older Australians using a stated preference survey. This was included in the CBA as a ‘societal benefit’.</w:t>
      </w:r>
    </w:p>
    <w:p w14:paraId="7F37F6EC" w14:textId="1E4E2926" w:rsidR="00510B61" w:rsidRDefault="0060361B" w:rsidP="00510B61">
      <w:pPr>
        <w:pStyle w:val="BodyText"/>
      </w:pPr>
      <w:r>
        <w:t xml:space="preserve">The </w:t>
      </w:r>
      <w:r w:rsidR="00510B61">
        <w:t xml:space="preserve">survey </w:t>
      </w:r>
      <w:r>
        <w:t>undertaken for</w:t>
      </w:r>
      <w:r w:rsidR="00510B61">
        <w:t xml:space="preserve"> this project </w:t>
      </w:r>
      <w:r>
        <w:t>(</w:t>
      </w:r>
      <w:r w:rsidR="00E84112">
        <w:t xml:space="preserve">see </w:t>
      </w:r>
      <w:r>
        <w:rPr>
          <w:lang w:bidi="fa-IR"/>
        </w:rPr>
        <w:t>appendix </w:t>
      </w:r>
      <w:r>
        <w:rPr>
          <w:lang w:bidi="fa-IR"/>
        </w:rPr>
        <w:fldChar w:fldCharType="begin"/>
      </w:r>
      <w:r>
        <w:rPr>
          <w:lang w:bidi="fa-IR"/>
        </w:rPr>
        <w:instrText xml:space="preserve"> REF _Ref56677480 \n \h </w:instrText>
      </w:r>
      <w:r>
        <w:rPr>
          <w:lang w:bidi="fa-IR"/>
        </w:rPr>
      </w:r>
      <w:r>
        <w:rPr>
          <w:lang w:bidi="fa-IR"/>
        </w:rPr>
        <w:fldChar w:fldCharType="separate"/>
      </w:r>
      <w:r w:rsidR="000F445C">
        <w:rPr>
          <w:lang w:bidi="fa-IR"/>
        </w:rPr>
        <w:t>K</w:t>
      </w:r>
      <w:r>
        <w:rPr>
          <w:lang w:bidi="fa-IR"/>
        </w:rPr>
        <w:fldChar w:fldCharType="end"/>
      </w:r>
      <w:r w:rsidR="00E84112">
        <w:rPr>
          <w:lang w:bidi="fa-IR"/>
        </w:rPr>
        <w:t xml:space="preserve"> for further information</w:t>
      </w:r>
      <w:r>
        <w:t xml:space="preserve">) </w:t>
      </w:r>
      <w:r w:rsidR="00510B61">
        <w:t>included a component designed to estimate household WTP to improve housing accessibility for other people</w:t>
      </w:r>
      <w:r w:rsidR="00B00845">
        <w:t xml:space="preserve"> outside the household</w:t>
      </w:r>
      <w:r w:rsidR="00510B61">
        <w:t xml:space="preserve">. The conservative estimate of average altruistic WTP derived from the survey is around $40 per household per year for a policy scenario that would </w:t>
      </w:r>
      <w:r w:rsidR="00510B61" w:rsidRPr="00666D3F">
        <w:t>increase the amount of accessible housing to 15</w:t>
      </w:r>
      <w:r w:rsidR="00510B61">
        <w:t xml:space="preserve"> per cent</w:t>
      </w:r>
      <w:r w:rsidR="00510B61" w:rsidRPr="00666D3F">
        <w:t xml:space="preserve"> by 2035</w:t>
      </w:r>
      <w:r w:rsidR="00510B61">
        <w:t xml:space="preserve"> and “greatly improve the chances of Australians with limited mobility finding suitable homes.”</w:t>
      </w:r>
    </w:p>
    <w:p w14:paraId="2108A60F" w14:textId="77777777" w:rsidR="00510B61" w:rsidRDefault="00510B61" w:rsidP="00510B61">
      <w:pPr>
        <w:pStyle w:val="BodyText"/>
      </w:pPr>
      <w:r>
        <w:t>This equates to $389 million annually across all households. Assuming an income elasticity of WTP of 0.42, projected annual real wage growth of 0.25 per cent per year</w:t>
      </w:r>
      <w:r w:rsidR="002E012D">
        <w:rPr>
          <w:rStyle w:val="FootnoteReference"/>
        </w:rPr>
        <w:footnoteReference w:id="231"/>
      </w:r>
      <w:r>
        <w:t xml:space="preserve"> and the ABS Cat No. 3236 Series II household projections (extrapolated beyond 2041 to 2066), this equates to $6.9 billion in present value terms.</w:t>
      </w:r>
    </w:p>
    <w:p w14:paraId="63D75DB2" w14:textId="77777777" w:rsidR="0043464F" w:rsidRDefault="00DC4314" w:rsidP="00DC4314">
      <w:pPr>
        <w:pStyle w:val="BodyText"/>
      </w:pPr>
      <w:r>
        <w:t xml:space="preserve">For the purpose of deriving benefit estimates for options that partially solve the problem, </w:t>
      </w:r>
      <w:r w:rsidR="00427A2B">
        <w:t>it is</w:t>
      </w:r>
      <w:r>
        <w:t xml:space="preserve"> assume</w:t>
      </w:r>
      <w:r w:rsidR="00427A2B">
        <w:t>d</w:t>
      </w:r>
      <w:r>
        <w:t xml:space="preserve"> that this $40 amount represents the value households place on solving the problem completely by 2035. </w:t>
      </w:r>
    </w:p>
    <w:p w14:paraId="5832641B" w14:textId="77777777" w:rsidR="0043464F" w:rsidRDefault="00397674" w:rsidP="00DC4314">
      <w:pPr>
        <w:pStyle w:val="BodyText"/>
      </w:pPr>
      <w:r>
        <w:t>CIE considers</w:t>
      </w:r>
      <w:r w:rsidR="00DC4314">
        <w:t xml:space="preserve"> that the limited amount of information provided in the questionnaire would have given respondents the impression that the policy would solve the problem, particularly the comparison between two figures that were provided — the 15 per cent of housing stock that would be accessible by 2035 and the 5 per cent of </w:t>
      </w:r>
      <w:r w:rsidR="00DC4314" w:rsidRPr="0058212F">
        <w:t>Australians</w:t>
      </w:r>
      <w:r w:rsidR="00DC4314">
        <w:t xml:space="preserve"> who have </w:t>
      </w:r>
      <w:r w:rsidR="00DC4314" w:rsidRPr="0058212F">
        <w:t xml:space="preserve">a disability </w:t>
      </w:r>
      <w:r w:rsidR="00DC4314">
        <w:t>and</w:t>
      </w:r>
      <w:r w:rsidR="00DC4314" w:rsidRPr="0058212F">
        <w:t xml:space="preserve"> use a mobility aid</w:t>
      </w:r>
      <w:r w:rsidR="00DC4314">
        <w:t xml:space="preserve">. </w:t>
      </w:r>
    </w:p>
    <w:p w14:paraId="203755F9" w14:textId="77777777" w:rsidR="00D61531" w:rsidRDefault="00427A2B" w:rsidP="00DC4314">
      <w:pPr>
        <w:pStyle w:val="BodyText"/>
      </w:pPr>
      <w:r>
        <w:t>It is</w:t>
      </w:r>
      <w:r w:rsidR="00DC4314">
        <w:t xml:space="preserve"> assume</w:t>
      </w:r>
      <w:r>
        <w:t>d</w:t>
      </w:r>
      <w:r w:rsidR="00DC4314">
        <w:t xml:space="preserve"> that a partial solving of the problem by 2035 would be valued proportionately to the extent to which the problem is solved. For each of the options, the $6.9 billion figure above </w:t>
      </w:r>
      <w:r>
        <w:t xml:space="preserve">is scaled </w:t>
      </w:r>
      <w:r w:rsidR="00DC4314">
        <w:t>in this way.</w:t>
      </w:r>
      <w:r w:rsidR="00D61531">
        <w:t xml:space="preserve"> Specifically, the assumptions used to estimate the benefits for the Decision RIS</w:t>
      </w:r>
      <w:r w:rsidR="000721C9">
        <w:t xml:space="preserve"> imply that by 2035:</w:t>
      </w:r>
    </w:p>
    <w:p w14:paraId="05E9F618" w14:textId="77777777" w:rsidR="00D61531" w:rsidRDefault="00D61531" w:rsidP="000721C9">
      <w:pPr>
        <w:pStyle w:val="ListBullet"/>
      </w:pPr>
      <w:r>
        <w:t xml:space="preserve">Option 1 would </w:t>
      </w:r>
      <w:r w:rsidR="000721C9">
        <w:t>address</w:t>
      </w:r>
      <w:r>
        <w:t xml:space="preserve"> around 11 per cent of the problem</w:t>
      </w:r>
    </w:p>
    <w:p w14:paraId="7B92B8E1" w14:textId="77777777" w:rsidR="00D61531" w:rsidRDefault="00D61531" w:rsidP="000721C9">
      <w:pPr>
        <w:pStyle w:val="ListBullet"/>
      </w:pPr>
      <w:r>
        <w:t>Option</w:t>
      </w:r>
      <w:r w:rsidR="000721C9">
        <w:t>s</w:t>
      </w:r>
      <w:r>
        <w:t xml:space="preserve"> 2 </w:t>
      </w:r>
      <w:r w:rsidR="000721C9">
        <w:t>and 3</w:t>
      </w:r>
      <w:r w:rsidR="001B5ADF">
        <w:t xml:space="preserve"> </w:t>
      </w:r>
      <w:r>
        <w:t xml:space="preserve">would </w:t>
      </w:r>
      <w:r w:rsidR="000721C9">
        <w:t>address</w:t>
      </w:r>
      <w:r>
        <w:t xml:space="preserve"> around 13 per cent o</w:t>
      </w:r>
      <w:r w:rsidR="000721C9">
        <w:t>f the problem</w:t>
      </w:r>
    </w:p>
    <w:p w14:paraId="46CB787D" w14:textId="77777777" w:rsidR="000721C9" w:rsidRDefault="000721C9" w:rsidP="000721C9">
      <w:pPr>
        <w:pStyle w:val="ListBullet"/>
      </w:pPr>
      <w:r>
        <w:t>Option 4 would address around 5 per cent of the problem</w:t>
      </w:r>
    </w:p>
    <w:p w14:paraId="06DA2ADB" w14:textId="77777777" w:rsidR="000721C9" w:rsidRDefault="000721C9" w:rsidP="000721C9">
      <w:pPr>
        <w:pStyle w:val="ListBullet"/>
      </w:pPr>
      <w:r>
        <w:t>Option 5 would address around 15 per cent of the problem.</w:t>
      </w:r>
    </w:p>
    <w:p w14:paraId="7AAAC60F" w14:textId="424ABF1F" w:rsidR="007773A0" w:rsidRDefault="00A168BC" w:rsidP="00DC4314">
      <w:pPr>
        <w:pStyle w:val="BodyText"/>
        <w:rPr>
          <w:lang w:bidi="fa-IR"/>
        </w:rPr>
      </w:pPr>
      <w:r>
        <w:rPr>
          <w:lang w:bidi="fa-IR"/>
        </w:rPr>
        <w:t>Estimating the societal benefits</w:t>
      </w:r>
      <w:r w:rsidR="007773A0">
        <w:rPr>
          <w:lang w:bidi="fa-IR"/>
        </w:rPr>
        <w:t xml:space="preserve"> acknowledges that the primary beneficiaries of these proposals are people with disability and older Australians (as well as savings on government programs that assist these people). However, as discussed in chapter </w:t>
      </w:r>
      <w:r w:rsidR="00BE4D9E">
        <w:rPr>
          <w:lang w:bidi="fa-IR"/>
        </w:rPr>
        <w:t>one</w:t>
      </w:r>
      <w:r w:rsidR="007773A0">
        <w:rPr>
          <w:lang w:bidi="fa-IR"/>
        </w:rPr>
        <w:t xml:space="preserve"> (refer to the subsection ‘Approach to the RIS’ on pages </w:t>
      </w:r>
      <w:r w:rsidR="005211EC">
        <w:rPr>
          <w:lang w:bidi="fa-IR"/>
        </w:rPr>
        <w:fldChar w:fldCharType="begin"/>
      </w:r>
      <w:r w:rsidR="005211EC">
        <w:rPr>
          <w:lang w:bidi="fa-IR"/>
        </w:rPr>
        <w:instrText xml:space="preserve"> PAGEREF _Ref64927176 \h </w:instrText>
      </w:r>
      <w:r w:rsidR="005211EC">
        <w:rPr>
          <w:lang w:bidi="fa-IR"/>
        </w:rPr>
      </w:r>
      <w:r w:rsidR="005211EC">
        <w:rPr>
          <w:lang w:bidi="fa-IR"/>
        </w:rPr>
        <w:fldChar w:fldCharType="separate"/>
      </w:r>
      <w:r w:rsidR="000F445C">
        <w:rPr>
          <w:noProof/>
          <w:lang w:bidi="fa-IR"/>
        </w:rPr>
        <w:t>27</w:t>
      </w:r>
      <w:r w:rsidR="005211EC">
        <w:rPr>
          <w:lang w:bidi="fa-IR"/>
        </w:rPr>
        <w:fldChar w:fldCharType="end"/>
      </w:r>
      <w:r w:rsidR="005211EC">
        <w:rPr>
          <w:lang w:bidi="fa-IR"/>
        </w:rPr>
        <w:t>-</w:t>
      </w:r>
      <w:r w:rsidR="00DE535C">
        <w:rPr>
          <w:lang w:bidi="fa-IR"/>
        </w:rPr>
        <w:t>28</w:t>
      </w:r>
      <w:r w:rsidR="007773A0">
        <w:rPr>
          <w:lang w:bidi="fa-IR"/>
        </w:rPr>
        <w:t xml:space="preserve">), OBPR guidance material </w:t>
      </w:r>
      <w:r w:rsidR="0039759F">
        <w:rPr>
          <w:lang w:bidi="fa-IR"/>
        </w:rPr>
        <w:t>(</w:t>
      </w:r>
      <w:r w:rsidR="007773A0">
        <w:rPr>
          <w:lang w:bidi="fa-IR"/>
        </w:rPr>
        <w:t>including the COAG RIS Guidelines</w:t>
      </w:r>
      <w:r w:rsidR="0039759F">
        <w:rPr>
          <w:lang w:bidi="fa-IR"/>
        </w:rPr>
        <w:t>)</w:t>
      </w:r>
      <w:r w:rsidR="007C67EA">
        <w:rPr>
          <w:lang w:bidi="fa-IR"/>
        </w:rPr>
        <w:t>,</w:t>
      </w:r>
      <w:r w:rsidR="0039759F">
        <w:rPr>
          <w:lang w:bidi="fa-IR"/>
        </w:rPr>
        <w:t xml:space="preserve"> requires</w:t>
      </w:r>
      <w:r w:rsidR="007773A0">
        <w:rPr>
          <w:lang w:bidi="fa-IR"/>
        </w:rPr>
        <w:t xml:space="preserve"> that weighing up equity considerations against the costs and benefits of the proposal is best left to decision</w:t>
      </w:r>
      <w:r w:rsidR="007773A0">
        <w:rPr>
          <w:lang w:bidi="fa-IR"/>
        </w:rPr>
        <w:noBreakHyphen/>
        <w:t>makers</w:t>
      </w:r>
      <w:r w:rsidR="006B609D">
        <w:rPr>
          <w:lang w:bidi="fa-IR"/>
        </w:rPr>
        <w:t xml:space="preserve">, </w:t>
      </w:r>
      <w:r w:rsidR="007773A0">
        <w:rPr>
          <w:lang w:bidi="fa-IR"/>
        </w:rPr>
        <w:t xml:space="preserve">rather than </w:t>
      </w:r>
      <w:r>
        <w:rPr>
          <w:lang w:bidi="fa-IR"/>
        </w:rPr>
        <w:t>directly incorporated</w:t>
      </w:r>
      <w:r w:rsidR="007773A0">
        <w:rPr>
          <w:lang w:bidi="fa-IR"/>
        </w:rPr>
        <w:t xml:space="preserve"> in</w:t>
      </w:r>
      <w:r>
        <w:rPr>
          <w:lang w:bidi="fa-IR"/>
        </w:rPr>
        <w:t>to</w:t>
      </w:r>
      <w:r w:rsidR="007773A0">
        <w:rPr>
          <w:lang w:bidi="fa-IR"/>
        </w:rPr>
        <w:t xml:space="preserve"> the CBA.</w:t>
      </w:r>
    </w:p>
    <w:p w14:paraId="047D17A0" w14:textId="77777777" w:rsidR="00BE4D9E" w:rsidRDefault="007773A0" w:rsidP="00DC4314">
      <w:pPr>
        <w:pStyle w:val="BodyText"/>
        <w:rPr>
          <w:lang w:bidi="fa-IR"/>
        </w:rPr>
      </w:pPr>
      <w:r>
        <w:rPr>
          <w:lang w:bidi="fa-IR"/>
        </w:rPr>
        <w:lastRenderedPageBreak/>
        <w:t xml:space="preserve">As such, the ‘societal benefits’ are not included in the central case CBA. </w:t>
      </w:r>
    </w:p>
    <w:p w14:paraId="4E001770" w14:textId="77777777" w:rsidR="007773A0" w:rsidRDefault="007773A0" w:rsidP="00DC4314">
      <w:pPr>
        <w:pStyle w:val="BodyText"/>
        <w:rPr>
          <w:lang w:bidi="fa-IR"/>
        </w:rPr>
      </w:pPr>
      <w:r>
        <w:rPr>
          <w:lang w:bidi="fa-IR"/>
        </w:rPr>
        <w:t xml:space="preserve">They are, however, included in the sensitivity analysis </w:t>
      </w:r>
      <w:r w:rsidR="008631F2">
        <w:rPr>
          <w:lang w:bidi="fa-IR"/>
        </w:rPr>
        <w:t xml:space="preserve">(in the next chapter) as additional information </w:t>
      </w:r>
      <w:r w:rsidR="006B609D">
        <w:rPr>
          <w:lang w:bidi="fa-IR"/>
        </w:rPr>
        <w:t>for</w:t>
      </w:r>
      <w:r w:rsidR="008631F2">
        <w:rPr>
          <w:lang w:bidi="fa-IR"/>
        </w:rPr>
        <w:t xml:space="preserve"> decision</w:t>
      </w:r>
      <w:r w:rsidR="008631F2">
        <w:rPr>
          <w:lang w:bidi="fa-IR"/>
        </w:rPr>
        <w:noBreakHyphen/>
        <w:t>makers.</w:t>
      </w:r>
    </w:p>
    <w:p w14:paraId="748FF402" w14:textId="77777777" w:rsidR="004E736E" w:rsidRDefault="004E736E" w:rsidP="005B0289">
      <w:pPr>
        <w:pStyle w:val="Heading1"/>
      </w:pPr>
      <w:bookmarkStart w:id="519" w:name="_Toc62759740"/>
      <w:bookmarkStart w:id="520" w:name="_Ref59703550"/>
      <w:bookmarkStart w:id="521" w:name="_Toc70505125"/>
      <w:bookmarkStart w:id="522" w:name="_Hlk61447398"/>
      <w:bookmarkEnd w:id="519"/>
      <w:r w:rsidRPr="006D7EDA">
        <w:lastRenderedPageBreak/>
        <w:t>Cost-benefit analysis</w:t>
      </w:r>
      <w:bookmarkEnd w:id="520"/>
      <w:bookmarkEnd w:id="521"/>
    </w:p>
    <w:p w14:paraId="5190E623" w14:textId="77777777" w:rsidR="008D437C" w:rsidRPr="008D437C" w:rsidRDefault="008D437C" w:rsidP="008D437C">
      <w:pPr>
        <w:pStyle w:val="BodyText"/>
      </w:pPr>
      <w:r>
        <w:t xml:space="preserve">This chapter combines the costs and benefits discussed in the previous </w:t>
      </w:r>
      <w:r w:rsidR="001037D4">
        <w:t xml:space="preserve">two chapters </w:t>
      </w:r>
      <w:r w:rsidR="007C7D05">
        <w:t>using a</w:t>
      </w:r>
      <w:r w:rsidR="001037D4">
        <w:t xml:space="preserve"> cost-benefit analysis framework.</w:t>
      </w:r>
    </w:p>
    <w:p w14:paraId="3ED9BED5" w14:textId="77777777" w:rsidR="004E736E" w:rsidRDefault="00510B61" w:rsidP="00F11AF4">
      <w:pPr>
        <w:pStyle w:val="Heading2"/>
        <w:numPr>
          <w:ilvl w:val="1"/>
          <w:numId w:val="5"/>
        </w:numPr>
      </w:pPr>
      <w:bookmarkStart w:id="523" w:name="_Toc70505126"/>
      <w:r>
        <w:t>Estimated net benefits</w:t>
      </w:r>
      <w:r w:rsidR="007C7D05">
        <w:t xml:space="preserve"> and </w:t>
      </w:r>
      <w:r>
        <w:t>costs</w:t>
      </w:r>
      <w:bookmarkEnd w:id="523"/>
    </w:p>
    <w:p w14:paraId="427ABD5B" w14:textId="3FD6BC28" w:rsidR="001037D4" w:rsidRDefault="001037D4" w:rsidP="001037D4">
      <w:pPr>
        <w:pStyle w:val="BodyText"/>
      </w:pPr>
      <w:r>
        <w:t>The estimated costs and benefits of Option</w:t>
      </w:r>
      <w:r w:rsidR="006B609D">
        <w:t>s</w:t>
      </w:r>
      <w:r>
        <w:t xml:space="preserve"> 1</w:t>
      </w:r>
      <w:r>
        <w:noBreakHyphen/>
        <w:t>5 in present value terms over the 10</w:t>
      </w:r>
      <w:r>
        <w:noBreakHyphen/>
        <w:t>year regulatory period (using a discount rate of 7 per cent) are shown in table 8.1. The benefits of all dwellings constructed over the regulatory period are estimated over the (assumed) 40</w:t>
      </w:r>
      <w:r>
        <w:noBreakHyphen/>
        <w:t>year life of the dwelling</w:t>
      </w:r>
      <w:r w:rsidR="0014314A">
        <w:t>.</w:t>
      </w:r>
      <w:r w:rsidR="00270CB0">
        <w:t xml:space="preserve"> </w:t>
      </w:r>
      <w:r w:rsidR="0014314A">
        <w:t>These have been</w:t>
      </w:r>
      <w:r w:rsidR="00270CB0">
        <w:t xml:space="preserve"> discussed in chapter </w:t>
      </w:r>
      <w:r w:rsidR="00B50EC7">
        <w:t>five</w:t>
      </w:r>
      <w:r w:rsidR="00270CB0">
        <w:t xml:space="preserve"> (subsection </w:t>
      </w:r>
      <w:r w:rsidR="0014314A">
        <w:t>‘</w:t>
      </w:r>
      <w:r w:rsidR="00270CB0">
        <w:fldChar w:fldCharType="begin"/>
      </w:r>
      <w:r w:rsidR="00270CB0">
        <w:instrText xml:space="preserve"> REF _Ref61363043 \h </w:instrText>
      </w:r>
      <w:r w:rsidR="00270CB0">
        <w:fldChar w:fldCharType="separate"/>
      </w:r>
      <w:r w:rsidR="000F445C">
        <w:rPr>
          <w:lang w:bidi="fa-IR"/>
        </w:rPr>
        <w:t>Time periods</w:t>
      </w:r>
      <w:r w:rsidR="00270CB0">
        <w:fldChar w:fldCharType="end"/>
      </w:r>
      <w:r w:rsidR="0014314A">
        <w:t>’ on page</w:t>
      </w:r>
      <w:r w:rsidR="005211EC">
        <w:t xml:space="preserve"> </w:t>
      </w:r>
      <w:r w:rsidR="005211EC">
        <w:fldChar w:fldCharType="begin"/>
      </w:r>
      <w:r w:rsidR="005211EC">
        <w:instrText xml:space="preserve"> PAGEREF _Ref61363043 \h </w:instrText>
      </w:r>
      <w:r w:rsidR="005211EC">
        <w:fldChar w:fldCharType="separate"/>
      </w:r>
      <w:r w:rsidR="000F445C">
        <w:rPr>
          <w:noProof/>
        </w:rPr>
        <w:t>146</w:t>
      </w:r>
      <w:r w:rsidR="005211EC">
        <w:fldChar w:fldCharType="end"/>
      </w:r>
      <w:r w:rsidR="0014314A">
        <w:t>)</w:t>
      </w:r>
      <w:r>
        <w:t>.</w:t>
      </w:r>
    </w:p>
    <w:p w14:paraId="79BF2CF0" w14:textId="77777777" w:rsidR="001037D4" w:rsidRDefault="001037D4" w:rsidP="001037D4">
      <w:pPr>
        <w:pStyle w:val="BodyText"/>
      </w:pPr>
      <w:r>
        <w:t>Based on the benefits that were able to be quantified, the CBA results suggest the following.</w:t>
      </w:r>
    </w:p>
    <w:p w14:paraId="362BEE12" w14:textId="77777777" w:rsidR="001037D4" w:rsidRDefault="001037D4" w:rsidP="001037D4">
      <w:pPr>
        <w:pStyle w:val="ListBullet"/>
      </w:pPr>
      <w:r>
        <w:t>All of the options involving changes to the NCC are estimated to impose a net cost on the community.</w:t>
      </w:r>
    </w:p>
    <w:p w14:paraId="4E58FE2E" w14:textId="77777777" w:rsidR="001037D4" w:rsidRDefault="001037D4" w:rsidP="001037D4">
      <w:pPr>
        <w:pStyle w:val="ListBullet"/>
      </w:pPr>
      <w:r>
        <w:t>Option 5 (involving a</w:t>
      </w:r>
      <w:r w:rsidR="006B609D">
        <w:t xml:space="preserve"> generalised</w:t>
      </w:r>
      <w:r>
        <w:t xml:space="preserve"> subsidy program to encourage additional accessible rental properties) is estimated to deliver a significant net benefit. This option is not formally under consideration, so this program is in effect hypothetical</w:t>
      </w:r>
      <w:r w:rsidR="00860F3E">
        <w:t xml:space="preserve"> and as such not ready to be implemented. </w:t>
      </w:r>
      <w:r w:rsidR="007C7D05">
        <w:t>T</w:t>
      </w:r>
      <w:r w:rsidR="00860F3E">
        <w:t xml:space="preserve">his option </w:t>
      </w:r>
      <w:r w:rsidR="00215AE7">
        <w:t xml:space="preserve">is included </w:t>
      </w:r>
      <w:r w:rsidR="00860F3E">
        <w:t xml:space="preserve">in the CBA to compare regulatory options </w:t>
      </w:r>
      <w:r w:rsidR="00215AE7">
        <w:t xml:space="preserve">(Options 1-4) </w:t>
      </w:r>
      <w:r w:rsidR="00860F3E">
        <w:t>with non-regulatory options</w:t>
      </w:r>
      <w:r w:rsidR="00215AE7">
        <w:t xml:space="preserve">, </w:t>
      </w:r>
      <w:r w:rsidR="00860F3E">
        <w:t>consistent with the RIS guidelines. T</w:t>
      </w:r>
      <w:r>
        <w:t xml:space="preserve">he CBA results demonstrate that </w:t>
      </w:r>
      <w:r w:rsidR="00860F3E">
        <w:t>this</w:t>
      </w:r>
      <w:r>
        <w:t xml:space="preserve"> more targeted approach </w:t>
      </w:r>
      <w:r w:rsidR="00466D4C">
        <w:t xml:space="preserve">could </w:t>
      </w:r>
      <w:r w:rsidR="00860F3E">
        <w:t xml:space="preserve">be more effective in </w:t>
      </w:r>
      <w:r>
        <w:t>addressing the specific problem associated with renters</w:t>
      </w:r>
      <w:r w:rsidR="00860F3E">
        <w:t>.</w:t>
      </w:r>
    </w:p>
    <w:p w14:paraId="471C1C27" w14:textId="74573C4F" w:rsidR="001037D4" w:rsidRDefault="00BD17F9" w:rsidP="001037D4">
      <w:pPr>
        <w:pStyle w:val="Caption"/>
      </w:pPr>
      <w:bookmarkStart w:id="524" w:name="_Toc70505589"/>
      <w:r>
        <w:t>8.1</w:t>
      </w:r>
      <w:r w:rsidR="001037D4" w:rsidRPr="00695C93">
        <w:tab/>
      </w:r>
      <w:r w:rsidR="001037D4">
        <w:t>Estimated net benefits/costs</w:t>
      </w:r>
      <w:bookmarkEnd w:id="524"/>
    </w:p>
    <w:tbl>
      <w:tblPr>
        <w:tblW w:w="7936" w:type="dxa"/>
        <w:tblLayout w:type="fixed"/>
        <w:tblLook w:val="0000" w:firstRow="0" w:lastRow="0" w:firstColumn="0" w:lastColumn="0" w:noHBand="0" w:noVBand="0"/>
        <w:tblCaption w:val="Table 8.1: Estimated net benefits/costs"/>
        <w:tblDescription w:val="The estimated costs and benefits of Options 1-5 in present value terms over the 10 year regulatory period (using a discount rate of 7 per cent) are shown in table 8.1. The benefits of all dwellings constructed over the regulatory period are estimated over the (assumed) 40 year life of the dwelling. Categories of benefits and costs are listed on the left, and Options 1 to 5 are listed across the top. Options 1-4 (involving changes to the NCC) are all estimated to impose a net cost on the community, ranging from $4,136,940,000 for Option 1 to $28,717,370,000 for Option 3."/>
      </w:tblPr>
      <w:tblGrid>
        <w:gridCol w:w="2967"/>
        <w:gridCol w:w="994"/>
        <w:gridCol w:w="994"/>
        <w:gridCol w:w="994"/>
        <w:gridCol w:w="993"/>
        <w:gridCol w:w="994"/>
      </w:tblGrid>
      <w:tr w:rsidR="001037D4" w:rsidRPr="00457205" w14:paraId="0C6DD6C1" w14:textId="77777777" w:rsidTr="0038709C">
        <w:trPr>
          <w:trHeight w:val="439"/>
          <w:tblHeader/>
        </w:trPr>
        <w:tc>
          <w:tcPr>
            <w:tcW w:w="2967" w:type="dxa"/>
            <w:tcBorders>
              <w:bottom w:val="single" w:sz="8" w:space="0" w:color="FFFFFF" w:themeColor="background1"/>
            </w:tcBorders>
            <w:shd w:val="clear" w:color="auto" w:fill="6F6652"/>
            <w:tcMar>
              <w:left w:w="57" w:type="dxa"/>
              <w:right w:w="57" w:type="dxa"/>
            </w:tcMar>
          </w:tcPr>
          <w:p w14:paraId="1C70DE29" w14:textId="77777777" w:rsidR="001037D4" w:rsidRPr="00457205" w:rsidRDefault="001037D4" w:rsidP="0038709C">
            <w:pPr>
              <w:pStyle w:val="TableDataColumnHeading"/>
              <w:jc w:val="left"/>
              <w:rPr>
                <w:b/>
                <w:bCs/>
              </w:rPr>
            </w:pPr>
          </w:p>
        </w:tc>
        <w:tc>
          <w:tcPr>
            <w:tcW w:w="994" w:type="dxa"/>
            <w:tcBorders>
              <w:bottom w:val="single" w:sz="8" w:space="0" w:color="FFFFFF" w:themeColor="background1"/>
            </w:tcBorders>
            <w:shd w:val="clear" w:color="auto" w:fill="6F6652"/>
            <w:tcMar>
              <w:left w:w="57" w:type="dxa"/>
              <w:right w:w="57" w:type="dxa"/>
            </w:tcMar>
          </w:tcPr>
          <w:p w14:paraId="31078424" w14:textId="77777777" w:rsidR="001037D4" w:rsidRPr="00457205" w:rsidRDefault="001037D4" w:rsidP="0038709C">
            <w:pPr>
              <w:pStyle w:val="TableDataColumnHeading"/>
              <w:rPr>
                <w:szCs w:val="16"/>
              </w:rPr>
            </w:pPr>
            <w:r w:rsidRPr="00457205">
              <w:rPr>
                <w:szCs w:val="16"/>
              </w:rPr>
              <w:t>Option 1 ($ million)</w:t>
            </w:r>
          </w:p>
        </w:tc>
        <w:tc>
          <w:tcPr>
            <w:tcW w:w="994" w:type="dxa"/>
            <w:tcBorders>
              <w:bottom w:val="single" w:sz="8" w:space="0" w:color="FFFFFF" w:themeColor="background1"/>
            </w:tcBorders>
            <w:shd w:val="clear" w:color="auto" w:fill="6F6652"/>
            <w:tcMar>
              <w:left w:w="57" w:type="dxa"/>
              <w:right w:w="57" w:type="dxa"/>
            </w:tcMar>
          </w:tcPr>
          <w:p w14:paraId="08652A3B" w14:textId="77777777" w:rsidR="001037D4" w:rsidRPr="00457205" w:rsidRDefault="001037D4" w:rsidP="0038709C">
            <w:pPr>
              <w:pStyle w:val="TableDataColumnHeading"/>
              <w:rPr>
                <w:szCs w:val="16"/>
              </w:rPr>
            </w:pPr>
            <w:r w:rsidRPr="00457205">
              <w:rPr>
                <w:szCs w:val="16"/>
              </w:rPr>
              <w:t>Option 2 ($ million)</w:t>
            </w:r>
          </w:p>
        </w:tc>
        <w:tc>
          <w:tcPr>
            <w:tcW w:w="994" w:type="dxa"/>
            <w:tcBorders>
              <w:bottom w:val="single" w:sz="8" w:space="0" w:color="FFFFFF" w:themeColor="background1"/>
            </w:tcBorders>
            <w:shd w:val="clear" w:color="auto" w:fill="6F6652"/>
            <w:tcMar>
              <w:left w:w="57" w:type="dxa"/>
              <w:right w:w="57" w:type="dxa"/>
            </w:tcMar>
          </w:tcPr>
          <w:p w14:paraId="2C11C20C" w14:textId="77777777" w:rsidR="001037D4" w:rsidRPr="00457205" w:rsidRDefault="001037D4" w:rsidP="0038709C">
            <w:pPr>
              <w:pStyle w:val="TableDataColumnHeading"/>
              <w:rPr>
                <w:szCs w:val="16"/>
              </w:rPr>
            </w:pPr>
            <w:r w:rsidRPr="00457205">
              <w:rPr>
                <w:szCs w:val="16"/>
              </w:rPr>
              <w:t>Option 3 ($ million)</w:t>
            </w:r>
          </w:p>
        </w:tc>
        <w:tc>
          <w:tcPr>
            <w:tcW w:w="993" w:type="dxa"/>
            <w:tcBorders>
              <w:bottom w:val="single" w:sz="8" w:space="0" w:color="FFFFFF" w:themeColor="background1"/>
            </w:tcBorders>
            <w:shd w:val="clear" w:color="auto" w:fill="6F6652"/>
            <w:tcMar>
              <w:left w:w="57" w:type="dxa"/>
              <w:right w:w="57" w:type="dxa"/>
            </w:tcMar>
          </w:tcPr>
          <w:p w14:paraId="404E0B12" w14:textId="77777777" w:rsidR="001037D4" w:rsidRPr="00457205" w:rsidRDefault="001037D4" w:rsidP="0038709C">
            <w:pPr>
              <w:pStyle w:val="TableDataColumnHeading"/>
              <w:rPr>
                <w:szCs w:val="16"/>
              </w:rPr>
            </w:pPr>
            <w:r w:rsidRPr="00457205">
              <w:rPr>
                <w:szCs w:val="16"/>
              </w:rPr>
              <w:t>Option 4 ($ million)</w:t>
            </w:r>
          </w:p>
        </w:tc>
        <w:tc>
          <w:tcPr>
            <w:tcW w:w="994" w:type="dxa"/>
            <w:tcBorders>
              <w:bottom w:val="single" w:sz="8" w:space="0" w:color="FFFFFF" w:themeColor="background1"/>
            </w:tcBorders>
            <w:shd w:val="clear" w:color="auto" w:fill="6F6652"/>
            <w:tcMar>
              <w:left w:w="57" w:type="dxa"/>
              <w:right w:w="57" w:type="dxa"/>
            </w:tcMar>
          </w:tcPr>
          <w:p w14:paraId="0D0B7AAC" w14:textId="77777777" w:rsidR="001037D4" w:rsidRPr="00457205" w:rsidRDefault="001037D4" w:rsidP="0038709C">
            <w:pPr>
              <w:pStyle w:val="TableDataColumnHeading"/>
              <w:rPr>
                <w:szCs w:val="16"/>
              </w:rPr>
            </w:pPr>
            <w:r w:rsidRPr="00457205">
              <w:rPr>
                <w:szCs w:val="16"/>
              </w:rPr>
              <w:t xml:space="preserve">Option 5 </w:t>
            </w:r>
            <w:r w:rsidR="00BE4D9E">
              <w:rPr>
                <w:szCs w:val="16"/>
              </w:rPr>
              <w:br/>
            </w:r>
            <w:r w:rsidR="004377DF" w:rsidRPr="00457205">
              <w:rPr>
                <w:iCs/>
              </w:rPr>
              <w:t xml:space="preserve"> </w:t>
            </w:r>
            <w:r w:rsidRPr="00457205">
              <w:rPr>
                <w:szCs w:val="16"/>
              </w:rPr>
              <w:t>($ million)</w:t>
            </w:r>
            <w:r w:rsidR="00464BCD" w:rsidRPr="00457205">
              <w:rPr>
                <w:rStyle w:val="NoteLabel"/>
              </w:rPr>
              <w:t xml:space="preserve"> a</w:t>
            </w:r>
          </w:p>
        </w:tc>
      </w:tr>
      <w:tr w:rsidR="001037D4" w14:paraId="6154EEE1" w14:textId="77777777" w:rsidTr="0038709C">
        <w:trPr>
          <w:trHeight w:val="245"/>
        </w:trPr>
        <w:tc>
          <w:tcPr>
            <w:tcW w:w="296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CD45B6A" w14:textId="77777777" w:rsidR="001037D4" w:rsidRDefault="001037D4" w:rsidP="0038709C">
            <w:pPr>
              <w:pStyle w:val="TableHeading1"/>
            </w:pPr>
            <w:r>
              <w:t>Benefits</w:t>
            </w: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9C3DF48" w14:textId="77777777" w:rsidR="001037D4" w:rsidRDefault="001037D4" w:rsidP="0038709C">
            <w:pPr>
              <w:pStyle w:val="TableHeading1"/>
              <w:rPr>
                <w:szCs w:val="16"/>
              </w:rPr>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A5984AD" w14:textId="77777777" w:rsidR="001037D4" w:rsidRDefault="001037D4" w:rsidP="0038709C">
            <w:pPr>
              <w:pStyle w:val="TableHeading1"/>
              <w:rPr>
                <w:szCs w:val="16"/>
              </w:rPr>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743D18A" w14:textId="77777777" w:rsidR="001037D4" w:rsidRDefault="001037D4" w:rsidP="0038709C">
            <w:pPr>
              <w:pStyle w:val="TableHeading1"/>
              <w:rPr>
                <w:szCs w:val="16"/>
              </w:rPr>
            </w:pPr>
          </w:p>
        </w:tc>
        <w:tc>
          <w:tcPr>
            <w:tcW w:w="9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FCA7C2A" w14:textId="77777777" w:rsidR="001037D4" w:rsidRDefault="001037D4" w:rsidP="0038709C">
            <w:pPr>
              <w:pStyle w:val="TableHeading1"/>
              <w:rPr>
                <w:szCs w:val="16"/>
              </w:rPr>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60A39B6" w14:textId="77777777" w:rsidR="001037D4" w:rsidRDefault="001037D4" w:rsidP="0038709C">
            <w:pPr>
              <w:pStyle w:val="TableHeading1"/>
              <w:rPr>
                <w:szCs w:val="16"/>
              </w:rPr>
            </w:pPr>
          </w:p>
        </w:tc>
      </w:tr>
      <w:tr w:rsidR="000721C9" w14:paraId="1C9361CA"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5D1FEF" w14:textId="77777777" w:rsidR="000721C9" w:rsidRDefault="000721C9" w:rsidP="000721C9">
            <w:pPr>
              <w:pStyle w:val="TableDataEntries"/>
              <w:jc w:val="left"/>
            </w:pPr>
            <w:r>
              <w:t>Avoided safety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9EC069" w14:textId="77777777" w:rsidR="000721C9" w:rsidRPr="00466D4C" w:rsidRDefault="000721C9" w:rsidP="00466D4C">
            <w:pPr>
              <w:pStyle w:val="TableDataEntries"/>
            </w:pPr>
            <w:r w:rsidRPr="00466D4C">
              <w:t xml:space="preserve"> 99.16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48328A" w14:textId="77777777" w:rsidR="000721C9" w:rsidRPr="00466D4C" w:rsidRDefault="000721C9" w:rsidP="00466D4C">
            <w:pPr>
              <w:pStyle w:val="TableDataEntries"/>
            </w:pPr>
            <w:r w:rsidRPr="00466D4C">
              <w:t xml:space="preserve"> 164.05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C7D364" w14:textId="77777777" w:rsidR="000721C9" w:rsidRPr="00466D4C" w:rsidRDefault="000721C9" w:rsidP="00466D4C">
            <w:pPr>
              <w:pStyle w:val="TableDataEntries"/>
            </w:pPr>
            <w:r w:rsidRPr="00466D4C">
              <w:t xml:space="preserve"> 164.64</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057587" w14:textId="77777777" w:rsidR="000721C9" w:rsidRPr="00466D4C" w:rsidRDefault="000721C9" w:rsidP="00466D4C">
            <w:pPr>
              <w:pStyle w:val="TableDataEntries"/>
            </w:pPr>
            <w:r w:rsidRPr="00466D4C">
              <w:t xml:space="preserve"> 64.35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7A797C" w14:textId="77777777" w:rsidR="000721C9" w:rsidRPr="00466D4C" w:rsidRDefault="000721C9" w:rsidP="00466D4C">
            <w:pPr>
              <w:pStyle w:val="TableDataEntries"/>
            </w:pPr>
            <w:r w:rsidRPr="00466D4C">
              <w:t xml:space="preserve"> 88.97</w:t>
            </w:r>
          </w:p>
        </w:tc>
      </w:tr>
      <w:tr w:rsidR="000721C9" w14:paraId="44A3822E"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1B50C2" w14:textId="77777777" w:rsidR="000721C9" w:rsidRDefault="000721C9" w:rsidP="000721C9">
            <w:pPr>
              <w:pStyle w:val="TableDataEntries"/>
              <w:jc w:val="left"/>
            </w:pPr>
            <w:r>
              <w:t>Avoided carer-related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F5FC2A" w14:textId="77777777" w:rsidR="000721C9" w:rsidRPr="00466D4C" w:rsidRDefault="000721C9" w:rsidP="00466D4C">
            <w:pPr>
              <w:pStyle w:val="TableDataEntries"/>
            </w:pPr>
            <w:r w:rsidRPr="00466D4C">
              <w:t xml:space="preserve"> 590.80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D7C15C" w14:textId="77777777" w:rsidR="000721C9" w:rsidRPr="00466D4C" w:rsidRDefault="000721C9" w:rsidP="00466D4C">
            <w:pPr>
              <w:pStyle w:val="TableDataEntries"/>
            </w:pPr>
            <w:r w:rsidRPr="00466D4C">
              <w:t xml:space="preserve"> 998.90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21A1B1" w14:textId="77777777" w:rsidR="000721C9" w:rsidRPr="00466D4C" w:rsidRDefault="000721C9" w:rsidP="00466D4C">
            <w:pPr>
              <w:pStyle w:val="TableDataEntries"/>
            </w:pPr>
            <w:r w:rsidRPr="00466D4C">
              <w:t>1 002.47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44D0C7" w14:textId="77777777" w:rsidR="000721C9" w:rsidRPr="00466D4C" w:rsidRDefault="000721C9" w:rsidP="00466D4C">
            <w:pPr>
              <w:pStyle w:val="TableDataEntries"/>
            </w:pPr>
            <w:r w:rsidRPr="00466D4C">
              <w:t xml:space="preserve"> 391.79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0A3518" w14:textId="77777777" w:rsidR="000721C9" w:rsidRPr="00466D4C" w:rsidRDefault="000721C9" w:rsidP="00466D4C">
            <w:pPr>
              <w:pStyle w:val="TableDataEntries"/>
            </w:pPr>
            <w:r w:rsidRPr="00466D4C">
              <w:t xml:space="preserve"> 541.70</w:t>
            </w:r>
          </w:p>
        </w:tc>
      </w:tr>
      <w:tr w:rsidR="000721C9" w14:paraId="78393503"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C5FBD9" w14:textId="77777777" w:rsidR="000721C9" w:rsidRDefault="000721C9" w:rsidP="000721C9">
            <w:pPr>
              <w:pStyle w:val="TableDataEntries"/>
              <w:jc w:val="left"/>
            </w:pPr>
            <w:r>
              <w:t>Quality of life improvements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5B8533" w14:textId="77777777" w:rsidR="000721C9" w:rsidRPr="00466D4C" w:rsidRDefault="000721C9" w:rsidP="00466D4C">
            <w:pPr>
              <w:pStyle w:val="TableDataEntries"/>
            </w:pPr>
            <w:r w:rsidRPr="00466D4C">
              <w:t>1 173.43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11FFC5" w14:textId="77777777" w:rsidR="000721C9" w:rsidRPr="00466D4C" w:rsidRDefault="000721C9" w:rsidP="00466D4C">
            <w:pPr>
              <w:pStyle w:val="TableDataEntries"/>
            </w:pPr>
            <w:r w:rsidRPr="00466D4C">
              <w:t>2 036.32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8E075A" w14:textId="77777777" w:rsidR="000721C9" w:rsidRPr="00466D4C" w:rsidRDefault="000721C9" w:rsidP="00466D4C">
            <w:pPr>
              <w:pStyle w:val="TableDataEntries"/>
            </w:pPr>
            <w:r w:rsidRPr="00466D4C">
              <w:t>2 043.59</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BCD8EC" w14:textId="77777777" w:rsidR="000721C9" w:rsidRPr="00466D4C" w:rsidRDefault="000721C9" w:rsidP="00466D4C">
            <w:pPr>
              <w:pStyle w:val="TableDataEntries"/>
            </w:pPr>
            <w:r w:rsidRPr="00466D4C">
              <w:t xml:space="preserve"> 798.70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DA8551" w14:textId="77777777" w:rsidR="000721C9" w:rsidRPr="00466D4C" w:rsidRDefault="000721C9" w:rsidP="00466D4C">
            <w:pPr>
              <w:pStyle w:val="TableDataEntries"/>
            </w:pPr>
            <w:r w:rsidRPr="00466D4C">
              <w:t>1 104.29</w:t>
            </w:r>
          </w:p>
        </w:tc>
      </w:tr>
      <w:tr w:rsidR="000721C9" w14:paraId="648E34E1"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B3A3F5" w14:textId="77777777" w:rsidR="000721C9" w:rsidRDefault="000721C9" w:rsidP="000721C9">
            <w:pPr>
              <w:pStyle w:val="TableDataEntries"/>
              <w:jc w:val="left"/>
            </w:pPr>
            <w:r>
              <w:t>Avoided time in hospital/transition care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A5CF30" w14:textId="77777777" w:rsidR="000721C9" w:rsidRPr="00466D4C" w:rsidRDefault="000721C9" w:rsidP="00466D4C">
            <w:pPr>
              <w:pStyle w:val="TableDataEntries"/>
            </w:pPr>
            <w:r w:rsidRPr="00466D4C">
              <w:t xml:space="preserve"> 151.13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0A2E77" w14:textId="77777777" w:rsidR="000721C9" w:rsidRPr="00466D4C" w:rsidRDefault="000721C9" w:rsidP="00466D4C">
            <w:pPr>
              <w:pStyle w:val="TableDataEntries"/>
            </w:pPr>
            <w:r w:rsidRPr="00466D4C">
              <w:t xml:space="preserve"> 249.68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A576C0" w14:textId="77777777" w:rsidR="000721C9" w:rsidRPr="00466D4C" w:rsidRDefault="000721C9" w:rsidP="00466D4C">
            <w:pPr>
              <w:pStyle w:val="TableDataEntries"/>
            </w:pPr>
            <w:r w:rsidRPr="00466D4C">
              <w:t xml:space="preserve"> 250.57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C996B0" w14:textId="77777777" w:rsidR="000721C9" w:rsidRPr="00466D4C" w:rsidRDefault="000721C9" w:rsidP="00466D4C">
            <w:pPr>
              <w:pStyle w:val="TableDataEntries"/>
            </w:pPr>
            <w:r w:rsidRPr="00466D4C">
              <w:t xml:space="preserve"> 97.93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A6D034" w14:textId="77777777" w:rsidR="000721C9" w:rsidRPr="00466D4C" w:rsidRDefault="000721C9" w:rsidP="00466D4C">
            <w:pPr>
              <w:pStyle w:val="TableDataEntries"/>
            </w:pPr>
            <w:r w:rsidRPr="00466D4C">
              <w:t xml:space="preserve"> 135.40</w:t>
            </w:r>
          </w:p>
        </w:tc>
      </w:tr>
      <w:tr w:rsidR="000721C9" w14:paraId="627F8F97"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8F7B59" w14:textId="77777777" w:rsidR="000721C9" w:rsidRDefault="000721C9" w:rsidP="000721C9">
            <w:pPr>
              <w:pStyle w:val="TableDataEntries"/>
              <w:jc w:val="left"/>
            </w:pPr>
            <w:r>
              <w:t>Avoided home modifications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7BD67B" w14:textId="77777777" w:rsidR="000721C9" w:rsidRPr="00466D4C" w:rsidRDefault="000721C9" w:rsidP="00466D4C">
            <w:pPr>
              <w:pStyle w:val="TableDataEntries"/>
            </w:pPr>
            <w:r w:rsidRPr="00466D4C">
              <w:t xml:space="preserve"> 341.89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DFFBA9" w14:textId="77777777" w:rsidR="000721C9" w:rsidRPr="00466D4C" w:rsidRDefault="000721C9" w:rsidP="00466D4C">
            <w:pPr>
              <w:pStyle w:val="TableDataEntries"/>
            </w:pPr>
            <w:r w:rsidRPr="00466D4C">
              <w:t xml:space="preserve"> 530.95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C6471A" w14:textId="77777777" w:rsidR="000721C9" w:rsidRPr="00466D4C" w:rsidRDefault="000721C9" w:rsidP="00466D4C">
            <w:pPr>
              <w:pStyle w:val="TableDataEntries"/>
            </w:pPr>
            <w:r w:rsidRPr="00466D4C">
              <w:t xml:space="preserve"> 532.85</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A29FF0" w14:textId="77777777" w:rsidR="000721C9" w:rsidRPr="00466D4C" w:rsidRDefault="000721C9" w:rsidP="00466D4C">
            <w:pPr>
              <w:pStyle w:val="TableDataEntries"/>
            </w:pPr>
            <w:r w:rsidRPr="00466D4C">
              <w:t xml:space="preserve"> 208.25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DE9ED0" w14:textId="77777777" w:rsidR="000721C9" w:rsidRPr="00466D4C" w:rsidRDefault="000721C9" w:rsidP="00466D4C">
            <w:pPr>
              <w:pStyle w:val="TableDataEntries"/>
            </w:pPr>
            <w:r w:rsidRPr="00466D4C">
              <w:t xml:space="preserve"> 287.93</w:t>
            </w:r>
          </w:p>
        </w:tc>
      </w:tr>
      <w:tr w:rsidR="000721C9" w14:paraId="14E857EB"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481A0" w14:textId="77777777" w:rsidR="000721C9" w:rsidRDefault="000721C9" w:rsidP="000721C9">
            <w:pPr>
              <w:pStyle w:val="TableDataEntries"/>
              <w:jc w:val="left"/>
            </w:pPr>
            <w:r>
              <w:t>Avoided moving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DDB4EF" w14:textId="77777777" w:rsidR="000721C9" w:rsidRPr="00466D4C" w:rsidRDefault="000721C9" w:rsidP="00466D4C">
            <w:pPr>
              <w:pStyle w:val="TableDataEntries"/>
            </w:pPr>
            <w:r w:rsidRPr="00466D4C">
              <w:t xml:space="preserve"> 95.43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731E8C" w14:textId="77777777" w:rsidR="000721C9" w:rsidRPr="00466D4C" w:rsidRDefault="000721C9" w:rsidP="00466D4C">
            <w:pPr>
              <w:pStyle w:val="TableDataEntries"/>
            </w:pPr>
            <w:r w:rsidRPr="00466D4C">
              <w:t xml:space="preserve"> 172.33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67C617" w14:textId="77777777" w:rsidR="000721C9" w:rsidRPr="00466D4C" w:rsidRDefault="000721C9" w:rsidP="00466D4C">
            <w:pPr>
              <w:pStyle w:val="TableDataEntries"/>
            </w:pPr>
            <w:r w:rsidRPr="00466D4C">
              <w:t xml:space="preserve"> 172.94</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27230A" w14:textId="77777777" w:rsidR="000721C9" w:rsidRPr="00466D4C" w:rsidRDefault="000721C9" w:rsidP="00466D4C">
            <w:pPr>
              <w:pStyle w:val="TableDataEntries"/>
            </w:pPr>
            <w:r w:rsidRPr="00466D4C">
              <w:t xml:space="preserve"> 67.59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7829CC" w14:textId="77777777" w:rsidR="000721C9" w:rsidRPr="00466D4C" w:rsidRDefault="000721C9" w:rsidP="00466D4C">
            <w:pPr>
              <w:pStyle w:val="TableDataEntries"/>
            </w:pPr>
            <w:r w:rsidRPr="00466D4C">
              <w:t xml:space="preserve"> 0.00</w:t>
            </w:r>
          </w:p>
        </w:tc>
      </w:tr>
      <w:tr w:rsidR="000721C9" w14:paraId="6E77F063"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819FEC" w14:textId="77777777" w:rsidR="000721C9" w:rsidRDefault="000721C9" w:rsidP="000721C9">
            <w:pPr>
              <w:pStyle w:val="TableDataEntries"/>
              <w:jc w:val="left"/>
            </w:pPr>
            <w:r>
              <w:t xml:space="preserve">Avoided entry into </w:t>
            </w:r>
            <w:r w:rsidR="00E24C3A">
              <w:t xml:space="preserve">residential </w:t>
            </w:r>
            <w:r>
              <w:t>aged care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E0FA7F" w14:textId="77777777" w:rsidR="000721C9" w:rsidRPr="00466D4C" w:rsidRDefault="000721C9" w:rsidP="00466D4C">
            <w:pPr>
              <w:pStyle w:val="TableDataEntries"/>
            </w:pPr>
            <w:r w:rsidRPr="00466D4C">
              <w:t xml:space="preserve"> 75.85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F6CB35" w14:textId="77777777" w:rsidR="000721C9" w:rsidRPr="00466D4C" w:rsidRDefault="000721C9" w:rsidP="00466D4C">
            <w:pPr>
              <w:pStyle w:val="TableDataEntries"/>
            </w:pPr>
            <w:r w:rsidRPr="00466D4C">
              <w:t xml:space="preserve"> 218.25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DE6779" w14:textId="77777777" w:rsidR="000721C9" w:rsidRPr="00466D4C" w:rsidRDefault="000721C9" w:rsidP="00466D4C">
            <w:pPr>
              <w:pStyle w:val="TableDataEntries"/>
            </w:pPr>
            <w:r w:rsidRPr="00466D4C">
              <w:t xml:space="preserve"> 219.02</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348823" w14:textId="77777777" w:rsidR="000721C9" w:rsidRPr="00466D4C" w:rsidRDefault="000721C9" w:rsidP="00466D4C">
            <w:pPr>
              <w:pStyle w:val="TableDataEntries"/>
            </w:pPr>
            <w:r w:rsidRPr="00466D4C">
              <w:t xml:space="preserve"> 85.57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57983B" w14:textId="77777777" w:rsidR="000721C9" w:rsidRPr="00466D4C" w:rsidRDefault="000721C9" w:rsidP="00466D4C">
            <w:pPr>
              <w:pStyle w:val="TableDataEntries"/>
            </w:pPr>
            <w:r w:rsidRPr="00466D4C">
              <w:t xml:space="preserve"> 116.17</w:t>
            </w:r>
          </w:p>
        </w:tc>
      </w:tr>
      <w:tr w:rsidR="000721C9" w14:paraId="5540C2A4"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4E07D2" w14:textId="77777777" w:rsidR="000721C9" w:rsidRDefault="000721C9" w:rsidP="000721C9">
            <w:pPr>
              <w:pStyle w:val="TableDataEntries"/>
              <w:jc w:val="left"/>
            </w:pPr>
            <w:r>
              <w:t>Visitability benefits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8EAE85" w14:textId="77777777" w:rsidR="000721C9" w:rsidRPr="00466D4C" w:rsidRDefault="000721C9" w:rsidP="00466D4C">
            <w:pPr>
              <w:pStyle w:val="TableDataEntries"/>
            </w:pPr>
            <w:r w:rsidRPr="00466D4C">
              <w:t xml:space="preserve"> 112.79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CA1D19" w14:textId="77777777" w:rsidR="000721C9" w:rsidRPr="00466D4C" w:rsidRDefault="000721C9" w:rsidP="00466D4C">
            <w:pPr>
              <w:pStyle w:val="TableDataEntries"/>
            </w:pPr>
            <w:r w:rsidRPr="00466D4C">
              <w:t xml:space="preserve"> 147.48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CB40CA" w14:textId="77777777" w:rsidR="000721C9" w:rsidRPr="00466D4C" w:rsidRDefault="000721C9" w:rsidP="00466D4C">
            <w:pPr>
              <w:pStyle w:val="TableDataEntries"/>
            </w:pPr>
            <w:r w:rsidRPr="00466D4C">
              <w:t xml:space="preserve"> 148.01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817732" w14:textId="77777777" w:rsidR="000721C9" w:rsidRPr="00466D4C" w:rsidRDefault="000721C9" w:rsidP="00466D4C">
            <w:pPr>
              <w:pStyle w:val="TableDataEntries"/>
            </w:pPr>
            <w:r w:rsidRPr="00466D4C">
              <w:t xml:space="preserve"> 33.78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C6B5FF" w14:textId="77777777" w:rsidR="000721C9" w:rsidRPr="00466D4C" w:rsidRDefault="000721C9" w:rsidP="00466D4C">
            <w:pPr>
              <w:pStyle w:val="TableDataEntries"/>
            </w:pPr>
            <w:r w:rsidRPr="00466D4C">
              <w:t xml:space="preserve"> 0.00</w:t>
            </w:r>
          </w:p>
        </w:tc>
      </w:tr>
      <w:tr w:rsidR="000721C9" w14:paraId="50374012"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77E09A" w14:textId="77777777" w:rsidR="000721C9" w:rsidRDefault="00E24C3A" w:rsidP="000721C9">
            <w:pPr>
              <w:pStyle w:val="TableDataEntries"/>
              <w:jc w:val="left"/>
            </w:pPr>
            <w:r>
              <w:t>Benefits for f</w:t>
            </w:r>
            <w:r w:rsidR="000721C9">
              <w:t>amilies with young depend</w:t>
            </w:r>
            <w:r w:rsidR="003F2BCB">
              <w:t>a</w:t>
            </w:r>
            <w:r w:rsidR="000721C9">
              <w:t>nts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F03151" w14:textId="77777777" w:rsidR="000721C9" w:rsidRPr="00466D4C" w:rsidRDefault="000721C9" w:rsidP="00466D4C">
            <w:pPr>
              <w:pStyle w:val="TableDataEntries"/>
            </w:pPr>
            <w:r w:rsidRPr="00466D4C">
              <w:t xml:space="preserve"> 0.86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A09AD5" w14:textId="77777777" w:rsidR="000721C9" w:rsidRPr="00466D4C" w:rsidRDefault="000721C9" w:rsidP="00466D4C">
            <w:pPr>
              <w:pStyle w:val="TableDataEntries"/>
            </w:pPr>
            <w:r w:rsidRPr="00466D4C">
              <w:t xml:space="preserve"> 1.13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60D63F" w14:textId="77777777" w:rsidR="000721C9" w:rsidRPr="00466D4C" w:rsidRDefault="000721C9" w:rsidP="00466D4C">
            <w:pPr>
              <w:pStyle w:val="TableDataEntries"/>
            </w:pPr>
            <w:r w:rsidRPr="00466D4C">
              <w:t xml:space="preserve"> 1.13</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07D27A" w14:textId="77777777" w:rsidR="000721C9" w:rsidRPr="00466D4C" w:rsidRDefault="000721C9" w:rsidP="00466D4C">
            <w:pPr>
              <w:pStyle w:val="TableDataEntries"/>
            </w:pPr>
            <w:r w:rsidRPr="00466D4C">
              <w:t xml:space="preserve"> 0.26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2276E1" w14:textId="77777777" w:rsidR="000721C9" w:rsidRPr="00466D4C" w:rsidRDefault="000721C9" w:rsidP="00466D4C">
            <w:pPr>
              <w:pStyle w:val="TableDataEntries"/>
            </w:pPr>
            <w:r w:rsidRPr="00466D4C">
              <w:t xml:space="preserve"> 0.00</w:t>
            </w:r>
          </w:p>
        </w:tc>
      </w:tr>
      <w:tr w:rsidR="000721C9" w14:paraId="06466A74"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A1E46D" w14:textId="77777777" w:rsidR="000721C9" w:rsidRDefault="008C3117" w:rsidP="000721C9">
            <w:pPr>
              <w:pStyle w:val="TableDataEntries"/>
              <w:jc w:val="left"/>
            </w:pPr>
            <w:r>
              <w:lastRenderedPageBreak/>
              <w:t>Benefits for s</w:t>
            </w:r>
            <w:r w:rsidR="000721C9">
              <w:t>hort-term injuries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C52D65" w14:textId="77777777" w:rsidR="000721C9" w:rsidRPr="00466D4C" w:rsidRDefault="000721C9" w:rsidP="00466D4C">
            <w:pPr>
              <w:pStyle w:val="TableDataEntries"/>
            </w:pPr>
            <w:r w:rsidRPr="00466D4C">
              <w:t xml:space="preserve"> 39.15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6B6902" w14:textId="77777777" w:rsidR="000721C9" w:rsidRPr="00466D4C" w:rsidRDefault="000721C9" w:rsidP="00466D4C">
            <w:pPr>
              <w:pStyle w:val="TableDataEntries"/>
            </w:pPr>
            <w:r w:rsidRPr="00466D4C">
              <w:t xml:space="preserve"> 51.19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A87275" w14:textId="77777777" w:rsidR="000721C9" w:rsidRPr="00466D4C" w:rsidRDefault="000721C9" w:rsidP="00466D4C">
            <w:pPr>
              <w:pStyle w:val="TableDataEntries"/>
            </w:pPr>
            <w:r w:rsidRPr="00466D4C">
              <w:t xml:space="preserve"> 51.37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3BA860" w14:textId="77777777" w:rsidR="000721C9" w:rsidRPr="00466D4C" w:rsidRDefault="000721C9" w:rsidP="00466D4C">
            <w:pPr>
              <w:pStyle w:val="TableDataEntries"/>
            </w:pPr>
            <w:r w:rsidRPr="00466D4C">
              <w:t xml:space="preserve"> 11.73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B75BB8" w14:textId="77777777" w:rsidR="000721C9" w:rsidRPr="00466D4C" w:rsidRDefault="000721C9" w:rsidP="00466D4C">
            <w:pPr>
              <w:pStyle w:val="TableDataEntries"/>
            </w:pPr>
            <w:r w:rsidRPr="00466D4C">
              <w:t xml:space="preserve"> 0.00</w:t>
            </w:r>
          </w:p>
        </w:tc>
      </w:tr>
      <w:tr w:rsidR="000721C9" w:rsidRPr="00466D4C" w14:paraId="12E697DB" w14:textId="77777777" w:rsidTr="0014314A">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6E97FD" w14:textId="77777777" w:rsidR="000721C9" w:rsidRPr="00466D4C" w:rsidRDefault="000721C9" w:rsidP="000721C9">
            <w:pPr>
              <w:pStyle w:val="TableDataEntries"/>
              <w:jc w:val="left"/>
              <w:rPr>
                <w:rFonts w:ascii="Franklin Gothic Demi" w:hAnsi="Franklin Gothic Demi"/>
              </w:rPr>
            </w:pPr>
            <w:r w:rsidRPr="00466D4C">
              <w:rPr>
                <w:rFonts w:ascii="Franklin Gothic Demi" w:hAnsi="Franklin Gothic Demi"/>
              </w:rPr>
              <w:t>Total benefits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C9B96C" w14:textId="77777777" w:rsidR="000721C9" w:rsidRPr="00466D4C" w:rsidRDefault="000721C9" w:rsidP="00466D4C">
            <w:pPr>
              <w:pStyle w:val="TableDataEntries"/>
              <w:rPr>
                <w:rFonts w:ascii="Franklin Gothic Demi" w:hAnsi="Franklin Gothic Demi"/>
              </w:rPr>
            </w:pPr>
            <w:r w:rsidRPr="00466D4C">
              <w:rPr>
                <w:rFonts w:ascii="Franklin Gothic Demi" w:hAnsi="Franklin Gothic Demi"/>
              </w:rPr>
              <w:t>2 680.50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DB4F62" w14:textId="77777777" w:rsidR="000721C9" w:rsidRPr="00466D4C" w:rsidRDefault="000721C9" w:rsidP="00466D4C">
            <w:pPr>
              <w:pStyle w:val="TableDataEntries"/>
              <w:rPr>
                <w:rFonts w:ascii="Franklin Gothic Demi" w:hAnsi="Franklin Gothic Demi"/>
              </w:rPr>
            </w:pPr>
            <w:r w:rsidRPr="00466D4C">
              <w:rPr>
                <w:rFonts w:ascii="Franklin Gothic Demi" w:hAnsi="Franklin Gothic Demi"/>
              </w:rPr>
              <w:t>4 570.28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8132D9" w14:textId="77777777" w:rsidR="000721C9" w:rsidRPr="00466D4C" w:rsidRDefault="000721C9" w:rsidP="00466D4C">
            <w:pPr>
              <w:pStyle w:val="TableDataEntries"/>
              <w:rPr>
                <w:rFonts w:ascii="Franklin Gothic Demi" w:hAnsi="Franklin Gothic Demi"/>
              </w:rPr>
            </w:pPr>
            <w:r w:rsidRPr="00466D4C">
              <w:rPr>
                <w:rFonts w:ascii="Franklin Gothic Demi" w:hAnsi="Franklin Gothic Demi"/>
              </w:rPr>
              <w:t>4 586.61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889D46" w14:textId="77777777" w:rsidR="000721C9" w:rsidRPr="00466D4C" w:rsidRDefault="000721C9" w:rsidP="00466D4C">
            <w:pPr>
              <w:pStyle w:val="TableDataEntries"/>
              <w:rPr>
                <w:rFonts w:ascii="Franklin Gothic Demi" w:hAnsi="Franklin Gothic Demi"/>
              </w:rPr>
            </w:pPr>
            <w:r w:rsidRPr="00466D4C">
              <w:rPr>
                <w:rFonts w:ascii="Franklin Gothic Demi" w:hAnsi="Franklin Gothic Demi"/>
              </w:rPr>
              <w:t>1 759.95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067C98" w14:textId="77777777" w:rsidR="000721C9" w:rsidRPr="00466D4C" w:rsidRDefault="000721C9" w:rsidP="00466D4C">
            <w:pPr>
              <w:pStyle w:val="TableDataEntries"/>
              <w:rPr>
                <w:rFonts w:ascii="Franklin Gothic Demi" w:hAnsi="Franklin Gothic Demi"/>
              </w:rPr>
            </w:pPr>
            <w:r w:rsidRPr="00466D4C">
              <w:rPr>
                <w:rFonts w:ascii="Franklin Gothic Demi" w:hAnsi="Franklin Gothic Demi"/>
              </w:rPr>
              <w:t>2 274.47</w:t>
            </w:r>
          </w:p>
        </w:tc>
      </w:tr>
      <w:tr w:rsidR="000721C9" w14:paraId="0DBC279B"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35C6EB9" w14:textId="77777777" w:rsidR="000721C9" w:rsidRDefault="000721C9" w:rsidP="000721C9">
            <w:pPr>
              <w:pStyle w:val="TableHeading1"/>
            </w:pPr>
            <w:r>
              <w:t>Costs</w:t>
            </w: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C107197" w14:textId="77777777" w:rsidR="000721C9" w:rsidRDefault="000721C9" w:rsidP="00466D4C">
            <w:pPr>
              <w:pStyle w:val="TableDataEntries"/>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DE2AB83" w14:textId="77777777" w:rsidR="000721C9" w:rsidRDefault="000721C9" w:rsidP="00466D4C">
            <w:pPr>
              <w:pStyle w:val="TableDataEntries"/>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BDA8B98" w14:textId="77777777" w:rsidR="000721C9" w:rsidRDefault="000721C9" w:rsidP="00466D4C">
            <w:pPr>
              <w:pStyle w:val="TableDataEntries"/>
            </w:pPr>
          </w:p>
        </w:tc>
        <w:tc>
          <w:tcPr>
            <w:tcW w:w="9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A2A193E" w14:textId="77777777" w:rsidR="000721C9" w:rsidRDefault="000721C9" w:rsidP="00466D4C">
            <w:pPr>
              <w:pStyle w:val="TableDataEntries"/>
            </w:pPr>
          </w:p>
        </w:tc>
        <w:tc>
          <w:tcPr>
            <w:tcW w:w="9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C171CE4" w14:textId="77777777" w:rsidR="000721C9" w:rsidRDefault="000721C9" w:rsidP="00466D4C">
            <w:pPr>
              <w:pStyle w:val="TableDataEntries"/>
            </w:pPr>
          </w:p>
        </w:tc>
      </w:tr>
      <w:tr w:rsidR="000721C9" w14:paraId="4B7C34BD"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481172" w14:textId="77777777" w:rsidR="000721C9" w:rsidRDefault="000721C9" w:rsidP="000721C9">
            <w:pPr>
              <w:pStyle w:val="TableDataEntries"/>
              <w:jc w:val="left"/>
            </w:pPr>
            <w:r>
              <w:t>Construction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D1F55E" w14:textId="77777777" w:rsidR="000721C9" w:rsidRPr="00466D4C" w:rsidRDefault="000721C9" w:rsidP="00466D4C">
            <w:pPr>
              <w:pStyle w:val="TableDataEntries"/>
            </w:pPr>
            <w:r w:rsidRPr="00466D4C">
              <w:t>-5 243.10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BEDE68" w14:textId="77777777" w:rsidR="000721C9" w:rsidRPr="00466D4C" w:rsidRDefault="000721C9" w:rsidP="00466D4C">
            <w:pPr>
              <w:pStyle w:val="TableDataEntries"/>
            </w:pPr>
            <w:r w:rsidRPr="00466D4C">
              <w:t>-17 906.95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670BA7" w14:textId="77777777" w:rsidR="000721C9" w:rsidRPr="00466D4C" w:rsidRDefault="000721C9" w:rsidP="00466D4C">
            <w:pPr>
              <w:pStyle w:val="TableDataEntries"/>
            </w:pPr>
            <w:r w:rsidRPr="00466D4C">
              <w:t>-23 591.51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36F7A3" w14:textId="77777777" w:rsidR="000721C9" w:rsidRPr="00466D4C" w:rsidRDefault="000721C9" w:rsidP="00466D4C">
            <w:pPr>
              <w:pStyle w:val="TableDataEntries"/>
            </w:pPr>
            <w:r w:rsidRPr="00466D4C">
              <w:t>-4 699.84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C6E641" w14:textId="77777777" w:rsidR="000721C9" w:rsidRPr="00466D4C" w:rsidRDefault="000721C9" w:rsidP="00466D4C">
            <w:pPr>
              <w:pStyle w:val="TableDataEntries"/>
            </w:pPr>
            <w:r w:rsidRPr="00466D4C">
              <w:t xml:space="preserve"> 0.00</w:t>
            </w:r>
          </w:p>
        </w:tc>
      </w:tr>
      <w:tr w:rsidR="000721C9" w14:paraId="7FCCAFC0"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000A6D" w14:textId="77777777" w:rsidR="000721C9" w:rsidRDefault="000721C9" w:rsidP="000721C9">
            <w:pPr>
              <w:pStyle w:val="TableDataEntries"/>
              <w:jc w:val="left"/>
            </w:pPr>
            <w:r>
              <w:t>Opportunity cost of space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9CFAA5" w14:textId="77777777" w:rsidR="000721C9" w:rsidRPr="00466D4C" w:rsidRDefault="000721C9" w:rsidP="00466D4C">
            <w:pPr>
              <w:pStyle w:val="TableDataEntries"/>
            </w:pPr>
            <w:r w:rsidRPr="00466D4C">
              <w:t>-1 255.38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48804E" w14:textId="77777777" w:rsidR="000721C9" w:rsidRPr="00466D4C" w:rsidRDefault="000721C9" w:rsidP="00466D4C">
            <w:pPr>
              <w:pStyle w:val="TableDataEntries"/>
            </w:pPr>
            <w:r w:rsidRPr="00466D4C">
              <w:t>-7 709.42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6F0D8C" w14:textId="77777777" w:rsidR="000721C9" w:rsidRPr="00466D4C" w:rsidRDefault="000721C9" w:rsidP="00466D4C">
            <w:pPr>
              <w:pStyle w:val="TableDataEntries"/>
            </w:pPr>
            <w:r w:rsidRPr="00466D4C">
              <w:t>-9 393.51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678C32" w14:textId="77777777" w:rsidR="000721C9" w:rsidRPr="00466D4C" w:rsidRDefault="000721C9" w:rsidP="00466D4C">
            <w:pPr>
              <w:pStyle w:val="TableDataEntries"/>
            </w:pPr>
            <w:r w:rsidRPr="00466D4C">
              <w:t>-7 596.93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7A6049" w14:textId="77777777" w:rsidR="000721C9" w:rsidRPr="00466D4C" w:rsidRDefault="000721C9" w:rsidP="00466D4C">
            <w:pPr>
              <w:pStyle w:val="TableDataEntries"/>
            </w:pPr>
            <w:r w:rsidRPr="00466D4C">
              <w:t xml:space="preserve"> 0.00</w:t>
            </w:r>
          </w:p>
        </w:tc>
      </w:tr>
      <w:tr w:rsidR="00915A1C" w14:paraId="1581B33B"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7F53C8" w14:textId="77777777" w:rsidR="00915A1C" w:rsidRDefault="00915A1C" w:rsidP="00915A1C">
            <w:pPr>
              <w:pStyle w:val="TableDataEntries"/>
              <w:jc w:val="left"/>
            </w:pPr>
            <w:r>
              <w:t>Compliance verification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BE0363" w14:textId="77777777" w:rsidR="00915A1C" w:rsidRPr="00466D4C" w:rsidRDefault="00915A1C" w:rsidP="00915A1C">
            <w:pPr>
              <w:pStyle w:val="TableDataEntries"/>
            </w:pPr>
            <w:r>
              <w:t>- 290.49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94BDBC" w14:textId="77777777" w:rsidR="00915A1C" w:rsidRPr="00466D4C" w:rsidRDefault="00915A1C" w:rsidP="00915A1C">
            <w:pPr>
              <w:pStyle w:val="TableDataEntries"/>
            </w:pPr>
            <w:r>
              <w:t>- 290.49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3FCE29" w14:textId="77777777" w:rsidR="00915A1C" w:rsidRPr="00466D4C" w:rsidRDefault="00915A1C" w:rsidP="00915A1C">
            <w:pPr>
              <w:pStyle w:val="TableDataEntries"/>
            </w:pPr>
            <w:r>
              <w:t>- 290.49</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D4ADDA" w14:textId="77777777" w:rsidR="00915A1C" w:rsidRPr="00466D4C" w:rsidRDefault="00915A1C" w:rsidP="00915A1C">
            <w:pPr>
              <w:pStyle w:val="TableDataEntries"/>
            </w:pPr>
            <w:r>
              <w:t>- 83.82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1E2516" w14:textId="77777777" w:rsidR="00915A1C" w:rsidRPr="00466D4C" w:rsidRDefault="00915A1C" w:rsidP="00915A1C">
            <w:pPr>
              <w:pStyle w:val="TableDataEntries"/>
            </w:pPr>
            <w:r>
              <w:t xml:space="preserve"> 0.00</w:t>
            </w:r>
          </w:p>
        </w:tc>
      </w:tr>
      <w:tr w:rsidR="00915A1C" w14:paraId="38FBCA0B"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C5AA30" w14:textId="77777777" w:rsidR="00915A1C" w:rsidRDefault="00915A1C" w:rsidP="00915A1C">
            <w:pPr>
              <w:pStyle w:val="TableDataEntries"/>
              <w:jc w:val="left"/>
            </w:pPr>
            <w:r>
              <w:t>Industry re-training costs</w:t>
            </w:r>
            <w:r w:rsidRPr="00DF7B3F">
              <w:rPr>
                <w:rStyle w:val="NoteLabel"/>
              </w:rPr>
              <w:t xml:space="preserve"> </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1EBF6A" w14:textId="77777777" w:rsidR="00915A1C" w:rsidRPr="00466D4C" w:rsidRDefault="00915A1C" w:rsidP="00915A1C">
            <w:pPr>
              <w:pStyle w:val="TableDataEntries"/>
            </w:pPr>
            <w:r>
              <w:t>- 28.47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A22665" w14:textId="77777777" w:rsidR="00915A1C" w:rsidRPr="00466D4C" w:rsidRDefault="00915A1C" w:rsidP="00915A1C">
            <w:pPr>
              <w:pStyle w:val="TableDataEntries"/>
            </w:pPr>
            <w:r>
              <w:t>- 28.47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A79ED8" w14:textId="77777777" w:rsidR="00915A1C" w:rsidRPr="00466D4C" w:rsidRDefault="00915A1C" w:rsidP="00915A1C">
            <w:pPr>
              <w:pStyle w:val="TableDataEntries"/>
            </w:pPr>
            <w:r>
              <w:t>- 28.47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85C07A" w14:textId="77777777" w:rsidR="00915A1C" w:rsidRPr="00466D4C" w:rsidRDefault="00915A1C" w:rsidP="00915A1C">
            <w:pPr>
              <w:pStyle w:val="TableDataEntries"/>
            </w:pPr>
            <w:r>
              <w:t>- 28.47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35D365" w14:textId="77777777" w:rsidR="00915A1C" w:rsidRPr="00466D4C" w:rsidRDefault="00915A1C" w:rsidP="00915A1C">
            <w:pPr>
              <w:pStyle w:val="TableDataEntries"/>
            </w:pPr>
            <w:r>
              <w:t xml:space="preserve"> 0.00</w:t>
            </w:r>
          </w:p>
        </w:tc>
      </w:tr>
      <w:tr w:rsidR="00915A1C" w14:paraId="6DE5D278"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82E7AE" w14:textId="77777777" w:rsidR="00915A1C" w:rsidRDefault="00915A1C" w:rsidP="00915A1C">
            <w:pPr>
              <w:pStyle w:val="TableDataEntries"/>
              <w:jc w:val="left"/>
            </w:pPr>
            <w:r>
              <w:t>Subsidy</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FED653" w14:textId="77777777" w:rsidR="00915A1C" w:rsidRPr="00466D4C" w:rsidRDefault="00915A1C" w:rsidP="00915A1C">
            <w:pPr>
              <w:pStyle w:val="TableDataEntries"/>
            </w:pPr>
            <w:r>
              <w:t xml:space="preserve"> 0.00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711F5F" w14:textId="77777777" w:rsidR="00915A1C" w:rsidRPr="00466D4C" w:rsidRDefault="00915A1C" w:rsidP="00915A1C">
            <w:pPr>
              <w:pStyle w:val="TableDataEntries"/>
            </w:pPr>
            <w:r>
              <w:t xml:space="preserve"> 0.00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CD44AC" w14:textId="77777777" w:rsidR="00915A1C" w:rsidRPr="00466D4C" w:rsidRDefault="00915A1C" w:rsidP="00915A1C">
            <w:pPr>
              <w:pStyle w:val="TableDataEntries"/>
            </w:pPr>
            <w:r>
              <w:t xml:space="preserve"> 0.00</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D0470F" w14:textId="77777777" w:rsidR="00915A1C" w:rsidRPr="00466D4C" w:rsidRDefault="00915A1C" w:rsidP="00915A1C">
            <w:pPr>
              <w:pStyle w:val="TableDataEntries"/>
            </w:pPr>
            <w:r>
              <w:t xml:space="preserve"> 0.00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42FCB7" w14:textId="77777777" w:rsidR="00915A1C" w:rsidRPr="00466D4C" w:rsidRDefault="00915A1C" w:rsidP="00915A1C">
            <w:pPr>
              <w:pStyle w:val="TableDataEntries"/>
            </w:pPr>
            <w:r>
              <w:t>-1 076.70</w:t>
            </w:r>
          </w:p>
        </w:tc>
      </w:tr>
      <w:tr w:rsidR="00915A1C" w:rsidRPr="00466D4C" w14:paraId="2AD12172" w14:textId="77777777" w:rsidTr="00D6774F">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C82534" w14:textId="77777777" w:rsidR="00915A1C" w:rsidRPr="00466D4C" w:rsidRDefault="00915A1C" w:rsidP="00915A1C">
            <w:pPr>
              <w:pStyle w:val="TableDataEntries"/>
              <w:jc w:val="left"/>
              <w:rPr>
                <w:rFonts w:ascii="Franklin Gothic Demi" w:hAnsi="Franklin Gothic Demi"/>
              </w:rPr>
            </w:pPr>
            <w:r w:rsidRPr="00466D4C">
              <w:rPr>
                <w:rFonts w:ascii="Franklin Gothic Demi" w:hAnsi="Franklin Gothic Demi"/>
              </w:rPr>
              <w:t>Total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480D0A" w14:textId="77777777" w:rsidR="00915A1C" w:rsidRPr="00466D4C" w:rsidRDefault="00915A1C" w:rsidP="00915A1C">
            <w:pPr>
              <w:pStyle w:val="TableDataEntries"/>
              <w:rPr>
                <w:rFonts w:ascii="Franklin Gothic Demi" w:hAnsi="Franklin Gothic Demi"/>
              </w:rPr>
            </w:pPr>
            <w:r>
              <w:rPr>
                <w:rFonts w:ascii="Franklin Gothic Demi" w:hAnsi="Franklin Gothic Demi"/>
              </w:rPr>
              <w:t>-6 817.44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29079C" w14:textId="77777777" w:rsidR="00915A1C" w:rsidRPr="00466D4C" w:rsidRDefault="00915A1C" w:rsidP="00915A1C">
            <w:pPr>
              <w:pStyle w:val="TableDataEntries"/>
              <w:rPr>
                <w:rFonts w:ascii="Franklin Gothic Demi" w:hAnsi="Franklin Gothic Demi"/>
              </w:rPr>
            </w:pPr>
            <w:r>
              <w:rPr>
                <w:rFonts w:ascii="Franklin Gothic Demi" w:hAnsi="Franklin Gothic Demi"/>
              </w:rPr>
              <w:t>-25 935.33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15B063" w14:textId="77777777" w:rsidR="00915A1C" w:rsidRPr="00466D4C" w:rsidRDefault="00915A1C" w:rsidP="00915A1C">
            <w:pPr>
              <w:pStyle w:val="TableDataEntries"/>
              <w:rPr>
                <w:rFonts w:ascii="Franklin Gothic Demi" w:hAnsi="Franklin Gothic Demi"/>
              </w:rPr>
            </w:pPr>
            <w:r>
              <w:rPr>
                <w:rFonts w:ascii="Franklin Gothic Demi" w:hAnsi="Franklin Gothic Demi"/>
              </w:rPr>
              <w:t>-33 303.98</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1C68BB" w14:textId="77777777" w:rsidR="00915A1C" w:rsidRPr="00466D4C" w:rsidRDefault="00915A1C" w:rsidP="00915A1C">
            <w:pPr>
              <w:pStyle w:val="TableDataEntries"/>
              <w:rPr>
                <w:rFonts w:ascii="Franklin Gothic Demi" w:hAnsi="Franklin Gothic Demi"/>
              </w:rPr>
            </w:pPr>
            <w:r>
              <w:rPr>
                <w:rFonts w:ascii="Franklin Gothic Demi" w:hAnsi="Franklin Gothic Demi"/>
              </w:rPr>
              <w:t>-12 409.06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EAB291" w14:textId="77777777" w:rsidR="00915A1C" w:rsidRPr="00466D4C" w:rsidRDefault="00915A1C" w:rsidP="00915A1C">
            <w:pPr>
              <w:pStyle w:val="TableDataEntries"/>
              <w:rPr>
                <w:rFonts w:ascii="Franklin Gothic Demi" w:hAnsi="Franklin Gothic Demi"/>
              </w:rPr>
            </w:pPr>
            <w:r>
              <w:rPr>
                <w:rFonts w:ascii="Franklin Gothic Demi" w:hAnsi="Franklin Gothic Demi"/>
              </w:rPr>
              <w:t>-1 076.70</w:t>
            </w:r>
          </w:p>
        </w:tc>
      </w:tr>
      <w:tr w:rsidR="00915A1C" w:rsidRPr="00466D4C" w14:paraId="11A2F426" w14:textId="77777777" w:rsidTr="0014314A">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3FCD1CE" w14:textId="77777777" w:rsidR="00915A1C" w:rsidRPr="00466D4C" w:rsidRDefault="00915A1C" w:rsidP="00915A1C">
            <w:pPr>
              <w:pStyle w:val="TableDataEntries"/>
              <w:jc w:val="left"/>
              <w:rPr>
                <w:rFonts w:ascii="Franklin Gothic Demi" w:hAnsi="Franklin Gothic Demi"/>
              </w:rPr>
            </w:pPr>
            <w:r w:rsidRPr="00466D4C">
              <w:rPr>
                <w:rFonts w:ascii="Franklin Gothic Demi" w:hAnsi="Franklin Gothic Demi"/>
              </w:rPr>
              <w:t>Net benefit/costs</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50998F1" w14:textId="77777777" w:rsidR="00915A1C" w:rsidRPr="00466D4C" w:rsidRDefault="00915A1C" w:rsidP="00915A1C">
            <w:pPr>
              <w:pStyle w:val="TableDataEntries"/>
              <w:rPr>
                <w:rFonts w:ascii="Franklin Gothic Demi" w:hAnsi="Franklin Gothic Demi"/>
              </w:rPr>
            </w:pPr>
            <w:r>
              <w:rPr>
                <w:rFonts w:ascii="Franklin Gothic Demi" w:hAnsi="Franklin Gothic Demi"/>
              </w:rPr>
              <w:t>-4 136.94</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C3D0581" w14:textId="77777777" w:rsidR="00915A1C" w:rsidRPr="00466D4C" w:rsidRDefault="00915A1C" w:rsidP="00915A1C">
            <w:pPr>
              <w:pStyle w:val="TableDataEntries"/>
              <w:rPr>
                <w:rFonts w:ascii="Franklin Gothic Demi" w:hAnsi="Franklin Gothic Demi"/>
              </w:rPr>
            </w:pPr>
            <w:r>
              <w:rPr>
                <w:rFonts w:ascii="Franklin Gothic Demi" w:hAnsi="Franklin Gothic Demi"/>
              </w:rPr>
              <w:t>-21 365.05</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C09094B" w14:textId="77777777" w:rsidR="00915A1C" w:rsidRPr="00466D4C" w:rsidRDefault="00915A1C" w:rsidP="00915A1C">
            <w:pPr>
              <w:pStyle w:val="TableDataEntries"/>
              <w:rPr>
                <w:rFonts w:ascii="Franklin Gothic Demi" w:hAnsi="Franklin Gothic Demi"/>
              </w:rPr>
            </w:pPr>
            <w:r>
              <w:rPr>
                <w:rFonts w:ascii="Franklin Gothic Demi" w:hAnsi="Franklin Gothic Demi"/>
              </w:rPr>
              <w:t>-28 717.37</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1B65D82" w14:textId="77777777" w:rsidR="00915A1C" w:rsidRPr="00466D4C" w:rsidRDefault="00915A1C" w:rsidP="00915A1C">
            <w:pPr>
              <w:pStyle w:val="TableDataEntries"/>
              <w:rPr>
                <w:rFonts w:ascii="Franklin Gothic Demi" w:hAnsi="Franklin Gothic Demi"/>
              </w:rPr>
            </w:pPr>
            <w:r>
              <w:rPr>
                <w:rFonts w:ascii="Franklin Gothic Demi" w:hAnsi="Franklin Gothic Demi"/>
              </w:rPr>
              <w:t>-10 649.11</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C2E2734" w14:textId="77777777" w:rsidR="00915A1C" w:rsidRPr="00466D4C" w:rsidRDefault="00915A1C" w:rsidP="00915A1C">
            <w:pPr>
              <w:pStyle w:val="TableDataEntries"/>
              <w:rPr>
                <w:rFonts w:ascii="Franklin Gothic Demi" w:hAnsi="Franklin Gothic Demi"/>
              </w:rPr>
            </w:pPr>
            <w:r>
              <w:rPr>
                <w:rFonts w:ascii="Franklin Gothic Demi" w:hAnsi="Franklin Gothic Demi"/>
              </w:rPr>
              <w:t>1 197.77</w:t>
            </w:r>
          </w:p>
        </w:tc>
      </w:tr>
      <w:tr w:rsidR="00915A1C" w:rsidRPr="00466D4C" w14:paraId="55BFD566" w14:textId="77777777" w:rsidTr="0014314A">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37D0BD4" w14:textId="77777777" w:rsidR="00915A1C" w:rsidRPr="00466D4C" w:rsidRDefault="00915A1C" w:rsidP="00915A1C">
            <w:pPr>
              <w:pStyle w:val="TableDataEntries"/>
              <w:jc w:val="left"/>
              <w:rPr>
                <w:rFonts w:ascii="Franklin Gothic Demi" w:hAnsi="Franklin Gothic Demi"/>
              </w:rPr>
            </w:pPr>
            <w:r w:rsidRPr="00466D4C">
              <w:rPr>
                <w:rFonts w:ascii="Franklin Gothic Demi" w:hAnsi="Franklin Gothic Demi"/>
              </w:rPr>
              <w:t>Benefit-cost ratio</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F3B9C6E" w14:textId="77777777" w:rsidR="00915A1C" w:rsidRPr="00466D4C" w:rsidRDefault="00915A1C" w:rsidP="00915A1C">
            <w:pPr>
              <w:pStyle w:val="TableDataEntries"/>
              <w:rPr>
                <w:rFonts w:ascii="Franklin Gothic Demi" w:hAnsi="Franklin Gothic Demi"/>
              </w:rPr>
            </w:pPr>
            <w:r>
              <w:rPr>
                <w:rFonts w:ascii="Franklin Gothic Demi" w:hAnsi="Franklin Gothic Demi"/>
              </w:rPr>
              <w:t>0.39</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CED0EB1" w14:textId="77777777" w:rsidR="00915A1C" w:rsidRPr="00466D4C" w:rsidRDefault="00915A1C" w:rsidP="00915A1C">
            <w:pPr>
              <w:pStyle w:val="TableDataEntries"/>
              <w:rPr>
                <w:rFonts w:ascii="Franklin Gothic Demi" w:hAnsi="Franklin Gothic Demi"/>
              </w:rPr>
            </w:pPr>
            <w:r>
              <w:rPr>
                <w:rFonts w:ascii="Franklin Gothic Demi" w:hAnsi="Franklin Gothic Demi"/>
              </w:rPr>
              <w:t>0.18</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D5950E6" w14:textId="77777777" w:rsidR="00915A1C" w:rsidRPr="00466D4C" w:rsidRDefault="00915A1C" w:rsidP="00915A1C">
            <w:pPr>
              <w:pStyle w:val="TableDataEntries"/>
              <w:rPr>
                <w:rFonts w:ascii="Franklin Gothic Demi" w:hAnsi="Franklin Gothic Demi"/>
              </w:rPr>
            </w:pPr>
            <w:r>
              <w:rPr>
                <w:rFonts w:ascii="Franklin Gothic Demi" w:hAnsi="Franklin Gothic Demi"/>
              </w:rPr>
              <w:t>0.14</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6817506" w14:textId="77777777" w:rsidR="00915A1C" w:rsidRPr="00466D4C" w:rsidRDefault="00915A1C" w:rsidP="00915A1C">
            <w:pPr>
              <w:pStyle w:val="TableDataEntries"/>
              <w:rPr>
                <w:rFonts w:ascii="Franklin Gothic Demi" w:hAnsi="Franklin Gothic Demi"/>
              </w:rPr>
            </w:pPr>
            <w:r>
              <w:rPr>
                <w:rFonts w:ascii="Franklin Gothic Demi" w:hAnsi="Franklin Gothic Demi"/>
              </w:rPr>
              <w:t>0.14</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F734F8F" w14:textId="77777777" w:rsidR="00915A1C" w:rsidRPr="00466D4C" w:rsidRDefault="00915A1C" w:rsidP="00915A1C">
            <w:pPr>
              <w:pStyle w:val="TableDataEntries"/>
              <w:rPr>
                <w:rFonts w:ascii="Franklin Gothic Demi" w:hAnsi="Franklin Gothic Demi"/>
              </w:rPr>
            </w:pPr>
            <w:r>
              <w:rPr>
                <w:rFonts w:ascii="Franklin Gothic Demi" w:hAnsi="Franklin Gothic Demi"/>
              </w:rPr>
              <w:t>2.11</w:t>
            </w:r>
          </w:p>
        </w:tc>
      </w:tr>
    </w:tbl>
    <w:p w14:paraId="3B6A8997" w14:textId="77777777" w:rsidR="008A659F" w:rsidRDefault="008A659F" w:rsidP="008A659F">
      <w:pPr>
        <w:pStyle w:val="Note"/>
        <w:rPr>
          <w:iCs/>
        </w:rPr>
      </w:pPr>
      <w:r w:rsidRPr="00DF7B3F">
        <w:rPr>
          <w:rStyle w:val="NoteLabel"/>
        </w:rPr>
        <w:t>a</w:t>
      </w:r>
      <w:r w:rsidRPr="00DF7B3F">
        <w:rPr>
          <w:iCs/>
        </w:rPr>
        <w:t xml:space="preserve"> </w:t>
      </w:r>
      <w:r>
        <w:t>For Option 5, the proposed subsidy covers the value of industry costs, which are assumed to be willingly adopted.</w:t>
      </w:r>
    </w:p>
    <w:p w14:paraId="012D300A" w14:textId="77777777" w:rsidR="001037D4" w:rsidRDefault="001037D4" w:rsidP="001037D4">
      <w:pPr>
        <w:pStyle w:val="Note"/>
        <w:rPr>
          <w:lang w:bidi="fa-IR"/>
        </w:rPr>
      </w:pPr>
      <w:r w:rsidRPr="007D1B4F">
        <w:rPr>
          <w:i/>
        </w:rPr>
        <w:t>Note:</w:t>
      </w:r>
      <w:r w:rsidRPr="00E879B8">
        <w:t xml:space="preserve"> </w:t>
      </w:r>
      <w:r>
        <w:t>The cost-benefit analysis includes the lifetime costs and benefits of all dwellings constructed over a 10</w:t>
      </w:r>
      <w:r>
        <w:noBreakHyphen/>
        <w:t>year regulatory period from 2022 to 2031 (including the lifetime benefits of these dwellings over 40 years), using a discount rate of 7 per cent.</w:t>
      </w:r>
    </w:p>
    <w:p w14:paraId="3D989C5E" w14:textId="77777777" w:rsidR="001037D4" w:rsidRDefault="001037D4" w:rsidP="003876AB">
      <w:pPr>
        <w:pStyle w:val="Source"/>
        <w:rPr>
          <w:lang w:bidi="fa-IR"/>
        </w:rPr>
      </w:pPr>
      <w:r w:rsidRPr="00510B61">
        <w:rPr>
          <w:i/>
          <w:lang w:bidi="fa-IR"/>
        </w:rPr>
        <w:t>Source:</w:t>
      </w:r>
      <w:r>
        <w:rPr>
          <w:lang w:bidi="fa-IR"/>
        </w:rPr>
        <w:t xml:space="preserve"> CIE estimates.</w:t>
      </w:r>
    </w:p>
    <w:p w14:paraId="22B3867C" w14:textId="77777777" w:rsidR="0014314A" w:rsidRPr="00951A99" w:rsidRDefault="00466D4C" w:rsidP="00951A99">
      <w:pPr>
        <w:pStyle w:val="BodyText"/>
        <w:rPr>
          <w:lang w:eastAsia="en-US" w:bidi="fa-IR"/>
        </w:rPr>
      </w:pPr>
      <w:r>
        <w:rPr>
          <w:lang w:eastAsia="en-US" w:bidi="fa-IR"/>
        </w:rPr>
        <w:t>A point to note is that the o</w:t>
      </w:r>
      <w:r w:rsidR="0014314A">
        <w:rPr>
          <w:lang w:eastAsia="en-US" w:bidi="fa-IR"/>
        </w:rPr>
        <w:t xml:space="preserve">pportunity cost of space under Option 4 (applying </w:t>
      </w:r>
      <w:r w:rsidR="00215AE7">
        <w:rPr>
          <w:lang w:eastAsia="en-US" w:bidi="fa-IR"/>
        </w:rPr>
        <w:t xml:space="preserve">the </w:t>
      </w:r>
      <w:r w:rsidR="0014314A">
        <w:rPr>
          <w:lang w:eastAsia="en-US" w:bidi="fa-IR"/>
        </w:rPr>
        <w:t>Gold</w:t>
      </w:r>
      <w:r w:rsidR="00215AE7">
        <w:rPr>
          <w:lang w:eastAsia="en-US" w:bidi="fa-IR"/>
        </w:rPr>
        <w:t xml:space="preserve"> standard</w:t>
      </w:r>
      <w:r w:rsidR="0014314A">
        <w:rPr>
          <w:lang w:eastAsia="en-US" w:bidi="fa-IR"/>
        </w:rPr>
        <w:t xml:space="preserve"> to new Class 2 building</w:t>
      </w:r>
      <w:r>
        <w:rPr>
          <w:lang w:eastAsia="en-US" w:bidi="fa-IR"/>
        </w:rPr>
        <w:t>s</w:t>
      </w:r>
      <w:r w:rsidR="0014314A">
        <w:rPr>
          <w:lang w:eastAsia="en-US" w:bidi="fa-IR"/>
        </w:rPr>
        <w:t xml:space="preserve"> only) has </w:t>
      </w:r>
      <w:r w:rsidR="000465B7">
        <w:rPr>
          <w:lang w:eastAsia="en-US" w:bidi="fa-IR"/>
        </w:rPr>
        <w:t xml:space="preserve">a </w:t>
      </w:r>
      <w:r w:rsidR="0014314A">
        <w:rPr>
          <w:lang w:eastAsia="en-US" w:bidi="fa-IR"/>
        </w:rPr>
        <w:t>different trend to construction cost</w:t>
      </w:r>
      <w:r>
        <w:rPr>
          <w:lang w:eastAsia="en-US" w:bidi="fa-IR"/>
        </w:rPr>
        <w:t>s</w:t>
      </w:r>
      <w:r w:rsidR="0014314A">
        <w:rPr>
          <w:lang w:eastAsia="en-US" w:bidi="fa-IR"/>
        </w:rPr>
        <w:t xml:space="preserve">, when comparing to those under Option 2 (applying Gold to both Class 1a and Class 2 buildings) – construction costs reduce significantly from $18.9 billion under Option 2 to close to $5.0 billion </w:t>
      </w:r>
      <w:r w:rsidR="000465B7">
        <w:rPr>
          <w:lang w:eastAsia="en-US" w:bidi="fa-IR"/>
        </w:rPr>
        <w:t xml:space="preserve">for Option 1, </w:t>
      </w:r>
      <w:r w:rsidR="0014314A">
        <w:rPr>
          <w:lang w:eastAsia="en-US" w:bidi="fa-IR"/>
        </w:rPr>
        <w:t xml:space="preserve">while opportunity cost of space changes only marginally from $7.7 billion to $7.6 billion. This is because the net opportunity cost for Class 1a building is </w:t>
      </w:r>
      <w:r>
        <w:rPr>
          <w:lang w:eastAsia="en-US" w:bidi="fa-IR"/>
        </w:rPr>
        <w:t xml:space="preserve">relatively </w:t>
      </w:r>
      <w:r w:rsidR="0014314A">
        <w:rPr>
          <w:lang w:eastAsia="en-US" w:bidi="fa-IR"/>
        </w:rPr>
        <w:t>small</w:t>
      </w:r>
      <w:r w:rsidR="005509B8">
        <w:rPr>
          <w:lang w:eastAsia="en-US" w:bidi="fa-IR"/>
        </w:rPr>
        <w:t xml:space="preserve"> (only $25/m</w:t>
      </w:r>
      <w:r w:rsidR="005509B8" w:rsidRPr="005509B8">
        <w:rPr>
          <w:vertAlign w:val="superscript"/>
          <w:lang w:eastAsia="en-US" w:bidi="fa-IR"/>
        </w:rPr>
        <w:t>2</w:t>
      </w:r>
      <w:r w:rsidR="005509B8">
        <w:rPr>
          <w:lang w:eastAsia="en-US" w:bidi="fa-IR"/>
        </w:rPr>
        <w:t>) while that for Class 2 building is significant ($3 836/m</w:t>
      </w:r>
      <w:r w:rsidR="005509B8" w:rsidRPr="005509B8">
        <w:rPr>
          <w:vertAlign w:val="superscript"/>
          <w:lang w:eastAsia="en-US" w:bidi="fa-IR"/>
        </w:rPr>
        <w:t>2</w:t>
      </w:r>
      <w:r w:rsidR="005509B8">
        <w:rPr>
          <w:lang w:eastAsia="en-US" w:bidi="fa-IR"/>
        </w:rPr>
        <w:t xml:space="preserve">) as reported in table 6.7 in chapter </w:t>
      </w:r>
      <w:r w:rsidR="00B50EC7">
        <w:rPr>
          <w:lang w:eastAsia="en-US" w:bidi="fa-IR"/>
        </w:rPr>
        <w:t>six</w:t>
      </w:r>
      <w:r w:rsidR="005509B8">
        <w:rPr>
          <w:lang w:eastAsia="en-US" w:bidi="fa-IR"/>
        </w:rPr>
        <w:t>.</w:t>
      </w:r>
    </w:p>
    <w:p w14:paraId="5C3B1B29" w14:textId="77777777" w:rsidR="00053742" w:rsidRDefault="00053742" w:rsidP="00053742">
      <w:pPr>
        <w:pStyle w:val="Heading2"/>
        <w:rPr>
          <w:lang w:eastAsia="en-US" w:bidi="fa-IR"/>
        </w:rPr>
      </w:pPr>
      <w:bookmarkStart w:id="525" w:name="_Toc70505127"/>
      <w:r>
        <w:rPr>
          <w:lang w:eastAsia="en-US" w:bidi="fa-IR"/>
        </w:rPr>
        <w:t>Qualitative assessment of Option 6</w:t>
      </w:r>
      <w:bookmarkEnd w:id="525"/>
    </w:p>
    <w:p w14:paraId="628DE51C" w14:textId="77777777" w:rsidR="00086BF4" w:rsidRDefault="00086BF4" w:rsidP="00086BF4">
      <w:pPr>
        <w:pStyle w:val="BodyText"/>
        <w:rPr>
          <w:lang w:eastAsia="en-US" w:bidi="fa-IR"/>
        </w:rPr>
      </w:pPr>
      <w:r>
        <w:rPr>
          <w:lang w:eastAsia="en-US" w:bidi="fa-IR"/>
        </w:rPr>
        <w:t xml:space="preserve">The aim of Option 6 (enhanced voluntary guidance) would be to encourage voluntary provision of accessible housing through improving the effectiveness of the existing </w:t>
      </w:r>
      <w:r w:rsidR="006B609D">
        <w:rPr>
          <w:lang w:eastAsia="en-US" w:bidi="fa-IR"/>
        </w:rPr>
        <w:t xml:space="preserve">LHA </w:t>
      </w:r>
      <w:r>
        <w:rPr>
          <w:lang w:eastAsia="en-US" w:bidi="fa-IR"/>
        </w:rPr>
        <w:t xml:space="preserve">voluntary certification scheme. An enhanced voluntary option could potentially increase the supply of accessible dwellings, without </w:t>
      </w:r>
      <w:r w:rsidRPr="00A8225F">
        <w:rPr>
          <w:lang w:eastAsia="en-US" w:bidi="fa-IR"/>
        </w:rPr>
        <w:t xml:space="preserve">imposing excessive </w:t>
      </w:r>
      <w:r>
        <w:rPr>
          <w:lang w:eastAsia="en-US" w:bidi="fa-IR"/>
        </w:rPr>
        <w:t xml:space="preserve">regulatory </w:t>
      </w:r>
      <w:r w:rsidRPr="00A8225F">
        <w:rPr>
          <w:lang w:eastAsia="en-US" w:bidi="fa-IR"/>
        </w:rPr>
        <w:t>costs</w:t>
      </w:r>
      <w:r>
        <w:rPr>
          <w:lang w:eastAsia="en-US" w:bidi="fa-IR"/>
        </w:rPr>
        <w:t xml:space="preserve"> on homebuilders. </w:t>
      </w:r>
    </w:p>
    <w:p w14:paraId="789B4E9E" w14:textId="77777777" w:rsidR="00086BF4" w:rsidRPr="00F55A8F" w:rsidRDefault="00086BF4" w:rsidP="00086BF4">
      <w:pPr>
        <w:pStyle w:val="BodyText"/>
        <w:rPr>
          <w:lang w:eastAsia="en-US" w:bidi="fa-IR"/>
        </w:rPr>
      </w:pPr>
      <w:r w:rsidRPr="007C3C58">
        <w:rPr>
          <w:lang w:eastAsia="en-US" w:bidi="fa-IR"/>
        </w:rPr>
        <w:t xml:space="preserve">The reasons the current voluntary </w:t>
      </w:r>
      <w:r w:rsidRPr="00F55A8F">
        <w:rPr>
          <w:lang w:eastAsia="en-US" w:bidi="fa-IR"/>
        </w:rPr>
        <w:t>arrangements have been relatively ineffective at encouraging voluntary uptake of LHA</w:t>
      </w:r>
      <w:r w:rsidR="006B609D">
        <w:rPr>
          <w:lang w:eastAsia="en-US" w:bidi="fa-IR"/>
        </w:rPr>
        <w:t xml:space="preserve"> </w:t>
      </w:r>
      <w:r w:rsidRPr="00F55A8F">
        <w:rPr>
          <w:lang w:eastAsia="en-US" w:bidi="fa-IR"/>
        </w:rPr>
        <w:t>compliant dwellings are not entirely clear.</w:t>
      </w:r>
    </w:p>
    <w:p w14:paraId="7923EF5E" w14:textId="77777777" w:rsidR="00086BF4" w:rsidRPr="00F55A8F" w:rsidRDefault="00086BF4" w:rsidP="00086BF4">
      <w:pPr>
        <w:pStyle w:val="ListBullet"/>
        <w:rPr>
          <w:lang w:eastAsia="en-US" w:bidi="fa-IR"/>
        </w:rPr>
      </w:pPr>
      <w:r w:rsidRPr="007C3C58">
        <w:rPr>
          <w:lang w:eastAsia="en-US" w:bidi="fa-IR"/>
        </w:rPr>
        <w:t>T</w:t>
      </w:r>
      <w:r w:rsidRPr="00F55A8F">
        <w:rPr>
          <w:lang w:eastAsia="en-US" w:bidi="fa-IR"/>
        </w:rPr>
        <w:t>here is evidence of significant demand for accessible housing.</w:t>
      </w:r>
    </w:p>
    <w:p w14:paraId="72A2DF9B" w14:textId="77777777" w:rsidR="00086BF4" w:rsidRPr="00F55A8F" w:rsidRDefault="00086BF4" w:rsidP="00086BF4">
      <w:pPr>
        <w:pStyle w:val="ListBullet2"/>
        <w:ind w:left="568" w:hanging="284"/>
        <w:rPr>
          <w:lang w:eastAsia="en-US" w:bidi="fa-IR"/>
        </w:rPr>
      </w:pPr>
      <w:r w:rsidRPr="00F55A8F">
        <w:rPr>
          <w:lang w:eastAsia="en-US" w:bidi="fa-IR"/>
        </w:rPr>
        <w:t>As discussed above (</w:t>
      </w:r>
      <w:r>
        <w:rPr>
          <w:lang w:eastAsia="en-US" w:bidi="fa-IR"/>
        </w:rPr>
        <w:t xml:space="preserve">see Chapter </w:t>
      </w:r>
      <w:r w:rsidR="00B50EC7">
        <w:rPr>
          <w:lang w:eastAsia="en-US" w:bidi="fa-IR"/>
        </w:rPr>
        <w:t>three</w:t>
      </w:r>
      <w:r w:rsidRPr="00F55A8F">
        <w:rPr>
          <w:lang w:eastAsia="en-US" w:bidi="fa-IR"/>
        </w:rPr>
        <w:t xml:space="preserve">), people with accessibility needs have trouble finding accessible housing. This indicates demand for accessible housing (but not necessarily housing with LHA </w:t>
      </w:r>
      <w:r w:rsidR="006B609D">
        <w:rPr>
          <w:lang w:eastAsia="en-US" w:bidi="fa-IR"/>
        </w:rPr>
        <w:t>accreditation</w:t>
      </w:r>
      <w:r w:rsidRPr="00F55A8F">
        <w:rPr>
          <w:lang w:eastAsia="en-US" w:bidi="fa-IR"/>
        </w:rPr>
        <w:t>)</w:t>
      </w:r>
    </w:p>
    <w:p w14:paraId="6D694441" w14:textId="77777777" w:rsidR="00086BF4" w:rsidRPr="007C3C58" w:rsidRDefault="00086BF4" w:rsidP="00086BF4">
      <w:pPr>
        <w:pStyle w:val="ListBullet2"/>
        <w:ind w:left="568" w:hanging="284"/>
        <w:rPr>
          <w:lang w:eastAsia="en-US" w:bidi="fa-IR"/>
        </w:rPr>
      </w:pPr>
      <w:r w:rsidRPr="00F55A8F">
        <w:rPr>
          <w:lang w:eastAsia="en-US" w:bidi="fa-IR"/>
        </w:rPr>
        <w:t xml:space="preserve">The stated preference survey for the Consultation RIS also suggested significant demand from the general community for accessibility features (although it is possible that the stated preference survey does not capture the community’s true preferences). The survey suggested that the </w:t>
      </w:r>
      <w:r w:rsidR="00745C88">
        <w:rPr>
          <w:lang w:eastAsia="en-US" w:bidi="fa-IR"/>
        </w:rPr>
        <w:t>WTP</w:t>
      </w:r>
      <w:r w:rsidRPr="00F55A8F">
        <w:rPr>
          <w:lang w:eastAsia="en-US" w:bidi="fa-IR"/>
        </w:rPr>
        <w:t xml:space="preserve"> of many members of the community (including many without specific accessibility need) is higher than the </w:t>
      </w:r>
      <w:r w:rsidRPr="00F55A8F">
        <w:rPr>
          <w:lang w:eastAsia="en-US" w:bidi="fa-IR"/>
        </w:rPr>
        <w:lastRenderedPageBreak/>
        <w:t xml:space="preserve">cost. </w:t>
      </w:r>
      <w:r w:rsidRPr="007C3C58">
        <w:rPr>
          <w:lang w:eastAsia="en-US" w:bidi="fa-IR"/>
        </w:rPr>
        <w:t xml:space="preserve">Where the value buyers place on these accessibility features are higher than the cost, we generally expect to see these design features adopted voluntarily. However, this does not align with the reported low uptake of the LHDG. </w:t>
      </w:r>
    </w:p>
    <w:p w14:paraId="7A6C50B2" w14:textId="77777777" w:rsidR="00086BF4" w:rsidRPr="00F55A8F" w:rsidRDefault="00086BF4" w:rsidP="00086BF4">
      <w:pPr>
        <w:pStyle w:val="ListBullet"/>
        <w:rPr>
          <w:lang w:eastAsia="en-US" w:bidi="fa-IR"/>
        </w:rPr>
      </w:pPr>
      <w:r w:rsidRPr="00F55A8F">
        <w:rPr>
          <w:lang w:eastAsia="en-US" w:bidi="fa-IR"/>
        </w:rPr>
        <w:t xml:space="preserve">Yet industry submissions argued that a lack of demand has been a key contributor to low uptake. In particular, HIA attributed the low uptake partly to a failure to generate demand from home owners and residents through education and promotion of the </w:t>
      </w:r>
      <w:r w:rsidR="00745C88">
        <w:rPr>
          <w:lang w:eastAsia="en-US" w:bidi="fa-IR"/>
        </w:rPr>
        <w:t>LHDG</w:t>
      </w:r>
      <w:r w:rsidRPr="00F55A8F">
        <w:rPr>
          <w:lang w:eastAsia="en-US" w:bidi="fa-IR"/>
        </w:rPr>
        <w:t>.</w:t>
      </w:r>
      <w:r w:rsidRPr="00F55A8F">
        <w:rPr>
          <w:rStyle w:val="FootnoteReference"/>
          <w:lang w:eastAsia="en-US" w:bidi="fa-IR"/>
        </w:rPr>
        <w:footnoteReference w:id="232"/>
      </w:r>
    </w:p>
    <w:p w14:paraId="2860A9D6" w14:textId="77777777" w:rsidR="00086BF4" w:rsidRPr="00F55A8F" w:rsidRDefault="00086BF4" w:rsidP="00086BF4">
      <w:pPr>
        <w:pStyle w:val="BodyText"/>
        <w:rPr>
          <w:lang w:eastAsia="en-US" w:bidi="fa-IR"/>
        </w:rPr>
      </w:pPr>
      <w:r w:rsidRPr="00F55A8F">
        <w:rPr>
          <w:lang w:eastAsia="en-US" w:bidi="fa-IR"/>
        </w:rPr>
        <w:t>This suggests that while there is significant demand for accessible housing, there is not necessarily demand for LHA accredited housing. Without demand for accredited housing, there is little incentive for home</w:t>
      </w:r>
      <w:r>
        <w:rPr>
          <w:lang w:eastAsia="en-US" w:bidi="fa-IR"/>
        </w:rPr>
        <w:noBreakHyphen/>
      </w:r>
      <w:r w:rsidRPr="00F55A8F">
        <w:rPr>
          <w:lang w:eastAsia="en-US" w:bidi="fa-IR"/>
        </w:rPr>
        <w:t xml:space="preserve">owners and investors to obtain accreditation (industry stakeholders have </w:t>
      </w:r>
      <w:r>
        <w:rPr>
          <w:lang w:eastAsia="en-US" w:bidi="fa-IR"/>
        </w:rPr>
        <w:t>suggested</w:t>
      </w:r>
      <w:r w:rsidRPr="00F55A8F">
        <w:rPr>
          <w:lang w:eastAsia="en-US" w:bidi="fa-IR"/>
        </w:rPr>
        <w:t xml:space="preserve"> that not all LHA</w:t>
      </w:r>
      <w:r w:rsidRPr="00F55A8F">
        <w:rPr>
          <w:lang w:eastAsia="en-US" w:bidi="fa-IR"/>
        </w:rPr>
        <w:noBreakHyphen/>
        <w:t>compliant dwellings obtain accreditation).</w:t>
      </w:r>
    </w:p>
    <w:p w14:paraId="1F60433F" w14:textId="77777777" w:rsidR="00086BF4" w:rsidRPr="00F55A8F" w:rsidRDefault="00086BF4" w:rsidP="00086BF4">
      <w:pPr>
        <w:pStyle w:val="BodyText"/>
        <w:rPr>
          <w:lang w:eastAsia="en-US" w:bidi="fa-IR"/>
        </w:rPr>
      </w:pPr>
      <w:r w:rsidRPr="00F55A8F">
        <w:rPr>
          <w:lang w:eastAsia="en-US" w:bidi="fa-IR"/>
        </w:rPr>
        <w:t xml:space="preserve">The underlying reasons </w:t>
      </w:r>
      <w:r>
        <w:rPr>
          <w:lang w:eastAsia="en-US" w:bidi="fa-IR"/>
        </w:rPr>
        <w:t xml:space="preserve">why there appears to be little demand for LHA certified dwellings despite evidence of significant demand for accessible housing </w:t>
      </w:r>
      <w:r w:rsidRPr="00F55A8F">
        <w:rPr>
          <w:lang w:eastAsia="en-US" w:bidi="fa-IR"/>
        </w:rPr>
        <w:t>could include the following.</w:t>
      </w:r>
    </w:p>
    <w:p w14:paraId="4B008CD2" w14:textId="77777777" w:rsidR="00086BF4" w:rsidRPr="00F55A8F" w:rsidRDefault="00086BF4" w:rsidP="00086BF4">
      <w:pPr>
        <w:pStyle w:val="ListBullet"/>
        <w:rPr>
          <w:lang w:eastAsia="en-US" w:bidi="fa-IR"/>
        </w:rPr>
      </w:pPr>
      <w:r w:rsidRPr="00F55A8F">
        <w:rPr>
          <w:lang w:eastAsia="en-US" w:bidi="fa-IR"/>
        </w:rPr>
        <w:t>A lack of awareness of the LHA</w:t>
      </w:r>
      <w:r w:rsidR="00745C88">
        <w:rPr>
          <w:lang w:eastAsia="en-US" w:bidi="fa-IR"/>
        </w:rPr>
        <w:t xml:space="preserve"> voluntary</w:t>
      </w:r>
      <w:r w:rsidRPr="00F55A8F">
        <w:rPr>
          <w:lang w:eastAsia="en-US" w:bidi="fa-IR"/>
        </w:rPr>
        <w:t xml:space="preserve"> certification scheme and what it means.</w:t>
      </w:r>
    </w:p>
    <w:p w14:paraId="6F273252" w14:textId="77777777" w:rsidR="00086BF4" w:rsidRPr="00F55A8F" w:rsidRDefault="0033356B" w:rsidP="00086BF4">
      <w:pPr>
        <w:pStyle w:val="ListBullet"/>
        <w:rPr>
          <w:lang w:eastAsia="en-US" w:bidi="fa-IR"/>
        </w:rPr>
      </w:pPr>
      <w:r>
        <w:rPr>
          <w:lang w:eastAsia="en-US" w:bidi="fa-IR"/>
        </w:rPr>
        <w:t>D</w:t>
      </w:r>
      <w:r w:rsidRPr="00F55A8F">
        <w:rPr>
          <w:lang w:eastAsia="en-US" w:bidi="fa-IR"/>
        </w:rPr>
        <w:t>eficiencies in services available to match buyers and sellers (although there are some specialised services available).</w:t>
      </w:r>
      <w:r w:rsidR="003D69FD">
        <w:rPr>
          <w:lang w:eastAsia="en-US" w:bidi="fa-IR"/>
        </w:rPr>
        <w:t xml:space="preserve"> </w:t>
      </w:r>
      <w:r w:rsidR="00086BF4" w:rsidRPr="00F55A8F">
        <w:rPr>
          <w:lang w:eastAsia="en-US" w:bidi="fa-IR"/>
        </w:rPr>
        <w:t xml:space="preserve">Some </w:t>
      </w:r>
      <w:r w:rsidR="00850CFC">
        <w:rPr>
          <w:lang w:eastAsia="en-US" w:bidi="fa-IR"/>
        </w:rPr>
        <w:t>stakeholders</w:t>
      </w:r>
      <w:r w:rsidR="00086BF4" w:rsidRPr="00F55A8F">
        <w:rPr>
          <w:lang w:eastAsia="en-US" w:bidi="fa-IR"/>
        </w:rPr>
        <w:t xml:space="preserve"> noted cases where homes are advertised as accessible, but in reality lack key accessibility features.</w:t>
      </w:r>
      <w:r w:rsidR="00850CFC">
        <w:rPr>
          <w:rStyle w:val="FootnoteReference"/>
          <w:lang w:eastAsia="en-US" w:bidi="fa-IR"/>
        </w:rPr>
        <w:footnoteReference w:id="233"/>
      </w:r>
      <w:r w:rsidR="00086BF4" w:rsidRPr="00F55A8F">
        <w:rPr>
          <w:lang w:eastAsia="en-US" w:bidi="fa-IR"/>
        </w:rPr>
        <w:t xml:space="preserve"> This increases the time and effort associated with finding </w:t>
      </w:r>
      <w:r w:rsidR="00FE2A1D">
        <w:rPr>
          <w:lang w:eastAsia="en-US" w:bidi="fa-IR"/>
        </w:rPr>
        <w:t xml:space="preserve">and securing </w:t>
      </w:r>
      <w:r w:rsidR="00086BF4" w:rsidRPr="00F55A8F">
        <w:rPr>
          <w:lang w:eastAsia="en-US" w:bidi="fa-IR"/>
        </w:rPr>
        <w:t>an accessible home</w:t>
      </w:r>
      <w:r w:rsidR="00FE2A1D">
        <w:rPr>
          <w:rStyle w:val="FootnoteReference"/>
          <w:lang w:eastAsia="en-US" w:bidi="fa-IR"/>
        </w:rPr>
        <w:footnoteReference w:id="234"/>
      </w:r>
      <w:r w:rsidR="00086BF4" w:rsidRPr="00F55A8F">
        <w:rPr>
          <w:lang w:eastAsia="en-US" w:bidi="fa-IR"/>
        </w:rPr>
        <w:t xml:space="preserve"> and is frustrating for people with accessibility needs.</w:t>
      </w:r>
    </w:p>
    <w:p w14:paraId="4DC2726B" w14:textId="77777777" w:rsidR="00086BF4" w:rsidRPr="007C3C58" w:rsidRDefault="00086BF4" w:rsidP="00086BF4">
      <w:pPr>
        <w:pStyle w:val="BodyText"/>
        <w:rPr>
          <w:lang w:eastAsia="en-US" w:bidi="fa-IR"/>
        </w:rPr>
      </w:pPr>
      <w:r w:rsidRPr="007C3C58">
        <w:rPr>
          <w:lang w:eastAsia="en-US" w:bidi="fa-IR"/>
        </w:rPr>
        <w:t>Stakeholders had mixed views on the effectiveness of this option.</w:t>
      </w:r>
    </w:p>
    <w:p w14:paraId="37AC4BD0" w14:textId="77777777" w:rsidR="00086BF4" w:rsidRPr="00F55A8F" w:rsidRDefault="00086BF4" w:rsidP="00086BF4">
      <w:pPr>
        <w:pStyle w:val="ListBullet"/>
        <w:rPr>
          <w:lang w:eastAsia="en-US" w:bidi="fa-IR"/>
        </w:rPr>
      </w:pPr>
      <w:r w:rsidRPr="00F55A8F">
        <w:rPr>
          <w:lang w:eastAsia="en-US" w:bidi="fa-IR"/>
        </w:rPr>
        <w:t>Industry groups tended to support this option, arguing it could be effective. The submissions from both HIA and MBA argued that publishing the LH</w:t>
      </w:r>
      <w:r w:rsidR="00745C88">
        <w:rPr>
          <w:lang w:eastAsia="en-US" w:bidi="fa-IR"/>
        </w:rPr>
        <w:t>D</w:t>
      </w:r>
      <w:r w:rsidRPr="00F55A8F">
        <w:rPr>
          <w:lang w:eastAsia="en-US" w:bidi="fa-IR"/>
        </w:rPr>
        <w:t>G as an ABCB Handbook would raise its profile and increase uptake of accessible options.</w:t>
      </w:r>
    </w:p>
    <w:p w14:paraId="67E53557" w14:textId="77777777" w:rsidR="00086BF4" w:rsidRPr="00F55A8F" w:rsidRDefault="00086BF4" w:rsidP="00086BF4">
      <w:pPr>
        <w:pStyle w:val="ListBullet"/>
        <w:rPr>
          <w:lang w:eastAsia="en-US" w:bidi="fa-IR"/>
        </w:rPr>
      </w:pPr>
      <w:r w:rsidRPr="00F55A8F">
        <w:rPr>
          <w:lang w:eastAsia="en-US" w:bidi="fa-IR"/>
        </w:rPr>
        <w:t xml:space="preserve">Other stakeholders </w:t>
      </w:r>
      <w:r w:rsidR="00FE2A1D">
        <w:rPr>
          <w:lang w:eastAsia="en-US" w:bidi="fa-IR"/>
        </w:rPr>
        <w:t>not</w:t>
      </w:r>
      <w:r w:rsidRPr="00F55A8F">
        <w:rPr>
          <w:lang w:eastAsia="en-US" w:bidi="fa-IR"/>
        </w:rPr>
        <w:t xml:space="preserve">ed that </w:t>
      </w:r>
      <w:r>
        <w:rPr>
          <w:lang w:eastAsia="en-US" w:bidi="fa-IR"/>
        </w:rPr>
        <w:t>voluntary approaches do not work, given the existing</w:t>
      </w:r>
      <w:r w:rsidRPr="00F55A8F">
        <w:rPr>
          <w:lang w:eastAsia="en-US" w:bidi="fa-IR"/>
        </w:rPr>
        <w:t xml:space="preserve"> voluntary </w:t>
      </w:r>
      <w:r w:rsidR="00FE2A1D">
        <w:rPr>
          <w:lang w:eastAsia="en-US" w:bidi="fa-IR"/>
        </w:rPr>
        <w:t>initiatives over the last two decades</w:t>
      </w:r>
      <w:r w:rsidRPr="00F55A8F">
        <w:rPr>
          <w:lang w:eastAsia="en-US" w:bidi="fa-IR"/>
        </w:rPr>
        <w:t xml:space="preserve"> ha</w:t>
      </w:r>
      <w:r w:rsidR="00FE2A1D">
        <w:rPr>
          <w:lang w:eastAsia="en-US" w:bidi="fa-IR"/>
        </w:rPr>
        <w:t>ve</w:t>
      </w:r>
      <w:r w:rsidRPr="00F55A8F">
        <w:rPr>
          <w:lang w:eastAsia="en-US" w:bidi="fa-IR"/>
        </w:rPr>
        <w:t xml:space="preserve"> failed to achieve significant uptake</w:t>
      </w:r>
      <w:r w:rsidR="00FE2A1D">
        <w:rPr>
          <w:lang w:eastAsia="en-US" w:bidi="fa-IR"/>
        </w:rPr>
        <w:t xml:space="preserve"> of accessible housing</w:t>
      </w:r>
      <w:r w:rsidRPr="00F55A8F">
        <w:rPr>
          <w:lang w:eastAsia="en-US" w:bidi="fa-IR"/>
        </w:rPr>
        <w:t>.</w:t>
      </w:r>
      <w:r>
        <w:rPr>
          <w:rStyle w:val="FootnoteReference"/>
          <w:lang w:eastAsia="en-US" w:bidi="fa-IR"/>
        </w:rPr>
        <w:footnoteReference w:id="235"/>
      </w:r>
    </w:p>
    <w:p w14:paraId="5F3C2F15" w14:textId="77777777" w:rsidR="00086BF4" w:rsidRPr="00F55A8F" w:rsidRDefault="00086BF4" w:rsidP="00086BF4">
      <w:pPr>
        <w:pStyle w:val="BodyText"/>
        <w:rPr>
          <w:lang w:eastAsia="en-US" w:bidi="fa-IR"/>
        </w:rPr>
      </w:pPr>
      <w:r w:rsidRPr="00F55A8F">
        <w:rPr>
          <w:lang w:eastAsia="en-US" w:bidi="fa-IR"/>
        </w:rPr>
        <w:t xml:space="preserve">Publishing </w:t>
      </w:r>
      <w:r w:rsidR="003D69FD">
        <w:rPr>
          <w:lang w:eastAsia="en-US" w:bidi="fa-IR"/>
        </w:rPr>
        <w:t>agreed</w:t>
      </w:r>
      <w:r w:rsidRPr="00F55A8F">
        <w:rPr>
          <w:lang w:eastAsia="en-US" w:bidi="fa-IR"/>
        </w:rPr>
        <w:t xml:space="preserve"> accessibility </w:t>
      </w:r>
      <w:r w:rsidR="003D69FD">
        <w:rPr>
          <w:lang w:eastAsia="en-US" w:bidi="fa-IR"/>
        </w:rPr>
        <w:t>standards</w:t>
      </w:r>
      <w:r w:rsidRPr="00F55A8F">
        <w:rPr>
          <w:lang w:eastAsia="en-US" w:bidi="fa-IR"/>
        </w:rPr>
        <w:t xml:space="preserve"> as a voluntary handbook (the component that is within </w:t>
      </w:r>
      <w:r w:rsidR="00CE6355">
        <w:rPr>
          <w:lang w:eastAsia="en-US" w:bidi="fa-IR"/>
        </w:rPr>
        <w:t xml:space="preserve">the </w:t>
      </w:r>
      <w:r w:rsidRPr="00F55A8F">
        <w:rPr>
          <w:lang w:eastAsia="en-US" w:bidi="fa-IR"/>
        </w:rPr>
        <w:t xml:space="preserve">ABCB’s area of responsibility) could raise awareness (as noted by HIA, </w:t>
      </w:r>
      <w:r w:rsidR="00CE6355">
        <w:rPr>
          <w:lang w:eastAsia="en-US" w:bidi="fa-IR"/>
        </w:rPr>
        <w:t xml:space="preserve">the </w:t>
      </w:r>
      <w:r w:rsidRPr="00F55A8F">
        <w:rPr>
          <w:lang w:eastAsia="en-US" w:bidi="fa-IR"/>
        </w:rPr>
        <w:t>ABCB’s subscriber base is nearly 250 000 people). However, on its own, this may do little to encourage uptake of accessible design as there currently appears to be little incentive to either invest in accessible design or to obtain certification.</w:t>
      </w:r>
    </w:p>
    <w:p w14:paraId="22E728B9" w14:textId="77777777" w:rsidR="00086BF4" w:rsidRPr="00F55A8F" w:rsidRDefault="00086BF4" w:rsidP="00086BF4">
      <w:pPr>
        <w:pStyle w:val="BodyText"/>
        <w:rPr>
          <w:lang w:eastAsia="en-US" w:bidi="fa-IR"/>
        </w:rPr>
      </w:pPr>
      <w:r w:rsidRPr="00F55A8F">
        <w:rPr>
          <w:lang w:eastAsia="en-US" w:bidi="fa-IR"/>
        </w:rPr>
        <w:t>However, together with other measures (that are not with</w:t>
      </w:r>
      <w:r w:rsidR="00745C88">
        <w:rPr>
          <w:lang w:eastAsia="en-US" w:bidi="fa-IR"/>
        </w:rPr>
        <w:t>in</w:t>
      </w:r>
      <w:r w:rsidRPr="00F55A8F">
        <w:rPr>
          <w:lang w:eastAsia="en-US" w:bidi="fa-IR"/>
        </w:rPr>
        <w:t xml:space="preserve"> </w:t>
      </w:r>
      <w:r w:rsidR="00CE6355">
        <w:rPr>
          <w:lang w:eastAsia="en-US" w:bidi="fa-IR"/>
        </w:rPr>
        <w:t xml:space="preserve">the </w:t>
      </w:r>
      <w:r w:rsidRPr="00F55A8F">
        <w:rPr>
          <w:lang w:eastAsia="en-US" w:bidi="fa-IR"/>
        </w:rPr>
        <w:t>ABCB’s area of responsibility), it is possible that an enhanced certification scheme could create a market for LHA certified homes and encourage further uptake. In particular:</w:t>
      </w:r>
    </w:p>
    <w:p w14:paraId="191210DC" w14:textId="77777777" w:rsidR="00086BF4" w:rsidRPr="00F55A8F" w:rsidRDefault="00086BF4" w:rsidP="00086BF4">
      <w:pPr>
        <w:pStyle w:val="ListBullet"/>
        <w:rPr>
          <w:lang w:eastAsia="en-US" w:bidi="fa-IR"/>
        </w:rPr>
      </w:pPr>
      <w:r w:rsidRPr="00F55A8F">
        <w:rPr>
          <w:lang w:eastAsia="en-US" w:bidi="fa-IR"/>
        </w:rPr>
        <w:lastRenderedPageBreak/>
        <w:t>Increased effort to raise awareness of the certification scheme among buyers could create demand for LHA certified housing (reflecting the underlying demand for accessible housing)</w:t>
      </w:r>
      <w:r>
        <w:rPr>
          <w:lang w:eastAsia="en-US" w:bidi="fa-IR"/>
        </w:rPr>
        <w:t>.</w:t>
      </w:r>
    </w:p>
    <w:p w14:paraId="651D7E9E" w14:textId="77777777" w:rsidR="00086BF4" w:rsidRPr="00F55A8F" w:rsidRDefault="00086BF4" w:rsidP="00086BF4">
      <w:pPr>
        <w:pStyle w:val="ListBullet"/>
        <w:rPr>
          <w:lang w:eastAsia="en-US" w:bidi="fa-IR"/>
        </w:rPr>
      </w:pPr>
      <w:r>
        <w:rPr>
          <w:lang w:eastAsia="en-US" w:bidi="fa-IR"/>
        </w:rPr>
        <w:t>A</w:t>
      </w:r>
      <w:r w:rsidRPr="00F55A8F">
        <w:rPr>
          <w:lang w:eastAsia="en-US" w:bidi="fa-IR"/>
        </w:rPr>
        <w:t xml:space="preserve">lthough there </w:t>
      </w:r>
      <w:r w:rsidR="00850CFC">
        <w:rPr>
          <w:lang w:eastAsia="en-US" w:bidi="fa-IR"/>
        </w:rPr>
        <w:t>are</w:t>
      </w:r>
      <w:r w:rsidRPr="00F55A8F">
        <w:rPr>
          <w:lang w:eastAsia="en-US" w:bidi="fa-IR"/>
        </w:rPr>
        <w:t xml:space="preserve"> currently some specialised services that advertise accessible housing, these services could be improved. For example, an ability to search specifically for LHA certified housing on mainstream real estate websites could help to raise awareness of the certification scheme.</w:t>
      </w:r>
      <w:r>
        <w:rPr>
          <w:lang w:eastAsia="en-US" w:bidi="fa-IR"/>
        </w:rPr>
        <w:t xml:space="preserve"> This could:</w:t>
      </w:r>
    </w:p>
    <w:p w14:paraId="378F642B" w14:textId="77777777" w:rsidR="00086BF4" w:rsidRPr="00F55A8F" w:rsidRDefault="00086BF4" w:rsidP="00086BF4">
      <w:pPr>
        <w:pStyle w:val="ListBullet2"/>
        <w:ind w:left="568" w:hanging="284"/>
        <w:rPr>
          <w:lang w:eastAsia="en-US" w:bidi="fa-IR"/>
        </w:rPr>
      </w:pPr>
      <w:r w:rsidRPr="00F55A8F">
        <w:rPr>
          <w:lang w:eastAsia="en-US" w:bidi="fa-IR"/>
        </w:rPr>
        <w:t>reduce search costs (and frustration) associated with finding accessible housing through the provision of reliable independently verified information</w:t>
      </w:r>
    </w:p>
    <w:p w14:paraId="13028743" w14:textId="77777777" w:rsidR="00086BF4" w:rsidRPr="00F55A8F" w:rsidRDefault="00086BF4" w:rsidP="00086BF4">
      <w:pPr>
        <w:pStyle w:val="ListBullet2"/>
        <w:ind w:left="568" w:hanging="284"/>
        <w:rPr>
          <w:lang w:eastAsia="en-US" w:bidi="fa-IR"/>
        </w:rPr>
      </w:pPr>
      <w:r>
        <w:rPr>
          <w:lang w:eastAsia="en-US" w:bidi="fa-IR"/>
        </w:rPr>
        <w:t>a</w:t>
      </w:r>
      <w:r w:rsidRPr="00F55A8F">
        <w:rPr>
          <w:lang w:eastAsia="en-US" w:bidi="fa-IR"/>
        </w:rPr>
        <w:t>llow property owners to buy and sell homes as assets that can be reliably advertised as ‘accessible’, and potentially earn additional returns for these assets, where the market supports this. This increases their incentive to pay for accessibility features that go beyond their own needs, as they may be able to recoup costs via renting or selling the property to someone who needs the additional features. In turn, this increases incentives for the building industry to supply more homes with accessibility features.</w:t>
      </w:r>
    </w:p>
    <w:p w14:paraId="630BCD4F" w14:textId="77777777" w:rsidR="00086BF4" w:rsidRPr="003822C2" w:rsidRDefault="00086BF4" w:rsidP="00086BF4">
      <w:pPr>
        <w:pStyle w:val="BodyText"/>
        <w:rPr>
          <w:lang w:bidi="fa-IR"/>
        </w:rPr>
      </w:pPr>
      <w:r>
        <w:rPr>
          <w:lang w:bidi="fa-IR"/>
        </w:rPr>
        <w:t>Although an enhanced voluntary scheme could encourage some additional uptake of LHA compliant designs, it is unlikely to achieve the targets that were previously set by the National Dialogue on Universal Housing Design and would not therefore meet the aspirations of many advocates.</w:t>
      </w:r>
    </w:p>
    <w:p w14:paraId="56D043D6" w14:textId="77777777" w:rsidR="00873A97" w:rsidRDefault="00873A97" w:rsidP="00873A97">
      <w:pPr>
        <w:pStyle w:val="Heading2"/>
        <w:rPr>
          <w:lang w:eastAsia="en-US" w:bidi="fa-IR"/>
        </w:rPr>
      </w:pPr>
      <w:bookmarkStart w:id="526" w:name="_Ref61470400"/>
      <w:bookmarkStart w:id="527" w:name="_Toc70505128"/>
      <w:r>
        <w:rPr>
          <w:lang w:eastAsia="en-US" w:bidi="fa-IR"/>
        </w:rPr>
        <w:t>Qualitative assessment of exemptions</w:t>
      </w:r>
      <w:bookmarkEnd w:id="526"/>
      <w:bookmarkEnd w:id="527"/>
    </w:p>
    <w:p w14:paraId="0EC7576A" w14:textId="77777777" w:rsidR="00873A97" w:rsidRDefault="00873A97" w:rsidP="00873A97">
      <w:pPr>
        <w:pStyle w:val="BodyText"/>
        <w:rPr>
          <w:lang w:eastAsia="en-US" w:bidi="fa-IR"/>
        </w:rPr>
      </w:pPr>
      <w:r>
        <w:rPr>
          <w:lang w:eastAsia="en-US" w:bidi="fa-IR"/>
        </w:rPr>
        <w:t xml:space="preserve">In its proposed changes to the NCC, </w:t>
      </w:r>
      <w:r w:rsidR="00BE4D9E">
        <w:rPr>
          <w:lang w:eastAsia="en-US" w:bidi="fa-IR"/>
        </w:rPr>
        <w:t xml:space="preserve">the </w:t>
      </w:r>
      <w:r>
        <w:rPr>
          <w:lang w:eastAsia="en-US" w:bidi="fa-IR"/>
        </w:rPr>
        <w:t xml:space="preserve">ABCB has included ‘exemptions’ for circumstances where a step-free access path (Clause 1.1) would not need to be provided for a new Class 1a home. In these circumstances the exemption is applicable for </w:t>
      </w:r>
      <w:r w:rsidR="00BC3F41">
        <w:rPr>
          <w:lang w:eastAsia="en-US" w:bidi="fa-IR"/>
        </w:rPr>
        <w:t xml:space="preserve">the </w:t>
      </w:r>
      <w:r>
        <w:rPr>
          <w:lang w:eastAsia="en-US" w:bidi="fa-IR"/>
        </w:rPr>
        <w:t>step-free access requirement only</w:t>
      </w:r>
      <w:r w:rsidR="00BC3F41">
        <w:rPr>
          <w:lang w:eastAsia="en-US" w:bidi="fa-IR"/>
        </w:rPr>
        <w:t>;</w:t>
      </w:r>
      <w:r>
        <w:rPr>
          <w:lang w:eastAsia="en-US" w:bidi="fa-IR"/>
        </w:rPr>
        <w:t xml:space="preserve"> all other requirements still apply. </w:t>
      </w:r>
    </w:p>
    <w:p w14:paraId="10713BDA" w14:textId="77777777" w:rsidR="00873A97" w:rsidRDefault="00873A97" w:rsidP="00873A97">
      <w:pPr>
        <w:pStyle w:val="BodyText"/>
      </w:pPr>
      <w:r w:rsidRPr="00F10B68">
        <w:t xml:space="preserve">The purpose of </w:t>
      </w:r>
      <w:r>
        <w:t xml:space="preserve">these </w:t>
      </w:r>
      <w:r w:rsidRPr="00F10B68">
        <w:t xml:space="preserve">exemptions is </w:t>
      </w:r>
      <w:r>
        <w:t xml:space="preserve">to </w:t>
      </w:r>
      <w:r w:rsidRPr="00F10B68">
        <w:t xml:space="preserve">reduce cases where costs to meet </w:t>
      </w:r>
      <w:r>
        <w:t xml:space="preserve">the </w:t>
      </w:r>
      <w:r w:rsidR="00F9132D">
        <w:t>step free path requirements</w:t>
      </w:r>
      <w:r w:rsidR="00F9132D" w:rsidRPr="00F10B68">
        <w:t xml:space="preserve"> </w:t>
      </w:r>
      <w:r w:rsidRPr="00F10B68">
        <w:t>are unreasonably large (for example</w:t>
      </w:r>
      <w:r>
        <w:t>,</w:t>
      </w:r>
      <w:r w:rsidRPr="00F10B68">
        <w:t xml:space="preserve"> on a </w:t>
      </w:r>
      <w:r w:rsidR="00F9132D">
        <w:t xml:space="preserve">lot with </w:t>
      </w:r>
      <w:r w:rsidRPr="00F10B68">
        <w:t>significant slop</w:t>
      </w:r>
      <w:r w:rsidR="00F9132D">
        <w:t>e</w:t>
      </w:r>
      <w:r w:rsidRPr="00F10B68">
        <w:t>) and cases where meeting the standard is potentially unfeasible (</w:t>
      </w:r>
      <w:r>
        <w:t>for example,</w:t>
      </w:r>
      <w:r w:rsidRPr="00F10B68">
        <w:t xml:space="preserve"> </w:t>
      </w:r>
      <w:r>
        <w:t xml:space="preserve">a </w:t>
      </w:r>
      <w:r w:rsidRPr="00F10B68">
        <w:t>small lot where dwelling sits on</w:t>
      </w:r>
      <w:r>
        <w:t xml:space="preserve"> the</w:t>
      </w:r>
      <w:r w:rsidRPr="00F10B68">
        <w:t xml:space="preserve"> boundary)</w:t>
      </w:r>
      <w:r>
        <w:t>.</w:t>
      </w:r>
    </w:p>
    <w:p w14:paraId="6311D277" w14:textId="77777777" w:rsidR="00873A97" w:rsidRPr="00F10B68" w:rsidRDefault="00873A97" w:rsidP="00873A97">
      <w:pPr>
        <w:pStyle w:val="BodyText"/>
      </w:pPr>
      <w:r>
        <w:t>While</w:t>
      </w:r>
      <w:r w:rsidRPr="00F10B68">
        <w:t xml:space="preserve"> exemptions would reduce both benefits and costs, they are generally intended to apply to dwellings where compliance costs are disproportionately high</w:t>
      </w:r>
      <w:r>
        <w:t xml:space="preserve"> </w:t>
      </w:r>
      <w:r w:rsidRPr="00F10B68">
        <w:t>and can therefore improve the net benefit of the proposal</w:t>
      </w:r>
      <w:r w:rsidR="00F9132D">
        <w:t>.</w:t>
      </w:r>
    </w:p>
    <w:p w14:paraId="3DC408E1" w14:textId="77777777" w:rsidR="00873A97" w:rsidRDefault="00650C89" w:rsidP="00873A97">
      <w:pPr>
        <w:pStyle w:val="Heading3"/>
      </w:pPr>
      <w:r>
        <w:t>E</w:t>
      </w:r>
      <w:r w:rsidR="00873A97">
        <w:t>xemptions</w:t>
      </w:r>
      <w:r>
        <w:t xml:space="preserve"> </w:t>
      </w:r>
      <w:r w:rsidR="00F9132D">
        <w:t>and</w:t>
      </w:r>
      <w:r>
        <w:t xml:space="preserve"> interpretation</w:t>
      </w:r>
    </w:p>
    <w:p w14:paraId="24957DED" w14:textId="77777777" w:rsidR="00650C89" w:rsidRDefault="00650C89" w:rsidP="00650C89">
      <w:pPr>
        <w:pStyle w:val="BodyText"/>
      </w:pPr>
      <w:r>
        <w:t>T</w:t>
      </w:r>
      <w:r w:rsidRPr="00F10B68">
        <w:t xml:space="preserve">he </w:t>
      </w:r>
      <w:r w:rsidR="00F9132D">
        <w:t xml:space="preserve">proposed </w:t>
      </w:r>
      <w:r w:rsidRPr="00F10B68">
        <w:t>exemptions are not specified in terms of objective criteria and are therefore open to interpretation</w:t>
      </w:r>
      <w:r>
        <w:t>. Issues of ‘practicality’, ‘insufficient space’, and so on are matters of interpretation</w:t>
      </w:r>
      <w:r w:rsidRPr="00F10B68">
        <w:t>. Th</w:t>
      </w:r>
      <w:r>
        <w:t>eir impact would</w:t>
      </w:r>
      <w:r w:rsidRPr="00F10B68">
        <w:t xml:space="preserve"> therefore depend on how they are </w:t>
      </w:r>
      <w:r>
        <w:t>imp</w:t>
      </w:r>
      <w:r w:rsidRPr="00F10B68">
        <w:t xml:space="preserve">lemented by governments and how they are interpreted by </w:t>
      </w:r>
      <w:r w:rsidR="00BC3F41">
        <w:t>appropriate authorities</w:t>
      </w:r>
      <w:r>
        <w:t>.</w:t>
      </w:r>
    </w:p>
    <w:p w14:paraId="160CACF0" w14:textId="77777777" w:rsidR="00650C89" w:rsidRDefault="00650C89" w:rsidP="00650C89">
      <w:pPr>
        <w:pStyle w:val="BodyText"/>
      </w:pPr>
      <w:r>
        <w:t>As an example, there is no clear definition for small lots.</w:t>
      </w:r>
      <w:r w:rsidR="00B57EBC">
        <w:t xml:space="preserve"> Some state and local governments provide different definitions of ‘small lots’</w:t>
      </w:r>
      <w:r w:rsidR="00373459">
        <w:t>;</w:t>
      </w:r>
      <w:r w:rsidR="00B57EBC">
        <w:t xml:space="preserve"> for example, </w:t>
      </w:r>
    </w:p>
    <w:p w14:paraId="7F5343BB" w14:textId="77777777" w:rsidR="00650C89" w:rsidRDefault="00650C89" w:rsidP="00650C89">
      <w:pPr>
        <w:pStyle w:val="ListBullet"/>
        <w:rPr>
          <w:lang w:bidi="fa-IR"/>
        </w:rPr>
      </w:pPr>
      <w:r>
        <w:rPr>
          <w:lang w:bidi="fa-IR"/>
        </w:rPr>
        <w:lastRenderedPageBreak/>
        <w:t>In Victoria, a lot is defined as ‘small’ if it less than 300 m</w:t>
      </w:r>
      <w:r w:rsidRPr="00650C89">
        <w:rPr>
          <w:vertAlign w:val="superscript"/>
          <w:lang w:bidi="fa-IR"/>
        </w:rPr>
        <w:t>2</w:t>
      </w:r>
      <w:r>
        <w:rPr>
          <w:lang w:bidi="fa-IR"/>
        </w:rPr>
        <w:t>.</w:t>
      </w:r>
      <w:r>
        <w:rPr>
          <w:rStyle w:val="FootnoteReference"/>
          <w:lang w:bidi="fa-IR"/>
        </w:rPr>
        <w:footnoteReference w:id="236"/>
      </w:r>
      <w:r>
        <w:rPr>
          <w:lang w:bidi="fa-IR"/>
        </w:rPr>
        <w:t xml:space="preserve"> </w:t>
      </w:r>
    </w:p>
    <w:p w14:paraId="385A6741" w14:textId="77777777" w:rsidR="00650C89" w:rsidRDefault="00650C89" w:rsidP="00650C89">
      <w:pPr>
        <w:pStyle w:val="ListBullet"/>
        <w:rPr>
          <w:lang w:bidi="fa-IR"/>
        </w:rPr>
      </w:pPr>
      <w:r>
        <w:rPr>
          <w:lang w:bidi="fa-IR"/>
        </w:rPr>
        <w:t>The Brisbane City Council defines a small lot as less than 450 m</w:t>
      </w:r>
      <w:r w:rsidRPr="00650C89">
        <w:rPr>
          <w:vertAlign w:val="superscript"/>
          <w:lang w:bidi="fa-IR"/>
        </w:rPr>
        <w:t>2</w:t>
      </w:r>
      <w:r>
        <w:rPr>
          <w:lang w:bidi="fa-IR"/>
        </w:rPr>
        <w:t xml:space="preserve"> (600 m</w:t>
      </w:r>
      <w:r w:rsidRPr="00650C89">
        <w:rPr>
          <w:vertAlign w:val="superscript"/>
          <w:lang w:bidi="fa-IR"/>
        </w:rPr>
        <w:t>2</w:t>
      </w:r>
      <w:r>
        <w:rPr>
          <w:lang w:bidi="fa-IR"/>
        </w:rPr>
        <w:t xml:space="preserve"> where the lot is a ‘rear lot’, excluding the driveway).</w:t>
      </w:r>
      <w:r>
        <w:rPr>
          <w:rStyle w:val="FootnoteReference"/>
          <w:lang w:bidi="fa-IR"/>
        </w:rPr>
        <w:footnoteReference w:id="237"/>
      </w:r>
      <w:r>
        <w:rPr>
          <w:lang w:bidi="fa-IR"/>
        </w:rPr>
        <w:t xml:space="preserve"> </w:t>
      </w:r>
    </w:p>
    <w:p w14:paraId="7F37E813" w14:textId="77777777" w:rsidR="00650C89" w:rsidRDefault="00650C89" w:rsidP="00650C89">
      <w:pPr>
        <w:pStyle w:val="ListBullet"/>
        <w:rPr>
          <w:lang w:bidi="fa-IR"/>
        </w:rPr>
      </w:pPr>
      <w:r>
        <w:rPr>
          <w:lang w:bidi="fa-IR"/>
        </w:rPr>
        <w:t>In Western Australia, development approval is required for the erection of a single house on any lot that is smaller than 260</w:t>
      </w:r>
      <w:r w:rsidR="00B57EBC">
        <w:rPr>
          <w:lang w:bidi="fa-IR"/>
        </w:rPr>
        <w:t xml:space="preserve"> m</w:t>
      </w:r>
      <w:r w:rsidR="00B57EBC" w:rsidRPr="00650C89">
        <w:rPr>
          <w:vertAlign w:val="superscript"/>
          <w:lang w:bidi="fa-IR"/>
        </w:rPr>
        <w:t>2</w:t>
      </w:r>
      <w:r>
        <w:rPr>
          <w:lang w:bidi="fa-IR"/>
        </w:rPr>
        <w:t>, except where it complies with a local structure plan or local development plan.</w:t>
      </w:r>
      <w:r>
        <w:rPr>
          <w:rStyle w:val="FootnoteReference"/>
          <w:lang w:bidi="fa-IR"/>
        </w:rPr>
        <w:footnoteReference w:id="238"/>
      </w:r>
    </w:p>
    <w:p w14:paraId="1ECF1B56" w14:textId="77777777" w:rsidR="00873A97" w:rsidRDefault="00B57EBC" w:rsidP="00873A97">
      <w:pPr>
        <w:pStyle w:val="BodyText"/>
        <w:rPr>
          <w:lang w:bidi="fa-IR"/>
        </w:rPr>
      </w:pPr>
      <w:r>
        <w:t>While the 1:14 slope condition for exemption</w:t>
      </w:r>
      <w:r>
        <w:rPr>
          <w:rStyle w:val="FootnoteReference"/>
          <w:lang w:bidi="fa-IR"/>
        </w:rPr>
        <w:footnoteReference w:id="239"/>
      </w:r>
      <w:r>
        <w:t xml:space="preserve"> appears definitive, it may still be subject to interpretation in combination with other requirements.</w:t>
      </w:r>
      <w:r w:rsidR="00B3388E">
        <w:t xml:space="preserve"> </w:t>
      </w:r>
      <w:r>
        <w:t>T</w:t>
      </w:r>
      <w:r w:rsidR="00873A97">
        <w:rPr>
          <w:lang w:bidi="fa-IR"/>
        </w:rPr>
        <w:t xml:space="preserve">he </w:t>
      </w:r>
      <w:r w:rsidR="00873A97" w:rsidRPr="0065626F">
        <w:rPr>
          <w:i/>
          <w:iCs/>
          <w:lang w:bidi="fa-IR"/>
        </w:rPr>
        <w:t xml:space="preserve">Drafting of Proposed NCC </w:t>
      </w:r>
      <w:r w:rsidR="00873A97">
        <w:rPr>
          <w:i/>
          <w:iCs/>
          <w:lang w:bidi="fa-IR"/>
        </w:rPr>
        <w:t>C</w:t>
      </w:r>
      <w:r w:rsidR="00873A97" w:rsidRPr="0065626F">
        <w:rPr>
          <w:i/>
          <w:iCs/>
          <w:lang w:bidi="fa-IR"/>
        </w:rPr>
        <w:t>hanges</w:t>
      </w:r>
      <w:r w:rsidR="00873A97">
        <w:rPr>
          <w:lang w:bidi="fa-IR"/>
        </w:rPr>
        <w:t xml:space="preserve"> notes a dwelling is exempt if:</w:t>
      </w:r>
      <w:r w:rsidRPr="00B57EBC">
        <w:rPr>
          <w:rStyle w:val="FootnoteReference"/>
          <w:lang w:bidi="fa-IR"/>
        </w:rPr>
        <w:t xml:space="preserve"> </w:t>
      </w:r>
      <w:r>
        <w:rPr>
          <w:rStyle w:val="FootnoteReference"/>
          <w:lang w:bidi="fa-IR"/>
        </w:rPr>
        <w:footnoteReference w:id="240"/>
      </w:r>
    </w:p>
    <w:p w14:paraId="0A588498" w14:textId="77777777" w:rsidR="00873A97" w:rsidRDefault="00873A97" w:rsidP="00873A97">
      <w:pPr>
        <w:pStyle w:val="ListBullet"/>
        <w:numPr>
          <w:ilvl w:val="0"/>
          <w:numId w:val="16"/>
        </w:numPr>
        <w:rPr>
          <w:lang w:eastAsia="en-US" w:bidi="fa-IR"/>
        </w:rPr>
      </w:pPr>
      <w:r>
        <w:rPr>
          <w:lang w:eastAsia="en-US" w:bidi="fa-IR"/>
        </w:rPr>
        <w:t xml:space="preserve">It is not practicable to provide step-free access via a garage or parking space, </w:t>
      </w:r>
      <w:r w:rsidRPr="00244D42">
        <w:rPr>
          <w:b/>
          <w:bCs/>
          <w:lang w:eastAsia="en-US" w:bidi="fa-IR"/>
        </w:rPr>
        <w:t>and</w:t>
      </w:r>
    </w:p>
    <w:p w14:paraId="00E3603D" w14:textId="77777777" w:rsidR="00873A97" w:rsidRDefault="00873A97" w:rsidP="00873A97">
      <w:pPr>
        <w:pStyle w:val="ListBullet"/>
        <w:numPr>
          <w:ilvl w:val="0"/>
          <w:numId w:val="16"/>
        </w:numPr>
        <w:rPr>
          <w:lang w:eastAsia="en-US" w:bidi="fa-IR"/>
        </w:rPr>
      </w:pPr>
      <w:r>
        <w:rPr>
          <w:lang w:eastAsia="en-US" w:bidi="fa-IR"/>
        </w:rPr>
        <w:t>One of the following is true:</w:t>
      </w:r>
    </w:p>
    <w:p w14:paraId="2DEFAD4C" w14:textId="77777777" w:rsidR="00873A97" w:rsidRDefault="00873A97" w:rsidP="00873A97">
      <w:pPr>
        <w:pStyle w:val="ListBullet2"/>
        <w:numPr>
          <w:ilvl w:val="1"/>
          <w:numId w:val="16"/>
        </w:numPr>
        <w:rPr>
          <w:lang w:eastAsia="en-US" w:bidi="fa-IR"/>
        </w:rPr>
      </w:pPr>
      <w:r>
        <w:rPr>
          <w:lang w:eastAsia="en-US" w:bidi="fa-IR"/>
        </w:rPr>
        <w:t>To provide an external step free access path would necessitate construction of ramping that exceeds the length and gradient allowed</w:t>
      </w:r>
    </w:p>
    <w:p w14:paraId="5ED80BBC" w14:textId="77777777" w:rsidR="00873A97" w:rsidRDefault="00873A97" w:rsidP="00873A97">
      <w:pPr>
        <w:pStyle w:val="ListBullet2"/>
        <w:numPr>
          <w:ilvl w:val="1"/>
          <w:numId w:val="16"/>
        </w:numPr>
        <w:rPr>
          <w:lang w:eastAsia="en-US" w:bidi="fa-IR"/>
        </w:rPr>
      </w:pPr>
      <w:r>
        <w:rPr>
          <w:lang w:eastAsia="en-US" w:bidi="fa-IR"/>
        </w:rPr>
        <w:t>There is insufficient space on the site to accommodate a compliant step-free access path</w:t>
      </w:r>
    </w:p>
    <w:p w14:paraId="21470972" w14:textId="77777777" w:rsidR="00873A97" w:rsidRPr="00A8225F" w:rsidRDefault="00873A97" w:rsidP="00873A97">
      <w:pPr>
        <w:pStyle w:val="ListBullet2"/>
        <w:numPr>
          <w:ilvl w:val="1"/>
          <w:numId w:val="16"/>
        </w:numPr>
        <w:rPr>
          <w:lang w:eastAsia="en-US" w:bidi="fa-IR"/>
        </w:rPr>
      </w:pPr>
      <w:r>
        <w:rPr>
          <w:lang w:eastAsia="en-US" w:bidi="fa-IR"/>
        </w:rPr>
        <w:t>The average slope of the ground on which the access path would be constructed exceeds 1:14</w:t>
      </w:r>
    </w:p>
    <w:p w14:paraId="3D4229FD" w14:textId="77777777" w:rsidR="00B3388E" w:rsidRPr="00B3388E" w:rsidRDefault="00B3388E" w:rsidP="00B3388E">
      <w:pPr>
        <w:pStyle w:val="BodyText"/>
      </w:pPr>
      <w:r>
        <w:t xml:space="preserve">It could be interpreted that even if a house is built on a site </w:t>
      </w:r>
      <w:r w:rsidR="00D25EF2">
        <w:t>where one or more of the three criteria (including the slope criteria) list</w:t>
      </w:r>
      <w:r w:rsidR="00BC3F41">
        <w:t>ed</w:t>
      </w:r>
      <w:r w:rsidR="00D25EF2">
        <w:t xml:space="preserve"> above are applicable</w:t>
      </w:r>
      <w:r>
        <w:t>, it is not exempt from step free access if step free access via a garage or a parking place could be achieved.</w:t>
      </w:r>
      <w:r w:rsidR="000720EB">
        <w:t xml:space="preserve"> </w:t>
      </w:r>
    </w:p>
    <w:p w14:paraId="2E51A501" w14:textId="77777777" w:rsidR="00873A97" w:rsidRPr="00F10B68" w:rsidRDefault="00B3388E" w:rsidP="00873A97">
      <w:pPr>
        <w:pStyle w:val="Heading3"/>
      </w:pPr>
      <w:r>
        <w:t xml:space="preserve">Difficult to determine </w:t>
      </w:r>
      <w:r w:rsidR="00C959F7">
        <w:t>the number of</w:t>
      </w:r>
      <w:r>
        <w:t xml:space="preserve"> new builds </w:t>
      </w:r>
      <w:r w:rsidR="00C959F7">
        <w:t xml:space="preserve">impacted by </w:t>
      </w:r>
      <w:r>
        <w:t>exempt</w:t>
      </w:r>
      <w:r w:rsidR="00C959F7">
        <w:t>ion</w:t>
      </w:r>
    </w:p>
    <w:p w14:paraId="0D33E5E4" w14:textId="77777777" w:rsidR="00873A97" w:rsidRDefault="00873A97" w:rsidP="00873A97">
      <w:pPr>
        <w:pStyle w:val="BodyText"/>
      </w:pPr>
      <w:r>
        <w:t>T</w:t>
      </w:r>
      <w:r w:rsidRPr="00F10B68">
        <w:t xml:space="preserve">here is </w:t>
      </w:r>
      <w:r w:rsidR="00C959F7">
        <w:t>insufficient</w:t>
      </w:r>
      <w:r>
        <w:t xml:space="preserve"> </w:t>
      </w:r>
      <w:r w:rsidRPr="00F10B68">
        <w:t xml:space="preserve">data </w:t>
      </w:r>
      <w:r>
        <w:t xml:space="preserve">to reliably estimate the </w:t>
      </w:r>
      <w:r w:rsidR="00C959F7">
        <w:t>number</w:t>
      </w:r>
      <w:r>
        <w:t xml:space="preserve"> of Class 1a </w:t>
      </w:r>
      <w:r w:rsidR="00C959F7">
        <w:t>buildings</w:t>
      </w:r>
      <w:r>
        <w:t xml:space="preserve"> that would be exempt</w:t>
      </w:r>
      <w:r w:rsidR="00C959F7">
        <w:t xml:space="preserve"> from </w:t>
      </w:r>
      <w:r w:rsidR="00BC3F41">
        <w:t xml:space="preserve">the </w:t>
      </w:r>
      <w:r w:rsidR="00C959F7">
        <w:t>step free access requirement</w:t>
      </w:r>
      <w:r>
        <w:t>.</w:t>
      </w:r>
    </w:p>
    <w:p w14:paraId="1B071D18" w14:textId="77777777" w:rsidR="00873A97" w:rsidRDefault="00C959F7" w:rsidP="00873A97">
      <w:pPr>
        <w:pStyle w:val="BodyText"/>
      </w:pPr>
      <w:r>
        <w:t xml:space="preserve">Two data sources may be used to </w:t>
      </w:r>
      <w:r w:rsidR="00894E40">
        <w:t xml:space="preserve">provide some indicative estimates. </w:t>
      </w:r>
    </w:p>
    <w:p w14:paraId="7AF3DD35" w14:textId="77777777" w:rsidR="00873A97" w:rsidRDefault="00873A97" w:rsidP="00B53322">
      <w:pPr>
        <w:pStyle w:val="ListBullet"/>
      </w:pPr>
      <w:r>
        <w:t xml:space="preserve">NSW Government </w:t>
      </w:r>
      <w:r w:rsidR="00CB5D90">
        <w:t xml:space="preserve">topography </w:t>
      </w:r>
      <w:r w:rsidR="00894E40">
        <w:t>d</w:t>
      </w:r>
      <w:r>
        <w:t>ata</w:t>
      </w:r>
      <w:r w:rsidR="00F363C3">
        <w:rPr>
          <w:rStyle w:val="FootnoteReference"/>
        </w:rPr>
        <w:footnoteReference w:id="241"/>
      </w:r>
      <w:r>
        <w:t xml:space="preserve"> </w:t>
      </w:r>
      <w:r w:rsidR="00894E40">
        <w:t xml:space="preserve">suggests </w:t>
      </w:r>
      <w:r>
        <w:t xml:space="preserve">that </w:t>
      </w:r>
      <w:r w:rsidR="00894E40">
        <w:t xml:space="preserve">around 12 per cent of sites in </w:t>
      </w:r>
      <w:r>
        <w:t xml:space="preserve">future </w:t>
      </w:r>
      <w:r w:rsidR="00894E40">
        <w:t xml:space="preserve">potential </w:t>
      </w:r>
      <w:r w:rsidR="00BC3F41">
        <w:t>g</w:t>
      </w:r>
      <w:r>
        <w:t>reenfield development have a total slope (across the whole site) greater than 1:14.</w:t>
      </w:r>
    </w:p>
    <w:p w14:paraId="787A42FF" w14:textId="77777777" w:rsidR="00B57EBC" w:rsidRDefault="00894E40" w:rsidP="00B53322">
      <w:pPr>
        <w:pStyle w:val="ListBullet"/>
        <w:rPr>
          <w:lang w:bidi="fa-IR"/>
        </w:rPr>
      </w:pPr>
      <w:r>
        <w:rPr>
          <w:lang w:bidi="fa-IR"/>
        </w:rPr>
        <w:lastRenderedPageBreak/>
        <w:t xml:space="preserve">About </w:t>
      </w:r>
      <w:r w:rsidR="00B57EBC">
        <w:rPr>
          <w:lang w:bidi="fa-IR"/>
        </w:rPr>
        <w:t>11 per cent of separate houses and townhouse developments</w:t>
      </w:r>
      <w:r>
        <w:rPr>
          <w:lang w:bidi="fa-IR"/>
        </w:rPr>
        <w:t xml:space="preserve"> in Victoria </w:t>
      </w:r>
      <w:r w:rsidR="00B57EBC">
        <w:rPr>
          <w:lang w:bidi="fa-IR"/>
        </w:rPr>
        <w:t xml:space="preserve">between 2005 and 2016 were built on lots </w:t>
      </w:r>
      <w:r>
        <w:rPr>
          <w:lang w:bidi="fa-IR"/>
        </w:rPr>
        <w:t>less</w:t>
      </w:r>
      <w:r w:rsidR="00B57EBC">
        <w:rPr>
          <w:lang w:bidi="fa-IR"/>
        </w:rPr>
        <w:t xml:space="preserve"> than 300</w:t>
      </w:r>
      <w:r w:rsidR="00C959F7">
        <w:rPr>
          <w:lang w:bidi="fa-IR"/>
        </w:rPr>
        <w:t> </w:t>
      </w:r>
      <w:r w:rsidR="00B57EBC">
        <w:rPr>
          <w:lang w:bidi="fa-IR"/>
        </w:rPr>
        <w:t>m</w:t>
      </w:r>
      <w:r w:rsidR="00C959F7" w:rsidRPr="00C959F7">
        <w:rPr>
          <w:vertAlign w:val="superscript"/>
          <w:lang w:bidi="fa-IR"/>
        </w:rPr>
        <w:t>2</w:t>
      </w:r>
      <w:r w:rsidR="00B57EBC">
        <w:rPr>
          <w:lang w:bidi="fa-IR"/>
        </w:rPr>
        <w:t>.</w:t>
      </w:r>
      <w:r w:rsidR="00B57EBC">
        <w:rPr>
          <w:rStyle w:val="FootnoteReference"/>
          <w:lang w:bidi="fa-IR"/>
        </w:rPr>
        <w:footnoteReference w:id="242"/>
      </w:r>
      <w:r w:rsidR="00B57EBC">
        <w:rPr>
          <w:lang w:bidi="fa-IR"/>
        </w:rPr>
        <w:t xml:space="preserve"> This share is likely to have grown significantly, as lot sizes in Victoria have fallen significantly over time.</w:t>
      </w:r>
      <w:r w:rsidR="00B57EBC">
        <w:rPr>
          <w:rStyle w:val="FootnoteReference"/>
          <w:lang w:bidi="fa-IR"/>
        </w:rPr>
        <w:footnoteReference w:id="243"/>
      </w:r>
    </w:p>
    <w:p w14:paraId="05691D83" w14:textId="77777777" w:rsidR="00C0204B" w:rsidRDefault="00C0204B" w:rsidP="00873A97">
      <w:pPr>
        <w:pStyle w:val="BodyText"/>
      </w:pPr>
      <w:r>
        <w:rPr>
          <w:lang w:bidi="fa-IR"/>
        </w:rPr>
        <w:t xml:space="preserve">While the conditions for exemption are subject to interpretation as discussed above, </w:t>
      </w:r>
      <w:r w:rsidR="0001474C">
        <w:rPr>
          <w:lang w:bidi="fa-IR"/>
        </w:rPr>
        <w:t xml:space="preserve">this </w:t>
      </w:r>
      <w:r>
        <w:rPr>
          <w:lang w:bidi="fa-IR"/>
        </w:rPr>
        <w:t>limited data may suggest that up to 10-15 per cent of new Class 1a buildings could be exempt from step free access</w:t>
      </w:r>
      <w:r w:rsidR="0009110F">
        <w:rPr>
          <w:lang w:bidi="fa-IR"/>
        </w:rPr>
        <w:t xml:space="preserve"> requirement</w:t>
      </w:r>
      <w:r>
        <w:rPr>
          <w:lang w:bidi="fa-IR"/>
        </w:rPr>
        <w:t>.</w:t>
      </w:r>
    </w:p>
    <w:p w14:paraId="2C9DDB38" w14:textId="77777777" w:rsidR="00873A97" w:rsidRDefault="004B1875" w:rsidP="00873A97">
      <w:pPr>
        <w:pStyle w:val="Heading3"/>
      </w:pPr>
      <w:r>
        <w:t xml:space="preserve">Potential impact </w:t>
      </w:r>
      <w:r w:rsidR="00873A97">
        <w:t>of exemptions</w:t>
      </w:r>
    </w:p>
    <w:p w14:paraId="3EEFC8C3" w14:textId="77777777" w:rsidR="00873A97" w:rsidRDefault="003F0B0F" w:rsidP="00873A97">
      <w:pPr>
        <w:pStyle w:val="BodyText"/>
      </w:pPr>
      <w:r>
        <w:t>As more extreme cost assumptions are associated with more obvious exemptions, i</w:t>
      </w:r>
      <w:r w:rsidR="000720EB">
        <w:t>t is reasonable to assume</w:t>
      </w:r>
      <w:r w:rsidR="00DA32D9">
        <w:t xml:space="preserve"> </w:t>
      </w:r>
      <w:r w:rsidR="00F05937">
        <w:t xml:space="preserve">that the estimated construction cost </w:t>
      </w:r>
      <w:r w:rsidR="00DA32D9">
        <w:t xml:space="preserve">would be </w:t>
      </w:r>
      <w:r w:rsidR="00616E20">
        <w:t xml:space="preserve">applied in </w:t>
      </w:r>
      <w:r w:rsidR="00DA32D9">
        <w:t xml:space="preserve">cases closer to the average (where interpretation is likely to be most </w:t>
      </w:r>
      <w:r w:rsidR="00EB26A0">
        <w:t>common</w:t>
      </w:r>
      <w:r w:rsidR="00DA32D9">
        <w:t>)</w:t>
      </w:r>
      <w:r>
        <w:t>. W</w:t>
      </w:r>
      <w:r w:rsidR="00873A97">
        <w:t>here properties are exempt</w:t>
      </w:r>
      <w:r w:rsidR="00894E40">
        <w:t xml:space="preserve"> from </w:t>
      </w:r>
      <w:r w:rsidR="00616E20">
        <w:t xml:space="preserve">the </w:t>
      </w:r>
      <w:r w:rsidR="00894E40">
        <w:t>step</w:t>
      </w:r>
      <w:r w:rsidR="00F9132D">
        <w:t>-</w:t>
      </w:r>
      <w:r w:rsidR="00894E40">
        <w:t>free access requirement</w:t>
      </w:r>
      <w:r w:rsidR="00873A97">
        <w:t xml:space="preserve">, </w:t>
      </w:r>
      <w:r w:rsidR="00C56718">
        <w:t>a</w:t>
      </w:r>
      <w:r w:rsidR="00C34EDE">
        <w:t xml:space="preserve"> </w:t>
      </w:r>
      <w:r w:rsidR="00873A97">
        <w:t xml:space="preserve">significant </w:t>
      </w:r>
      <w:r w:rsidR="00C34EDE">
        <w:t xml:space="preserve">proportion of </w:t>
      </w:r>
      <w:r w:rsidR="000720EB">
        <w:t xml:space="preserve">the proposal’s </w:t>
      </w:r>
      <w:r w:rsidR="00873A97">
        <w:t xml:space="preserve">costs </w:t>
      </w:r>
      <w:r w:rsidR="000720EB">
        <w:t>due to</w:t>
      </w:r>
      <w:r w:rsidR="00873A97">
        <w:t xml:space="preserve"> </w:t>
      </w:r>
      <w:r w:rsidR="00894E40">
        <w:t xml:space="preserve">other requirements </w:t>
      </w:r>
      <w:r w:rsidR="00C34EDE">
        <w:t>are still incurred</w:t>
      </w:r>
      <w:r w:rsidR="00873A97">
        <w:t xml:space="preserve">. </w:t>
      </w:r>
      <w:r w:rsidR="00976EDD">
        <w:t>As shown in table 6.1, u</w:t>
      </w:r>
      <w:r w:rsidR="00873A97">
        <w:t xml:space="preserve">nder Option 1, an exempt </w:t>
      </w:r>
      <w:r w:rsidR="00894E40">
        <w:t>t</w:t>
      </w:r>
      <w:r w:rsidR="00873A97">
        <w:t xml:space="preserve">ownhouse and an exempt </w:t>
      </w:r>
      <w:r w:rsidR="00894E40">
        <w:t>d</w:t>
      </w:r>
      <w:r w:rsidR="00873A97">
        <w:t xml:space="preserve">etached </w:t>
      </w:r>
      <w:r w:rsidR="00894E40">
        <w:t>h</w:t>
      </w:r>
      <w:r w:rsidR="00873A97">
        <w:t>ouse would still incur 77 per cent and 84 per cent of additional costs</w:t>
      </w:r>
      <w:r w:rsidR="00894E40">
        <w:t>, respectively</w:t>
      </w:r>
      <w:r w:rsidR="00873A97">
        <w:t>. For Option 2 and Option 3, these percentages are above 90 per cent.</w:t>
      </w:r>
    </w:p>
    <w:p w14:paraId="0FF5BD61" w14:textId="77777777" w:rsidR="006C25FC" w:rsidRDefault="00C0204B" w:rsidP="00873A97">
      <w:pPr>
        <w:pStyle w:val="BodyText"/>
      </w:pPr>
      <w:r>
        <w:t xml:space="preserve">Detached houses and townhouses account for about 56 per cent and 15 per cent of new dwellings, respectively. </w:t>
      </w:r>
      <w:r w:rsidR="00E53C61">
        <w:t xml:space="preserve">Exemptions are not applicable to apartment buildings which have higher compliance costs than Class 1a buildings. </w:t>
      </w:r>
      <w:r w:rsidR="006C25FC">
        <w:t>Assuming 15 per cent of Class 1a buildings are exempted, t</w:t>
      </w:r>
      <w:r w:rsidR="00E53C61">
        <w:t xml:space="preserve">he exemption would see compliance cost </w:t>
      </w:r>
      <w:r w:rsidR="000720EB">
        <w:t xml:space="preserve">in weighted average terms </w:t>
      </w:r>
      <w:r w:rsidR="00E53C61">
        <w:t>reduce</w:t>
      </w:r>
      <w:r w:rsidR="00F9132D">
        <w:t>d</w:t>
      </w:r>
      <w:r w:rsidR="00E53C61">
        <w:t xml:space="preserve"> by</w:t>
      </w:r>
      <w:r w:rsidR="006C25FC">
        <w:t>:</w:t>
      </w:r>
    </w:p>
    <w:p w14:paraId="616EF23A" w14:textId="77777777" w:rsidR="006C25FC" w:rsidRDefault="00E53C61" w:rsidP="006C25FC">
      <w:pPr>
        <w:pStyle w:val="ListBullet"/>
      </w:pPr>
      <w:r>
        <w:t>1.6 per cent for Option 1</w:t>
      </w:r>
    </w:p>
    <w:p w14:paraId="784F798D" w14:textId="77777777" w:rsidR="006C25FC" w:rsidRDefault="00E53C61" w:rsidP="006C25FC">
      <w:pPr>
        <w:pStyle w:val="ListBullet"/>
      </w:pPr>
      <w:r>
        <w:t>0.6 per cent for Option 2</w:t>
      </w:r>
    </w:p>
    <w:p w14:paraId="1BF7184D" w14:textId="77777777" w:rsidR="00C0204B" w:rsidRDefault="00E53C61" w:rsidP="006C25FC">
      <w:pPr>
        <w:pStyle w:val="ListBullet"/>
      </w:pPr>
      <w:r>
        <w:t>0.4 per cent for Option 3</w:t>
      </w:r>
      <w:r w:rsidR="00CA15EF">
        <w:t>.</w:t>
      </w:r>
    </w:p>
    <w:p w14:paraId="716C0209" w14:textId="77777777" w:rsidR="00FD6549" w:rsidRDefault="00FD6549" w:rsidP="00873A97">
      <w:pPr>
        <w:pStyle w:val="BodyText"/>
      </w:pPr>
      <w:r>
        <w:t>The impact of e</w:t>
      </w:r>
      <w:r w:rsidR="00873A97">
        <w:t>xempt</w:t>
      </w:r>
      <w:r>
        <w:t>ion on benefits is complicated. There are different ways to measure the impact on benefits. One way is to assume that benefits change in proportio</w:t>
      </w:r>
      <w:r w:rsidR="00616E20">
        <w:t>n</w:t>
      </w:r>
      <w:r>
        <w:t xml:space="preserve"> to the change in costs. </w:t>
      </w:r>
      <w:r w:rsidR="000643AB">
        <w:t xml:space="preserve">CIE suggest it would be too extreme to </w:t>
      </w:r>
      <w:r>
        <w:t xml:space="preserve">assume that </w:t>
      </w:r>
      <w:r w:rsidR="00C17CDF">
        <w:t>all</w:t>
      </w:r>
      <w:r w:rsidR="000643AB">
        <w:t>, or none</w:t>
      </w:r>
      <w:r w:rsidR="006F421F">
        <w:t>,</w:t>
      </w:r>
      <w:r w:rsidR="000643AB">
        <w:t xml:space="preserve"> of the benefits</w:t>
      </w:r>
      <w:r w:rsidR="00C17CDF">
        <w:t xml:space="preserve"> </w:t>
      </w:r>
      <w:r w:rsidR="000643AB">
        <w:t>are</w:t>
      </w:r>
      <w:r w:rsidR="00C17CDF">
        <w:t xml:space="preserve"> lost without the step free access.</w:t>
      </w:r>
    </w:p>
    <w:p w14:paraId="5796F8B9" w14:textId="28FEC6F8" w:rsidR="000643AB" w:rsidRDefault="00C17CDF" w:rsidP="00873A97">
      <w:pPr>
        <w:pStyle w:val="BodyText"/>
      </w:pPr>
      <w:r>
        <w:t>The WTP results present a middle point of the above assumptions. As shown in table K.</w:t>
      </w:r>
      <w:r w:rsidR="006036AF">
        <w:t xml:space="preserve">17 </w:t>
      </w:r>
      <w:r>
        <w:t xml:space="preserve">in appendix </w:t>
      </w:r>
      <w:r>
        <w:fldChar w:fldCharType="begin"/>
      </w:r>
      <w:r>
        <w:instrText xml:space="preserve"> REF _Ref56677480 \n \h </w:instrText>
      </w:r>
      <w:r>
        <w:fldChar w:fldCharType="separate"/>
      </w:r>
      <w:r w:rsidR="000F445C">
        <w:t>K</w:t>
      </w:r>
      <w:r>
        <w:fldChar w:fldCharType="end"/>
      </w:r>
      <w:r>
        <w:t>, WTP for step free access account for 59 per cent, 29 per cent and 33 per cent of total WTP, respectively, under Options 1, 2 and 3. Assuming 15</w:t>
      </w:r>
      <w:r w:rsidR="00CA15EF">
        <w:t> p</w:t>
      </w:r>
      <w:r>
        <w:t>er</w:t>
      </w:r>
      <w:r w:rsidR="00CA4EA5">
        <w:t> </w:t>
      </w:r>
      <w:r>
        <w:t>cent of Class 1a buildings are exempt, the benefits may fall by 6.3 per cent, 3</w:t>
      </w:r>
      <w:r w:rsidR="00CA15EF">
        <w:t>.0</w:t>
      </w:r>
      <w:r w:rsidR="00BE03A2">
        <w:t> </w:t>
      </w:r>
      <w:r>
        <w:t>per</w:t>
      </w:r>
      <w:r w:rsidR="00BE03A2">
        <w:t> </w:t>
      </w:r>
      <w:r>
        <w:t>cent and 3.5 per cent, respectively, for Options 1, 2 and 3.</w:t>
      </w:r>
    </w:p>
    <w:p w14:paraId="55D0A8F2" w14:textId="77777777" w:rsidR="00BE4D9E" w:rsidRDefault="003F0B0F" w:rsidP="00873A97">
      <w:pPr>
        <w:pStyle w:val="BodyText"/>
        <w:rPr>
          <w:lang w:eastAsia="en-US" w:bidi="fa-IR"/>
        </w:rPr>
      </w:pPr>
      <w:r>
        <w:t>G</w:t>
      </w:r>
      <w:r w:rsidR="00DA32D9">
        <w:t xml:space="preserve">iven </w:t>
      </w:r>
      <w:r w:rsidR="000C1F39">
        <w:t xml:space="preserve">that </w:t>
      </w:r>
      <w:r w:rsidR="00DA32D9">
        <w:t>the potential for higher than average costs</w:t>
      </w:r>
      <w:r w:rsidR="000C1F39">
        <w:t xml:space="preserve"> </w:t>
      </w:r>
      <w:r w:rsidR="00DA32D9">
        <w:t xml:space="preserve">can’t be known, </w:t>
      </w:r>
      <w:r w:rsidR="00CA4EA5">
        <w:rPr>
          <w:lang w:eastAsia="en-US" w:bidi="fa-IR"/>
        </w:rPr>
        <w:t>due to</w:t>
      </w:r>
      <w:r w:rsidR="00DA32D9">
        <w:rPr>
          <w:lang w:eastAsia="en-US" w:bidi="fa-IR"/>
        </w:rPr>
        <w:t xml:space="preserve"> </w:t>
      </w:r>
      <w:r w:rsidR="00BE03A2">
        <w:rPr>
          <w:lang w:eastAsia="en-US" w:bidi="fa-IR"/>
        </w:rPr>
        <w:t xml:space="preserve">a lack of </w:t>
      </w:r>
      <w:r w:rsidR="00DA32D9">
        <w:rPr>
          <w:lang w:eastAsia="en-US" w:bidi="fa-IR"/>
        </w:rPr>
        <w:t xml:space="preserve">data, the impact of exemptions on the proportion of new builds can’t be estimated with accuracy. </w:t>
      </w:r>
    </w:p>
    <w:p w14:paraId="40EE40A7" w14:textId="77777777" w:rsidR="000643AB" w:rsidRPr="00873A97" w:rsidRDefault="003F0B0F" w:rsidP="00873A97">
      <w:pPr>
        <w:pStyle w:val="BodyText"/>
      </w:pPr>
      <w:r>
        <w:lastRenderedPageBreak/>
        <w:t>With all these factors considered,</w:t>
      </w:r>
      <w:r w:rsidR="00CA4EA5">
        <w:t xml:space="preserve"> and</w:t>
      </w:r>
      <w:r>
        <w:t xml:space="preserve"> assuming </w:t>
      </w:r>
      <w:r w:rsidR="00DA32D9">
        <w:rPr>
          <w:lang w:eastAsia="en-US" w:bidi="fa-IR"/>
        </w:rPr>
        <w:t xml:space="preserve">reductions in costs under the average case (where interpretation is likely to be </w:t>
      </w:r>
      <w:r>
        <w:rPr>
          <w:lang w:eastAsia="en-US" w:bidi="fa-IR"/>
        </w:rPr>
        <w:t xml:space="preserve">more </w:t>
      </w:r>
      <w:r w:rsidR="00EB26A0">
        <w:rPr>
          <w:lang w:eastAsia="en-US" w:bidi="fa-IR"/>
        </w:rPr>
        <w:t>common</w:t>
      </w:r>
      <w:r w:rsidR="00DA32D9">
        <w:rPr>
          <w:lang w:eastAsia="en-US" w:bidi="fa-IR"/>
        </w:rPr>
        <w:t xml:space="preserve">) for the step free path are representative, the above </w:t>
      </w:r>
      <w:r>
        <w:rPr>
          <w:lang w:eastAsia="en-US" w:bidi="fa-IR"/>
        </w:rPr>
        <w:t xml:space="preserve">discussion </w:t>
      </w:r>
      <w:r w:rsidR="00DA32D9">
        <w:rPr>
          <w:lang w:eastAsia="en-US" w:bidi="fa-IR"/>
        </w:rPr>
        <w:t>indicates that benefits may reduce disproportionately to costs</w:t>
      </w:r>
      <w:r>
        <w:rPr>
          <w:lang w:eastAsia="en-US" w:bidi="fa-IR"/>
        </w:rPr>
        <w:t xml:space="preserve"> in all but extreme cases.</w:t>
      </w:r>
      <w:r w:rsidR="000C1F39">
        <w:t xml:space="preserve"> </w:t>
      </w:r>
      <w:bookmarkStart w:id="528" w:name="_Hlk62547477"/>
      <w:r w:rsidR="00D239CA">
        <w:t>In other words, the CBA results presented above, which do not apply exemptions and assume average construction cost</w:t>
      </w:r>
      <w:r w:rsidR="00CA4EA5">
        <w:t>s</w:t>
      </w:r>
      <w:r w:rsidR="00D239CA">
        <w:t xml:space="preserve"> and full benefits for all new builds, are more likely to understate the costs and/or to overstate the benefits.</w:t>
      </w:r>
      <w:bookmarkEnd w:id="528"/>
    </w:p>
    <w:p w14:paraId="0F33205C" w14:textId="77777777" w:rsidR="00510B61" w:rsidRDefault="00053742" w:rsidP="00F11AF4">
      <w:pPr>
        <w:pStyle w:val="Heading2"/>
        <w:numPr>
          <w:ilvl w:val="1"/>
          <w:numId w:val="5"/>
        </w:numPr>
        <w:rPr>
          <w:lang w:bidi="fa-IR"/>
        </w:rPr>
      </w:pPr>
      <w:bookmarkStart w:id="529" w:name="_Toc70505129"/>
      <w:r>
        <w:rPr>
          <w:lang w:bidi="fa-IR"/>
        </w:rPr>
        <w:t>Scenario and s</w:t>
      </w:r>
      <w:r w:rsidR="00510B61">
        <w:rPr>
          <w:lang w:bidi="fa-IR"/>
        </w:rPr>
        <w:t>ensitivity analysis</w:t>
      </w:r>
      <w:bookmarkEnd w:id="529"/>
    </w:p>
    <w:p w14:paraId="376D2D28" w14:textId="77777777" w:rsidR="0039262C" w:rsidRDefault="0039262C" w:rsidP="0039262C">
      <w:pPr>
        <w:pStyle w:val="BodyText"/>
        <w:rPr>
          <w:lang w:bidi="fa-IR"/>
        </w:rPr>
      </w:pPr>
      <w:r>
        <w:rPr>
          <w:lang w:bidi="fa-IR"/>
        </w:rPr>
        <w:t>As the</w:t>
      </w:r>
      <w:r w:rsidR="00CA7895">
        <w:rPr>
          <w:lang w:bidi="fa-IR"/>
        </w:rPr>
        <w:t xml:space="preserve"> CBA was prepared based on </w:t>
      </w:r>
      <w:r>
        <w:rPr>
          <w:lang w:bidi="fa-IR"/>
        </w:rPr>
        <w:t xml:space="preserve">limited evidence and there were differing </w:t>
      </w:r>
      <w:r w:rsidR="00CA7895">
        <w:rPr>
          <w:lang w:bidi="fa-IR"/>
        </w:rPr>
        <w:t xml:space="preserve">stakeholder </w:t>
      </w:r>
      <w:r>
        <w:rPr>
          <w:lang w:bidi="fa-IR"/>
        </w:rPr>
        <w:t>views on some input assumptions, it is important to test the sensitivity of the estimated impacts to alternative assumptions. This provides insights into the robustness of the conclusions drawn from the CBA result.</w:t>
      </w:r>
    </w:p>
    <w:p w14:paraId="726A3929" w14:textId="77777777" w:rsidR="0039262C" w:rsidRDefault="0039262C" w:rsidP="0039262C">
      <w:pPr>
        <w:pStyle w:val="Heading3"/>
        <w:rPr>
          <w:lang w:bidi="fa-IR"/>
        </w:rPr>
      </w:pPr>
      <w:r>
        <w:rPr>
          <w:lang w:bidi="fa-IR"/>
        </w:rPr>
        <w:t xml:space="preserve">The potential impact of </w:t>
      </w:r>
      <w:r w:rsidR="00422431">
        <w:rPr>
          <w:lang w:bidi="fa-IR"/>
        </w:rPr>
        <w:t xml:space="preserve">qualitative but not quantifiable </w:t>
      </w:r>
      <w:r>
        <w:rPr>
          <w:lang w:bidi="fa-IR"/>
        </w:rPr>
        <w:t>benefits</w:t>
      </w:r>
    </w:p>
    <w:p w14:paraId="701FCDBB" w14:textId="77777777" w:rsidR="0039262C" w:rsidRDefault="0039262C" w:rsidP="0039262C">
      <w:pPr>
        <w:pStyle w:val="BodyText"/>
        <w:rPr>
          <w:lang w:bidi="fa-IR"/>
        </w:rPr>
      </w:pPr>
      <w:r>
        <w:rPr>
          <w:lang w:bidi="fa-IR"/>
        </w:rPr>
        <w:t xml:space="preserve">As discussed above, CIE has made every effort to quantify as many of the costs and benefits that the available information would allow. </w:t>
      </w:r>
      <w:r w:rsidR="00CA7895">
        <w:rPr>
          <w:lang w:bidi="fa-IR"/>
        </w:rPr>
        <w:t>T</w:t>
      </w:r>
      <w:r>
        <w:rPr>
          <w:lang w:bidi="fa-IR"/>
        </w:rPr>
        <w:t xml:space="preserve">here are </w:t>
      </w:r>
      <w:r w:rsidR="00CA7895">
        <w:rPr>
          <w:lang w:bidi="fa-IR"/>
        </w:rPr>
        <w:t>a number of</w:t>
      </w:r>
      <w:r>
        <w:rPr>
          <w:lang w:bidi="fa-IR"/>
        </w:rPr>
        <w:t xml:space="preserve"> potentially significant benefits that are </w:t>
      </w:r>
      <w:r w:rsidR="000A0121">
        <w:rPr>
          <w:lang w:bidi="fa-IR"/>
        </w:rPr>
        <w:t xml:space="preserve">not able to be </w:t>
      </w:r>
      <w:r w:rsidR="00E44D24">
        <w:rPr>
          <w:lang w:bidi="fa-IR"/>
        </w:rPr>
        <w:t>completely</w:t>
      </w:r>
      <w:r w:rsidR="000A0121">
        <w:rPr>
          <w:lang w:bidi="fa-IR"/>
        </w:rPr>
        <w:t xml:space="preserve"> quantified </w:t>
      </w:r>
      <w:r w:rsidR="002F166B">
        <w:rPr>
          <w:lang w:bidi="fa-IR"/>
        </w:rPr>
        <w:t xml:space="preserve">in economic terms </w:t>
      </w:r>
      <w:r w:rsidR="000A0121">
        <w:rPr>
          <w:lang w:bidi="fa-IR"/>
        </w:rPr>
        <w:t xml:space="preserve">and </w:t>
      </w:r>
      <w:r w:rsidR="00CA4EA5">
        <w:rPr>
          <w:lang w:bidi="fa-IR"/>
        </w:rPr>
        <w:t xml:space="preserve">are </w:t>
      </w:r>
      <w:r w:rsidR="000A0121">
        <w:rPr>
          <w:lang w:bidi="fa-IR"/>
        </w:rPr>
        <w:t xml:space="preserve">not presented in the </w:t>
      </w:r>
      <w:r w:rsidR="00450ED3">
        <w:rPr>
          <w:lang w:bidi="fa-IR"/>
        </w:rPr>
        <w:t xml:space="preserve">central case of the </w:t>
      </w:r>
      <w:r w:rsidR="005509B8">
        <w:rPr>
          <w:lang w:bidi="fa-IR"/>
        </w:rPr>
        <w:t>CBA</w:t>
      </w:r>
      <w:r w:rsidR="000A0121">
        <w:rPr>
          <w:lang w:bidi="fa-IR"/>
        </w:rPr>
        <w:t>.</w:t>
      </w:r>
      <w:r w:rsidR="00CA7895">
        <w:rPr>
          <w:lang w:bidi="fa-IR"/>
        </w:rPr>
        <w:t xml:space="preserve"> These are noted below.</w:t>
      </w:r>
    </w:p>
    <w:p w14:paraId="0F24783F" w14:textId="77777777" w:rsidR="0039262C" w:rsidRDefault="0039262C" w:rsidP="0039262C">
      <w:pPr>
        <w:pStyle w:val="Heading4"/>
        <w:rPr>
          <w:lang w:bidi="fa-IR"/>
        </w:rPr>
      </w:pPr>
      <w:r>
        <w:rPr>
          <w:lang w:bidi="fa-IR"/>
        </w:rPr>
        <w:t>Societal benefits</w:t>
      </w:r>
    </w:p>
    <w:p w14:paraId="0525BF5D" w14:textId="77777777" w:rsidR="00596689" w:rsidRDefault="0039262C" w:rsidP="0039262C">
      <w:pPr>
        <w:pStyle w:val="BodyText"/>
        <w:rPr>
          <w:lang w:bidi="fa-IR"/>
        </w:rPr>
      </w:pPr>
      <w:r>
        <w:rPr>
          <w:lang w:bidi="fa-IR"/>
        </w:rPr>
        <w:t>Many stakeholders have put forward the reasonable view that concepts such as human rights (including compliance with the UN Convention on</w:t>
      </w:r>
      <w:r w:rsidR="00421CDC">
        <w:rPr>
          <w:lang w:bidi="fa-IR"/>
        </w:rPr>
        <w:t xml:space="preserve"> the Rights of</w:t>
      </w:r>
      <w:r>
        <w:rPr>
          <w:lang w:bidi="fa-IR"/>
        </w:rPr>
        <w:t xml:space="preserve"> Pe</w:t>
      </w:r>
      <w:r w:rsidR="00421CDC">
        <w:rPr>
          <w:lang w:bidi="fa-IR"/>
        </w:rPr>
        <w:t>rsons</w:t>
      </w:r>
      <w:r>
        <w:rPr>
          <w:lang w:bidi="fa-IR"/>
        </w:rPr>
        <w:t xml:space="preserve"> with Disability) and social justice are critical to any decision on whether to include a minimum accessibility standard in the NCC. </w:t>
      </w:r>
      <w:r w:rsidR="005509B8">
        <w:rPr>
          <w:lang w:bidi="fa-IR"/>
        </w:rPr>
        <w:t>T</w:t>
      </w:r>
      <w:r>
        <w:rPr>
          <w:lang w:bidi="fa-IR"/>
        </w:rPr>
        <w:t>hese issues relate to the distribution of benefit</w:t>
      </w:r>
      <w:r w:rsidR="005509B8">
        <w:rPr>
          <w:lang w:bidi="fa-IR"/>
        </w:rPr>
        <w:t>s and costs</w:t>
      </w:r>
      <w:r>
        <w:rPr>
          <w:lang w:bidi="fa-IR"/>
        </w:rPr>
        <w:t xml:space="preserve"> </w:t>
      </w:r>
      <w:r w:rsidR="00CA7895">
        <w:rPr>
          <w:lang w:bidi="fa-IR"/>
        </w:rPr>
        <w:t>within</w:t>
      </w:r>
      <w:r>
        <w:rPr>
          <w:lang w:bidi="fa-IR"/>
        </w:rPr>
        <w:t xml:space="preserve"> the community (i.e. many of the benefits would accrue to disadvantaged groups and also </w:t>
      </w:r>
      <w:r w:rsidR="00252F91">
        <w:rPr>
          <w:lang w:bidi="fa-IR"/>
        </w:rPr>
        <w:t xml:space="preserve">in </w:t>
      </w:r>
      <w:r>
        <w:rPr>
          <w:lang w:bidi="fa-IR"/>
        </w:rPr>
        <w:t xml:space="preserve">cost savings </w:t>
      </w:r>
      <w:r w:rsidR="00252F91">
        <w:rPr>
          <w:lang w:bidi="fa-IR"/>
        </w:rPr>
        <w:t>to</w:t>
      </w:r>
      <w:r>
        <w:rPr>
          <w:lang w:bidi="fa-IR"/>
        </w:rPr>
        <w:t xml:space="preserve"> programs to assist these groups)</w:t>
      </w:r>
      <w:r w:rsidR="00EB3964">
        <w:rPr>
          <w:lang w:bidi="fa-IR"/>
        </w:rPr>
        <w:t>.</w:t>
      </w:r>
    </w:p>
    <w:p w14:paraId="142B0849" w14:textId="77777777" w:rsidR="0039262C" w:rsidRDefault="00EB3964" w:rsidP="0039262C">
      <w:pPr>
        <w:pStyle w:val="BodyText"/>
        <w:rPr>
          <w:lang w:bidi="fa-IR"/>
        </w:rPr>
      </w:pPr>
      <w:r>
        <w:rPr>
          <w:lang w:bidi="fa-IR"/>
        </w:rPr>
        <w:t>C</w:t>
      </w:r>
      <w:r w:rsidR="002F166B">
        <w:rPr>
          <w:lang w:bidi="fa-IR"/>
        </w:rPr>
        <w:t xml:space="preserve">onsistent with </w:t>
      </w:r>
      <w:r>
        <w:rPr>
          <w:lang w:bidi="fa-IR"/>
        </w:rPr>
        <w:t>OBPR G</w:t>
      </w:r>
      <w:r w:rsidR="00450ED3">
        <w:rPr>
          <w:lang w:bidi="fa-IR"/>
        </w:rPr>
        <w:t>uidance,</w:t>
      </w:r>
      <w:r w:rsidR="002F166B">
        <w:rPr>
          <w:lang w:bidi="fa-IR"/>
        </w:rPr>
        <w:t xml:space="preserve"> </w:t>
      </w:r>
      <w:r w:rsidR="00450ED3">
        <w:rPr>
          <w:lang w:bidi="fa-IR"/>
        </w:rPr>
        <w:t>these</w:t>
      </w:r>
      <w:r w:rsidR="00BE3B15">
        <w:rPr>
          <w:lang w:bidi="fa-IR"/>
        </w:rPr>
        <w:t xml:space="preserve"> issues</w:t>
      </w:r>
      <w:r w:rsidR="00450ED3">
        <w:rPr>
          <w:lang w:bidi="fa-IR"/>
        </w:rPr>
        <w:t xml:space="preserve"> </w:t>
      </w:r>
      <w:r w:rsidR="00BE3B15">
        <w:rPr>
          <w:lang w:bidi="fa-IR"/>
        </w:rPr>
        <w:t>cannot be resolved through</w:t>
      </w:r>
      <w:r w:rsidR="00450ED3">
        <w:rPr>
          <w:lang w:bidi="fa-IR"/>
        </w:rPr>
        <w:t xml:space="preserve"> CBA.</w:t>
      </w:r>
      <w:r w:rsidR="00BE3B15" w:rsidRPr="00BE3B15">
        <w:rPr>
          <w:rStyle w:val="FootnoteReference"/>
          <w:lang w:bidi="fa-IR"/>
        </w:rPr>
        <w:t xml:space="preserve"> </w:t>
      </w:r>
      <w:r w:rsidR="00BE3B15">
        <w:rPr>
          <w:rStyle w:val="FootnoteReference"/>
          <w:lang w:bidi="fa-IR"/>
        </w:rPr>
        <w:footnoteReference w:id="244"/>
      </w:r>
      <w:r w:rsidR="00450ED3">
        <w:rPr>
          <w:lang w:bidi="fa-IR"/>
        </w:rPr>
        <w:t xml:space="preserve"> Weighting </w:t>
      </w:r>
      <w:r w:rsidR="002F166B">
        <w:rPr>
          <w:lang w:bidi="fa-IR"/>
        </w:rPr>
        <w:t xml:space="preserve">benefits </w:t>
      </w:r>
      <w:r w:rsidR="00450ED3">
        <w:rPr>
          <w:lang w:bidi="fa-IR"/>
        </w:rPr>
        <w:t xml:space="preserve">which accrue to certain </w:t>
      </w:r>
      <w:r w:rsidR="00E44D24">
        <w:rPr>
          <w:lang w:bidi="fa-IR"/>
        </w:rPr>
        <w:t xml:space="preserve">groups, </w:t>
      </w:r>
      <w:r w:rsidR="00450ED3">
        <w:rPr>
          <w:lang w:bidi="fa-IR"/>
        </w:rPr>
        <w:t>against the costs imposed on other members of the community</w:t>
      </w:r>
      <w:r w:rsidR="00252F91">
        <w:rPr>
          <w:lang w:bidi="fa-IR"/>
        </w:rPr>
        <w:t>,</w:t>
      </w:r>
      <w:r w:rsidR="00450ED3">
        <w:rPr>
          <w:lang w:bidi="fa-IR"/>
        </w:rPr>
        <w:t xml:space="preserve"> are judgements </w:t>
      </w:r>
      <w:r w:rsidR="0039262C">
        <w:rPr>
          <w:lang w:bidi="fa-IR"/>
        </w:rPr>
        <w:t>decision</w:t>
      </w:r>
      <w:r w:rsidR="0039262C">
        <w:rPr>
          <w:lang w:bidi="fa-IR"/>
        </w:rPr>
        <w:noBreakHyphen/>
        <w:t xml:space="preserve">makers are best placed to </w:t>
      </w:r>
      <w:r w:rsidR="00450ED3">
        <w:rPr>
          <w:lang w:bidi="fa-IR"/>
        </w:rPr>
        <w:t>make</w:t>
      </w:r>
      <w:r w:rsidR="00BE3B15">
        <w:rPr>
          <w:lang w:bidi="fa-IR"/>
        </w:rPr>
        <w:t>.</w:t>
      </w:r>
      <w:r w:rsidR="00450ED3">
        <w:rPr>
          <w:lang w:bidi="fa-IR"/>
        </w:rPr>
        <w:t xml:space="preserve"> </w:t>
      </w:r>
    </w:p>
    <w:p w14:paraId="51E9A685" w14:textId="6ACE91F3" w:rsidR="0039262C" w:rsidRDefault="00CA7895" w:rsidP="0039262C">
      <w:pPr>
        <w:pStyle w:val="BodyText"/>
        <w:rPr>
          <w:lang w:bidi="fa-IR"/>
        </w:rPr>
      </w:pPr>
      <w:r>
        <w:rPr>
          <w:lang w:bidi="fa-IR"/>
        </w:rPr>
        <w:t xml:space="preserve">To support decisions making with respect to the societal benefits, </w:t>
      </w:r>
      <w:r w:rsidR="0039262C">
        <w:rPr>
          <w:lang w:bidi="fa-IR"/>
        </w:rPr>
        <w:t xml:space="preserve">CIE’s </w:t>
      </w:r>
      <w:r w:rsidR="00252F91">
        <w:rPr>
          <w:lang w:bidi="fa-IR"/>
        </w:rPr>
        <w:t>stated preference</w:t>
      </w:r>
      <w:r w:rsidR="0039262C">
        <w:rPr>
          <w:lang w:bidi="fa-IR"/>
        </w:rPr>
        <w:t xml:space="preserve"> survey </w:t>
      </w:r>
      <w:r w:rsidR="00DF6B16">
        <w:rPr>
          <w:lang w:bidi="fa-IR"/>
        </w:rPr>
        <w:t>was us</w:t>
      </w:r>
      <w:r w:rsidR="0039262C">
        <w:rPr>
          <w:lang w:bidi="fa-IR"/>
        </w:rPr>
        <w:t>ed to measure the community’s preference for equitable housing outcomes for people with mobility</w:t>
      </w:r>
      <w:r w:rsidR="0039262C">
        <w:rPr>
          <w:lang w:bidi="fa-IR"/>
        </w:rPr>
        <w:noBreakHyphen/>
        <w:t xml:space="preserve">related disability (including older members of the community) </w:t>
      </w:r>
      <w:r w:rsidR="00DF6B16">
        <w:rPr>
          <w:lang w:bidi="fa-IR"/>
        </w:rPr>
        <w:t xml:space="preserve">(see discussion in chapter </w:t>
      </w:r>
      <w:r w:rsidR="00B50EC7" w:rsidRPr="00BE4D9E">
        <w:rPr>
          <w:lang w:bidi="fa-IR"/>
        </w:rPr>
        <w:t>three</w:t>
      </w:r>
      <w:r w:rsidR="00DF6B16" w:rsidRPr="00BE4D9E">
        <w:rPr>
          <w:lang w:bidi="fa-IR"/>
        </w:rPr>
        <w:t xml:space="preserve"> from page</w:t>
      </w:r>
      <w:r w:rsidR="00BE4D9E">
        <w:rPr>
          <w:lang w:bidi="fa-IR"/>
        </w:rPr>
        <w:t> </w:t>
      </w:r>
      <w:r w:rsidR="00621D2F">
        <w:rPr>
          <w:lang w:bidi="fa-IR"/>
        </w:rPr>
        <w:fldChar w:fldCharType="begin"/>
      </w:r>
      <w:r w:rsidR="00621D2F">
        <w:rPr>
          <w:lang w:bidi="fa-IR"/>
        </w:rPr>
        <w:instrText xml:space="preserve"> PAGEREF _Ref56615643 \h </w:instrText>
      </w:r>
      <w:r w:rsidR="00621D2F">
        <w:rPr>
          <w:lang w:bidi="fa-IR"/>
        </w:rPr>
      </w:r>
      <w:r w:rsidR="00621D2F">
        <w:rPr>
          <w:lang w:bidi="fa-IR"/>
        </w:rPr>
        <w:fldChar w:fldCharType="separate"/>
      </w:r>
      <w:r w:rsidR="000F445C">
        <w:rPr>
          <w:noProof/>
          <w:lang w:bidi="fa-IR"/>
        </w:rPr>
        <w:t>113</w:t>
      </w:r>
      <w:r w:rsidR="00621D2F">
        <w:rPr>
          <w:lang w:bidi="fa-IR"/>
        </w:rPr>
        <w:fldChar w:fldCharType="end"/>
      </w:r>
      <w:r w:rsidR="00BE4D9E">
        <w:rPr>
          <w:lang w:bidi="fa-IR"/>
        </w:rPr>
        <w:t xml:space="preserve"> </w:t>
      </w:r>
      <w:r w:rsidR="00DF6B16" w:rsidRPr="00BE4D9E">
        <w:rPr>
          <w:lang w:bidi="fa-IR"/>
        </w:rPr>
        <w:t>on).</w:t>
      </w:r>
      <w:r w:rsidR="00DF6B16">
        <w:rPr>
          <w:lang w:bidi="fa-IR"/>
        </w:rPr>
        <w:t xml:space="preserve"> </w:t>
      </w:r>
      <w:r w:rsidR="00F11E91">
        <w:rPr>
          <w:lang w:bidi="fa-IR"/>
        </w:rPr>
        <w:t xml:space="preserve">This provides a </w:t>
      </w:r>
      <w:r w:rsidR="00252F91">
        <w:rPr>
          <w:lang w:bidi="fa-IR"/>
        </w:rPr>
        <w:t>way</w:t>
      </w:r>
      <w:r w:rsidR="00F11E91">
        <w:rPr>
          <w:lang w:bidi="fa-IR"/>
        </w:rPr>
        <w:t xml:space="preserve"> to include some of these benefits in the CBA.</w:t>
      </w:r>
    </w:p>
    <w:p w14:paraId="0BA61988" w14:textId="77777777" w:rsidR="0039262C" w:rsidRDefault="0039262C" w:rsidP="0039262C">
      <w:pPr>
        <w:pStyle w:val="BodyText"/>
        <w:rPr>
          <w:lang w:bidi="fa-IR"/>
        </w:rPr>
      </w:pPr>
      <w:r>
        <w:rPr>
          <w:lang w:bidi="fa-IR"/>
        </w:rPr>
        <w:t>The CBA results with the inclusion of these societal benefits</w:t>
      </w:r>
      <w:r w:rsidR="00F11E91">
        <w:rPr>
          <w:lang w:bidi="fa-IR"/>
        </w:rPr>
        <w:t xml:space="preserve"> as informed by the </w:t>
      </w:r>
      <w:r w:rsidR="00252F91">
        <w:rPr>
          <w:lang w:bidi="fa-IR"/>
        </w:rPr>
        <w:t>stated preference</w:t>
      </w:r>
      <w:r w:rsidR="00F11E91">
        <w:rPr>
          <w:lang w:bidi="fa-IR"/>
        </w:rPr>
        <w:t xml:space="preserve"> survey,</w:t>
      </w:r>
      <w:r>
        <w:rPr>
          <w:lang w:bidi="fa-IR"/>
        </w:rPr>
        <w:t xml:space="preserve"> are presented in table</w:t>
      </w:r>
      <w:bookmarkStart w:id="530" w:name="_Hlk64825694"/>
      <w:r>
        <w:rPr>
          <w:lang w:bidi="fa-IR"/>
        </w:rPr>
        <w:t> </w:t>
      </w:r>
      <w:bookmarkEnd w:id="530"/>
      <w:r>
        <w:rPr>
          <w:lang w:bidi="fa-IR"/>
        </w:rPr>
        <w:t>8.2</w:t>
      </w:r>
      <w:r w:rsidR="00F11E91">
        <w:rPr>
          <w:lang w:bidi="fa-IR"/>
        </w:rPr>
        <w:t xml:space="preserve">. This </w:t>
      </w:r>
      <w:r>
        <w:rPr>
          <w:lang w:bidi="fa-IR"/>
        </w:rPr>
        <w:t xml:space="preserve">has been included as information </w:t>
      </w:r>
      <w:r w:rsidR="00252F91">
        <w:rPr>
          <w:lang w:bidi="fa-IR"/>
        </w:rPr>
        <w:t>for</w:t>
      </w:r>
      <w:r>
        <w:rPr>
          <w:lang w:bidi="fa-IR"/>
        </w:rPr>
        <w:t xml:space="preserve"> decision</w:t>
      </w:r>
      <w:r>
        <w:rPr>
          <w:lang w:bidi="fa-IR"/>
        </w:rPr>
        <w:noBreakHyphen/>
        <w:t>makers</w:t>
      </w:r>
      <w:r w:rsidR="00BE3B15">
        <w:rPr>
          <w:lang w:bidi="fa-IR"/>
        </w:rPr>
        <w:t>.</w:t>
      </w:r>
    </w:p>
    <w:p w14:paraId="7E2E2861" w14:textId="77777777" w:rsidR="0039262C" w:rsidRDefault="00BE3B15" w:rsidP="0039262C">
      <w:pPr>
        <w:pStyle w:val="BodyText"/>
        <w:rPr>
          <w:lang w:bidi="fa-IR"/>
        </w:rPr>
      </w:pPr>
      <w:r>
        <w:rPr>
          <w:lang w:bidi="fa-IR"/>
        </w:rPr>
        <w:lastRenderedPageBreak/>
        <w:t>While t</w:t>
      </w:r>
      <w:r w:rsidR="0039262C">
        <w:rPr>
          <w:lang w:bidi="fa-IR"/>
        </w:rPr>
        <w:t>he</w:t>
      </w:r>
      <w:r w:rsidR="00450ED3">
        <w:rPr>
          <w:lang w:bidi="fa-IR"/>
        </w:rPr>
        <w:t>se</w:t>
      </w:r>
      <w:r w:rsidR="0039262C">
        <w:rPr>
          <w:lang w:bidi="fa-IR"/>
        </w:rPr>
        <w:t xml:space="preserve"> societal benefits are estimated to be significant, </w:t>
      </w:r>
      <w:r>
        <w:rPr>
          <w:lang w:bidi="fa-IR"/>
        </w:rPr>
        <w:t>the sensitivity analysis</w:t>
      </w:r>
      <w:r w:rsidR="00450ED3">
        <w:rPr>
          <w:lang w:bidi="fa-IR"/>
        </w:rPr>
        <w:t xml:space="preserve"> </w:t>
      </w:r>
      <w:r w:rsidR="002E4EEB">
        <w:rPr>
          <w:lang w:bidi="fa-IR"/>
        </w:rPr>
        <w:t>indicate</w:t>
      </w:r>
      <w:r>
        <w:rPr>
          <w:lang w:bidi="fa-IR"/>
        </w:rPr>
        <w:t>s</w:t>
      </w:r>
      <w:r w:rsidR="0039262C">
        <w:rPr>
          <w:lang w:bidi="fa-IR"/>
        </w:rPr>
        <w:t xml:space="preserve"> </w:t>
      </w:r>
      <w:r w:rsidR="00AC4510">
        <w:rPr>
          <w:lang w:bidi="fa-IR"/>
        </w:rPr>
        <w:t xml:space="preserve">that </w:t>
      </w:r>
      <w:r w:rsidR="0039262C">
        <w:rPr>
          <w:lang w:bidi="fa-IR"/>
        </w:rPr>
        <w:t>the broad conclusions from the</w:t>
      </w:r>
      <w:r w:rsidR="00F11E91">
        <w:rPr>
          <w:lang w:bidi="fa-IR"/>
        </w:rPr>
        <w:t xml:space="preserve"> central case</w:t>
      </w:r>
      <w:r w:rsidR="0039262C">
        <w:rPr>
          <w:lang w:bidi="fa-IR"/>
        </w:rPr>
        <w:t xml:space="preserve"> CBA remain unchanged.</w:t>
      </w:r>
    </w:p>
    <w:p w14:paraId="4BD0175C" w14:textId="250A1B57" w:rsidR="0039262C" w:rsidRDefault="00BD17F9" w:rsidP="0039262C">
      <w:pPr>
        <w:pStyle w:val="Caption"/>
      </w:pPr>
      <w:bookmarkStart w:id="531" w:name="_Toc70505590"/>
      <w:r>
        <w:t>8.2</w:t>
      </w:r>
      <w:r w:rsidR="0039262C" w:rsidRPr="00695C93">
        <w:tab/>
      </w:r>
      <w:r w:rsidR="0039262C">
        <w:t>Net benefits/costs including societal benefits</w:t>
      </w:r>
      <w:bookmarkEnd w:id="531"/>
    </w:p>
    <w:tbl>
      <w:tblPr>
        <w:tblW w:w="7936" w:type="dxa"/>
        <w:tblLayout w:type="fixed"/>
        <w:tblLook w:val="0000" w:firstRow="0" w:lastRow="0" w:firstColumn="0" w:lastColumn="0" w:noHBand="0" w:noVBand="0"/>
        <w:tblCaption w:val="Table 8.2: Net benefits/costs including societal benefits"/>
        <w:tblDescription w:val="Table 8.2 shows the cost-benefit analysis results with the inclusion of societal benefits for Options 1-5. Net benefits/costs range from a $2,175,770,000 benefit for Option 5 to a $27,922,460,000 cost for Option 3."/>
      </w:tblPr>
      <w:tblGrid>
        <w:gridCol w:w="2967"/>
        <w:gridCol w:w="994"/>
        <w:gridCol w:w="994"/>
        <w:gridCol w:w="994"/>
        <w:gridCol w:w="993"/>
        <w:gridCol w:w="994"/>
      </w:tblGrid>
      <w:tr w:rsidR="0039262C" w14:paraId="38E357E9" w14:textId="77777777" w:rsidTr="0038709C">
        <w:trPr>
          <w:trHeight w:val="490"/>
        </w:trPr>
        <w:tc>
          <w:tcPr>
            <w:tcW w:w="2967" w:type="dxa"/>
            <w:tcBorders>
              <w:bottom w:val="single" w:sz="8" w:space="0" w:color="FFFFFF" w:themeColor="background1"/>
            </w:tcBorders>
            <w:shd w:val="clear" w:color="auto" w:fill="6F6652"/>
            <w:tcMar>
              <w:left w:w="57" w:type="dxa"/>
              <w:right w:w="57" w:type="dxa"/>
            </w:tcMar>
          </w:tcPr>
          <w:p w14:paraId="091D03A9" w14:textId="77777777" w:rsidR="0039262C" w:rsidRDefault="00397F44" w:rsidP="0038709C">
            <w:pPr>
              <w:pStyle w:val="TableDataColumnHeading"/>
              <w:jc w:val="left"/>
            </w:pPr>
            <w:r>
              <w:t>Benefit/</w:t>
            </w:r>
            <w:r w:rsidR="005D11A4">
              <w:t>c</w:t>
            </w:r>
            <w:r>
              <w:t>ost</w:t>
            </w:r>
          </w:p>
        </w:tc>
        <w:tc>
          <w:tcPr>
            <w:tcW w:w="994" w:type="dxa"/>
            <w:tcBorders>
              <w:bottom w:val="single" w:sz="8" w:space="0" w:color="FFFFFF" w:themeColor="background1"/>
            </w:tcBorders>
            <w:shd w:val="clear" w:color="auto" w:fill="6F6652"/>
            <w:tcMar>
              <w:left w:w="57" w:type="dxa"/>
              <w:right w:w="57" w:type="dxa"/>
            </w:tcMar>
          </w:tcPr>
          <w:p w14:paraId="392218B3" w14:textId="77777777" w:rsidR="0039262C" w:rsidRDefault="0039262C" w:rsidP="0038709C">
            <w:pPr>
              <w:pStyle w:val="TableDataColumnHeading"/>
            </w:pPr>
            <w:r>
              <w:t xml:space="preserve">Option 1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6C1A6E9B" w14:textId="77777777" w:rsidR="0039262C" w:rsidRDefault="0039262C" w:rsidP="0038709C">
            <w:pPr>
              <w:pStyle w:val="TableDataColumnHeading"/>
            </w:pPr>
            <w:r>
              <w:t xml:space="preserve">Option </w:t>
            </w:r>
            <w:r w:rsidR="00270CB0">
              <w:t>2</w:t>
            </w:r>
            <w:r>
              <w:t xml:space="preserve">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4D121982" w14:textId="77777777" w:rsidR="0039262C" w:rsidRDefault="0039262C" w:rsidP="0038709C">
            <w:pPr>
              <w:pStyle w:val="TableDataColumnHeading"/>
            </w:pPr>
            <w:r>
              <w:t xml:space="preserve">Option </w:t>
            </w:r>
            <w:r w:rsidR="00270CB0">
              <w:t>3</w:t>
            </w:r>
            <w:r>
              <w:t xml:space="preserve"> </w:t>
            </w:r>
            <w:r w:rsidR="00BE4D9E">
              <w:br/>
            </w:r>
            <w:r>
              <w:t>($ million)</w:t>
            </w:r>
          </w:p>
        </w:tc>
        <w:tc>
          <w:tcPr>
            <w:tcW w:w="993" w:type="dxa"/>
            <w:tcBorders>
              <w:bottom w:val="single" w:sz="8" w:space="0" w:color="FFFFFF" w:themeColor="background1"/>
            </w:tcBorders>
            <w:shd w:val="clear" w:color="auto" w:fill="6F6652"/>
            <w:tcMar>
              <w:left w:w="57" w:type="dxa"/>
              <w:right w:w="57" w:type="dxa"/>
            </w:tcMar>
          </w:tcPr>
          <w:p w14:paraId="4A696AF7" w14:textId="77777777" w:rsidR="0039262C" w:rsidRDefault="0039262C" w:rsidP="0038709C">
            <w:pPr>
              <w:pStyle w:val="TableDataColumnHeading"/>
            </w:pPr>
            <w:r>
              <w:t xml:space="preserve">Option </w:t>
            </w:r>
            <w:r w:rsidR="00270CB0">
              <w:t>4</w:t>
            </w:r>
            <w:r>
              <w:t xml:space="preserve">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49395E4C" w14:textId="77777777" w:rsidR="0039262C" w:rsidRDefault="0039262C" w:rsidP="0038709C">
            <w:pPr>
              <w:pStyle w:val="TableDataColumnHeading"/>
            </w:pPr>
            <w:r>
              <w:t xml:space="preserve">Option </w:t>
            </w:r>
            <w:r w:rsidR="00270CB0">
              <w:t>5</w:t>
            </w:r>
            <w:r>
              <w:t xml:space="preserve"> </w:t>
            </w:r>
            <w:r w:rsidR="00BE4D9E">
              <w:br/>
            </w:r>
            <w:r>
              <w:t>($ million)</w:t>
            </w:r>
          </w:p>
        </w:tc>
      </w:tr>
      <w:tr w:rsidR="00466D4C" w14:paraId="2238EDFC"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B0585F" w14:textId="77777777" w:rsidR="00466D4C" w:rsidRDefault="00466D4C" w:rsidP="00466D4C">
            <w:pPr>
              <w:pStyle w:val="TableDataEntries"/>
              <w:jc w:val="left"/>
            </w:pPr>
            <w:r>
              <w:t>Benefits included in central case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3AD600" w14:textId="77777777" w:rsidR="00466D4C" w:rsidRPr="00466D4C" w:rsidRDefault="00466D4C" w:rsidP="00466D4C">
            <w:pPr>
              <w:pStyle w:val="TableDataEntries"/>
            </w:pPr>
            <w:r w:rsidRPr="00466D4C">
              <w:t>2 680.50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30C59E" w14:textId="77777777" w:rsidR="00466D4C" w:rsidRPr="00466D4C" w:rsidRDefault="00466D4C" w:rsidP="00466D4C">
            <w:pPr>
              <w:pStyle w:val="TableDataEntries"/>
            </w:pPr>
            <w:r w:rsidRPr="00466D4C">
              <w:t>4 570.28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1A35EA" w14:textId="77777777" w:rsidR="00466D4C" w:rsidRPr="00466D4C" w:rsidRDefault="00466D4C" w:rsidP="00466D4C">
            <w:pPr>
              <w:pStyle w:val="TableDataEntries"/>
            </w:pPr>
            <w:r w:rsidRPr="00466D4C">
              <w:t>4 586.61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92FAB2" w14:textId="77777777" w:rsidR="00466D4C" w:rsidRPr="00466D4C" w:rsidRDefault="00466D4C" w:rsidP="00466D4C">
            <w:pPr>
              <w:pStyle w:val="TableDataEntries"/>
            </w:pPr>
            <w:r w:rsidRPr="00466D4C">
              <w:t>1 759.95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A84A59" w14:textId="77777777" w:rsidR="00466D4C" w:rsidRPr="00466D4C" w:rsidRDefault="00466D4C" w:rsidP="00466D4C">
            <w:pPr>
              <w:pStyle w:val="TableDataEntries"/>
            </w:pPr>
            <w:r w:rsidRPr="00466D4C">
              <w:t>2 274.47</w:t>
            </w:r>
          </w:p>
        </w:tc>
      </w:tr>
      <w:tr w:rsidR="00466D4C" w14:paraId="55E8B75B"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0E921E" w14:textId="77777777" w:rsidR="00466D4C" w:rsidRDefault="00466D4C" w:rsidP="00466D4C">
            <w:pPr>
              <w:pStyle w:val="TableDataEntries"/>
              <w:jc w:val="left"/>
            </w:pPr>
            <w:r>
              <w:t>Societal benefits</w:t>
            </w:r>
            <w:r w:rsidR="008A659F" w:rsidRPr="00743BB7">
              <w:rPr>
                <w:rStyle w:val="NoteLabel"/>
              </w:rPr>
              <w:t xml:space="preserve"> a</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08843B" w14:textId="77777777" w:rsidR="00466D4C" w:rsidRPr="00466D4C" w:rsidRDefault="00466D4C" w:rsidP="00466D4C">
            <w:pPr>
              <w:pStyle w:val="TableDataEntries"/>
            </w:pPr>
            <w:r w:rsidRPr="00466D4C">
              <w:t xml:space="preserve"> 666.62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C5A4AC" w14:textId="77777777" w:rsidR="00466D4C" w:rsidRPr="00466D4C" w:rsidRDefault="00466D4C" w:rsidP="00466D4C">
            <w:pPr>
              <w:pStyle w:val="TableDataEntries"/>
            </w:pPr>
            <w:r w:rsidRPr="00466D4C">
              <w:t xml:space="preserve"> 794.92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4B4124" w14:textId="77777777" w:rsidR="00466D4C" w:rsidRPr="00466D4C" w:rsidRDefault="00466D4C" w:rsidP="00466D4C">
            <w:pPr>
              <w:pStyle w:val="TableDataEntries"/>
            </w:pPr>
            <w:r w:rsidRPr="00466D4C">
              <w:t xml:space="preserve"> 794.92</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0EAFB6" w14:textId="77777777" w:rsidR="00466D4C" w:rsidRPr="00466D4C" w:rsidRDefault="00466D4C" w:rsidP="00466D4C">
            <w:pPr>
              <w:pStyle w:val="TableDataEntries"/>
            </w:pPr>
            <w:r w:rsidRPr="00466D4C">
              <w:t xml:space="preserve"> 301.46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77A459" w14:textId="77777777" w:rsidR="00466D4C" w:rsidRPr="00466D4C" w:rsidRDefault="00466D4C" w:rsidP="00466D4C">
            <w:pPr>
              <w:pStyle w:val="TableDataEntries"/>
            </w:pPr>
            <w:r w:rsidRPr="00466D4C">
              <w:t xml:space="preserve"> 978.00</w:t>
            </w:r>
          </w:p>
        </w:tc>
      </w:tr>
      <w:tr w:rsidR="00466D4C" w14:paraId="39195751"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CF13C5" w14:textId="77777777" w:rsidR="00466D4C" w:rsidRDefault="00466D4C" w:rsidP="00466D4C">
            <w:pPr>
              <w:pStyle w:val="TableDataEntries"/>
              <w:jc w:val="left"/>
            </w:pPr>
            <w:r>
              <w:t>Total benefits (including societal benefits)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36541E" w14:textId="77777777" w:rsidR="00466D4C" w:rsidRPr="00466D4C" w:rsidRDefault="00466D4C" w:rsidP="00466D4C">
            <w:pPr>
              <w:pStyle w:val="TableDataEntries"/>
            </w:pPr>
            <w:r w:rsidRPr="00466D4C">
              <w:t>3 347.12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45DDC9" w14:textId="77777777" w:rsidR="00466D4C" w:rsidRPr="00466D4C" w:rsidRDefault="00466D4C" w:rsidP="00466D4C">
            <w:pPr>
              <w:pStyle w:val="TableDataEntries"/>
            </w:pPr>
            <w:r w:rsidRPr="00466D4C">
              <w:t>5 365.20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5A4E86" w14:textId="77777777" w:rsidR="00466D4C" w:rsidRPr="00466D4C" w:rsidRDefault="00466D4C" w:rsidP="00466D4C">
            <w:pPr>
              <w:pStyle w:val="TableDataEntries"/>
            </w:pPr>
            <w:r w:rsidRPr="00466D4C">
              <w:t>5 381.52</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8330BC" w14:textId="77777777" w:rsidR="00466D4C" w:rsidRPr="00466D4C" w:rsidRDefault="00466D4C" w:rsidP="00466D4C">
            <w:pPr>
              <w:pStyle w:val="TableDataEntries"/>
            </w:pPr>
            <w:r w:rsidRPr="00466D4C">
              <w:t>2 061.41</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F19621" w14:textId="77777777" w:rsidR="00466D4C" w:rsidRPr="00466D4C" w:rsidRDefault="00466D4C" w:rsidP="00466D4C">
            <w:pPr>
              <w:pStyle w:val="TableDataEntries"/>
            </w:pPr>
            <w:r w:rsidRPr="00466D4C">
              <w:t>3 252.47</w:t>
            </w:r>
          </w:p>
        </w:tc>
      </w:tr>
      <w:tr w:rsidR="00D9767F" w14:paraId="76E5FE1B"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37847C" w14:textId="77777777" w:rsidR="00D9767F" w:rsidRDefault="00D9767F" w:rsidP="00D9767F">
            <w:pPr>
              <w:pStyle w:val="TableDataEntries"/>
              <w:jc w:val="left"/>
            </w:pPr>
            <w:r>
              <w:t>Estimated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E25C85" w14:textId="77777777" w:rsidR="00D9767F" w:rsidRPr="00466D4C" w:rsidRDefault="00D9767F" w:rsidP="00D9767F">
            <w:pPr>
              <w:pStyle w:val="TableDataEntries"/>
            </w:pPr>
            <w:r>
              <w:t>-6 817.44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041B21" w14:textId="77777777" w:rsidR="00D9767F" w:rsidRPr="00466D4C" w:rsidRDefault="00D9767F" w:rsidP="00D9767F">
            <w:pPr>
              <w:pStyle w:val="TableDataEntries"/>
            </w:pPr>
            <w:r>
              <w:t>-25 935.33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919F67" w14:textId="77777777" w:rsidR="00D9767F" w:rsidRPr="00466D4C" w:rsidRDefault="00D9767F" w:rsidP="00D9767F">
            <w:pPr>
              <w:pStyle w:val="TableDataEntries"/>
            </w:pPr>
            <w:r>
              <w:t>-33 303.98</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9CE0CD" w14:textId="77777777" w:rsidR="00D9767F" w:rsidRPr="00466D4C" w:rsidRDefault="00D9767F" w:rsidP="00D9767F">
            <w:pPr>
              <w:pStyle w:val="TableDataEntries"/>
            </w:pPr>
            <w:r>
              <w:t>-12 409.06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68DCA8" w14:textId="77777777" w:rsidR="00D9767F" w:rsidRPr="00466D4C" w:rsidRDefault="00D9767F" w:rsidP="00D9767F">
            <w:pPr>
              <w:pStyle w:val="TableDataEntries"/>
            </w:pPr>
            <w:r>
              <w:t>-1 076.70</w:t>
            </w:r>
          </w:p>
        </w:tc>
      </w:tr>
      <w:tr w:rsidR="00D9767F" w:rsidRPr="00466D4C" w14:paraId="39101489"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0525348" w14:textId="77777777" w:rsidR="00D9767F" w:rsidRPr="00466D4C" w:rsidRDefault="00D9767F" w:rsidP="00D9767F">
            <w:pPr>
              <w:pStyle w:val="TableDataEntries"/>
              <w:jc w:val="left"/>
              <w:rPr>
                <w:rFonts w:ascii="Franklin Gothic Demi" w:hAnsi="Franklin Gothic Demi"/>
              </w:rPr>
            </w:pPr>
            <w:r w:rsidRPr="00466D4C">
              <w:rPr>
                <w:rFonts w:ascii="Franklin Gothic Demi" w:hAnsi="Franklin Gothic Demi"/>
              </w:rPr>
              <w:t>Net benefits/costs</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151EC91" w14:textId="77777777" w:rsidR="00D9767F" w:rsidRPr="00466D4C" w:rsidRDefault="00D9767F" w:rsidP="00D9767F">
            <w:pPr>
              <w:pStyle w:val="TableDataEntries"/>
              <w:rPr>
                <w:rFonts w:ascii="Franklin Gothic Demi" w:hAnsi="Franklin Gothic Demi"/>
              </w:rPr>
            </w:pPr>
            <w:r>
              <w:rPr>
                <w:rFonts w:ascii="Franklin Gothic Demi" w:hAnsi="Franklin Gothic Demi"/>
              </w:rPr>
              <w:t>-3 470.32</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EED3072" w14:textId="77777777" w:rsidR="00D9767F" w:rsidRPr="00466D4C" w:rsidRDefault="00D9767F" w:rsidP="00D9767F">
            <w:pPr>
              <w:pStyle w:val="TableDataEntries"/>
              <w:rPr>
                <w:rFonts w:ascii="Franklin Gothic Demi" w:hAnsi="Franklin Gothic Demi"/>
              </w:rPr>
            </w:pPr>
            <w:r>
              <w:rPr>
                <w:rFonts w:ascii="Franklin Gothic Demi" w:hAnsi="Franklin Gothic Demi"/>
              </w:rPr>
              <w:t>-20 570.13</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C6860FA" w14:textId="77777777" w:rsidR="00D9767F" w:rsidRPr="00466D4C" w:rsidRDefault="00D9767F" w:rsidP="00D9767F">
            <w:pPr>
              <w:pStyle w:val="TableDataEntries"/>
              <w:rPr>
                <w:rFonts w:ascii="Franklin Gothic Demi" w:hAnsi="Franklin Gothic Demi"/>
              </w:rPr>
            </w:pPr>
            <w:r>
              <w:rPr>
                <w:rFonts w:ascii="Franklin Gothic Demi" w:hAnsi="Franklin Gothic Demi"/>
              </w:rPr>
              <w:t>-27 922.46</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B5D2F4F" w14:textId="77777777" w:rsidR="00D9767F" w:rsidRPr="00466D4C" w:rsidRDefault="00D9767F" w:rsidP="00D9767F">
            <w:pPr>
              <w:pStyle w:val="TableDataEntries"/>
              <w:rPr>
                <w:rFonts w:ascii="Franklin Gothic Demi" w:hAnsi="Franklin Gothic Demi"/>
              </w:rPr>
            </w:pPr>
            <w:r>
              <w:rPr>
                <w:rFonts w:ascii="Franklin Gothic Demi" w:hAnsi="Franklin Gothic Demi"/>
              </w:rPr>
              <w:t>-10 347.65</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0ECD765" w14:textId="77777777" w:rsidR="00D9767F" w:rsidRPr="00466D4C" w:rsidRDefault="00D9767F" w:rsidP="00D9767F">
            <w:pPr>
              <w:pStyle w:val="TableDataEntries"/>
              <w:rPr>
                <w:rFonts w:ascii="Franklin Gothic Demi" w:hAnsi="Franklin Gothic Demi"/>
              </w:rPr>
            </w:pPr>
            <w:r>
              <w:rPr>
                <w:rFonts w:ascii="Franklin Gothic Demi" w:hAnsi="Franklin Gothic Demi"/>
              </w:rPr>
              <w:t>2 175.77</w:t>
            </w:r>
          </w:p>
        </w:tc>
      </w:tr>
      <w:tr w:rsidR="00D9767F" w:rsidRPr="00466D4C" w14:paraId="05E179A6"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8F09340" w14:textId="77777777" w:rsidR="00D9767F" w:rsidRPr="00466D4C" w:rsidRDefault="00D9767F" w:rsidP="00D9767F">
            <w:pPr>
              <w:pStyle w:val="TableDataEntries"/>
              <w:jc w:val="left"/>
              <w:rPr>
                <w:rFonts w:ascii="Franklin Gothic Demi" w:hAnsi="Franklin Gothic Demi"/>
              </w:rPr>
            </w:pPr>
            <w:r w:rsidRPr="00466D4C">
              <w:rPr>
                <w:rFonts w:ascii="Franklin Gothic Demi" w:hAnsi="Franklin Gothic Demi"/>
              </w:rPr>
              <w:t>Benefit-cost ratio</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04DE308" w14:textId="77777777" w:rsidR="00D9767F" w:rsidRPr="00466D4C" w:rsidRDefault="00D9767F" w:rsidP="00D9767F">
            <w:pPr>
              <w:pStyle w:val="TableDataEntries"/>
              <w:rPr>
                <w:rFonts w:ascii="Franklin Gothic Demi" w:hAnsi="Franklin Gothic Demi"/>
              </w:rPr>
            </w:pPr>
            <w:r>
              <w:rPr>
                <w:rFonts w:ascii="Franklin Gothic Demi" w:hAnsi="Franklin Gothic Demi"/>
              </w:rPr>
              <w:t>0.49</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70B6925" w14:textId="77777777" w:rsidR="00D9767F" w:rsidRPr="00466D4C" w:rsidRDefault="00D9767F" w:rsidP="00D9767F">
            <w:pPr>
              <w:pStyle w:val="TableDataEntries"/>
              <w:rPr>
                <w:rFonts w:ascii="Franklin Gothic Demi" w:hAnsi="Franklin Gothic Demi"/>
              </w:rPr>
            </w:pPr>
            <w:r>
              <w:rPr>
                <w:rFonts w:ascii="Franklin Gothic Demi" w:hAnsi="Franklin Gothic Demi"/>
              </w:rPr>
              <w:t>0.21</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BCD95F9" w14:textId="77777777" w:rsidR="00D9767F" w:rsidRPr="00466D4C" w:rsidRDefault="00D9767F" w:rsidP="00D9767F">
            <w:pPr>
              <w:pStyle w:val="TableDataEntries"/>
              <w:rPr>
                <w:rFonts w:ascii="Franklin Gothic Demi" w:hAnsi="Franklin Gothic Demi"/>
              </w:rPr>
            </w:pPr>
            <w:r>
              <w:rPr>
                <w:rFonts w:ascii="Franklin Gothic Demi" w:hAnsi="Franklin Gothic Demi"/>
              </w:rPr>
              <w:t>0.16</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8FF380A" w14:textId="77777777" w:rsidR="00D9767F" w:rsidRPr="00466D4C" w:rsidRDefault="00D9767F" w:rsidP="00D9767F">
            <w:pPr>
              <w:pStyle w:val="TableDataEntries"/>
              <w:rPr>
                <w:rFonts w:ascii="Franklin Gothic Demi" w:hAnsi="Franklin Gothic Demi"/>
              </w:rPr>
            </w:pPr>
            <w:r>
              <w:rPr>
                <w:rFonts w:ascii="Franklin Gothic Demi" w:hAnsi="Franklin Gothic Demi"/>
              </w:rPr>
              <w:t>0.17</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215B585" w14:textId="77777777" w:rsidR="00D9767F" w:rsidRPr="00466D4C" w:rsidRDefault="00D9767F" w:rsidP="00D9767F">
            <w:pPr>
              <w:pStyle w:val="TableDataEntries"/>
              <w:rPr>
                <w:rFonts w:ascii="Franklin Gothic Demi" w:hAnsi="Franklin Gothic Demi"/>
              </w:rPr>
            </w:pPr>
            <w:r>
              <w:rPr>
                <w:rFonts w:ascii="Franklin Gothic Demi" w:hAnsi="Franklin Gothic Demi"/>
              </w:rPr>
              <w:t>3.02</w:t>
            </w:r>
          </w:p>
        </w:tc>
      </w:tr>
    </w:tbl>
    <w:p w14:paraId="36048FF9" w14:textId="77777777" w:rsidR="0039262C" w:rsidRDefault="008A659F" w:rsidP="0039262C">
      <w:pPr>
        <w:pStyle w:val="Source"/>
        <w:rPr>
          <w:lang w:bidi="fa-IR"/>
        </w:rPr>
      </w:pPr>
      <w:r w:rsidRPr="00743BB7">
        <w:rPr>
          <w:rStyle w:val="NoteLabel"/>
        </w:rPr>
        <w:t>a</w:t>
      </w:r>
      <w:r>
        <w:t xml:space="preserve"> </w:t>
      </w:r>
      <w:r w:rsidRPr="00B53322">
        <w:t>As with other benefits, the estimates of the societal benefits differ across options because each option provides different levels of accessibility.</w:t>
      </w:r>
      <w:r w:rsidR="00D9767F" w:rsidRPr="00B53322">
        <w:br/>
      </w:r>
      <w:r w:rsidR="0039262C" w:rsidRPr="00B53322">
        <w:t>Note: The cost-benefit analysis includes the lifetime costs and benefits of all dwellings constructed over a 10</w:t>
      </w:r>
      <w:r w:rsidR="0039262C" w:rsidRPr="00B53322">
        <w:noBreakHyphen/>
        <w:t>year regulatory period from 2022 to 2031 (including the lifetime benefits of these dwellings over 40 years), using a discount rate of 7 per cent.</w:t>
      </w:r>
      <w:r w:rsidR="00D9767F" w:rsidRPr="00B53322">
        <w:br/>
      </w:r>
      <w:r w:rsidR="0039262C" w:rsidRPr="00B53322">
        <w:rPr>
          <w:lang w:bidi="fa-IR"/>
        </w:rPr>
        <w:t>Source: CIE estimates.</w:t>
      </w:r>
    </w:p>
    <w:p w14:paraId="681425E9" w14:textId="77777777" w:rsidR="0039262C" w:rsidRDefault="0039262C" w:rsidP="0039262C">
      <w:pPr>
        <w:pStyle w:val="Heading4"/>
        <w:rPr>
          <w:lang w:bidi="fa-IR"/>
        </w:rPr>
      </w:pPr>
      <w:r>
        <w:rPr>
          <w:lang w:bidi="fa-IR"/>
        </w:rPr>
        <w:t>Employment benefits</w:t>
      </w:r>
    </w:p>
    <w:p w14:paraId="67FF4F68" w14:textId="77777777" w:rsidR="0039262C" w:rsidRDefault="0039262C" w:rsidP="0039262C">
      <w:pPr>
        <w:pStyle w:val="BodyText"/>
        <w:rPr>
          <w:lang w:bidi="fa-IR"/>
        </w:rPr>
      </w:pPr>
      <w:r>
        <w:rPr>
          <w:lang w:bidi="fa-IR"/>
        </w:rPr>
        <w:t>The main employment</w:t>
      </w:r>
      <w:r>
        <w:rPr>
          <w:lang w:bidi="fa-IR"/>
        </w:rPr>
        <w:noBreakHyphen/>
        <w:t>related benefits includ</w:t>
      </w:r>
      <w:r w:rsidR="00F11E91">
        <w:rPr>
          <w:lang w:bidi="fa-IR"/>
        </w:rPr>
        <w:t>e</w:t>
      </w:r>
      <w:r>
        <w:rPr>
          <w:lang w:bidi="fa-IR"/>
        </w:rPr>
        <w:t xml:space="preserve"> improved productivity and more employment opportunities for people with mobility</w:t>
      </w:r>
      <w:r>
        <w:rPr>
          <w:lang w:bidi="fa-IR"/>
        </w:rPr>
        <w:noBreakHyphen/>
        <w:t>related disability. Although the qualitative evidence suggests that accessible housing can improve productivity and employment opportunities for working age people with disability, there was insufficient quantitative evidence to quantify these benefits.</w:t>
      </w:r>
    </w:p>
    <w:p w14:paraId="48963AF9" w14:textId="5E36B990" w:rsidR="0039262C" w:rsidRDefault="00F11E91" w:rsidP="0039262C">
      <w:pPr>
        <w:pStyle w:val="BodyText"/>
        <w:rPr>
          <w:lang w:bidi="fa-IR"/>
        </w:rPr>
      </w:pPr>
      <w:r>
        <w:rPr>
          <w:lang w:bidi="fa-IR"/>
        </w:rPr>
        <w:t>T</w:t>
      </w:r>
      <w:r w:rsidR="0039262C">
        <w:rPr>
          <w:lang w:bidi="fa-IR"/>
        </w:rPr>
        <w:t xml:space="preserve">he analysis presented in </w:t>
      </w:r>
      <w:r w:rsidR="0039262C" w:rsidRPr="004D3357">
        <w:rPr>
          <w:lang w:bidi="fa-IR"/>
        </w:rPr>
        <w:t xml:space="preserve">appendix </w:t>
      </w:r>
      <w:r w:rsidR="004D3357" w:rsidRPr="004D3357">
        <w:rPr>
          <w:lang w:bidi="fa-IR"/>
        </w:rPr>
        <w:fldChar w:fldCharType="begin"/>
      </w:r>
      <w:r w:rsidR="004D3357" w:rsidRPr="004D3357">
        <w:rPr>
          <w:lang w:bidi="fa-IR"/>
        </w:rPr>
        <w:instrText xml:space="preserve"> REF _Ref56268185 \n \h </w:instrText>
      </w:r>
      <w:r w:rsidR="004D3357">
        <w:rPr>
          <w:lang w:bidi="fa-IR"/>
        </w:rPr>
        <w:instrText xml:space="preserve"> \* MERGEFORMAT </w:instrText>
      </w:r>
      <w:r w:rsidR="004D3357" w:rsidRPr="004D3357">
        <w:rPr>
          <w:lang w:bidi="fa-IR"/>
        </w:rPr>
      </w:r>
      <w:r w:rsidR="004D3357" w:rsidRPr="004D3357">
        <w:rPr>
          <w:lang w:bidi="fa-IR"/>
        </w:rPr>
        <w:fldChar w:fldCharType="separate"/>
      </w:r>
      <w:r w:rsidR="000F445C">
        <w:rPr>
          <w:lang w:bidi="fa-IR"/>
        </w:rPr>
        <w:t>J</w:t>
      </w:r>
      <w:r w:rsidR="004D3357" w:rsidRPr="004D3357">
        <w:rPr>
          <w:lang w:bidi="fa-IR"/>
        </w:rPr>
        <w:fldChar w:fldCharType="end"/>
      </w:r>
      <w:r w:rsidR="0039262C">
        <w:rPr>
          <w:lang w:bidi="fa-IR"/>
        </w:rPr>
        <w:t xml:space="preserve"> suggests that these benefits could be significant. A</w:t>
      </w:r>
      <w:r w:rsidR="004905B2">
        <w:rPr>
          <w:lang w:bidi="fa-IR"/>
        </w:rPr>
        <w:t>n</w:t>
      </w:r>
      <w:r w:rsidR="0039262C">
        <w:rPr>
          <w:lang w:bidi="fa-IR"/>
        </w:rPr>
        <w:t xml:space="preserve"> assessment of these benefits suggest</w:t>
      </w:r>
      <w:r w:rsidR="004D3357">
        <w:rPr>
          <w:lang w:bidi="fa-IR"/>
        </w:rPr>
        <w:t>s</w:t>
      </w:r>
      <w:r w:rsidR="0039262C">
        <w:rPr>
          <w:lang w:bidi="fa-IR"/>
        </w:rPr>
        <w:t xml:space="preserve"> that </w:t>
      </w:r>
      <w:r>
        <w:rPr>
          <w:lang w:bidi="fa-IR"/>
        </w:rPr>
        <w:t>up to around</w:t>
      </w:r>
      <w:r w:rsidR="0039262C">
        <w:rPr>
          <w:lang w:bidi="fa-IR"/>
        </w:rPr>
        <w:t xml:space="preserve"> $500 million per year could be a reasonable upper bound estimate.</w:t>
      </w:r>
    </w:p>
    <w:p w14:paraId="46613567" w14:textId="77777777" w:rsidR="0039262C" w:rsidRDefault="00C205C5" w:rsidP="0039262C">
      <w:pPr>
        <w:pStyle w:val="BodyText"/>
        <w:rPr>
          <w:lang w:bidi="fa-IR"/>
        </w:rPr>
      </w:pPr>
      <w:r>
        <w:rPr>
          <w:lang w:bidi="fa-IR"/>
        </w:rPr>
        <w:t>T</w:t>
      </w:r>
      <w:r w:rsidR="0039262C">
        <w:rPr>
          <w:lang w:bidi="fa-IR"/>
        </w:rPr>
        <w:t xml:space="preserve">he net benefits/costs </w:t>
      </w:r>
      <w:r>
        <w:rPr>
          <w:lang w:bidi="fa-IR"/>
        </w:rPr>
        <w:t xml:space="preserve">of the proposal after including </w:t>
      </w:r>
      <w:r w:rsidR="0039262C">
        <w:rPr>
          <w:lang w:bidi="fa-IR"/>
        </w:rPr>
        <w:t>the employment</w:t>
      </w:r>
      <w:r w:rsidR="0039262C">
        <w:rPr>
          <w:lang w:bidi="fa-IR"/>
        </w:rPr>
        <w:noBreakHyphen/>
        <w:t>related benefits</w:t>
      </w:r>
      <w:r w:rsidR="00436D74">
        <w:rPr>
          <w:lang w:bidi="fa-IR"/>
        </w:rPr>
        <w:t xml:space="preserve"> (as calculated above)</w:t>
      </w:r>
      <w:r w:rsidR="0039262C">
        <w:rPr>
          <w:lang w:bidi="fa-IR"/>
        </w:rPr>
        <w:t xml:space="preserve"> is shown in table </w:t>
      </w:r>
      <w:r w:rsidR="00BA01DA">
        <w:rPr>
          <w:lang w:bidi="fa-IR"/>
        </w:rPr>
        <w:t>8.3</w:t>
      </w:r>
      <w:r w:rsidR="0039262C">
        <w:rPr>
          <w:lang w:bidi="fa-IR"/>
        </w:rPr>
        <w:t xml:space="preserve">. </w:t>
      </w:r>
      <w:r w:rsidR="00E36DF1">
        <w:rPr>
          <w:lang w:bidi="fa-IR"/>
        </w:rPr>
        <w:t>While t</w:t>
      </w:r>
      <w:r w:rsidR="0039262C">
        <w:rPr>
          <w:lang w:bidi="fa-IR"/>
        </w:rPr>
        <w:t>hese estimates suggest that the employment</w:t>
      </w:r>
      <w:r w:rsidR="0039262C">
        <w:rPr>
          <w:lang w:bidi="fa-IR"/>
        </w:rPr>
        <w:noBreakHyphen/>
        <w:t>related benefits could potentially be significant</w:t>
      </w:r>
      <w:r w:rsidR="00FA597E">
        <w:rPr>
          <w:lang w:bidi="fa-IR"/>
        </w:rPr>
        <w:t>,</w:t>
      </w:r>
      <w:r w:rsidR="0039262C">
        <w:rPr>
          <w:lang w:bidi="fa-IR"/>
        </w:rPr>
        <w:t xml:space="preserve"> </w:t>
      </w:r>
      <w:r w:rsidR="00E36DF1">
        <w:rPr>
          <w:lang w:bidi="fa-IR"/>
        </w:rPr>
        <w:t xml:space="preserve">they are not significant enough to </w:t>
      </w:r>
      <w:r w:rsidR="00436D74">
        <w:rPr>
          <w:lang w:bidi="fa-IR"/>
        </w:rPr>
        <w:t>change</w:t>
      </w:r>
      <w:r w:rsidR="00E36DF1">
        <w:rPr>
          <w:lang w:bidi="fa-IR"/>
        </w:rPr>
        <w:t xml:space="preserve"> the CBA results</w:t>
      </w:r>
      <w:r w:rsidR="00436D74">
        <w:rPr>
          <w:lang w:bidi="fa-IR"/>
        </w:rPr>
        <w:t xml:space="preserve"> from negative to positive</w:t>
      </w:r>
      <w:r w:rsidR="00FA597E">
        <w:rPr>
          <w:lang w:bidi="fa-IR"/>
        </w:rPr>
        <w:t>. T</w:t>
      </w:r>
      <w:r w:rsidR="0039262C">
        <w:rPr>
          <w:lang w:bidi="fa-IR"/>
        </w:rPr>
        <w:t>he</w:t>
      </w:r>
      <w:r w:rsidR="00E36DF1">
        <w:rPr>
          <w:lang w:bidi="fa-IR"/>
        </w:rPr>
        <w:t xml:space="preserve"> </w:t>
      </w:r>
      <w:r w:rsidR="0039262C">
        <w:rPr>
          <w:lang w:bidi="fa-IR"/>
        </w:rPr>
        <w:t>broad conclusions from the</w:t>
      </w:r>
      <w:r w:rsidR="00BE3B15">
        <w:rPr>
          <w:lang w:bidi="fa-IR"/>
        </w:rPr>
        <w:t xml:space="preserve"> central case of</w:t>
      </w:r>
      <w:r w:rsidR="0039262C">
        <w:rPr>
          <w:lang w:bidi="fa-IR"/>
        </w:rPr>
        <w:t xml:space="preserve"> CBA hold with the inclusion </w:t>
      </w:r>
      <w:r w:rsidR="00BE3B15">
        <w:rPr>
          <w:lang w:bidi="fa-IR"/>
        </w:rPr>
        <w:t>of employment benefits</w:t>
      </w:r>
      <w:r w:rsidR="0039262C">
        <w:rPr>
          <w:lang w:bidi="fa-IR"/>
        </w:rPr>
        <w:t>.</w:t>
      </w:r>
    </w:p>
    <w:p w14:paraId="1A4A8D2F" w14:textId="6DAA761D" w:rsidR="0039262C" w:rsidRDefault="00BD17F9" w:rsidP="0039262C">
      <w:pPr>
        <w:pStyle w:val="Caption"/>
      </w:pPr>
      <w:bookmarkStart w:id="532" w:name="_Toc70505591"/>
      <w:r>
        <w:t>8.3</w:t>
      </w:r>
      <w:r w:rsidR="0039262C" w:rsidRPr="00695C93">
        <w:tab/>
      </w:r>
      <w:r w:rsidR="0039262C">
        <w:t>Net benefits/costs including employment-related benefits</w:t>
      </w:r>
      <w:bookmarkEnd w:id="532"/>
    </w:p>
    <w:tbl>
      <w:tblPr>
        <w:tblW w:w="7936" w:type="dxa"/>
        <w:tblLayout w:type="fixed"/>
        <w:tblLook w:val="0000" w:firstRow="0" w:lastRow="0" w:firstColumn="0" w:lastColumn="0" w:noHBand="0" w:noVBand="0"/>
        <w:tblCaption w:val="Table 8.3: Net benefits/costs including employment-related benefits"/>
        <w:tblDescription w:val="Table 8.3 shows the net benefits/costs when the employment related benefits are included. These range from a net benefit of $2,542,780,000 for Option 5 to a cost of $28,183,310,000 for Option 3. "/>
      </w:tblPr>
      <w:tblGrid>
        <w:gridCol w:w="2967"/>
        <w:gridCol w:w="994"/>
        <w:gridCol w:w="994"/>
        <w:gridCol w:w="994"/>
        <w:gridCol w:w="993"/>
        <w:gridCol w:w="994"/>
      </w:tblGrid>
      <w:tr w:rsidR="0039262C" w14:paraId="251B3AD3" w14:textId="77777777" w:rsidTr="0038709C">
        <w:trPr>
          <w:trHeight w:val="490"/>
          <w:tblHeader/>
        </w:trPr>
        <w:tc>
          <w:tcPr>
            <w:tcW w:w="2967" w:type="dxa"/>
            <w:tcBorders>
              <w:bottom w:val="single" w:sz="8" w:space="0" w:color="FFFFFF" w:themeColor="background1"/>
            </w:tcBorders>
            <w:shd w:val="clear" w:color="auto" w:fill="6F6652"/>
            <w:tcMar>
              <w:left w:w="57" w:type="dxa"/>
              <w:right w:w="57" w:type="dxa"/>
            </w:tcMar>
          </w:tcPr>
          <w:p w14:paraId="3916F29B" w14:textId="77777777" w:rsidR="0039262C" w:rsidRDefault="005D11A4" w:rsidP="0038709C">
            <w:pPr>
              <w:pStyle w:val="TableDataColumnHeading"/>
              <w:jc w:val="left"/>
            </w:pPr>
            <w:r>
              <w:t>Benefit/cost</w:t>
            </w:r>
          </w:p>
        </w:tc>
        <w:tc>
          <w:tcPr>
            <w:tcW w:w="994" w:type="dxa"/>
            <w:tcBorders>
              <w:bottom w:val="single" w:sz="8" w:space="0" w:color="FFFFFF" w:themeColor="background1"/>
            </w:tcBorders>
            <w:shd w:val="clear" w:color="auto" w:fill="6F6652"/>
            <w:tcMar>
              <w:left w:w="57" w:type="dxa"/>
              <w:right w:w="57" w:type="dxa"/>
            </w:tcMar>
          </w:tcPr>
          <w:p w14:paraId="4065F66E" w14:textId="77777777" w:rsidR="0039262C" w:rsidRDefault="0039262C" w:rsidP="0038709C">
            <w:pPr>
              <w:pStyle w:val="TableDataColumnHeading"/>
            </w:pPr>
            <w:r>
              <w:t xml:space="preserve">Option 1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22ABB6CD" w14:textId="77777777" w:rsidR="0039262C" w:rsidRDefault="0039262C" w:rsidP="0038709C">
            <w:pPr>
              <w:pStyle w:val="TableDataColumnHeading"/>
            </w:pPr>
            <w:r>
              <w:t xml:space="preserve">Option </w:t>
            </w:r>
            <w:r w:rsidR="001F08C9">
              <w:t>2</w:t>
            </w:r>
            <w:r>
              <w:t xml:space="preserve">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30908BF9" w14:textId="77777777" w:rsidR="0039262C" w:rsidRDefault="0039262C" w:rsidP="0038709C">
            <w:pPr>
              <w:pStyle w:val="TableDataColumnHeading"/>
            </w:pPr>
            <w:r>
              <w:t xml:space="preserve">Option </w:t>
            </w:r>
            <w:r w:rsidR="001F08C9">
              <w:t>3</w:t>
            </w:r>
            <w:r>
              <w:t xml:space="preserve"> </w:t>
            </w:r>
            <w:r w:rsidR="00BE4D9E">
              <w:br/>
            </w:r>
            <w:r>
              <w:t>($ million)</w:t>
            </w:r>
          </w:p>
        </w:tc>
        <w:tc>
          <w:tcPr>
            <w:tcW w:w="993" w:type="dxa"/>
            <w:tcBorders>
              <w:bottom w:val="single" w:sz="8" w:space="0" w:color="FFFFFF" w:themeColor="background1"/>
            </w:tcBorders>
            <w:shd w:val="clear" w:color="auto" w:fill="6F6652"/>
            <w:tcMar>
              <w:left w:w="57" w:type="dxa"/>
              <w:right w:w="57" w:type="dxa"/>
            </w:tcMar>
          </w:tcPr>
          <w:p w14:paraId="34569D75" w14:textId="77777777" w:rsidR="0039262C" w:rsidRDefault="0039262C" w:rsidP="0038709C">
            <w:pPr>
              <w:pStyle w:val="TableDataColumnHeading"/>
            </w:pPr>
            <w:r>
              <w:t xml:space="preserve">Option </w:t>
            </w:r>
            <w:r w:rsidR="001F08C9">
              <w:t>4</w:t>
            </w:r>
            <w:r>
              <w:t xml:space="preserve"> </w:t>
            </w:r>
            <w:r w:rsidR="00BE4D9E">
              <w:br/>
            </w:r>
            <w:r>
              <w:t>($ million)</w:t>
            </w:r>
          </w:p>
        </w:tc>
        <w:tc>
          <w:tcPr>
            <w:tcW w:w="994" w:type="dxa"/>
            <w:tcBorders>
              <w:bottom w:val="single" w:sz="8" w:space="0" w:color="FFFFFF" w:themeColor="background1"/>
            </w:tcBorders>
            <w:shd w:val="clear" w:color="auto" w:fill="6F6652"/>
            <w:tcMar>
              <w:left w:w="57" w:type="dxa"/>
              <w:right w:w="57" w:type="dxa"/>
            </w:tcMar>
          </w:tcPr>
          <w:p w14:paraId="79E36EB6" w14:textId="77777777" w:rsidR="0039262C" w:rsidRDefault="0039262C" w:rsidP="0038709C">
            <w:pPr>
              <w:pStyle w:val="TableDataColumnHeading"/>
            </w:pPr>
            <w:r>
              <w:t xml:space="preserve">Option </w:t>
            </w:r>
            <w:r w:rsidR="001F08C9">
              <w:t>5</w:t>
            </w:r>
            <w:r>
              <w:t xml:space="preserve"> </w:t>
            </w:r>
            <w:r w:rsidR="00BE4D9E">
              <w:br/>
            </w:r>
            <w:r>
              <w:t>($ million)</w:t>
            </w:r>
          </w:p>
        </w:tc>
      </w:tr>
      <w:tr w:rsidR="00466D4C" w14:paraId="35A4ABD3"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AC6A20" w14:textId="77777777" w:rsidR="00466D4C" w:rsidRDefault="00466D4C" w:rsidP="00466D4C">
            <w:pPr>
              <w:pStyle w:val="TableDataEntries"/>
              <w:jc w:val="left"/>
            </w:pPr>
            <w:r>
              <w:t>Benefits included in central case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700D51" w14:textId="77777777" w:rsidR="00466D4C" w:rsidRPr="00466D4C" w:rsidRDefault="00466D4C" w:rsidP="00466D4C">
            <w:pPr>
              <w:pStyle w:val="TableDataEntries"/>
            </w:pPr>
            <w:r w:rsidRPr="00466D4C">
              <w:t>2 680.50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BB9F0A" w14:textId="77777777" w:rsidR="00466D4C" w:rsidRPr="00466D4C" w:rsidRDefault="00466D4C" w:rsidP="00466D4C">
            <w:pPr>
              <w:pStyle w:val="TableDataEntries"/>
            </w:pPr>
            <w:r w:rsidRPr="00466D4C">
              <w:t>4 570.28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D10877" w14:textId="77777777" w:rsidR="00466D4C" w:rsidRPr="00466D4C" w:rsidRDefault="00466D4C" w:rsidP="00466D4C">
            <w:pPr>
              <w:pStyle w:val="TableDataEntries"/>
            </w:pPr>
            <w:r w:rsidRPr="00466D4C">
              <w:t>4 586.61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3EA228" w14:textId="77777777" w:rsidR="00466D4C" w:rsidRPr="00466D4C" w:rsidRDefault="00466D4C" w:rsidP="00466D4C">
            <w:pPr>
              <w:pStyle w:val="TableDataEntries"/>
            </w:pPr>
            <w:r w:rsidRPr="00466D4C">
              <w:t>1 759.95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DFCC12" w14:textId="77777777" w:rsidR="00466D4C" w:rsidRPr="00466D4C" w:rsidRDefault="00466D4C" w:rsidP="00466D4C">
            <w:pPr>
              <w:pStyle w:val="TableDataEntries"/>
            </w:pPr>
            <w:r w:rsidRPr="00466D4C">
              <w:t>2 274.47</w:t>
            </w:r>
          </w:p>
        </w:tc>
      </w:tr>
      <w:tr w:rsidR="00466D4C" w14:paraId="34FF68B8"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609CF7" w14:textId="77777777" w:rsidR="00466D4C" w:rsidRDefault="00466D4C" w:rsidP="00466D4C">
            <w:pPr>
              <w:pStyle w:val="TableDataEntries"/>
              <w:jc w:val="left"/>
            </w:pPr>
            <w:r>
              <w:t>Employment benefits</w:t>
            </w:r>
            <w:r w:rsidR="008A659F" w:rsidRPr="00743BB7">
              <w:rPr>
                <w:rStyle w:val="NoteLabel"/>
              </w:rPr>
              <w:t xml:space="preserve"> a</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726501" w14:textId="77777777" w:rsidR="00466D4C" w:rsidRPr="00466D4C" w:rsidRDefault="00466D4C" w:rsidP="00466D4C">
            <w:pPr>
              <w:pStyle w:val="TableDataEntries"/>
            </w:pPr>
            <w:r w:rsidRPr="00466D4C">
              <w:t xml:space="preserve"> 342.67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99B6D2" w14:textId="77777777" w:rsidR="00466D4C" w:rsidRPr="00466D4C" w:rsidRDefault="00466D4C" w:rsidP="00466D4C">
            <w:pPr>
              <w:pStyle w:val="TableDataEntries"/>
            </w:pPr>
            <w:r w:rsidRPr="00466D4C">
              <w:t xml:space="preserve"> 532.17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077FDD" w14:textId="77777777" w:rsidR="00466D4C" w:rsidRPr="00466D4C" w:rsidRDefault="00466D4C" w:rsidP="00466D4C">
            <w:pPr>
              <w:pStyle w:val="TableDataEntries"/>
            </w:pPr>
            <w:r w:rsidRPr="00466D4C">
              <w:t xml:space="preserve"> 534.07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C11895" w14:textId="77777777" w:rsidR="00466D4C" w:rsidRPr="00466D4C" w:rsidRDefault="00466D4C" w:rsidP="00466D4C">
            <w:pPr>
              <w:pStyle w:val="TableDataEntries"/>
            </w:pPr>
            <w:r w:rsidRPr="00466D4C">
              <w:t xml:space="preserve"> 208.73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D8B0B2" w14:textId="77777777" w:rsidR="00466D4C" w:rsidRPr="00466D4C" w:rsidRDefault="00466D4C" w:rsidP="00466D4C">
            <w:pPr>
              <w:pStyle w:val="TableDataEntries"/>
            </w:pPr>
            <w:r w:rsidRPr="00466D4C">
              <w:t>1 345.01</w:t>
            </w:r>
          </w:p>
        </w:tc>
      </w:tr>
      <w:tr w:rsidR="00466D4C" w14:paraId="7EB26B22"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11C55" w14:textId="77777777" w:rsidR="00466D4C" w:rsidRDefault="00466D4C" w:rsidP="00466D4C">
            <w:pPr>
              <w:pStyle w:val="TableDataEntries"/>
              <w:jc w:val="left"/>
            </w:pPr>
            <w:r>
              <w:t>Total benefits (including employment benefits)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88B947" w14:textId="77777777" w:rsidR="00466D4C" w:rsidRPr="00466D4C" w:rsidRDefault="00466D4C" w:rsidP="00466D4C">
            <w:pPr>
              <w:pStyle w:val="TableDataEntries"/>
            </w:pPr>
            <w:r w:rsidRPr="00466D4C">
              <w:t>3 023.17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38AECF" w14:textId="77777777" w:rsidR="00466D4C" w:rsidRPr="00466D4C" w:rsidRDefault="00466D4C" w:rsidP="00466D4C">
            <w:pPr>
              <w:pStyle w:val="TableDataEntries"/>
            </w:pPr>
            <w:r w:rsidRPr="00466D4C">
              <w:t>5 102.45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97291F" w14:textId="77777777" w:rsidR="00466D4C" w:rsidRPr="00466D4C" w:rsidRDefault="00466D4C" w:rsidP="00466D4C">
            <w:pPr>
              <w:pStyle w:val="TableDataEntries"/>
            </w:pPr>
            <w:r w:rsidRPr="00466D4C">
              <w:t>5 120.67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114FA5" w14:textId="77777777" w:rsidR="00466D4C" w:rsidRPr="00466D4C" w:rsidRDefault="00466D4C" w:rsidP="00466D4C">
            <w:pPr>
              <w:pStyle w:val="TableDataEntries"/>
            </w:pPr>
            <w:r w:rsidRPr="00466D4C">
              <w:t>1 968.68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294E6C" w14:textId="77777777" w:rsidR="00466D4C" w:rsidRPr="00466D4C" w:rsidRDefault="00466D4C" w:rsidP="00466D4C">
            <w:pPr>
              <w:pStyle w:val="TableDataEntries"/>
            </w:pPr>
            <w:r w:rsidRPr="00466D4C">
              <w:t>3 619.48</w:t>
            </w:r>
          </w:p>
        </w:tc>
      </w:tr>
      <w:tr w:rsidR="00375ED6" w14:paraId="49F14462"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4F8C1" w14:textId="77777777" w:rsidR="00375ED6" w:rsidRDefault="00375ED6" w:rsidP="00375ED6">
            <w:pPr>
              <w:pStyle w:val="TableDataEntries"/>
              <w:jc w:val="left"/>
            </w:pPr>
            <w:r>
              <w:t>Estimated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87D244" w14:textId="77777777" w:rsidR="00375ED6" w:rsidRPr="00466D4C" w:rsidRDefault="00375ED6" w:rsidP="00375ED6">
            <w:pPr>
              <w:pStyle w:val="TableDataEntries"/>
            </w:pPr>
            <w:r>
              <w:t>-6 817.44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9A3F7C" w14:textId="77777777" w:rsidR="00375ED6" w:rsidRPr="00466D4C" w:rsidRDefault="00375ED6" w:rsidP="00375ED6">
            <w:pPr>
              <w:pStyle w:val="TableDataEntries"/>
            </w:pPr>
            <w:r>
              <w:t>-25 935.33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826E83" w14:textId="77777777" w:rsidR="00375ED6" w:rsidRPr="00466D4C" w:rsidRDefault="00375ED6" w:rsidP="00375ED6">
            <w:pPr>
              <w:pStyle w:val="TableDataEntries"/>
            </w:pPr>
            <w:r>
              <w:t>-33 303.98</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D651D0" w14:textId="77777777" w:rsidR="00375ED6" w:rsidRPr="00466D4C" w:rsidRDefault="00375ED6" w:rsidP="00375ED6">
            <w:pPr>
              <w:pStyle w:val="TableDataEntries"/>
            </w:pPr>
            <w:r>
              <w:t>-12 409.06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0D5135" w14:textId="77777777" w:rsidR="00375ED6" w:rsidRPr="00466D4C" w:rsidRDefault="00375ED6" w:rsidP="00375ED6">
            <w:pPr>
              <w:pStyle w:val="TableDataEntries"/>
            </w:pPr>
            <w:r>
              <w:t>-1 076.70</w:t>
            </w:r>
          </w:p>
        </w:tc>
      </w:tr>
      <w:tr w:rsidR="00375ED6" w:rsidRPr="00466D4C" w14:paraId="5375071F"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7D92D42" w14:textId="77777777" w:rsidR="00375ED6" w:rsidRPr="00466D4C" w:rsidRDefault="00375ED6" w:rsidP="00375ED6">
            <w:pPr>
              <w:pStyle w:val="TableDataEntries"/>
              <w:jc w:val="left"/>
              <w:rPr>
                <w:rFonts w:ascii="Franklin Gothic Demi" w:hAnsi="Franklin Gothic Demi"/>
              </w:rPr>
            </w:pPr>
            <w:r w:rsidRPr="00466D4C">
              <w:rPr>
                <w:rFonts w:ascii="Franklin Gothic Demi" w:hAnsi="Franklin Gothic Demi"/>
              </w:rPr>
              <w:t>Net benefits/costs</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1AA05A8" w14:textId="77777777" w:rsidR="00375ED6" w:rsidRPr="00466D4C" w:rsidRDefault="00375ED6" w:rsidP="00375ED6">
            <w:pPr>
              <w:pStyle w:val="TableDataEntries"/>
              <w:rPr>
                <w:rFonts w:ascii="Franklin Gothic Demi" w:hAnsi="Franklin Gothic Demi"/>
              </w:rPr>
            </w:pPr>
            <w:r>
              <w:rPr>
                <w:rFonts w:ascii="Franklin Gothic Demi" w:hAnsi="Franklin Gothic Demi"/>
              </w:rPr>
              <w:t>-3 794.27</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2A7DF37" w14:textId="77777777" w:rsidR="00375ED6" w:rsidRPr="00466D4C" w:rsidRDefault="00375ED6" w:rsidP="00375ED6">
            <w:pPr>
              <w:pStyle w:val="TableDataEntries"/>
              <w:rPr>
                <w:rFonts w:ascii="Franklin Gothic Demi" w:hAnsi="Franklin Gothic Demi"/>
              </w:rPr>
            </w:pPr>
            <w:r>
              <w:rPr>
                <w:rFonts w:ascii="Franklin Gothic Demi" w:hAnsi="Franklin Gothic Demi"/>
              </w:rPr>
              <w:t>-20 832.88</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D2B0B16" w14:textId="77777777" w:rsidR="00375ED6" w:rsidRPr="00466D4C" w:rsidRDefault="00375ED6" w:rsidP="00375ED6">
            <w:pPr>
              <w:pStyle w:val="TableDataEntries"/>
              <w:rPr>
                <w:rFonts w:ascii="Franklin Gothic Demi" w:hAnsi="Franklin Gothic Demi"/>
              </w:rPr>
            </w:pPr>
            <w:r>
              <w:rPr>
                <w:rFonts w:ascii="Franklin Gothic Demi" w:hAnsi="Franklin Gothic Demi"/>
              </w:rPr>
              <w:t>-28 183.31</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755171F" w14:textId="77777777" w:rsidR="00375ED6" w:rsidRPr="00466D4C" w:rsidRDefault="00375ED6" w:rsidP="00375ED6">
            <w:pPr>
              <w:pStyle w:val="TableDataEntries"/>
              <w:rPr>
                <w:rFonts w:ascii="Franklin Gothic Demi" w:hAnsi="Franklin Gothic Demi"/>
              </w:rPr>
            </w:pPr>
            <w:r>
              <w:rPr>
                <w:rFonts w:ascii="Franklin Gothic Demi" w:hAnsi="Franklin Gothic Demi"/>
              </w:rPr>
              <w:t>-10 440.38</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664C8B8" w14:textId="77777777" w:rsidR="00375ED6" w:rsidRPr="00466D4C" w:rsidRDefault="00375ED6" w:rsidP="00375ED6">
            <w:pPr>
              <w:pStyle w:val="TableDataEntries"/>
              <w:rPr>
                <w:rFonts w:ascii="Franklin Gothic Demi" w:hAnsi="Franklin Gothic Demi"/>
              </w:rPr>
            </w:pPr>
            <w:r>
              <w:rPr>
                <w:rFonts w:ascii="Franklin Gothic Demi" w:hAnsi="Franklin Gothic Demi"/>
              </w:rPr>
              <w:t>2 542.78</w:t>
            </w:r>
          </w:p>
        </w:tc>
      </w:tr>
      <w:tr w:rsidR="00375ED6" w:rsidRPr="00466D4C" w14:paraId="20579DAF"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B9F06A7" w14:textId="77777777" w:rsidR="00375ED6" w:rsidRPr="00466D4C" w:rsidRDefault="00375ED6" w:rsidP="00375ED6">
            <w:pPr>
              <w:pStyle w:val="TableDataEntries"/>
              <w:jc w:val="left"/>
              <w:rPr>
                <w:rFonts w:ascii="Franklin Gothic Demi" w:hAnsi="Franklin Gothic Demi"/>
              </w:rPr>
            </w:pPr>
            <w:r w:rsidRPr="00466D4C">
              <w:rPr>
                <w:rFonts w:ascii="Franklin Gothic Demi" w:hAnsi="Franklin Gothic Demi"/>
              </w:rPr>
              <w:t>Benefit-cost ratio</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ECF1F11" w14:textId="77777777" w:rsidR="00375ED6" w:rsidRPr="00466D4C" w:rsidRDefault="00375ED6" w:rsidP="00375ED6">
            <w:pPr>
              <w:pStyle w:val="TableDataEntries"/>
              <w:rPr>
                <w:rFonts w:ascii="Franklin Gothic Demi" w:hAnsi="Franklin Gothic Demi"/>
              </w:rPr>
            </w:pPr>
            <w:r>
              <w:rPr>
                <w:rFonts w:ascii="Franklin Gothic Demi" w:hAnsi="Franklin Gothic Demi"/>
              </w:rPr>
              <w:t>0.44</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AE7A651" w14:textId="77777777" w:rsidR="00375ED6" w:rsidRPr="00466D4C" w:rsidRDefault="00375ED6" w:rsidP="00375ED6">
            <w:pPr>
              <w:pStyle w:val="TableDataEntries"/>
              <w:rPr>
                <w:rFonts w:ascii="Franklin Gothic Demi" w:hAnsi="Franklin Gothic Demi"/>
              </w:rPr>
            </w:pPr>
            <w:r>
              <w:rPr>
                <w:rFonts w:ascii="Franklin Gothic Demi" w:hAnsi="Franklin Gothic Demi"/>
              </w:rPr>
              <w:t>0.20</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3E454C9" w14:textId="77777777" w:rsidR="00375ED6" w:rsidRPr="00466D4C" w:rsidRDefault="00375ED6" w:rsidP="00375ED6">
            <w:pPr>
              <w:pStyle w:val="TableDataEntries"/>
              <w:rPr>
                <w:rFonts w:ascii="Franklin Gothic Demi" w:hAnsi="Franklin Gothic Demi"/>
              </w:rPr>
            </w:pPr>
            <w:r>
              <w:rPr>
                <w:rFonts w:ascii="Franklin Gothic Demi" w:hAnsi="Franklin Gothic Demi"/>
              </w:rPr>
              <w:t>0.15</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99550F3" w14:textId="77777777" w:rsidR="00375ED6" w:rsidRPr="00466D4C" w:rsidRDefault="00375ED6" w:rsidP="00375ED6">
            <w:pPr>
              <w:pStyle w:val="TableDataEntries"/>
              <w:rPr>
                <w:rFonts w:ascii="Franklin Gothic Demi" w:hAnsi="Franklin Gothic Demi"/>
              </w:rPr>
            </w:pPr>
            <w:r>
              <w:rPr>
                <w:rFonts w:ascii="Franklin Gothic Demi" w:hAnsi="Franklin Gothic Demi"/>
              </w:rPr>
              <w:t>0.16</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04F6162" w14:textId="77777777" w:rsidR="00375ED6" w:rsidRPr="00466D4C" w:rsidRDefault="00375ED6" w:rsidP="00375ED6">
            <w:pPr>
              <w:pStyle w:val="TableDataEntries"/>
              <w:rPr>
                <w:rFonts w:ascii="Franklin Gothic Demi" w:hAnsi="Franklin Gothic Demi"/>
              </w:rPr>
            </w:pPr>
            <w:r>
              <w:rPr>
                <w:rFonts w:ascii="Franklin Gothic Demi" w:hAnsi="Franklin Gothic Demi"/>
              </w:rPr>
              <w:t>3.36</w:t>
            </w:r>
          </w:p>
        </w:tc>
      </w:tr>
    </w:tbl>
    <w:p w14:paraId="5C48F513" w14:textId="77777777" w:rsidR="008A659F" w:rsidRPr="00B53322" w:rsidRDefault="008A659F" w:rsidP="008A659F">
      <w:pPr>
        <w:pStyle w:val="Note"/>
      </w:pPr>
      <w:r w:rsidRPr="00743BB7">
        <w:rPr>
          <w:rStyle w:val="NoteLabel"/>
        </w:rPr>
        <w:t>a</w:t>
      </w:r>
      <w:r>
        <w:t xml:space="preserve"> </w:t>
      </w:r>
      <w:r w:rsidRPr="00B53322">
        <w:t>As with other benefits, the estimates of the employment benefits differ across options because each option provides different levels of accessibility.</w:t>
      </w:r>
    </w:p>
    <w:p w14:paraId="75EEC413" w14:textId="77777777" w:rsidR="0039262C" w:rsidRPr="00B53322" w:rsidRDefault="0039262C" w:rsidP="0039262C">
      <w:pPr>
        <w:pStyle w:val="Note"/>
        <w:rPr>
          <w:lang w:bidi="fa-IR"/>
        </w:rPr>
      </w:pPr>
      <w:r w:rsidRPr="00B53322">
        <w:lastRenderedPageBreak/>
        <w:t>Note: The cost-benefit analysis includes the lifetime costs and benefits of all dwellings constructed over a 10</w:t>
      </w:r>
      <w:r w:rsidRPr="00B53322">
        <w:noBreakHyphen/>
        <w:t>year regulatory period from 2022 to 2031 (including the lifetime benefits of these dwellings over 40 years), using a discount rate of 7 per cent.</w:t>
      </w:r>
    </w:p>
    <w:p w14:paraId="63E4F580" w14:textId="77777777" w:rsidR="0039262C" w:rsidRPr="00B53322" w:rsidRDefault="0039262C" w:rsidP="0039262C">
      <w:pPr>
        <w:pStyle w:val="Source"/>
        <w:rPr>
          <w:lang w:bidi="fa-IR"/>
        </w:rPr>
      </w:pPr>
      <w:r w:rsidRPr="00B53322">
        <w:rPr>
          <w:lang w:bidi="fa-IR"/>
        </w:rPr>
        <w:t>Source: CIE estimates.</w:t>
      </w:r>
    </w:p>
    <w:p w14:paraId="61AB1F37" w14:textId="77777777" w:rsidR="0039262C" w:rsidRDefault="0039262C" w:rsidP="0039262C">
      <w:pPr>
        <w:pStyle w:val="Heading4"/>
        <w:rPr>
          <w:lang w:bidi="fa-IR"/>
        </w:rPr>
      </w:pPr>
      <w:r>
        <w:rPr>
          <w:lang w:bidi="fa-IR"/>
        </w:rPr>
        <w:t>Societal and employment benefits</w:t>
      </w:r>
    </w:p>
    <w:p w14:paraId="7CD97A83" w14:textId="77777777" w:rsidR="0039262C" w:rsidRDefault="0039262C" w:rsidP="0039262C">
      <w:pPr>
        <w:pStyle w:val="BodyText"/>
        <w:rPr>
          <w:lang w:bidi="fa-IR"/>
        </w:rPr>
      </w:pPr>
      <w:r>
        <w:rPr>
          <w:lang w:bidi="fa-IR"/>
        </w:rPr>
        <w:t xml:space="preserve">The broad conclusions from the </w:t>
      </w:r>
      <w:r w:rsidR="00E36DF1">
        <w:rPr>
          <w:lang w:bidi="fa-IR"/>
        </w:rPr>
        <w:t xml:space="preserve">central case </w:t>
      </w:r>
      <w:r>
        <w:rPr>
          <w:lang w:bidi="fa-IR"/>
        </w:rPr>
        <w:t>CBA also hold when both the societal and employment</w:t>
      </w:r>
      <w:r>
        <w:rPr>
          <w:lang w:bidi="fa-IR"/>
        </w:rPr>
        <w:noBreakHyphen/>
        <w:t>related benefits are included (table </w:t>
      </w:r>
      <w:r w:rsidR="00313F83">
        <w:rPr>
          <w:lang w:bidi="fa-IR"/>
        </w:rPr>
        <w:t>8.4</w:t>
      </w:r>
      <w:r>
        <w:rPr>
          <w:lang w:bidi="fa-IR"/>
        </w:rPr>
        <w:t>).</w:t>
      </w:r>
    </w:p>
    <w:p w14:paraId="3E3DE542" w14:textId="32F7B345" w:rsidR="0039262C" w:rsidRDefault="00BD17F9" w:rsidP="0039262C">
      <w:pPr>
        <w:pStyle w:val="Caption"/>
      </w:pPr>
      <w:bookmarkStart w:id="533" w:name="_Toc70505592"/>
      <w:r>
        <w:t>8.4</w:t>
      </w:r>
      <w:r w:rsidR="0039262C" w:rsidRPr="00695C93">
        <w:tab/>
      </w:r>
      <w:r w:rsidR="0039262C">
        <w:t>Net benefits/costs including societal and employment-related benefits</w:t>
      </w:r>
      <w:bookmarkEnd w:id="533"/>
    </w:p>
    <w:tbl>
      <w:tblPr>
        <w:tblW w:w="7936" w:type="dxa"/>
        <w:tblLayout w:type="fixed"/>
        <w:tblLook w:val="0000" w:firstRow="0" w:lastRow="0" w:firstColumn="0" w:lastColumn="0" w:noHBand="0" w:noVBand="0"/>
        <w:tblCaption w:val="Table 8.4: Net benefits/costs including societal and employment-related benefits"/>
        <w:tblDescription w:val="Table 8.4 shows the net benefits/costs when both societal and employment-related benefits are included. In this scenario, the net benefits costs range from a benefit of $3,520,780,000 for Option 5 to a cost of $27,388,390,000 for Option 3."/>
      </w:tblPr>
      <w:tblGrid>
        <w:gridCol w:w="2967"/>
        <w:gridCol w:w="994"/>
        <w:gridCol w:w="994"/>
        <w:gridCol w:w="994"/>
        <w:gridCol w:w="993"/>
        <w:gridCol w:w="994"/>
      </w:tblGrid>
      <w:tr w:rsidR="0039262C" w14:paraId="14F48722" w14:textId="77777777" w:rsidTr="0038709C">
        <w:trPr>
          <w:trHeight w:val="490"/>
        </w:trPr>
        <w:tc>
          <w:tcPr>
            <w:tcW w:w="2967" w:type="dxa"/>
            <w:tcBorders>
              <w:bottom w:val="single" w:sz="8" w:space="0" w:color="FFFFFF" w:themeColor="background1"/>
            </w:tcBorders>
            <w:shd w:val="clear" w:color="auto" w:fill="6F6652"/>
            <w:tcMar>
              <w:left w:w="57" w:type="dxa"/>
              <w:right w:w="57" w:type="dxa"/>
            </w:tcMar>
          </w:tcPr>
          <w:p w14:paraId="6790DD94" w14:textId="77777777" w:rsidR="0039262C" w:rsidRDefault="005D11A4" w:rsidP="0038709C">
            <w:pPr>
              <w:pStyle w:val="TableDataColumnHeading"/>
              <w:jc w:val="left"/>
            </w:pPr>
            <w:r>
              <w:t>Benefit/cost</w:t>
            </w:r>
          </w:p>
        </w:tc>
        <w:tc>
          <w:tcPr>
            <w:tcW w:w="994" w:type="dxa"/>
            <w:tcBorders>
              <w:bottom w:val="single" w:sz="8" w:space="0" w:color="FFFFFF" w:themeColor="background1"/>
            </w:tcBorders>
            <w:shd w:val="clear" w:color="auto" w:fill="6F6652"/>
            <w:tcMar>
              <w:left w:w="57" w:type="dxa"/>
              <w:right w:w="57" w:type="dxa"/>
            </w:tcMar>
          </w:tcPr>
          <w:p w14:paraId="3B917758" w14:textId="77777777" w:rsidR="0039262C" w:rsidRDefault="0039262C" w:rsidP="0038709C">
            <w:pPr>
              <w:pStyle w:val="TableDataColumnHeading"/>
            </w:pPr>
            <w:r>
              <w:t>Option 1 ($ million)</w:t>
            </w:r>
          </w:p>
        </w:tc>
        <w:tc>
          <w:tcPr>
            <w:tcW w:w="994" w:type="dxa"/>
            <w:tcBorders>
              <w:bottom w:val="single" w:sz="8" w:space="0" w:color="FFFFFF" w:themeColor="background1"/>
            </w:tcBorders>
            <w:shd w:val="clear" w:color="auto" w:fill="6F6652"/>
            <w:tcMar>
              <w:left w:w="57" w:type="dxa"/>
              <w:right w:w="57" w:type="dxa"/>
            </w:tcMar>
          </w:tcPr>
          <w:p w14:paraId="569C391E" w14:textId="77777777" w:rsidR="0039262C" w:rsidRDefault="0039262C" w:rsidP="0038709C">
            <w:pPr>
              <w:pStyle w:val="TableDataColumnHeading"/>
            </w:pPr>
            <w:r>
              <w:t xml:space="preserve">Option </w:t>
            </w:r>
            <w:r w:rsidR="001F08C9">
              <w:t>2</w:t>
            </w:r>
            <w:r>
              <w:t xml:space="preserve"> ($ million)</w:t>
            </w:r>
          </w:p>
        </w:tc>
        <w:tc>
          <w:tcPr>
            <w:tcW w:w="994" w:type="dxa"/>
            <w:tcBorders>
              <w:bottom w:val="single" w:sz="8" w:space="0" w:color="FFFFFF" w:themeColor="background1"/>
            </w:tcBorders>
            <w:shd w:val="clear" w:color="auto" w:fill="6F6652"/>
            <w:tcMar>
              <w:left w:w="57" w:type="dxa"/>
              <w:right w:w="57" w:type="dxa"/>
            </w:tcMar>
          </w:tcPr>
          <w:p w14:paraId="42481F0C" w14:textId="77777777" w:rsidR="0039262C" w:rsidRDefault="0039262C" w:rsidP="0038709C">
            <w:pPr>
              <w:pStyle w:val="TableDataColumnHeading"/>
            </w:pPr>
            <w:r>
              <w:t xml:space="preserve">Option </w:t>
            </w:r>
            <w:r w:rsidR="001F08C9">
              <w:t>3</w:t>
            </w:r>
            <w:r>
              <w:t xml:space="preserve"> ($ million)</w:t>
            </w:r>
          </w:p>
        </w:tc>
        <w:tc>
          <w:tcPr>
            <w:tcW w:w="993" w:type="dxa"/>
            <w:tcBorders>
              <w:bottom w:val="single" w:sz="8" w:space="0" w:color="FFFFFF" w:themeColor="background1"/>
            </w:tcBorders>
            <w:shd w:val="clear" w:color="auto" w:fill="6F6652"/>
            <w:tcMar>
              <w:left w:w="57" w:type="dxa"/>
              <w:right w:w="57" w:type="dxa"/>
            </w:tcMar>
          </w:tcPr>
          <w:p w14:paraId="63DBDF75" w14:textId="77777777" w:rsidR="0039262C" w:rsidRDefault="0039262C" w:rsidP="0038709C">
            <w:pPr>
              <w:pStyle w:val="TableDataColumnHeading"/>
            </w:pPr>
            <w:r>
              <w:t xml:space="preserve">Option </w:t>
            </w:r>
            <w:r w:rsidR="001F08C9">
              <w:t>4</w:t>
            </w:r>
            <w:r>
              <w:t xml:space="preserve"> ($ million)</w:t>
            </w:r>
          </w:p>
        </w:tc>
        <w:tc>
          <w:tcPr>
            <w:tcW w:w="994" w:type="dxa"/>
            <w:tcBorders>
              <w:bottom w:val="single" w:sz="8" w:space="0" w:color="FFFFFF" w:themeColor="background1"/>
            </w:tcBorders>
            <w:shd w:val="clear" w:color="auto" w:fill="6F6652"/>
            <w:tcMar>
              <w:left w:w="57" w:type="dxa"/>
              <w:right w:w="57" w:type="dxa"/>
            </w:tcMar>
          </w:tcPr>
          <w:p w14:paraId="05186C04" w14:textId="77777777" w:rsidR="0039262C" w:rsidRDefault="0039262C" w:rsidP="0038709C">
            <w:pPr>
              <w:pStyle w:val="TableDataColumnHeading"/>
            </w:pPr>
            <w:r>
              <w:t xml:space="preserve">Option </w:t>
            </w:r>
            <w:r w:rsidR="001F08C9">
              <w:t>5</w:t>
            </w:r>
            <w:r>
              <w:t xml:space="preserve"> ($ million)</w:t>
            </w:r>
          </w:p>
        </w:tc>
      </w:tr>
      <w:tr w:rsidR="00466D4C" w14:paraId="020F0EAB"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0E73E" w14:textId="77777777" w:rsidR="00466D4C" w:rsidRDefault="00466D4C" w:rsidP="00466D4C">
            <w:pPr>
              <w:pStyle w:val="TableDataEntries"/>
              <w:jc w:val="left"/>
            </w:pPr>
            <w:r>
              <w:t>Benefits included in central case</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E3D85D" w14:textId="77777777" w:rsidR="00466D4C" w:rsidRPr="00466D4C" w:rsidRDefault="00466D4C" w:rsidP="00466D4C">
            <w:pPr>
              <w:pStyle w:val="TableDataEntries"/>
            </w:pPr>
            <w:r w:rsidRPr="00466D4C">
              <w:t>2 680.50</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F05361" w14:textId="77777777" w:rsidR="00466D4C" w:rsidRPr="00466D4C" w:rsidRDefault="00466D4C" w:rsidP="00466D4C">
            <w:pPr>
              <w:pStyle w:val="TableDataEntries"/>
            </w:pPr>
            <w:r w:rsidRPr="00466D4C">
              <w:t>4 570.28</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BBAA25" w14:textId="77777777" w:rsidR="00466D4C" w:rsidRPr="00466D4C" w:rsidRDefault="00466D4C" w:rsidP="00466D4C">
            <w:pPr>
              <w:pStyle w:val="TableDataEntries"/>
            </w:pPr>
            <w:r w:rsidRPr="00466D4C">
              <w:t>4 586.61</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7B3BAA" w14:textId="77777777" w:rsidR="00466D4C" w:rsidRPr="00466D4C" w:rsidRDefault="00466D4C" w:rsidP="00466D4C">
            <w:pPr>
              <w:pStyle w:val="TableDataEntries"/>
            </w:pPr>
            <w:r w:rsidRPr="00466D4C">
              <w:t>1 759.95</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ACA3A7" w14:textId="77777777" w:rsidR="00466D4C" w:rsidRPr="00466D4C" w:rsidRDefault="00466D4C" w:rsidP="00466D4C">
            <w:pPr>
              <w:pStyle w:val="TableDataEntries"/>
            </w:pPr>
            <w:r w:rsidRPr="00466D4C">
              <w:t>2 274.47</w:t>
            </w:r>
          </w:p>
        </w:tc>
      </w:tr>
      <w:tr w:rsidR="00466D4C" w14:paraId="1A16CA6E"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B27729" w14:textId="77777777" w:rsidR="00466D4C" w:rsidRDefault="00466D4C" w:rsidP="00466D4C">
            <w:pPr>
              <w:pStyle w:val="TableDataEntries"/>
              <w:jc w:val="left"/>
            </w:pPr>
            <w:r>
              <w:t>Societal benefits</w:t>
            </w:r>
            <w:r w:rsidR="008A659F" w:rsidRPr="00743BB7">
              <w:rPr>
                <w:rStyle w:val="NoteLabel"/>
              </w:rPr>
              <w:t xml:space="preserve"> a</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922CD9" w14:textId="77777777" w:rsidR="00466D4C" w:rsidRPr="00466D4C" w:rsidRDefault="00466D4C" w:rsidP="00466D4C">
            <w:pPr>
              <w:pStyle w:val="TableDataEntries"/>
            </w:pPr>
            <w:r w:rsidRPr="00466D4C">
              <w:t xml:space="preserve"> 666.62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CF6038" w14:textId="77777777" w:rsidR="00466D4C" w:rsidRPr="00466D4C" w:rsidRDefault="00466D4C" w:rsidP="00466D4C">
            <w:pPr>
              <w:pStyle w:val="TableDataEntries"/>
            </w:pPr>
            <w:r w:rsidRPr="00466D4C">
              <w:t xml:space="preserve"> 794.92</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AB0096" w14:textId="77777777" w:rsidR="00466D4C" w:rsidRPr="00466D4C" w:rsidRDefault="00466D4C" w:rsidP="00466D4C">
            <w:pPr>
              <w:pStyle w:val="TableDataEntries"/>
            </w:pPr>
            <w:r w:rsidRPr="00466D4C">
              <w:t xml:space="preserve"> 794.92</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4255D5" w14:textId="77777777" w:rsidR="00466D4C" w:rsidRPr="00466D4C" w:rsidRDefault="00466D4C" w:rsidP="00466D4C">
            <w:pPr>
              <w:pStyle w:val="TableDataEntries"/>
            </w:pPr>
            <w:r w:rsidRPr="00466D4C">
              <w:t xml:space="preserve"> 301.46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E38FF7" w14:textId="77777777" w:rsidR="00466D4C" w:rsidRPr="00466D4C" w:rsidRDefault="00466D4C" w:rsidP="00466D4C">
            <w:pPr>
              <w:pStyle w:val="TableDataEntries"/>
            </w:pPr>
            <w:r w:rsidRPr="00466D4C">
              <w:t xml:space="preserve"> 978.00</w:t>
            </w:r>
          </w:p>
        </w:tc>
      </w:tr>
      <w:tr w:rsidR="00466D4C" w14:paraId="2EC7CB0F"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608D50" w14:textId="77777777" w:rsidR="00466D4C" w:rsidRDefault="00466D4C" w:rsidP="00466D4C">
            <w:pPr>
              <w:pStyle w:val="TableDataEntries"/>
              <w:jc w:val="left"/>
            </w:pPr>
            <w:r>
              <w:t>Employment benefits</w:t>
            </w:r>
            <w:r w:rsidR="008A659F" w:rsidRPr="00743BB7">
              <w:rPr>
                <w:rStyle w:val="NoteLabel"/>
              </w:rPr>
              <w:t xml:space="preserve"> a</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1A2E79" w14:textId="77777777" w:rsidR="00466D4C" w:rsidRPr="00466D4C" w:rsidRDefault="00466D4C" w:rsidP="00466D4C">
            <w:pPr>
              <w:pStyle w:val="TableDataEntries"/>
            </w:pPr>
            <w:r w:rsidRPr="00466D4C">
              <w:t xml:space="preserve"> 342.67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75ADE6" w14:textId="77777777" w:rsidR="00466D4C" w:rsidRPr="00466D4C" w:rsidRDefault="00466D4C" w:rsidP="00466D4C">
            <w:pPr>
              <w:pStyle w:val="TableDataEntries"/>
            </w:pPr>
            <w:r w:rsidRPr="00466D4C">
              <w:t xml:space="preserve"> 532.17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9D3783" w14:textId="77777777" w:rsidR="00466D4C" w:rsidRPr="00466D4C" w:rsidRDefault="00466D4C" w:rsidP="00466D4C">
            <w:pPr>
              <w:pStyle w:val="TableDataEntries"/>
            </w:pPr>
            <w:r w:rsidRPr="00466D4C">
              <w:t xml:space="preserve"> 534.07</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673FBB" w14:textId="77777777" w:rsidR="00466D4C" w:rsidRPr="00466D4C" w:rsidRDefault="00466D4C" w:rsidP="00466D4C">
            <w:pPr>
              <w:pStyle w:val="TableDataEntries"/>
            </w:pPr>
            <w:r w:rsidRPr="00466D4C">
              <w:t xml:space="preserve"> 208.73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04CA0B" w14:textId="77777777" w:rsidR="00466D4C" w:rsidRPr="00466D4C" w:rsidRDefault="00466D4C" w:rsidP="00466D4C">
            <w:pPr>
              <w:pStyle w:val="TableDataEntries"/>
            </w:pPr>
            <w:r w:rsidRPr="00466D4C">
              <w:t>1 345.01</w:t>
            </w:r>
          </w:p>
        </w:tc>
      </w:tr>
      <w:tr w:rsidR="00466D4C" w14:paraId="6D696556"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C5C7BB" w14:textId="77777777" w:rsidR="00466D4C" w:rsidRDefault="00466D4C" w:rsidP="00466D4C">
            <w:pPr>
              <w:pStyle w:val="TableDataEntries"/>
              <w:jc w:val="left"/>
            </w:pPr>
            <w:r>
              <w:t>Total benefits (including both societal and employment benefits)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8C1D22" w14:textId="77777777" w:rsidR="00466D4C" w:rsidRPr="00466D4C" w:rsidRDefault="00466D4C" w:rsidP="00466D4C">
            <w:pPr>
              <w:pStyle w:val="TableDataEntries"/>
            </w:pPr>
            <w:r w:rsidRPr="00466D4C">
              <w:t>3 689.79</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469724" w14:textId="77777777" w:rsidR="00466D4C" w:rsidRPr="00466D4C" w:rsidRDefault="00466D4C" w:rsidP="00466D4C">
            <w:pPr>
              <w:pStyle w:val="TableDataEntries"/>
            </w:pPr>
            <w:r w:rsidRPr="00466D4C">
              <w:t>5 897.37</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21083D" w14:textId="77777777" w:rsidR="00466D4C" w:rsidRPr="00466D4C" w:rsidRDefault="00466D4C" w:rsidP="00466D4C">
            <w:pPr>
              <w:pStyle w:val="TableDataEntries"/>
            </w:pPr>
            <w:r w:rsidRPr="00466D4C">
              <w:t>5 915.59</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45BC90" w14:textId="77777777" w:rsidR="00466D4C" w:rsidRPr="00466D4C" w:rsidRDefault="00466D4C" w:rsidP="00466D4C">
            <w:pPr>
              <w:pStyle w:val="TableDataEntries"/>
            </w:pPr>
            <w:r w:rsidRPr="00466D4C">
              <w:t>2 270.14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5FC730" w14:textId="77777777" w:rsidR="00466D4C" w:rsidRPr="00466D4C" w:rsidRDefault="00466D4C" w:rsidP="00466D4C">
            <w:pPr>
              <w:pStyle w:val="TableDataEntries"/>
            </w:pPr>
            <w:r w:rsidRPr="00466D4C">
              <w:t>4 597.48</w:t>
            </w:r>
          </w:p>
        </w:tc>
      </w:tr>
      <w:tr w:rsidR="00375ED6" w14:paraId="160A0A0D" w14:textId="77777777" w:rsidTr="001F08C9">
        <w:trPr>
          <w:trHeight w:val="245"/>
        </w:trPr>
        <w:tc>
          <w:tcPr>
            <w:tcW w:w="29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617977" w14:textId="77777777" w:rsidR="00375ED6" w:rsidRDefault="00375ED6" w:rsidP="00375ED6">
            <w:pPr>
              <w:pStyle w:val="TableDataEntries"/>
              <w:jc w:val="left"/>
            </w:pPr>
            <w:r>
              <w:t>Estimated costs</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7DD9B8" w14:textId="77777777" w:rsidR="00375ED6" w:rsidRPr="00466D4C" w:rsidRDefault="00375ED6" w:rsidP="00375ED6">
            <w:pPr>
              <w:pStyle w:val="TableDataEntries"/>
            </w:pPr>
            <w:r>
              <w:t>-6 817.44</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163BB0" w14:textId="77777777" w:rsidR="00375ED6" w:rsidRPr="00466D4C" w:rsidRDefault="00375ED6" w:rsidP="00375ED6">
            <w:pPr>
              <w:pStyle w:val="TableDataEntries"/>
            </w:pPr>
            <w:r>
              <w:t>-25 935.33</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FCB298" w14:textId="77777777" w:rsidR="00375ED6" w:rsidRPr="00466D4C" w:rsidRDefault="00375ED6" w:rsidP="00375ED6">
            <w:pPr>
              <w:pStyle w:val="TableDataEntries"/>
            </w:pPr>
            <w:r>
              <w:t>-33 303.98</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5C3B05" w14:textId="77777777" w:rsidR="00375ED6" w:rsidRPr="00466D4C" w:rsidRDefault="00375ED6" w:rsidP="00375ED6">
            <w:pPr>
              <w:pStyle w:val="TableDataEntries"/>
            </w:pPr>
            <w:r>
              <w:t>-12 409.06</w:t>
            </w:r>
          </w:p>
        </w:tc>
        <w:tc>
          <w:tcPr>
            <w:tcW w:w="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512BCD" w14:textId="77777777" w:rsidR="00375ED6" w:rsidRPr="00466D4C" w:rsidRDefault="00375ED6" w:rsidP="00375ED6">
            <w:pPr>
              <w:pStyle w:val="TableDataEntries"/>
            </w:pPr>
            <w:r>
              <w:t>-1 076.70</w:t>
            </w:r>
          </w:p>
        </w:tc>
      </w:tr>
      <w:tr w:rsidR="00375ED6" w:rsidRPr="00466D4C" w14:paraId="21EDB501"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A305F81" w14:textId="77777777" w:rsidR="00375ED6" w:rsidRPr="00466D4C" w:rsidRDefault="00375ED6" w:rsidP="00375ED6">
            <w:pPr>
              <w:pStyle w:val="TableDataEntries"/>
              <w:jc w:val="left"/>
              <w:rPr>
                <w:rFonts w:ascii="Franklin Gothic Demi" w:hAnsi="Franklin Gothic Demi"/>
              </w:rPr>
            </w:pPr>
            <w:r w:rsidRPr="00466D4C">
              <w:rPr>
                <w:rFonts w:ascii="Franklin Gothic Demi" w:hAnsi="Franklin Gothic Demi"/>
              </w:rPr>
              <w:t>Net benefits/costs</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CCC95FA" w14:textId="77777777" w:rsidR="00375ED6" w:rsidRPr="00466D4C" w:rsidRDefault="00375ED6" w:rsidP="00375ED6">
            <w:pPr>
              <w:pStyle w:val="TableDataEntries"/>
              <w:rPr>
                <w:rFonts w:ascii="Franklin Gothic Demi" w:hAnsi="Franklin Gothic Demi"/>
              </w:rPr>
            </w:pPr>
            <w:r>
              <w:rPr>
                <w:rFonts w:ascii="Franklin Gothic Demi" w:hAnsi="Franklin Gothic Demi"/>
              </w:rPr>
              <w:t>-3 127.65</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FA287E9" w14:textId="77777777" w:rsidR="00375ED6" w:rsidRPr="00466D4C" w:rsidRDefault="00375ED6" w:rsidP="00375ED6">
            <w:pPr>
              <w:pStyle w:val="TableDataEntries"/>
              <w:rPr>
                <w:rFonts w:ascii="Franklin Gothic Demi" w:hAnsi="Franklin Gothic Demi"/>
              </w:rPr>
            </w:pPr>
            <w:r>
              <w:rPr>
                <w:rFonts w:ascii="Franklin Gothic Demi" w:hAnsi="Franklin Gothic Demi"/>
              </w:rPr>
              <w:t>-20 037.96</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944EBA7" w14:textId="77777777" w:rsidR="00375ED6" w:rsidRPr="00466D4C" w:rsidRDefault="00375ED6" w:rsidP="00375ED6">
            <w:pPr>
              <w:pStyle w:val="TableDataEntries"/>
              <w:rPr>
                <w:rFonts w:ascii="Franklin Gothic Demi" w:hAnsi="Franklin Gothic Demi"/>
              </w:rPr>
            </w:pPr>
            <w:r>
              <w:rPr>
                <w:rFonts w:ascii="Franklin Gothic Demi" w:hAnsi="Franklin Gothic Demi"/>
              </w:rPr>
              <w:t>-27 388.39</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4116917" w14:textId="77777777" w:rsidR="00375ED6" w:rsidRPr="00466D4C" w:rsidRDefault="00375ED6" w:rsidP="00375ED6">
            <w:pPr>
              <w:pStyle w:val="TableDataEntries"/>
              <w:rPr>
                <w:rFonts w:ascii="Franklin Gothic Demi" w:hAnsi="Franklin Gothic Demi"/>
              </w:rPr>
            </w:pPr>
            <w:r>
              <w:rPr>
                <w:rFonts w:ascii="Franklin Gothic Demi" w:hAnsi="Franklin Gothic Demi"/>
              </w:rPr>
              <w:t>-10 138.92</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AF98847" w14:textId="77777777" w:rsidR="00375ED6" w:rsidRPr="00466D4C" w:rsidRDefault="00375ED6" w:rsidP="00375ED6">
            <w:pPr>
              <w:pStyle w:val="TableDataEntries"/>
              <w:rPr>
                <w:rFonts w:ascii="Franklin Gothic Demi" w:hAnsi="Franklin Gothic Demi"/>
              </w:rPr>
            </w:pPr>
            <w:r>
              <w:rPr>
                <w:rFonts w:ascii="Franklin Gothic Demi" w:hAnsi="Franklin Gothic Demi"/>
              </w:rPr>
              <w:t>3 520.78</w:t>
            </w:r>
          </w:p>
        </w:tc>
      </w:tr>
      <w:tr w:rsidR="00375ED6" w:rsidRPr="00466D4C" w14:paraId="04967E7A" w14:textId="77777777" w:rsidTr="001F08C9">
        <w:trPr>
          <w:trHeight w:val="245"/>
        </w:trPr>
        <w:tc>
          <w:tcPr>
            <w:tcW w:w="29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745BD75" w14:textId="77777777" w:rsidR="00375ED6" w:rsidRPr="00466D4C" w:rsidRDefault="00375ED6" w:rsidP="00375ED6">
            <w:pPr>
              <w:pStyle w:val="TableDataEntries"/>
              <w:jc w:val="left"/>
              <w:rPr>
                <w:rFonts w:ascii="Franklin Gothic Demi" w:hAnsi="Franklin Gothic Demi"/>
              </w:rPr>
            </w:pPr>
            <w:r w:rsidRPr="00466D4C">
              <w:rPr>
                <w:rFonts w:ascii="Franklin Gothic Demi" w:hAnsi="Franklin Gothic Demi"/>
              </w:rPr>
              <w:t>Benefit-cost ratio</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9820008" w14:textId="77777777" w:rsidR="00375ED6" w:rsidRPr="00466D4C" w:rsidRDefault="00375ED6" w:rsidP="00375ED6">
            <w:pPr>
              <w:pStyle w:val="TableDataEntries"/>
              <w:rPr>
                <w:rFonts w:ascii="Franklin Gothic Demi" w:hAnsi="Franklin Gothic Demi"/>
              </w:rPr>
            </w:pPr>
            <w:r>
              <w:rPr>
                <w:rFonts w:ascii="Franklin Gothic Demi" w:hAnsi="Franklin Gothic Demi"/>
              </w:rPr>
              <w:t>0.54</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B47F42B" w14:textId="77777777" w:rsidR="00375ED6" w:rsidRPr="00466D4C" w:rsidRDefault="00375ED6" w:rsidP="00375ED6">
            <w:pPr>
              <w:pStyle w:val="TableDataEntries"/>
              <w:rPr>
                <w:rFonts w:ascii="Franklin Gothic Demi" w:hAnsi="Franklin Gothic Demi"/>
              </w:rPr>
            </w:pPr>
            <w:r>
              <w:rPr>
                <w:rFonts w:ascii="Franklin Gothic Demi" w:hAnsi="Franklin Gothic Demi"/>
              </w:rPr>
              <w:t>0.23</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26EF77A" w14:textId="77777777" w:rsidR="00375ED6" w:rsidRPr="00466D4C" w:rsidRDefault="00375ED6" w:rsidP="00375ED6">
            <w:pPr>
              <w:pStyle w:val="TableDataEntries"/>
              <w:rPr>
                <w:rFonts w:ascii="Franklin Gothic Demi" w:hAnsi="Franklin Gothic Demi"/>
              </w:rPr>
            </w:pPr>
            <w:r>
              <w:rPr>
                <w:rFonts w:ascii="Franklin Gothic Demi" w:hAnsi="Franklin Gothic Demi"/>
              </w:rPr>
              <w:t>0.18</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618E5B4" w14:textId="77777777" w:rsidR="00375ED6" w:rsidRPr="00466D4C" w:rsidRDefault="00375ED6" w:rsidP="00375ED6">
            <w:pPr>
              <w:pStyle w:val="TableDataEntries"/>
              <w:rPr>
                <w:rFonts w:ascii="Franklin Gothic Demi" w:hAnsi="Franklin Gothic Demi"/>
              </w:rPr>
            </w:pPr>
            <w:r>
              <w:rPr>
                <w:rFonts w:ascii="Franklin Gothic Demi" w:hAnsi="Franklin Gothic Demi"/>
              </w:rPr>
              <w:t>0.18</w:t>
            </w:r>
          </w:p>
        </w:tc>
        <w:tc>
          <w:tcPr>
            <w:tcW w:w="99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430F0E6" w14:textId="77777777" w:rsidR="00375ED6" w:rsidRPr="00466D4C" w:rsidRDefault="00375ED6" w:rsidP="00375ED6">
            <w:pPr>
              <w:pStyle w:val="TableDataEntries"/>
              <w:rPr>
                <w:rFonts w:ascii="Franklin Gothic Demi" w:hAnsi="Franklin Gothic Demi"/>
              </w:rPr>
            </w:pPr>
            <w:r>
              <w:rPr>
                <w:rFonts w:ascii="Franklin Gothic Demi" w:hAnsi="Franklin Gothic Demi"/>
              </w:rPr>
              <w:t>4.27</w:t>
            </w:r>
          </w:p>
        </w:tc>
      </w:tr>
    </w:tbl>
    <w:p w14:paraId="1C7EB669" w14:textId="77777777" w:rsidR="008A659F" w:rsidRPr="00B53322" w:rsidRDefault="008A659F" w:rsidP="0039262C">
      <w:pPr>
        <w:pStyle w:val="Note"/>
      </w:pPr>
      <w:r w:rsidRPr="00743BB7">
        <w:rPr>
          <w:rStyle w:val="NoteLabel"/>
        </w:rPr>
        <w:t>a</w:t>
      </w:r>
      <w:r>
        <w:t xml:space="preserve"> </w:t>
      </w:r>
      <w:r w:rsidRPr="00B53322">
        <w:t>As with other benefits, the estimates of the societal and employment benefits differ across options because each option provides different levels of accessibility.</w:t>
      </w:r>
    </w:p>
    <w:p w14:paraId="44289470" w14:textId="77777777" w:rsidR="0039262C" w:rsidRPr="00B53322" w:rsidRDefault="0039262C" w:rsidP="0039262C">
      <w:pPr>
        <w:pStyle w:val="Note"/>
        <w:rPr>
          <w:lang w:bidi="fa-IR"/>
        </w:rPr>
      </w:pPr>
      <w:r w:rsidRPr="00B53322">
        <w:t>Note: The cost-benefit analysis includes the lifetime costs and benefits of all dwellings constructed over a 10</w:t>
      </w:r>
      <w:r w:rsidRPr="00B53322">
        <w:noBreakHyphen/>
        <w:t>year regulatory period from 2022 to 2031 (including the lifetime benefits of these dwellings over 40 years), using a discount rate of 7 per cent.</w:t>
      </w:r>
    </w:p>
    <w:p w14:paraId="63D372AA" w14:textId="77777777" w:rsidR="0039262C" w:rsidRPr="00B53322" w:rsidRDefault="0039262C" w:rsidP="0039262C">
      <w:pPr>
        <w:pStyle w:val="Source"/>
        <w:rPr>
          <w:lang w:bidi="fa-IR"/>
        </w:rPr>
      </w:pPr>
      <w:r w:rsidRPr="00B53322">
        <w:rPr>
          <w:lang w:bidi="fa-IR"/>
        </w:rPr>
        <w:t>Source: CIE estimates.</w:t>
      </w:r>
    </w:p>
    <w:p w14:paraId="41E2C5C4" w14:textId="77777777" w:rsidR="0039262C" w:rsidRPr="00ED313E" w:rsidRDefault="0039262C" w:rsidP="0039262C">
      <w:pPr>
        <w:pStyle w:val="Heading3"/>
        <w:rPr>
          <w:lang w:bidi="fa-IR"/>
        </w:rPr>
      </w:pPr>
      <w:r>
        <w:rPr>
          <w:lang w:bidi="fa-IR"/>
        </w:rPr>
        <w:t>Sensitivity analysis</w:t>
      </w:r>
    </w:p>
    <w:p w14:paraId="33C9BA29" w14:textId="77777777" w:rsidR="0039262C" w:rsidRDefault="0039262C" w:rsidP="0039262C">
      <w:pPr>
        <w:pStyle w:val="BodyText"/>
        <w:rPr>
          <w:lang w:bidi="fa-IR"/>
        </w:rPr>
      </w:pPr>
      <w:r>
        <w:rPr>
          <w:lang w:bidi="fa-IR"/>
        </w:rPr>
        <w:t xml:space="preserve">As noted </w:t>
      </w:r>
      <w:r w:rsidR="00FC71DA">
        <w:rPr>
          <w:lang w:bidi="fa-IR"/>
        </w:rPr>
        <w:t>in previous chapters</w:t>
      </w:r>
      <w:r>
        <w:rPr>
          <w:lang w:bidi="fa-IR"/>
        </w:rPr>
        <w:t>, there is significant uncertainty a</w:t>
      </w:r>
      <w:r w:rsidR="00A64157">
        <w:rPr>
          <w:lang w:bidi="fa-IR"/>
        </w:rPr>
        <w:t>ssociated with</w:t>
      </w:r>
      <w:r>
        <w:rPr>
          <w:lang w:bidi="fa-IR"/>
        </w:rPr>
        <w:t xml:space="preserve"> the above estimates on both the cost and benefit side</w:t>
      </w:r>
      <w:r w:rsidR="00A64157">
        <w:rPr>
          <w:lang w:bidi="fa-IR"/>
        </w:rPr>
        <w:t>s</w:t>
      </w:r>
      <w:r>
        <w:rPr>
          <w:lang w:bidi="fa-IR"/>
        </w:rPr>
        <w:t xml:space="preserve">, </w:t>
      </w:r>
      <w:r w:rsidR="00A64157">
        <w:rPr>
          <w:lang w:bidi="fa-IR"/>
        </w:rPr>
        <w:t xml:space="preserve">largely </w:t>
      </w:r>
      <w:r>
        <w:rPr>
          <w:lang w:bidi="fa-IR"/>
        </w:rPr>
        <w:t>due to data limitations. It is therefore important to test the robustness of the results (and the conclusions drawn from the</w:t>
      </w:r>
      <w:r w:rsidR="00440C1E">
        <w:rPr>
          <w:lang w:bidi="fa-IR"/>
        </w:rPr>
        <w:t xml:space="preserve"> analysis</w:t>
      </w:r>
      <w:r>
        <w:rPr>
          <w:lang w:bidi="fa-IR"/>
        </w:rPr>
        <w:t xml:space="preserve">) </w:t>
      </w:r>
      <w:r w:rsidR="009F3859">
        <w:rPr>
          <w:lang w:bidi="fa-IR"/>
        </w:rPr>
        <w:t xml:space="preserve">with </w:t>
      </w:r>
      <w:r>
        <w:rPr>
          <w:lang w:bidi="fa-IR"/>
        </w:rPr>
        <w:t>alternative assumptions.</w:t>
      </w:r>
    </w:p>
    <w:p w14:paraId="5CF77515" w14:textId="77777777" w:rsidR="00B14A2E" w:rsidRDefault="00B14A2E" w:rsidP="00B14A2E">
      <w:pPr>
        <w:pStyle w:val="Heading4"/>
        <w:rPr>
          <w:lang w:bidi="fa-IR"/>
        </w:rPr>
      </w:pPr>
      <w:r>
        <w:rPr>
          <w:lang w:bidi="fa-IR"/>
        </w:rPr>
        <w:t>Alternative allocation assumptions for owner-occupiers</w:t>
      </w:r>
    </w:p>
    <w:p w14:paraId="1C539DB1" w14:textId="77777777" w:rsidR="00B14A2E" w:rsidRDefault="00B14A2E" w:rsidP="00B14A2E">
      <w:pPr>
        <w:pStyle w:val="BodyText"/>
        <w:rPr>
          <w:lang w:eastAsia="en-US" w:bidi="fa-IR"/>
        </w:rPr>
      </w:pPr>
      <w:r>
        <w:rPr>
          <w:lang w:eastAsia="en-US" w:bidi="fa-IR"/>
        </w:rPr>
        <w:t xml:space="preserve">A key finding from the CBA is that although the problems associated with a lack of accessible housing are relatively significant, the NCC options are estimated to have a relatively modest impact in the near to medium term. This is largely because under the NCC options accessible housing is allocated through the market (rather than </w:t>
      </w:r>
      <w:r w:rsidR="00FA597E">
        <w:rPr>
          <w:lang w:eastAsia="en-US" w:bidi="fa-IR"/>
        </w:rPr>
        <w:t xml:space="preserve">through </w:t>
      </w:r>
      <w:r>
        <w:rPr>
          <w:lang w:eastAsia="en-US" w:bidi="fa-IR"/>
        </w:rPr>
        <w:t>an administrative process)</w:t>
      </w:r>
      <w:r w:rsidR="00FA597E">
        <w:rPr>
          <w:lang w:eastAsia="en-US" w:bidi="fa-IR"/>
        </w:rPr>
        <w:t>,</w:t>
      </w:r>
      <w:r>
        <w:rPr>
          <w:lang w:eastAsia="en-US" w:bidi="fa-IR"/>
        </w:rPr>
        <w:t xml:space="preserve"> meaning that the additional accessible housing will not necessarily be allocated to people with accessible needs.</w:t>
      </w:r>
    </w:p>
    <w:p w14:paraId="4ED55AD4" w14:textId="77777777" w:rsidR="00B14A2E" w:rsidRDefault="00B14A2E" w:rsidP="00B14A2E">
      <w:pPr>
        <w:pStyle w:val="BodyText"/>
        <w:rPr>
          <w:lang w:eastAsia="en-US" w:bidi="fa-IR"/>
        </w:rPr>
      </w:pPr>
      <w:r>
        <w:rPr>
          <w:lang w:eastAsia="en-US" w:bidi="fa-IR"/>
        </w:rPr>
        <w:t>One of the key assumptions</w:t>
      </w:r>
      <w:r w:rsidR="00440C1E">
        <w:rPr>
          <w:lang w:eastAsia="en-US" w:bidi="fa-IR"/>
        </w:rPr>
        <w:t xml:space="preserve"> in the CBA</w:t>
      </w:r>
      <w:r>
        <w:rPr>
          <w:lang w:eastAsia="en-US" w:bidi="fa-IR"/>
        </w:rPr>
        <w:t xml:space="preserve"> is that owner</w:t>
      </w:r>
      <w:r>
        <w:rPr>
          <w:lang w:eastAsia="en-US" w:bidi="fa-IR"/>
        </w:rPr>
        <w:noBreakHyphen/>
        <w:t>occupiers with a pre</w:t>
      </w:r>
      <w:r>
        <w:rPr>
          <w:lang w:eastAsia="en-US" w:bidi="fa-IR"/>
        </w:rPr>
        <w:noBreakHyphen/>
        <w:t>existing mobility limitation (or that acquire one while living in inaccessible housing) will not move from their current residence to new accessible housing.</w:t>
      </w:r>
    </w:p>
    <w:p w14:paraId="6A0A5473" w14:textId="77777777" w:rsidR="00B14A2E" w:rsidRDefault="00B14A2E" w:rsidP="00B14A2E">
      <w:pPr>
        <w:pStyle w:val="ListBullet"/>
        <w:rPr>
          <w:lang w:eastAsia="en-US" w:bidi="fa-IR"/>
        </w:rPr>
      </w:pPr>
      <w:r>
        <w:rPr>
          <w:lang w:eastAsia="en-US" w:bidi="fa-IR"/>
        </w:rPr>
        <w:t>A key rationale for this assumption can be summarised as follows.</w:t>
      </w:r>
    </w:p>
    <w:p w14:paraId="2956AD06" w14:textId="77777777" w:rsidR="00B14A2E" w:rsidRDefault="00B14A2E" w:rsidP="00B14A2E">
      <w:pPr>
        <w:pStyle w:val="ListBullet2"/>
        <w:rPr>
          <w:lang w:eastAsia="en-US" w:bidi="fa-IR"/>
        </w:rPr>
      </w:pPr>
      <w:r>
        <w:rPr>
          <w:lang w:eastAsia="en-US" w:bidi="fa-IR"/>
        </w:rPr>
        <w:lastRenderedPageBreak/>
        <w:t>People with accessibility needs already have the option of building a new house that meets their accessibility</w:t>
      </w:r>
      <w:r w:rsidR="00FA597E">
        <w:rPr>
          <w:lang w:eastAsia="en-US" w:bidi="fa-IR"/>
        </w:rPr>
        <w:t xml:space="preserve"> needs</w:t>
      </w:r>
      <w:r w:rsidR="00117C55">
        <w:rPr>
          <w:lang w:eastAsia="en-US" w:bidi="fa-IR"/>
        </w:rPr>
        <w:t>.</w:t>
      </w:r>
      <w:r w:rsidR="00117C55" w:rsidRPr="00117C55">
        <w:rPr>
          <w:lang w:eastAsia="en-US" w:bidi="fa-IR"/>
        </w:rPr>
        <w:t xml:space="preserve"> </w:t>
      </w:r>
      <w:r w:rsidR="00117C55">
        <w:rPr>
          <w:lang w:eastAsia="en-US" w:bidi="fa-IR"/>
        </w:rPr>
        <w:t>The proposed regulation will not change the incentive (including affordability) of this option</w:t>
      </w:r>
      <w:r w:rsidR="000F7C9E">
        <w:rPr>
          <w:lang w:eastAsia="en-US" w:bidi="fa-IR"/>
        </w:rPr>
        <w:t>.</w:t>
      </w:r>
    </w:p>
    <w:p w14:paraId="7D389292" w14:textId="77777777" w:rsidR="00B14A2E" w:rsidRDefault="00B14A2E" w:rsidP="00B14A2E">
      <w:pPr>
        <w:pStyle w:val="ListBullet2"/>
        <w:rPr>
          <w:lang w:eastAsia="en-US" w:bidi="fa-IR"/>
        </w:rPr>
      </w:pPr>
      <w:r>
        <w:rPr>
          <w:lang w:eastAsia="en-US" w:bidi="fa-IR"/>
        </w:rPr>
        <w:t>Additional accessible homes as a result of changes to the NCC would not become available for people with accessibility needs to purchase until the original owner moves out. On average this would take 25 years.</w:t>
      </w:r>
    </w:p>
    <w:p w14:paraId="7E5BF19B" w14:textId="77777777" w:rsidR="00B14A2E" w:rsidRDefault="00B14A2E" w:rsidP="00B14A2E">
      <w:pPr>
        <w:pStyle w:val="ListBullet"/>
        <w:rPr>
          <w:lang w:eastAsia="en-US" w:bidi="fa-IR"/>
        </w:rPr>
      </w:pPr>
      <w:r>
        <w:rPr>
          <w:lang w:eastAsia="en-US" w:bidi="fa-IR"/>
        </w:rPr>
        <w:t>Other reasons include:</w:t>
      </w:r>
    </w:p>
    <w:p w14:paraId="2850D034" w14:textId="77777777" w:rsidR="00B14A2E" w:rsidRDefault="00B14A2E" w:rsidP="00B14A2E">
      <w:pPr>
        <w:pStyle w:val="ListBullet2"/>
        <w:rPr>
          <w:lang w:eastAsia="en-US" w:bidi="fa-IR"/>
        </w:rPr>
      </w:pPr>
      <w:r>
        <w:rPr>
          <w:lang w:eastAsia="en-US" w:bidi="fa-IR"/>
        </w:rPr>
        <w:t>New accessible housing constructed under a revised NCC would not necessarily be located in preferred locations.</w:t>
      </w:r>
    </w:p>
    <w:p w14:paraId="3F502F56" w14:textId="77777777" w:rsidR="00B14A2E" w:rsidRDefault="00B14A2E" w:rsidP="00B14A2E">
      <w:pPr>
        <w:pStyle w:val="ListBullet2"/>
        <w:rPr>
          <w:lang w:eastAsia="en-US" w:bidi="fa-IR"/>
        </w:rPr>
      </w:pPr>
      <w:r>
        <w:rPr>
          <w:lang w:eastAsia="en-US" w:bidi="fa-IR"/>
        </w:rPr>
        <w:t>Many people have a preference to remain in their current home.</w:t>
      </w:r>
    </w:p>
    <w:p w14:paraId="0234C4EC" w14:textId="77777777" w:rsidR="00B14A2E" w:rsidRDefault="00B14A2E" w:rsidP="00B14A2E">
      <w:pPr>
        <w:pStyle w:val="ListBullet2"/>
        <w:rPr>
          <w:lang w:eastAsia="en-US" w:bidi="fa-IR"/>
        </w:rPr>
      </w:pPr>
      <w:r>
        <w:rPr>
          <w:lang w:eastAsia="en-US" w:bidi="fa-IR"/>
        </w:rPr>
        <w:t>In many cases</w:t>
      </w:r>
      <w:r w:rsidR="00FA597E">
        <w:rPr>
          <w:lang w:eastAsia="en-US" w:bidi="fa-IR"/>
        </w:rPr>
        <w:t>,</w:t>
      </w:r>
      <w:r>
        <w:rPr>
          <w:lang w:eastAsia="en-US" w:bidi="fa-IR"/>
        </w:rPr>
        <w:t xml:space="preserve"> the financial costs associated with moving house for owner</w:t>
      </w:r>
      <w:r>
        <w:rPr>
          <w:lang w:eastAsia="en-US" w:bidi="fa-IR"/>
        </w:rPr>
        <w:noBreakHyphen/>
        <w:t>occupiers (including stamp duties and other transaction costs) would make home modifications more cost</w:t>
      </w:r>
      <w:r>
        <w:rPr>
          <w:lang w:eastAsia="en-US" w:bidi="fa-IR"/>
        </w:rPr>
        <w:noBreakHyphen/>
        <w:t>effective.</w:t>
      </w:r>
    </w:p>
    <w:p w14:paraId="3D733A92" w14:textId="77777777" w:rsidR="00B14A2E" w:rsidRDefault="00B14A2E" w:rsidP="00B14A2E">
      <w:pPr>
        <w:pStyle w:val="BodyText"/>
        <w:rPr>
          <w:lang w:eastAsia="en-US" w:bidi="fa-IR"/>
        </w:rPr>
      </w:pPr>
      <w:r>
        <w:rPr>
          <w:lang w:eastAsia="en-US" w:bidi="fa-IR"/>
        </w:rPr>
        <w:t>The first argument above implies that consumers have control over the design of the dwelling. This is largely the case for new houses, but less so for townhouses and apartments, which are often purchased off the plan (although the other barriers to owner</w:t>
      </w:r>
      <w:r>
        <w:rPr>
          <w:lang w:eastAsia="en-US" w:bidi="fa-IR"/>
        </w:rPr>
        <w:noBreakHyphen/>
        <w:t>occupiers moving to newly constructed accessible dwellings apply equally to all types of dwellings).</w:t>
      </w:r>
    </w:p>
    <w:p w14:paraId="089ACCA9" w14:textId="77777777" w:rsidR="00B14A2E" w:rsidRDefault="00B14A2E" w:rsidP="00B14A2E">
      <w:pPr>
        <w:pStyle w:val="BodyText"/>
        <w:rPr>
          <w:lang w:eastAsia="en-US" w:bidi="fa-IR"/>
        </w:rPr>
      </w:pPr>
      <w:r>
        <w:rPr>
          <w:lang w:eastAsia="en-US" w:bidi="fa-IR"/>
        </w:rPr>
        <w:t>To test the sensitivity of the CBA results to this assumption, an alternative scenario where some owner</w:t>
      </w:r>
      <w:r>
        <w:rPr>
          <w:lang w:eastAsia="en-US" w:bidi="fa-IR"/>
        </w:rPr>
        <w:noBreakHyphen/>
        <w:t>occupiers move to newly constructed accessible townhouses and apartments is considered. The alternative assumption is that the proportion of owner</w:t>
      </w:r>
      <w:r>
        <w:rPr>
          <w:lang w:eastAsia="en-US" w:bidi="fa-IR"/>
        </w:rPr>
        <w:noBreakHyphen/>
        <w:t>occupiers that move to newly constructed accessible townhouses and apartments reflects the share of these dwellings in the total owner</w:t>
      </w:r>
      <w:r>
        <w:rPr>
          <w:lang w:eastAsia="en-US" w:bidi="fa-IR"/>
        </w:rPr>
        <w:noBreakHyphen/>
        <w:t>occupied dwelling stock. These ‘movers’ are in addition to the increase share of owner</w:t>
      </w:r>
      <w:r>
        <w:rPr>
          <w:lang w:eastAsia="en-US" w:bidi="fa-IR"/>
        </w:rPr>
        <w:noBreakHyphen/>
        <w:t>occupiers who live in accessible housing at the time they acquire their disability, which is reflected in the central case assumption.</w:t>
      </w:r>
    </w:p>
    <w:p w14:paraId="35AA1CCD" w14:textId="77777777" w:rsidR="00B14A2E" w:rsidRDefault="00B14A2E" w:rsidP="00B14A2E">
      <w:pPr>
        <w:pStyle w:val="BodyText"/>
        <w:rPr>
          <w:lang w:eastAsia="en-US" w:bidi="fa-IR"/>
        </w:rPr>
      </w:pPr>
      <w:r>
        <w:rPr>
          <w:lang w:eastAsia="en-US" w:bidi="fa-IR"/>
        </w:rPr>
        <w:t>Some points to note:</w:t>
      </w:r>
    </w:p>
    <w:p w14:paraId="5A1FC128" w14:textId="77777777" w:rsidR="00B14A2E" w:rsidRDefault="00B14A2E" w:rsidP="00B14A2E">
      <w:pPr>
        <w:pStyle w:val="ListBullet"/>
        <w:rPr>
          <w:lang w:eastAsia="en-US" w:bidi="fa-IR"/>
        </w:rPr>
      </w:pPr>
      <w:r>
        <w:rPr>
          <w:lang w:eastAsia="en-US" w:bidi="fa-IR"/>
        </w:rPr>
        <w:t>One of the benefits of mandating that new dwellings comply with an accessibility standard is to avoid unnecessary moves and to facilitate ‘ageing in place’. If this assumption were to hold, more owner</w:t>
      </w:r>
      <w:r>
        <w:rPr>
          <w:lang w:eastAsia="en-US" w:bidi="fa-IR"/>
        </w:rPr>
        <w:noBreakHyphen/>
        <w:t>occupiers with disability would move house incurring additional moving costs (these costs are estimated at close to $30 000 plus stamp duty). The cost of these additional moves has not been included in the estimates below.</w:t>
      </w:r>
    </w:p>
    <w:p w14:paraId="0F420FD3" w14:textId="77777777" w:rsidR="00B14A2E" w:rsidRDefault="00B14A2E" w:rsidP="00B14A2E">
      <w:pPr>
        <w:pStyle w:val="ListBullet"/>
        <w:rPr>
          <w:lang w:eastAsia="en-US" w:bidi="fa-IR"/>
        </w:rPr>
      </w:pPr>
      <w:r>
        <w:rPr>
          <w:lang w:eastAsia="en-US" w:bidi="fa-IR"/>
        </w:rPr>
        <w:t>Based on SDAC data, around 88 per cent of owner</w:t>
      </w:r>
      <w:r>
        <w:rPr>
          <w:lang w:eastAsia="en-US" w:bidi="fa-IR"/>
        </w:rPr>
        <w:noBreakHyphen/>
        <w:t>occupiers with limited mobility living in the community currently live in separate houses. This assumption would therefore require a large number of owner</w:t>
      </w:r>
      <w:r>
        <w:rPr>
          <w:lang w:eastAsia="en-US" w:bidi="fa-IR"/>
        </w:rPr>
        <w:noBreakHyphen/>
        <w:t>occupiers to move from a separate house to a townhouse or apartment. Survey evidence suggests that around 40 per cent of older Australians who ‘downsize’ move from a house to a townhouse or apartment.</w:t>
      </w:r>
      <w:r>
        <w:rPr>
          <w:rStyle w:val="FootnoteReference"/>
          <w:lang w:eastAsia="en-US" w:bidi="fa-IR"/>
        </w:rPr>
        <w:footnoteReference w:id="245"/>
      </w:r>
    </w:p>
    <w:p w14:paraId="7465C187" w14:textId="77777777" w:rsidR="00B14A2E" w:rsidRDefault="00B14A2E" w:rsidP="00B14A2E">
      <w:pPr>
        <w:pStyle w:val="Heading4"/>
        <w:rPr>
          <w:lang w:bidi="fa-IR"/>
        </w:rPr>
      </w:pPr>
      <w:r>
        <w:rPr>
          <w:lang w:bidi="fa-IR"/>
        </w:rPr>
        <w:lastRenderedPageBreak/>
        <w:t>Alternative allocation assumptions for renters</w:t>
      </w:r>
    </w:p>
    <w:p w14:paraId="7EBE5ADD" w14:textId="77777777" w:rsidR="00936942" w:rsidRDefault="00B14A2E" w:rsidP="00B14A2E">
      <w:pPr>
        <w:pStyle w:val="BodyText"/>
        <w:rPr>
          <w:lang w:bidi="fa-IR"/>
        </w:rPr>
      </w:pPr>
      <w:r>
        <w:rPr>
          <w:lang w:bidi="fa-IR"/>
        </w:rPr>
        <w:t xml:space="preserve">A significant share of the benefits arise from the increased availability of accessible rental properties. However, the extent to which these accessible rental properties would be allocated to renters with accessibility needs is not known. </w:t>
      </w:r>
    </w:p>
    <w:p w14:paraId="67B0D62E" w14:textId="77777777" w:rsidR="00B14A2E" w:rsidRDefault="00B14A2E" w:rsidP="00B14A2E">
      <w:pPr>
        <w:pStyle w:val="BodyText"/>
        <w:rPr>
          <w:lang w:bidi="fa-IR"/>
        </w:rPr>
      </w:pPr>
      <w:r>
        <w:rPr>
          <w:lang w:bidi="fa-IR"/>
        </w:rPr>
        <w:t xml:space="preserve">The central case CBA assumed that the probability of a renter with accessibility needs moving to a new accessible rental property is around 12.6 per cent higher than the share of new accessible rental properties in the stock based on an analysis of the </w:t>
      </w:r>
      <w:r w:rsidR="00FA597E">
        <w:rPr>
          <w:lang w:bidi="fa-IR"/>
        </w:rPr>
        <w:t xml:space="preserve">stated </w:t>
      </w:r>
      <w:r w:rsidR="008035E1">
        <w:rPr>
          <w:lang w:bidi="fa-IR"/>
        </w:rPr>
        <w:t xml:space="preserve">preference </w:t>
      </w:r>
      <w:r>
        <w:rPr>
          <w:lang w:bidi="fa-IR"/>
        </w:rPr>
        <w:t>survey data.</w:t>
      </w:r>
    </w:p>
    <w:p w14:paraId="06159355" w14:textId="77777777" w:rsidR="00936942" w:rsidRDefault="00936942" w:rsidP="00B14A2E">
      <w:pPr>
        <w:pStyle w:val="BodyText"/>
        <w:rPr>
          <w:lang w:bidi="fa-IR"/>
        </w:rPr>
      </w:pPr>
      <w:r>
        <w:rPr>
          <w:lang w:bidi="fa-IR"/>
        </w:rPr>
        <w:t>Two scenarios are tested:</w:t>
      </w:r>
    </w:p>
    <w:p w14:paraId="04C1D795" w14:textId="77777777" w:rsidR="00B14A2E" w:rsidRDefault="00B14A2E" w:rsidP="00B14A2E">
      <w:pPr>
        <w:pStyle w:val="ListBullet"/>
        <w:rPr>
          <w:lang w:bidi="fa-IR"/>
        </w:rPr>
      </w:pPr>
      <w:r>
        <w:rPr>
          <w:lang w:bidi="fa-IR"/>
        </w:rPr>
        <w:t xml:space="preserve">As a lower bound scenario, </w:t>
      </w:r>
      <w:r w:rsidRPr="006C3FC1">
        <w:rPr>
          <w:lang w:bidi="fa-IR"/>
        </w:rPr>
        <w:t xml:space="preserve">the probability of a renter with accessibility needs </w:t>
      </w:r>
      <w:r>
        <w:rPr>
          <w:lang w:bidi="fa-IR"/>
        </w:rPr>
        <w:t>living in</w:t>
      </w:r>
      <w:r w:rsidRPr="006C3FC1">
        <w:rPr>
          <w:lang w:bidi="fa-IR"/>
        </w:rPr>
        <w:t xml:space="preserve"> a new accessible rental property is the same as the share of new accessible rental properties in the stock</w:t>
      </w:r>
      <w:r>
        <w:rPr>
          <w:lang w:bidi="fa-IR"/>
        </w:rPr>
        <w:t xml:space="preserve"> (random allocation scenario).</w:t>
      </w:r>
    </w:p>
    <w:p w14:paraId="1B782F58" w14:textId="77777777" w:rsidR="00B14A2E" w:rsidRDefault="00B14A2E" w:rsidP="00B14A2E">
      <w:pPr>
        <w:pStyle w:val="ListBullet"/>
        <w:rPr>
          <w:lang w:bidi="fa-IR"/>
        </w:rPr>
      </w:pPr>
      <w:r>
        <w:rPr>
          <w:lang w:bidi="fa-IR"/>
        </w:rPr>
        <w:t>As an upper bound scenario, the probability of a renter with accessibility needs living in a new accessible rental property is assumed to be 25 per cent higher than the share of new accessible rental properties in the stock (high allocation scenario).</w:t>
      </w:r>
    </w:p>
    <w:p w14:paraId="6CBD0FFE" w14:textId="77777777" w:rsidR="00B14A2E" w:rsidRDefault="00B14A2E" w:rsidP="0024641D">
      <w:pPr>
        <w:pStyle w:val="Heading4"/>
        <w:rPr>
          <w:lang w:bidi="fa-IR"/>
        </w:rPr>
      </w:pPr>
      <w:r>
        <w:rPr>
          <w:lang w:bidi="fa-IR"/>
        </w:rPr>
        <w:t xml:space="preserve">Sensitivity analysis for </w:t>
      </w:r>
      <w:r w:rsidR="0024641D">
        <w:rPr>
          <w:lang w:bidi="fa-IR"/>
        </w:rPr>
        <w:t>benefits</w:t>
      </w:r>
    </w:p>
    <w:p w14:paraId="2C1B78FD" w14:textId="77777777" w:rsidR="0039262C" w:rsidRDefault="0024641D" w:rsidP="0024641D">
      <w:pPr>
        <w:pStyle w:val="BodyText"/>
        <w:rPr>
          <w:lang w:bidi="fa-IR"/>
        </w:rPr>
      </w:pPr>
      <w:r>
        <w:rPr>
          <w:lang w:bidi="fa-IR"/>
        </w:rPr>
        <w:t xml:space="preserve">The allocation assumptions are a key uncertainty in relation to the benefits estimates. Other areas of uncertainty and </w:t>
      </w:r>
      <w:r w:rsidR="0039262C">
        <w:rPr>
          <w:lang w:bidi="fa-IR"/>
        </w:rPr>
        <w:t>additional scenarios tested include the following.</w:t>
      </w:r>
    </w:p>
    <w:p w14:paraId="34FD432C" w14:textId="77777777" w:rsidR="00136C60" w:rsidRDefault="00136C60" w:rsidP="00136C60">
      <w:pPr>
        <w:pStyle w:val="ListBullet"/>
        <w:rPr>
          <w:lang w:bidi="fa-IR"/>
        </w:rPr>
      </w:pPr>
      <w:r>
        <w:rPr>
          <w:lang w:bidi="fa-IR"/>
        </w:rPr>
        <w:t>The CBA assumes that under Option 1 some dwellings (including double</w:t>
      </w:r>
      <w:r>
        <w:rPr>
          <w:lang w:bidi="fa-IR"/>
        </w:rPr>
        <w:noBreakHyphen/>
        <w:t>storey houses and townhouses with the only bedrooms and shower not on entry level) are not livable for people with limited mobility, even if compliant with the proposed standard. The share of these dwellings is not known. The CBA assumes the share would be around 26 per cent for both houses and townhouses (based on DCWC’s estimate relating to townhouses). The following alternative scenarios are also tested.</w:t>
      </w:r>
    </w:p>
    <w:p w14:paraId="7306D0D7" w14:textId="77777777" w:rsidR="00136C60" w:rsidRDefault="00136C60" w:rsidP="00136C60">
      <w:pPr>
        <w:pStyle w:val="ListBullet2"/>
        <w:rPr>
          <w:lang w:bidi="fa-IR"/>
        </w:rPr>
      </w:pPr>
      <w:r>
        <w:rPr>
          <w:lang w:bidi="fa-IR"/>
        </w:rPr>
        <w:t>As a low alternative assumption, it is assumed that 16 per cent of houses and townhouses would not be livable for people with disability, even with compliant with the proposed standard under Option 1.</w:t>
      </w:r>
    </w:p>
    <w:p w14:paraId="6786AA7C" w14:textId="77777777" w:rsidR="00136C60" w:rsidRDefault="00136C60" w:rsidP="00136C60">
      <w:pPr>
        <w:pStyle w:val="ListBullet2"/>
        <w:rPr>
          <w:lang w:bidi="fa-IR"/>
        </w:rPr>
      </w:pPr>
      <w:r>
        <w:rPr>
          <w:lang w:bidi="fa-IR"/>
        </w:rPr>
        <w:t>As a high alternative assumption, it is assumed that 36 per cent of houses and townhouses would not be livable for people with disability, even with compliant with the proposed standard under Option 1.</w:t>
      </w:r>
    </w:p>
    <w:p w14:paraId="344743EB" w14:textId="77777777" w:rsidR="0039262C" w:rsidRDefault="0039262C" w:rsidP="0024641D">
      <w:pPr>
        <w:pStyle w:val="ListBullet"/>
        <w:rPr>
          <w:lang w:bidi="fa-IR"/>
        </w:rPr>
      </w:pPr>
      <w:r>
        <w:rPr>
          <w:lang w:bidi="fa-IR"/>
        </w:rPr>
        <w:t>For some of the problems identified</w:t>
      </w:r>
      <w:r w:rsidR="001F08C9">
        <w:rPr>
          <w:lang w:bidi="fa-IR"/>
        </w:rPr>
        <w:t xml:space="preserve"> (including safety-related costs, reduced quality of life, additional moving costs, premature or inappropriate entry into aged care, costs of non</w:t>
      </w:r>
      <w:r w:rsidR="001F08C9">
        <w:rPr>
          <w:lang w:bidi="fa-IR"/>
        </w:rPr>
        <w:noBreakHyphen/>
        <w:t xml:space="preserve">visitability, costs to families with </w:t>
      </w:r>
      <w:r w:rsidR="00960745">
        <w:rPr>
          <w:lang w:bidi="fa-IR"/>
        </w:rPr>
        <w:t>young depend</w:t>
      </w:r>
      <w:r w:rsidR="003F2BCB">
        <w:rPr>
          <w:lang w:bidi="fa-IR"/>
        </w:rPr>
        <w:t>a</w:t>
      </w:r>
      <w:r w:rsidR="00960745">
        <w:rPr>
          <w:lang w:bidi="fa-IR"/>
        </w:rPr>
        <w:t xml:space="preserve">nts </w:t>
      </w:r>
      <w:r w:rsidR="001F08C9">
        <w:rPr>
          <w:lang w:bidi="fa-IR"/>
        </w:rPr>
        <w:t>and short</w:t>
      </w:r>
      <w:r w:rsidR="001F08C9">
        <w:rPr>
          <w:lang w:bidi="fa-IR"/>
        </w:rPr>
        <w:noBreakHyphen/>
        <w:t>term injuries),</w:t>
      </w:r>
      <w:r>
        <w:rPr>
          <w:lang w:bidi="fa-IR"/>
        </w:rPr>
        <w:t xml:space="preserve"> a range is estimated and in some cases the ra</w:t>
      </w:r>
      <w:r w:rsidR="000911DC">
        <w:rPr>
          <w:lang w:bidi="fa-IR"/>
        </w:rPr>
        <w:t>n</w:t>
      </w:r>
      <w:r>
        <w:rPr>
          <w:lang w:bidi="fa-IR"/>
        </w:rPr>
        <w:t xml:space="preserve">ge is relatively wide. </w:t>
      </w:r>
      <w:r w:rsidR="001F08C9">
        <w:rPr>
          <w:lang w:bidi="fa-IR"/>
        </w:rPr>
        <w:t xml:space="preserve">Alternative scenarios using low and high estimates of benefits are </w:t>
      </w:r>
      <w:r>
        <w:rPr>
          <w:lang w:bidi="fa-IR"/>
        </w:rPr>
        <w:t>therefore test</w:t>
      </w:r>
      <w:r w:rsidR="001F08C9">
        <w:rPr>
          <w:lang w:bidi="fa-IR"/>
        </w:rPr>
        <w:t>ed</w:t>
      </w:r>
      <w:r>
        <w:rPr>
          <w:lang w:bidi="fa-IR"/>
        </w:rPr>
        <w:t>.</w:t>
      </w:r>
    </w:p>
    <w:p w14:paraId="2D05654A" w14:textId="77777777" w:rsidR="001F08C9" w:rsidRDefault="001F08C9" w:rsidP="0024641D">
      <w:pPr>
        <w:pStyle w:val="ListBullet"/>
        <w:rPr>
          <w:lang w:bidi="fa-IR"/>
        </w:rPr>
      </w:pPr>
      <w:r>
        <w:rPr>
          <w:lang w:bidi="fa-IR"/>
        </w:rPr>
        <w:t>Dalton and Carter (2020a) suggested that OBPR’s preferred VSL of $4.9 million may be too low.</w:t>
      </w:r>
      <w:r>
        <w:rPr>
          <w:rStyle w:val="FootnoteReference"/>
          <w:lang w:bidi="fa-IR"/>
        </w:rPr>
        <w:footnoteReference w:id="246"/>
      </w:r>
      <w:r>
        <w:rPr>
          <w:lang w:bidi="fa-IR"/>
        </w:rPr>
        <w:t xml:space="preserve"> The benefits are also tested using Dalton and Carter’s preferred VSL of $7.0 million. This also implies a Value of a Life Year of around $304 000 (rather than $213 000 preferred by OBPR).</w:t>
      </w:r>
    </w:p>
    <w:p w14:paraId="430B9655" w14:textId="77777777" w:rsidR="0039262C" w:rsidRDefault="0039262C" w:rsidP="0024641D">
      <w:pPr>
        <w:pStyle w:val="ListBullet"/>
        <w:rPr>
          <w:lang w:bidi="fa-IR"/>
        </w:rPr>
      </w:pPr>
      <w:r>
        <w:rPr>
          <w:lang w:bidi="fa-IR"/>
        </w:rPr>
        <w:lastRenderedPageBreak/>
        <w:t xml:space="preserve">To take into account the fact that a significant proportion of new housing built under the current code will have some accessibility features (although relatively few houses will have all of </w:t>
      </w:r>
      <w:r w:rsidR="00876E65">
        <w:rPr>
          <w:lang w:bidi="fa-IR"/>
        </w:rPr>
        <w:t xml:space="preserve">the </w:t>
      </w:r>
      <w:r>
        <w:rPr>
          <w:lang w:bidi="fa-IR"/>
        </w:rPr>
        <w:t xml:space="preserve">features in the proposed standard), </w:t>
      </w:r>
      <w:r w:rsidRPr="006C3FC1">
        <w:rPr>
          <w:lang w:bidi="fa-IR"/>
        </w:rPr>
        <w:t>the benefits</w:t>
      </w:r>
      <w:r>
        <w:rPr>
          <w:lang w:bidi="fa-IR"/>
        </w:rPr>
        <w:t xml:space="preserve"> attributable to the NCC proposal were reduced</w:t>
      </w:r>
      <w:r w:rsidRPr="006C3FC1">
        <w:rPr>
          <w:lang w:bidi="fa-IR"/>
        </w:rPr>
        <w:t>.</w:t>
      </w:r>
      <w:r>
        <w:rPr>
          <w:lang w:bidi="fa-IR"/>
        </w:rPr>
        <w:t xml:space="preserve"> However, </w:t>
      </w:r>
      <w:r w:rsidR="00E82FDE">
        <w:rPr>
          <w:lang w:bidi="fa-IR"/>
        </w:rPr>
        <w:t xml:space="preserve">in response to </w:t>
      </w:r>
      <w:r>
        <w:rPr>
          <w:lang w:bidi="fa-IR"/>
        </w:rPr>
        <w:t>stakeholder</w:t>
      </w:r>
      <w:r w:rsidR="00E82FDE">
        <w:rPr>
          <w:lang w:bidi="fa-IR"/>
        </w:rPr>
        <w:t xml:space="preserve"> suggestions</w:t>
      </w:r>
      <w:r>
        <w:rPr>
          <w:lang w:bidi="fa-IR"/>
        </w:rPr>
        <w:t xml:space="preserve"> that dwellings must have all </w:t>
      </w:r>
      <w:r w:rsidR="00876E65">
        <w:rPr>
          <w:lang w:bidi="fa-IR"/>
        </w:rPr>
        <w:t>the accessibility</w:t>
      </w:r>
      <w:r>
        <w:rPr>
          <w:lang w:bidi="fa-IR"/>
        </w:rPr>
        <w:t xml:space="preserve"> features to be accessible, a scenario is considered whereby all of the accessibility benefits are attributed to the NCC.</w:t>
      </w:r>
    </w:p>
    <w:p w14:paraId="2E931B8A" w14:textId="77777777" w:rsidR="0024641D" w:rsidRDefault="0024641D" w:rsidP="0024641D">
      <w:pPr>
        <w:pStyle w:val="Heading4"/>
        <w:rPr>
          <w:lang w:bidi="fa-IR"/>
        </w:rPr>
      </w:pPr>
      <w:r>
        <w:rPr>
          <w:lang w:bidi="fa-IR"/>
        </w:rPr>
        <w:t>Sensitivity analysis for costs</w:t>
      </w:r>
    </w:p>
    <w:p w14:paraId="5C943CBF" w14:textId="77777777" w:rsidR="0024641D" w:rsidRDefault="0024641D" w:rsidP="0024641D">
      <w:pPr>
        <w:pStyle w:val="BodyText"/>
        <w:rPr>
          <w:lang w:bidi="fa-IR"/>
        </w:rPr>
      </w:pPr>
      <w:r>
        <w:rPr>
          <w:lang w:bidi="fa-IR"/>
        </w:rPr>
        <w:t>Key uncertainties in relation to the cost estimates and our approach to sensitivity testing are as follows.</w:t>
      </w:r>
    </w:p>
    <w:p w14:paraId="3DEB4D65" w14:textId="77777777" w:rsidR="0024641D" w:rsidRDefault="0024641D" w:rsidP="0024641D">
      <w:pPr>
        <w:pStyle w:val="ListBullet"/>
        <w:rPr>
          <w:lang w:bidi="fa-IR"/>
        </w:rPr>
      </w:pPr>
      <w:r>
        <w:rPr>
          <w:lang w:bidi="fa-IR"/>
        </w:rPr>
        <w:t>The weightings underpinning the costings are mainly based on DCWC’s professional judgement, as limited responses and reliable data were received at consultation. Rather than testing the sensitivity to each weighting, the sensitivity of the results can be seen in the cost change per dwelling required for each option to break</w:t>
      </w:r>
      <w:r>
        <w:rPr>
          <w:lang w:bidi="fa-IR"/>
        </w:rPr>
        <w:noBreakHyphen/>
        <w:t xml:space="preserve">even. </w:t>
      </w:r>
    </w:p>
    <w:p w14:paraId="0704E5A6" w14:textId="77777777" w:rsidR="0024641D" w:rsidRDefault="0024641D" w:rsidP="0024641D">
      <w:pPr>
        <w:pStyle w:val="ListBullet"/>
        <w:rPr>
          <w:lang w:bidi="fa-IR"/>
        </w:rPr>
      </w:pPr>
      <w:r w:rsidRPr="006C3FC1">
        <w:rPr>
          <w:lang w:bidi="fa-IR"/>
        </w:rPr>
        <w:t>Whether the opportunity cost of additional space requirements has been measured correctly</w:t>
      </w:r>
      <w:r>
        <w:rPr>
          <w:lang w:bidi="fa-IR"/>
        </w:rPr>
        <w:t>. Some stakeholders suggested that any loss of amenity could be minimised through better design or that the increase in the capital value of the dwelling as a result of the additional space would offset the additional cost. To test the extent to which the opportunity cost of space affects the CBA results, CIE test</w:t>
      </w:r>
      <w:r w:rsidR="008035E1">
        <w:rPr>
          <w:lang w:bidi="fa-IR"/>
        </w:rPr>
        <w:t>ed</w:t>
      </w:r>
      <w:r>
        <w:rPr>
          <w:lang w:bidi="fa-IR"/>
        </w:rPr>
        <w:t xml:space="preserve"> a scenario that excludes the opportunity cost of space.</w:t>
      </w:r>
    </w:p>
    <w:p w14:paraId="61EACF7E" w14:textId="77777777" w:rsidR="00E650AE" w:rsidRDefault="00E650AE" w:rsidP="00E650AE">
      <w:pPr>
        <w:pStyle w:val="ListBullet"/>
        <w:rPr>
          <w:lang w:bidi="fa-IR"/>
        </w:rPr>
      </w:pPr>
      <w:r>
        <w:rPr>
          <w:lang w:bidi="fa-IR"/>
        </w:rPr>
        <w:t>The approach to verifying compliance with the proposed NCC standards is also not known and a range of possible costs were estimated. The impact of using the low and high alternative assumptions is therefore tested.</w:t>
      </w:r>
    </w:p>
    <w:p w14:paraId="08270BD7" w14:textId="77777777" w:rsidR="00B14A2E" w:rsidRDefault="00B14A2E" w:rsidP="00B14A2E">
      <w:pPr>
        <w:pStyle w:val="Heading4"/>
        <w:rPr>
          <w:lang w:bidi="fa-IR"/>
        </w:rPr>
      </w:pPr>
      <w:r>
        <w:rPr>
          <w:lang w:bidi="fa-IR"/>
        </w:rPr>
        <w:t>CBA parameters</w:t>
      </w:r>
    </w:p>
    <w:p w14:paraId="5CFDDC45" w14:textId="77777777" w:rsidR="0039262C" w:rsidRDefault="0039262C" w:rsidP="00B14A2E">
      <w:pPr>
        <w:pStyle w:val="ListBullet"/>
        <w:numPr>
          <w:ilvl w:val="0"/>
          <w:numId w:val="0"/>
        </w:numPr>
        <w:ind w:left="284" w:hanging="284"/>
        <w:rPr>
          <w:lang w:bidi="fa-IR"/>
        </w:rPr>
      </w:pPr>
      <w:r>
        <w:rPr>
          <w:lang w:bidi="fa-IR"/>
        </w:rPr>
        <w:t>The sensitivity of the results to alternative CBA parameters is also tested.</w:t>
      </w:r>
    </w:p>
    <w:p w14:paraId="11F82081" w14:textId="77777777" w:rsidR="0039262C" w:rsidRDefault="0039262C" w:rsidP="0024641D">
      <w:pPr>
        <w:pStyle w:val="ListBullet"/>
        <w:rPr>
          <w:lang w:bidi="fa-IR"/>
        </w:rPr>
      </w:pPr>
      <w:r>
        <w:rPr>
          <w:lang w:bidi="fa-IR"/>
        </w:rPr>
        <w:t>Consistent with OBPR requirements, net benefits are calculated under alternative discount rates, 3 per cent and 10 per cent. A 5 per cent discount rate scenario is also tested</w:t>
      </w:r>
      <w:r w:rsidR="00443DDD">
        <w:rPr>
          <w:lang w:bidi="fa-IR"/>
        </w:rPr>
        <w:t xml:space="preserve"> to provide additional information </w:t>
      </w:r>
      <w:r w:rsidR="008035E1">
        <w:rPr>
          <w:lang w:bidi="fa-IR"/>
        </w:rPr>
        <w:t>for</w:t>
      </w:r>
      <w:r w:rsidR="00443DDD">
        <w:rPr>
          <w:lang w:bidi="fa-IR"/>
        </w:rPr>
        <w:t xml:space="preserve"> decision makers</w:t>
      </w:r>
      <w:r>
        <w:rPr>
          <w:lang w:bidi="fa-IR"/>
        </w:rPr>
        <w:t>.</w:t>
      </w:r>
    </w:p>
    <w:p w14:paraId="7703BBBE" w14:textId="77777777" w:rsidR="0039262C" w:rsidRDefault="0039262C" w:rsidP="0024641D">
      <w:pPr>
        <w:pStyle w:val="ListBullet"/>
        <w:rPr>
          <w:lang w:bidi="fa-IR"/>
        </w:rPr>
      </w:pPr>
      <w:r>
        <w:rPr>
          <w:lang w:bidi="fa-IR"/>
        </w:rPr>
        <w:t>The CBA is based on a 10</w:t>
      </w:r>
      <w:r>
        <w:rPr>
          <w:lang w:bidi="fa-IR"/>
        </w:rPr>
        <w:noBreakHyphen/>
        <w:t>year regulatory period. However, as only around 2 per cent of the dwelling stock is added per year, the impact on the size of the problem is relatively modest. As a long</w:t>
      </w:r>
      <w:r>
        <w:rPr>
          <w:lang w:bidi="fa-IR"/>
        </w:rPr>
        <w:noBreakHyphen/>
        <w:t>term strategy, the impacts over a 20</w:t>
      </w:r>
      <w:r>
        <w:rPr>
          <w:lang w:bidi="fa-IR"/>
        </w:rPr>
        <w:noBreakHyphen/>
        <w:t>year regulatory period are also estimated.</w:t>
      </w:r>
    </w:p>
    <w:p w14:paraId="654661C8" w14:textId="77777777" w:rsidR="0039262C" w:rsidRDefault="0039262C" w:rsidP="0024641D">
      <w:pPr>
        <w:pStyle w:val="ListBullet"/>
        <w:rPr>
          <w:lang w:bidi="fa-IR"/>
        </w:rPr>
      </w:pPr>
      <w:r>
        <w:rPr>
          <w:lang w:bidi="fa-IR"/>
        </w:rPr>
        <w:t xml:space="preserve">The benefits are estimated over the life of the dwelling, assumed to be 40 years. Some submissions suggested this should be longer. </w:t>
      </w:r>
      <w:r w:rsidR="00273AF0">
        <w:rPr>
          <w:lang w:bidi="fa-IR"/>
        </w:rPr>
        <w:t>In response to this suggestion, a</w:t>
      </w:r>
      <w:r>
        <w:rPr>
          <w:lang w:bidi="fa-IR"/>
        </w:rPr>
        <w:t xml:space="preserve"> scenario where the life of the dwelling is assumed to be 50 years is also tested.</w:t>
      </w:r>
    </w:p>
    <w:p w14:paraId="582215F0" w14:textId="77777777" w:rsidR="00A953AD" w:rsidRDefault="00A953AD" w:rsidP="00A953AD">
      <w:pPr>
        <w:pStyle w:val="Heading4"/>
        <w:rPr>
          <w:lang w:bidi="fa-IR"/>
        </w:rPr>
      </w:pPr>
      <w:r>
        <w:rPr>
          <w:lang w:bidi="fa-IR"/>
        </w:rPr>
        <w:t>Sensitivity analysis for central case CBA</w:t>
      </w:r>
    </w:p>
    <w:p w14:paraId="2EB081B0" w14:textId="77777777" w:rsidR="0039262C" w:rsidRDefault="0039262C" w:rsidP="0039262C">
      <w:pPr>
        <w:pStyle w:val="BodyText"/>
        <w:rPr>
          <w:lang w:bidi="fa-IR"/>
        </w:rPr>
      </w:pPr>
      <w:r>
        <w:rPr>
          <w:lang w:bidi="fa-IR"/>
        </w:rPr>
        <w:t>Table </w:t>
      </w:r>
      <w:r w:rsidR="007A1F18">
        <w:rPr>
          <w:lang w:bidi="fa-IR"/>
        </w:rPr>
        <w:t>8.5</w:t>
      </w:r>
      <w:r>
        <w:rPr>
          <w:lang w:bidi="fa-IR"/>
        </w:rPr>
        <w:t xml:space="preserve"> shows the estimated benefit-cost ratio under the</w:t>
      </w:r>
      <w:r w:rsidR="00273AF0">
        <w:rPr>
          <w:lang w:bidi="fa-IR"/>
        </w:rPr>
        <w:t>se</w:t>
      </w:r>
      <w:r>
        <w:rPr>
          <w:lang w:bidi="fa-IR"/>
        </w:rPr>
        <w:t xml:space="preserve"> alternative input assumptions/parameters</w:t>
      </w:r>
      <w:r w:rsidR="00A953AD">
        <w:rPr>
          <w:lang w:bidi="fa-IR"/>
        </w:rPr>
        <w:t xml:space="preserve"> as well as the break-even analysis</w:t>
      </w:r>
      <w:r>
        <w:rPr>
          <w:lang w:bidi="fa-IR"/>
        </w:rPr>
        <w:t>.</w:t>
      </w:r>
    </w:p>
    <w:p w14:paraId="446C0D30" w14:textId="77777777" w:rsidR="00A953AD" w:rsidRDefault="00A953AD" w:rsidP="00A953AD">
      <w:pPr>
        <w:pStyle w:val="ListBullet"/>
        <w:rPr>
          <w:lang w:bidi="fa-IR"/>
        </w:rPr>
      </w:pPr>
      <w:r>
        <w:rPr>
          <w:lang w:bidi="fa-IR"/>
        </w:rPr>
        <w:t>A benefit</w:t>
      </w:r>
      <w:r>
        <w:rPr>
          <w:lang w:bidi="fa-IR"/>
        </w:rPr>
        <w:noBreakHyphen/>
        <w:t xml:space="preserve">cost ratio greater than 1 indicates that the benefits are greater than the costs. </w:t>
      </w:r>
    </w:p>
    <w:p w14:paraId="0042B286" w14:textId="77777777" w:rsidR="00A953AD" w:rsidRDefault="00A953AD" w:rsidP="00A953AD">
      <w:pPr>
        <w:pStyle w:val="ListBullet"/>
        <w:rPr>
          <w:lang w:bidi="fa-IR"/>
        </w:rPr>
      </w:pPr>
      <w:r>
        <w:rPr>
          <w:lang w:bidi="fa-IR"/>
        </w:rPr>
        <w:t>A benefit-cost ratio less than 1 indicates that the costs are greater than the benefits.</w:t>
      </w:r>
    </w:p>
    <w:p w14:paraId="19C7681E" w14:textId="3D4E227D" w:rsidR="0039262C" w:rsidRDefault="00BD17F9" w:rsidP="00457205">
      <w:pPr>
        <w:pStyle w:val="Caption"/>
        <w:ind w:left="568" w:hanging="568"/>
      </w:pPr>
      <w:bookmarkStart w:id="534" w:name="_Toc70505593"/>
      <w:r>
        <w:lastRenderedPageBreak/>
        <w:t>8.5</w:t>
      </w:r>
      <w:r w:rsidR="0039262C" w:rsidRPr="00695C93">
        <w:tab/>
      </w:r>
      <w:r w:rsidR="0039262C">
        <w:t>Sensitivity and break-even analysis — benefit-cost ratio under alternative assumptions</w:t>
      </w:r>
      <w:bookmarkEnd w:id="534"/>
    </w:p>
    <w:tbl>
      <w:tblPr>
        <w:tblW w:w="7937" w:type="dxa"/>
        <w:tblLayout w:type="fixed"/>
        <w:tblLook w:val="0000" w:firstRow="0" w:lastRow="0" w:firstColumn="0" w:lastColumn="0" w:noHBand="0" w:noVBand="0"/>
        <w:tblCaption w:val="Table 8.5: Sensitivity and break-even analysis — benefit-cost ratio under alternative assumptions"/>
        <w:tblDescription w:val="Table 8.5 shows the estimated benefit-cost ratio under the alternative input assumptions/parameters discussed above the table, as well as the break-even analysis."/>
      </w:tblPr>
      <w:tblGrid>
        <w:gridCol w:w="3127"/>
        <w:gridCol w:w="962"/>
        <w:gridCol w:w="962"/>
        <w:gridCol w:w="962"/>
        <w:gridCol w:w="962"/>
        <w:gridCol w:w="962"/>
      </w:tblGrid>
      <w:tr w:rsidR="0039262C" w14:paraId="4B7C96C6" w14:textId="77777777" w:rsidTr="00CC085F">
        <w:trPr>
          <w:trHeight w:val="490"/>
          <w:tblHeader/>
        </w:trPr>
        <w:tc>
          <w:tcPr>
            <w:tcW w:w="3127" w:type="dxa"/>
            <w:tcBorders>
              <w:bottom w:val="single" w:sz="8" w:space="0" w:color="FFFFFF" w:themeColor="background1"/>
            </w:tcBorders>
            <w:shd w:val="clear" w:color="auto" w:fill="6F6652"/>
            <w:tcMar>
              <w:left w:w="57" w:type="dxa"/>
              <w:right w:w="57" w:type="dxa"/>
            </w:tcMar>
          </w:tcPr>
          <w:p w14:paraId="11F20B8A" w14:textId="77777777" w:rsidR="0039262C" w:rsidRDefault="00FA2A5F" w:rsidP="0038709C">
            <w:pPr>
              <w:pStyle w:val="TableDataColumnHeading"/>
              <w:jc w:val="left"/>
            </w:pPr>
            <w:r>
              <w:t>Assumptions</w:t>
            </w:r>
          </w:p>
        </w:tc>
        <w:tc>
          <w:tcPr>
            <w:tcW w:w="962" w:type="dxa"/>
            <w:tcBorders>
              <w:bottom w:val="single" w:sz="8" w:space="0" w:color="FFFFFF" w:themeColor="background1"/>
            </w:tcBorders>
            <w:shd w:val="clear" w:color="auto" w:fill="6F6652"/>
            <w:tcMar>
              <w:left w:w="57" w:type="dxa"/>
              <w:right w:w="57" w:type="dxa"/>
            </w:tcMar>
          </w:tcPr>
          <w:p w14:paraId="0DB1574D" w14:textId="77777777" w:rsidR="0039262C" w:rsidRDefault="0039262C" w:rsidP="00644067">
            <w:pPr>
              <w:pStyle w:val="TableDataColumnHeading"/>
              <w:jc w:val="center"/>
              <w:rPr>
                <w:b/>
                <w:bCs/>
              </w:rPr>
            </w:pPr>
            <w:r>
              <w:rPr>
                <w:b/>
                <w:bCs/>
              </w:rPr>
              <w:t>Option 1</w:t>
            </w:r>
          </w:p>
        </w:tc>
        <w:tc>
          <w:tcPr>
            <w:tcW w:w="962" w:type="dxa"/>
            <w:tcBorders>
              <w:bottom w:val="single" w:sz="8" w:space="0" w:color="FFFFFF" w:themeColor="background1"/>
            </w:tcBorders>
            <w:shd w:val="clear" w:color="auto" w:fill="6F6652"/>
            <w:tcMar>
              <w:left w:w="57" w:type="dxa"/>
              <w:right w:w="57" w:type="dxa"/>
            </w:tcMar>
          </w:tcPr>
          <w:p w14:paraId="676EEA69" w14:textId="77777777" w:rsidR="0039262C" w:rsidRDefault="0039262C" w:rsidP="00644067">
            <w:pPr>
              <w:pStyle w:val="TableDataColumnHeading"/>
              <w:jc w:val="center"/>
              <w:rPr>
                <w:b/>
                <w:bCs/>
              </w:rPr>
            </w:pPr>
            <w:r>
              <w:rPr>
                <w:b/>
                <w:bCs/>
              </w:rPr>
              <w:t>Option 2</w:t>
            </w:r>
          </w:p>
        </w:tc>
        <w:tc>
          <w:tcPr>
            <w:tcW w:w="962" w:type="dxa"/>
            <w:tcBorders>
              <w:bottom w:val="single" w:sz="8" w:space="0" w:color="FFFFFF" w:themeColor="background1"/>
            </w:tcBorders>
            <w:shd w:val="clear" w:color="auto" w:fill="6F6652"/>
            <w:tcMar>
              <w:left w:w="57" w:type="dxa"/>
              <w:right w:w="57" w:type="dxa"/>
            </w:tcMar>
          </w:tcPr>
          <w:p w14:paraId="2523AE72" w14:textId="77777777" w:rsidR="0039262C" w:rsidRDefault="0039262C" w:rsidP="00644067">
            <w:pPr>
              <w:pStyle w:val="TableDataColumnHeading"/>
              <w:jc w:val="center"/>
              <w:rPr>
                <w:b/>
                <w:bCs/>
              </w:rPr>
            </w:pPr>
            <w:r>
              <w:rPr>
                <w:b/>
                <w:bCs/>
              </w:rPr>
              <w:t>Option 3</w:t>
            </w:r>
          </w:p>
        </w:tc>
        <w:tc>
          <w:tcPr>
            <w:tcW w:w="962" w:type="dxa"/>
            <w:tcBorders>
              <w:bottom w:val="single" w:sz="8" w:space="0" w:color="FFFFFF" w:themeColor="background1"/>
            </w:tcBorders>
            <w:shd w:val="clear" w:color="auto" w:fill="6F6652"/>
            <w:tcMar>
              <w:left w:w="57" w:type="dxa"/>
              <w:right w:w="57" w:type="dxa"/>
            </w:tcMar>
          </w:tcPr>
          <w:p w14:paraId="64E81178" w14:textId="77777777" w:rsidR="0039262C" w:rsidRDefault="0039262C" w:rsidP="00644067">
            <w:pPr>
              <w:pStyle w:val="TableDataColumnHeading"/>
              <w:jc w:val="center"/>
              <w:rPr>
                <w:b/>
                <w:bCs/>
              </w:rPr>
            </w:pPr>
            <w:r>
              <w:rPr>
                <w:b/>
                <w:bCs/>
              </w:rPr>
              <w:t>Option 4</w:t>
            </w:r>
          </w:p>
        </w:tc>
        <w:tc>
          <w:tcPr>
            <w:tcW w:w="962" w:type="dxa"/>
            <w:tcBorders>
              <w:bottom w:val="single" w:sz="8" w:space="0" w:color="FFFFFF" w:themeColor="background1"/>
            </w:tcBorders>
            <w:shd w:val="clear" w:color="auto" w:fill="6F6652"/>
            <w:tcMar>
              <w:left w:w="57" w:type="dxa"/>
              <w:right w:w="57" w:type="dxa"/>
            </w:tcMar>
          </w:tcPr>
          <w:p w14:paraId="35F3226E" w14:textId="77777777" w:rsidR="0039262C" w:rsidRDefault="0039262C" w:rsidP="00644067">
            <w:pPr>
              <w:pStyle w:val="TableDataColumnHeading"/>
              <w:jc w:val="center"/>
              <w:rPr>
                <w:b/>
                <w:bCs/>
              </w:rPr>
            </w:pPr>
            <w:r>
              <w:rPr>
                <w:b/>
                <w:bCs/>
              </w:rPr>
              <w:t>Option 5</w:t>
            </w:r>
          </w:p>
        </w:tc>
      </w:tr>
      <w:tr w:rsidR="0039262C" w14:paraId="47564A34" w14:textId="77777777" w:rsidTr="0038709C">
        <w:trPr>
          <w:trHeight w:val="245"/>
        </w:trPr>
        <w:tc>
          <w:tcPr>
            <w:tcW w:w="312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B10858" w14:textId="77777777" w:rsidR="0039262C" w:rsidRDefault="0039262C" w:rsidP="0038709C">
            <w:pPr>
              <w:pStyle w:val="TableHeading1"/>
            </w:pPr>
            <w:r>
              <w:t>Break-even analysis</w:t>
            </w: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99C659" w14:textId="77777777" w:rsidR="0039262C" w:rsidRDefault="0039262C" w:rsidP="0038709C">
            <w:pPr>
              <w:pStyle w:val="TableHeading1"/>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5B2EE1" w14:textId="77777777" w:rsidR="0039262C" w:rsidRDefault="0039262C" w:rsidP="0038709C">
            <w:pPr>
              <w:pStyle w:val="TableHeading1"/>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E2252F7" w14:textId="77777777" w:rsidR="0039262C" w:rsidRDefault="0039262C" w:rsidP="0038709C">
            <w:pPr>
              <w:pStyle w:val="TableHeading1"/>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D5B6DA" w14:textId="77777777" w:rsidR="0039262C" w:rsidRDefault="0039262C" w:rsidP="0038709C">
            <w:pPr>
              <w:pStyle w:val="TableHeading1"/>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2D4C354" w14:textId="77777777" w:rsidR="0039262C" w:rsidRDefault="0039262C" w:rsidP="0038709C">
            <w:pPr>
              <w:pStyle w:val="TableHeading1"/>
            </w:pPr>
          </w:p>
        </w:tc>
      </w:tr>
      <w:tr w:rsidR="00E650AE" w14:paraId="3F75685B" w14:textId="77777777" w:rsidTr="00C40D7B">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697AD1" w14:textId="77777777" w:rsidR="00E650AE" w:rsidRDefault="00E650AE" w:rsidP="00E650AE">
            <w:pPr>
              <w:pStyle w:val="TableDataEntries"/>
              <w:jc w:val="left"/>
            </w:pPr>
            <w:r>
              <w:t>Change in cost per dwelling to break even ($)</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997A2A" w14:textId="77777777" w:rsidR="00E650AE" w:rsidRPr="00BE4D9E" w:rsidRDefault="00E650AE" w:rsidP="00E650AE">
            <w:pPr>
              <w:pStyle w:val="TableDataEntries"/>
              <w:rPr>
                <w:szCs w:val="16"/>
              </w:rPr>
            </w:pPr>
            <w:r w:rsidRPr="00BE4D9E">
              <w:rPr>
                <w:szCs w:val="16"/>
              </w:rPr>
              <w:t>-3 010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F0A015" w14:textId="77777777" w:rsidR="00E650AE" w:rsidRPr="00BE4D9E" w:rsidRDefault="00E650AE" w:rsidP="00E650AE">
            <w:pPr>
              <w:pStyle w:val="TableDataEntries"/>
              <w:rPr>
                <w:szCs w:val="16"/>
              </w:rPr>
            </w:pPr>
            <w:r w:rsidRPr="00BE4D9E">
              <w:rPr>
                <w:szCs w:val="16"/>
              </w:rPr>
              <w:t>-15 544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3A252A" w14:textId="77777777" w:rsidR="00E650AE" w:rsidRPr="00BE4D9E" w:rsidRDefault="00E650AE" w:rsidP="00E650AE">
            <w:pPr>
              <w:pStyle w:val="TableDataEntries"/>
              <w:rPr>
                <w:szCs w:val="16"/>
              </w:rPr>
            </w:pPr>
            <w:r w:rsidRPr="00BE4D9E">
              <w:rPr>
                <w:szCs w:val="16"/>
              </w:rPr>
              <w:t>-20 893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B08670" w14:textId="77777777" w:rsidR="00E650AE" w:rsidRPr="00BE4D9E" w:rsidRDefault="00E650AE" w:rsidP="00E650AE">
            <w:pPr>
              <w:pStyle w:val="TableDataEntries"/>
              <w:rPr>
                <w:szCs w:val="16"/>
              </w:rPr>
            </w:pPr>
            <w:r w:rsidRPr="00BE4D9E">
              <w:rPr>
                <w:szCs w:val="16"/>
              </w:rPr>
              <w:t>-26 850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2249C8" w14:textId="77777777" w:rsidR="00E650AE" w:rsidRPr="00BE4D9E" w:rsidRDefault="00E650AE" w:rsidP="00E650AE">
            <w:pPr>
              <w:pStyle w:val="TableDataEntries"/>
              <w:rPr>
                <w:szCs w:val="16"/>
              </w:rPr>
            </w:pPr>
            <w:r w:rsidRPr="00BE4D9E">
              <w:rPr>
                <w:szCs w:val="16"/>
              </w:rPr>
              <w:t>n.a.</w:t>
            </w:r>
          </w:p>
        </w:tc>
      </w:tr>
      <w:tr w:rsidR="00E650AE" w14:paraId="5723D7B9" w14:textId="77777777" w:rsidTr="00233C02">
        <w:trPr>
          <w:trHeight w:val="245"/>
        </w:trPr>
        <w:tc>
          <w:tcPr>
            <w:tcW w:w="312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3137B7" w14:textId="77777777" w:rsidR="00E650AE" w:rsidRDefault="00E650AE" w:rsidP="00E650AE">
            <w:pPr>
              <w:pStyle w:val="TableHeading1"/>
            </w:pPr>
            <w:r>
              <w:t>Sensitivity analysis (BCR)</w:t>
            </w: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93313FC" w14:textId="77777777" w:rsidR="00E650AE" w:rsidRPr="00BE4D9E" w:rsidRDefault="00E650AE" w:rsidP="00E650AE">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3792A6B4" w14:textId="77777777" w:rsidR="00E650AE" w:rsidRPr="00BE4D9E" w:rsidRDefault="00E650AE" w:rsidP="00E650AE">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012207C" w14:textId="77777777" w:rsidR="00E650AE" w:rsidRPr="00BE4D9E" w:rsidRDefault="00E650AE" w:rsidP="00E650AE">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274E767" w14:textId="77777777" w:rsidR="00E650AE" w:rsidRPr="00BE4D9E" w:rsidRDefault="00E650AE" w:rsidP="00E650AE">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9DE104A" w14:textId="77777777" w:rsidR="00E650AE" w:rsidRPr="00BE4D9E" w:rsidRDefault="00E650AE" w:rsidP="00E650AE">
            <w:pPr>
              <w:pStyle w:val="TableHeading1"/>
              <w:rPr>
                <w:szCs w:val="16"/>
              </w:rPr>
            </w:pPr>
          </w:p>
        </w:tc>
      </w:tr>
      <w:tr w:rsidR="00E650AE" w14:paraId="7FD0D326"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17C354" w14:textId="77777777" w:rsidR="00E650AE" w:rsidRDefault="00E650AE" w:rsidP="00E650AE">
            <w:pPr>
              <w:pStyle w:val="TableDataEntries"/>
              <w:jc w:val="left"/>
            </w:pPr>
            <w:r>
              <w:t>Central case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AD2F4D" w14:textId="77777777" w:rsidR="00E650AE" w:rsidRPr="00BE4D9E" w:rsidRDefault="00E650AE" w:rsidP="00E650AE">
            <w:pPr>
              <w:pStyle w:val="TableDataEntries"/>
              <w:rPr>
                <w:szCs w:val="16"/>
              </w:rPr>
            </w:pPr>
            <w:r w:rsidRPr="00BE4D9E">
              <w:rPr>
                <w:szCs w:val="16"/>
              </w:rPr>
              <w:t>0.39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FC893E" w14:textId="77777777" w:rsidR="00E650AE" w:rsidRPr="00BE4D9E" w:rsidRDefault="00E650AE" w:rsidP="00E650AE">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29FB6B"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9F274B"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B31F9E" w14:textId="77777777" w:rsidR="00E650AE" w:rsidRPr="00BE4D9E" w:rsidRDefault="00E650AE" w:rsidP="00E650AE">
            <w:pPr>
              <w:pStyle w:val="TableDataEntries"/>
              <w:rPr>
                <w:szCs w:val="16"/>
              </w:rPr>
            </w:pPr>
            <w:r w:rsidRPr="00BE4D9E">
              <w:rPr>
                <w:szCs w:val="16"/>
              </w:rPr>
              <w:t>2.11</w:t>
            </w:r>
          </w:p>
        </w:tc>
      </w:tr>
      <w:tr w:rsidR="00E650AE" w14:paraId="4AD2BC79"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416899" w14:textId="77777777" w:rsidR="00E650AE" w:rsidRDefault="00E650AE" w:rsidP="00E650AE">
            <w:pPr>
              <w:pStyle w:val="TableDataEntries"/>
              <w:jc w:val="left"/>
            </w:pPr>
            <w:r>
              <w:t>Alternative allocation assumption for owner-occupiers</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565893" w14:textId="77777777" w:rsidR="00E650AE" w:rsidRPr="00BE4D9E" w:rsidRDefault="00E650AE" w:rsidP="00E650AE">
            <w:pPr>
              <w:pStyle w:val="TableDataEntries"/>
              <w:rPr>
                <w:szCs w:val="16"/>
              </w:rPr>
            </w:pPr>
            <w:r w:rsidRPr="00BE4D9E">
              <w:rPr>
                <w:szCs w:val="16"/>
              </w:rPr>
              <w:t xml:space="preserve"> 0.57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90D292" w14:textId="77777777" w:rsidR="00E650AE" w:rsidRPr="00BE4D9E" w:rsidRDefault="00E650AE" w:rsidP="00E650AE">
            <w:pPr>
              <w:pStyle w:val="TableDataEntries"/>
              <w:rPr>
                <w:szCs w:val="16"/>
              </w:rPr>
            </w:pPr>
            <w:r w:rsidRPr="00BE4D9E">
              <w:rPr>
                <w:szCs w:val="16"/>
              </w:rPr>
              <w:t xml:space="preserve"> 0.26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EB1CB5" w14:textId="77777777" w:rsidR="00E650AE" w:rsidRPr="00BE4D9E" w:rsidRDefault="00E650AE" w:rsidP="00E650AE">
            <w:pPr>
              <w:pStyle w:val="TableDataEntries"/>
              <w:rPr>
                <w:szCs w:val="16"/>
              </w:rPr>
            </w:pPr>
            <w:r w:rsidRPr="00BE4D9E">
              <w:rPr>
                <w:szCs w:val="16"/>
              </w:rPr>
              <w:t xml:space="preserve"> 0.20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B91449" w14:textId="77777777" w:rsidR="00E650AE" w:rsidRPr="00BE4D9E" w:rsidRDefault="00E650AE" w:rsidP="00E650AE">
            <w:pPr>
              <w:pStyle w:val="TableDataEntries"/>
              <w:rPr>
                <w:szCs w:val="16"/>
              </w:rPr>
            </w:pPr>
            <w:r w:rsidRPr="00BE4D9E">
              <w:rPr>
                <w:szCs w:val="16"/>
              </w:rPr>
              <w:t xml:space="preserve"> 0.21</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4C07C4" w14:textId="77777777" w:rsidR="00E650AE" w:rsidRPr="00BE4D9E" w:rsidRDefault="00E650AE" w:rsidP="00E650AE">
            <w:pPr>
              <w:pStyle w:val="TableDataEntries"/>
              <w:rPr>
                <w:szCs w:val="16"/>
              </w:rPr>
            </w:pPr>
            <w:r w:rsidRPr="00BE4D9E">
              <w:rPr>
                <w:szCs w:val="16"/>
              </w:rPr>
              <w:t xml:space="preserve"> 2.11</w:t>
            </w:r>
          </w:p>
        </w:tc>
      </w:tr>
      <w:tr w:rsidR="00E650AE" w14:paraId="330D4DF2"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9558BC" w14:textId="77777777" w:rsidR="00E650AE" w:rsidRDefault="00E650AE" w:rsidP="00E650AE">
            <w:pPr>
              <w:pStyle w:val="TableDataEntries"/>
              <w:jc w:val="left"/>
            </w:pPr>
            <w:r>
              <w:t>Random allocation for renters</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79D18E" w14:textId="77777777" w:rsidR="00E650AE" w:rsidRPr="00BE4D9E" w:rsidRDefault="00E650AE" w:rsidP="00E650AE">
            <w:pPr>
              <w:pStyle w:val="TableDataEntries"/>
              <w:rPr>
                <w:szCs w:val="16"/>
              </w:rPr>
            </w:pPr>
            <w:r w:rsidRPr="00BE4D9E">
              <w:rPr>
                <w:szCs w:val="16"/>
              </w:rPr>
              <w:t xml:space="preserve"> 0.36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690356" w14:textId="77777777" w:rsidR="00E650AE" w:rsidRPr="00BE4D9E" w:rsidRDefault="00E650AE" w:rsidP="00E650AE">
            <w:pPr>
              <w:pStyle w:val="TableDataEntries"/>
              <w:rPr>
                <w:szCs w:val="16"/>
              </w:rPr>
            </w:pPr>
            <w:r w:rsidRPr="00BE4D9E">
              <w:rPr>
                <w:szCs w:val="16"/>
              </w:rPr>
              <w:t xml:space="preserve"> 0.16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B1D068" w14:textId="77777777" w:rsidR="00E650AE" w:rsidRPr="00BE4D9E" w:rsidRDefault="00E650AE" w:rsidP="00E650AE">
            <w:pPr>
              <w:pStyle w:val="TableDataEntries"/>
              <w:rPr>
                <w:szCs w:val="16"/>
              </w:rPr>
            </w:pPr>
            <w:r w:rsidRPr="00BE4D9E">
              <w:rPr>
                <w:szCs w:val="16"/>
              </w:rPr>
              <w:t xml:space="preserve"> 0.13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9521A3" w14:textId="77777777" w:rsidR="00E650AE" w:rsidRPr="00BE4D9E" w:rsidRDefault="00E650AE" w:rsidP="00E650AE">
            <w:pPr>
              <w:pStyle w:val="TableDataEntries"/>
              <w:rPr>
                <w:szCs w:val="16"/>
              </w:rPr>
            </w:pPr>
            <w:r w:rsidRPr="00BE4D9E">
              <w:rPr>
                <w:szCs w:val="16"/>
              </w:rPr>
              <w:t xml:space="preserve"> 0.13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384DCB" w14:textId="77777777" w:rsidR="00E650AE" w:rsidRPr="00BE4D9E" w:rsidRDefault="00E650AE" w:rsidP="00E650AE">
            <w:pPr>
              <w:pStyle w:val="TableDataEntries"/>
              <w:rPr>
                <w:szCs w:val="16"/>
              </w:rPr>
            </w:pPr>
            <w:r w:rsidRPr="00BE4D9E">
              <w:rPr>
                <w:szCs w:val="16"/>
              </w:rPr>
              <w:t xml:space="preserve"> 2.11</w:t>
            </w:r>
          </w:p>
        </w:tc>
      </w:tr>
      <w:tr w:rsidR="00E650AE" w14:paraId="0CE4131A"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7417A8" w14:textId="77777777" w:rsidR="00E650AE" w:rsidRDefault="00E650AE" w:rsidP="00E650AE">
            <w:pPr>
              <w:pStyle w:val="TableDataEntries"/>
              <w:jc w:val="left"/>
            </w:pPr>
            <w:r>
              <w:t>Higher allocation for renters (25% higher than random allocation)</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BC3A3C" w14:textId="77777777" w:rsidR="00E650AE" w:rsidRPr="00BE4D9E" w:rsidRDefault="00E650AE" w:rsidP="00E650AE">
            <w:pPr>
              <w:pStyle w:val="TableDataEntries"/>
              <w:rPr>
                <w:szCs w:val="16"/>
              </w:rPr>
            </w:pPr>
            <w:r w:rsidRPr="00BE4D9E">
              <w:rPr>
                <w:szCs w:val="16"/>
              </w:rPr>
              <w:t xml:space="preserve"> 0.43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12DE18" w14:textId="77777777" w:rsidR="00E650AE" w:rsidRPr="00BE4D9E" w:rsidRDefault="00E650AE" w:rsidP="00E650AE">
            <w:pPr>
              <w:pStyle w:val="TableDataEntries"/>
              <w:rPr>
                <w:szCs w:val="16"/>
              </w:rPr>
            </w:pPr>
            <w:r w:rsidRPr="00BE4D9E">
              <w:rPr>
                <w:szCs w:val="16"/>
              </w:rPr>
              <w:t xml:space="preserve"> 0.19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DF37CE" w14:textId="77777777" w:rsidR="00E650AE" w:rsidRPr="00BE4D9E" w:rsidRDefault="00E650AE" w:rsidP="00E650AE">
            <w:pPr>
              <w:pStyle w:val="TableDataEntries"/>
              <w:rPr>
                <w:szCs w:val="16"/>
              </w:rPr>
            </w:pPr>
            <w:r w:rsidRPr="00BE4D9E">
              <w:rPr>
                <w:szCs w:val="16"/>
              </w:rPr>
              <w:t xml:space="preserve"> 0.15</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6CA1B0" w14:textId="77777777" w:rsidR="00E650AE" w:rsidRPr="00BE4D9E" w:rsidRDefault="00E650AE" w:rsidP="00E650AE">
            <w:pPr>
              <w:pStyle w:val="TableDataEntries"/>
              <w:rPr>
                <w:szCs w:val="16"/>
              </w:rPr>
            </w:pPr>
            <w:r w:rsidRPr="00BE4D9E">
              <w:rPr>
                <w:szCs w:val="16"/>
              </w:rPr>
              <w:t xml:space="preserve"> 0.16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83E490" w14:textId="77777777" w:rsidR="00E650AE" w:rsidRPr="00BE4D9E" w:rsidRDefault="00E650AE" w:rsidP="00E650AE">
            <w:pPr>
              <w:pStyle w:val="TableDataEntries"/>
              <w:rPr>
                <w:szCs w:val="16"/>
              </w:rPr>
            </w:pPr>
            <w:r w:rsidRPr="00BE4D9E">
              <w:rPr>
                <w:szCs w:val="16"/>
              </w:rPr>
              <w:t xml:space="preserve"> 2.11</w:t>
            </w:r>
          </w:p>
        </w:tc>
      </w:tr>
      <w:tr w:rsidR="00E650AE" w14:paraId="091F6FE6"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BD750F" w14:textId="77777777" w:rsidR="00E650AE" w:rsidRDefault="00E650AE" w:rsidP="00E650AE">
            <w:pPr>
              <w:pStyle w:val="TableDataEntries"/>
              <w:jc w:val="left"/>
            </w:pPr>
            <w:r>
              <w:t>Opportunity cost of space excluded</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408529" w14:textId="77777777" w:rsidR="00E650AE" w:rsidRPr="00BE4D9E" w:rsidRDefault="00E650AE" w:rsidP="00E650AE">
            <w:pPr>
              <w:pStyle w:val="TableDataEntries"/>
              <w:rPr>
                <w:szCs w:val="16"/>
              </w:rPr>
            </w:pPr>
            <w:r w:rsidRPr="00BE4D9E">
              <w:rPr>
                <w:szCs w:val="16"/>
              </w:rPr>
              <w:t>0.42</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413F07" w14:textId="77777777" w:rsidR="00E650AE" w:rsidRPr="00BE4D9E" w:rsidRDefault="00E650AE" w:rsidP="00E650AE">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1BADCF"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E7B5DE"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38CD0E" w14:textId="77777777" w:rsidR="00E650AE" w:rsidRPr="00BE4D9E" w:rsidRDefault="00E650AE" w:rsidP="00E650AE">
            <w:pPr>
              <w:pStyle w:val="TableDataEntries"/>
              <w:rPr>
                <w:szCs w:val="16"/>
              </w:rPr>
            </w:pPr>
            <w:r w:rsidRPr="00BE4D9E">
              <w:rPr>
                <w:szCs w:val="16"/>
              </w:rPr>
              <w:t>2.11</w:t>
            </w:r>
          </w:p>
        </w:tc>
      </w:tr>
      <w:tr w:rsidR="00E650AE" w14:paraId="4190F7C6"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148DEB" w14:textId="77777777" w:rsidR="00E650AE" w:rsidRDefault="00E650AE" w:rsidP="00E650AE">
            <w:pPr>
              <w:pStyle w:val="TableDataEntries"/>
              <w:jc w:val="left"/>
            </w:pPr>
            <w:r>
              <w:t>Low problem scenario</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952F2A" w14:textId="77777777" w:rsidR="00E650AE" w:rsidRPr="00BE4D9E" w:rsidRDefault="00E650AE" w:rsidP="00E650AE">
            <w:pPr>
              <w:pStyle w:val="TableDataEntries"/>
              <w:rPr>
                <w:szCs w:val="16"/>
              </w:rPr>
            </w:pPr>
            <w:r w:rsidRPr="00BE4D9E">
              <w:rPr>
                <w:szCs w:val="16"/>
              </w:rPr>
              <w:t>0.37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3F19FA" w14:textId="77777777" w:rsidR="00E650AE" w:rsidRPr="00BE4D9E" w:rsidRDefault="00E650AE" w:rsidP="00E650AE">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D45CBE"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F6C574"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01EA95" w14:textId="77777777" w:rsidR="00E650AE" w:rsidRPr="00BE4D9E" w:rsidRDefault="00E650AE" w:rsidP="00E650AE">
            <w:pPr>
              <w:pStyle w:val="TableDataEntries"/>
              <w:rPr>
                <w:szCs w:val="16"/>
              </w:rPr>
            </w:pPr>
            <w:r w:rsidRPr="00BE4D9E">
              <w:rPr>
                <w:szCs w:val="16"/>
              </w:rPr>
              <w:t>2.11</w:t>
            </w:r>
          </w:p>
        </w:tc>
      </w:tr>
      <w:tr w:rsidR="00E650AE" w14:paraId="19D8051C"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7E2FC2" w14:textId="77777777" w:rsidR="00E650AE" w:rsidRDefault="00E650AE" w:rsidP="00E650AE">
            <w:pPr>
              <w:pStyle w:val="TableDataEntries"/>
              <w:jc w:val="left"/>
            </w:pPr>
            <w:r>
              <w:t>High problem scenario</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FB2010" w14:textId="77777777" w:rsidR="00E650AE" w:rsidRPr="00BE4D9E" w:rsidRDefault="00E650AE" w:rsidP="00E650AE">
            <w:pPr>
              <w:pStyle w:val="TableDataEntries"/>
              <w:rPr>
                <w:szCs w:val="16"/>
              </w:rPr>
            </w:pPr>
            <w:r w:rsidRPr="00BE4D9E">
              <w:rPr>
                <w:szCs w:val="16"/>
              </w:rPr>
              <w:t>0.48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09BF96" w14:textId="77777777" w:rsidR="00E650AE" w:rsidRPr="00BE4D9E" w:rsidRDefault="00E650AE" w:rsidP="00E650AE">
            <w:pPr>
              <w:pStyle w:val="TableDataEntries"/>
              <w:rPr>
                <w:szCs w:val="16"/>
              </w:rPr>
            </w:pPr>
            <w:r w:rsidRPr="00BE4D9E">
              <w:rPr>
                <w:szCs w:val="16"/>
              </w:rPr>
              <w:t>0.25</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0792B1" w14:textId="77777777" w:rsidR="00E650AE" w:rsidRPr="00BE4D9E" w:rsidRDefault="00E650AE" w:rsidP="00E650AE">
            <w:pPr>
              <w:pStyle w:val="TableDataEntries"/>
              <w:rPr>
                <w:szCs w:val="16"/>
              </w:rPr>
            </w:pPr>
            <w:r w:rsidRPr="00BE4D9E">
              <w:rPr>
                <w:szCs w:val="16"/>
              </w:rPr>
              <w:t>0.19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9368CB" w14:textId="77777777" w:rsidR="00E650AE" w:rsidRPr="00BE4D9E" w:rsidRDefault="00E650AE" w:rsidP="00E650AE">
            <w:pPr>
              <w:pStyle w:val="TableDataEntries"/>
              <w:rPr>
                <w:szCs w:val="16"/>
              </w:rPr>
            </w:pPr>
            <w:r w:rsidRPr="00BE4D9E">
              <w:rPr>
                <w:szCs w:val="16"/>
              </w:rPr>
              <w:t>0.37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27FB13" w14:textId="77777777" w:rsidR="00E650AE" w:rsidRPr="00BE4D9E" w:rsidRDefault="00E650AE" w:rsidP="00E650AE">
            <w:pPr>
              <w:pStyle w:val="TableDataEntries"/>
              <w:rPr>
                <w:szCs w:val="16"/>
              </w:rPr>
            </w:pPr>
            <w:r w:rsidRPr="00BE4D9E">
              <w:rPr>
                <w:szCs w:val="16"/>
              </w:rPr>
              <w:t>2.11</w:t>
            </w:r>
          </w:p>
        </w:tc>
      </w:tr>
      <w:tr w:rsidR="00E650AE" w14:paraId="35DDA1F2"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48CABB" w14:textId="77777777" w:rsidR="00E650AE" w:rsidRDefault="00E650AE" w:rsidP="00E650AE">
            <w:pPr>
              <w:pStyle w:val="TableDataEntries"/>
              <w:jc w:val="left"/>
            </w:pPr>
            <w:r>
              <w:t>High VSL</w:t>
            </w:r>
            <w:r w:rsidRPr="00E4232C">
              <w:rPr>
                <w:rStyle w:val="NoteLabel"/>
              </w:rPr>
              <w:t>a</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962D50" w14:textId="77777777" w:rsidR="00E650AE" w:rsidRPr="00BE4D9E" w:rsidRDefault="00E650AE" w:rsidP="00E650AE">
            <w:pPr>
              <w:pStyle w:val="TableDataEntries"/>
              <w:rPr>
                <w:szCs w:val="16"/>
              </w:rPr>
            </w:pPr>
            <w:r w:rsidRPr="00BE4D9E">
              <w:rPr>
                <w:szCs w:val="16"/>
              </w:rPr>
              <w:t>0.28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555DE7" w14:textId="77777777" w:rsidR="00E650AE" w:rsidRPr="00BE4D9E" w:rsidRDefault="00E650AE" w:rsidP="00E650AE">
            <w:pPr>
              <w:pStyle w:val="TableDataEntries"/>
              <w:rPr>
                <w:szCs w:val="16"/>
              </w:rPr>
            </w:pPr>
            <w:r w:rsidRPr="00BE4D9E">
              <w:rPr>
                <w:szCs w:val="16"/>
              </w:rPr>
              <w:t>0.13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007342" w14:textId="77777777" w:rsidR="00E650AE" w:rsidRPr="00BE4D9E" w:rsidRDefault="00E650AE" w:rsidP="00E650AE">
            <w:pPr>
              <w:pStyle w:val="TableDataEntries"/>
              <w:rPr>
                <w:szCs w:val="16"/>
              </w:rPr>
            </w:pPr>
            <w:r w:rsidRPr="00BE4D9E">
              <w:rPr>
                <w:szCs w:val="16"/>
              </w:rPr>
              <w:t>0.10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528D10" w14:textId="77777777" w:rsidR="00E650AE" w:rsidRPr="00BE4D9E" w:rsidRDefault="00E650AE" w:rsidP="00E650AE">
            <w:pPr>
              <w:pStyle w:val="TableDataEntries"/>
              <w:rPr>
                <w:szCs w:val="16"/>
              </w:rPr>
            </w:pPr>
            <w:r w:rsidRPr="00BE4D9E">
              <w:rPr>
                <w:szCs w:val="16"/>
              </w:rPr>
              <w:t>0.10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FA495F" w14:textId="77777777" w:rsidR="00E650AE" w:rsidRPr="00BE4D9E" w:rsidRDefault="00E650AE" w:rsidP="00E650AE">
            <w:pPr>
              <w:pStyle w:val="TableDataEntries"/>
              <w:rPr>
                <w:szCs w:val="16"/>
              </w:rPr>
            </w:pPr>
            <w:r w:rsidRPr="00BE4D9E">
              <w:rPr>
                <w:szCs w:val="16"/>
              </w:rPr>
              <w:t>1.54</w:t>
            </w:r>
          </w:p>
        </w:tc>
      </w:tr>
      <w:tr w:rsidR="00E650AE" w14:paraId="0786E32E" w14:textId="77777777" w:rsidTr="00D6774F">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9A9211" w14:textId="77777777" w:rsidR="00E650AE" w:rsidRDefault="00E650AE" w:rsidP="00E650AE">
            <w:pPr>
              <w:pStyle w:val="TableDataEntries"/>
              <w:jc w:val="left"/>
            </w:pPr>
            <w:r>
              <w:t>No adjustment for baseline effects (Additionality)</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E23EC9" w14:textId="77777777" w:rsidR="00E650AE" w:rsidRPr="00BE4D9E" w:rsidRDefault="00E650AE" w:rsidP="00E650AE">
            <w:pPr>
              <w:pStyle w:val="TableDataEntries"/>
              <w:rPr>
                <w:szCs w:val="16"/>
              </w:rPr>
            </w:pPr>
            <w:r w:rsidRPr="00BE4D9E">
              <w:rPr>
                <w:szCs w:val="16"/>
              </w:rPr>
              <w:t>0.62</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8F9017" w14:textId="77777777" w:rsidR="00E650AE" w:rsidRPr="00BE4D9E" w:rsidRDefault="00E650AE" w:rsidP="00E650AE">
            <w:pPr>
              <w:pStyle w:val="TableDataEntries"/>
              <w:rPr>
                <w:szCs w:val="16"/>
              </w:rPr>
            </w:pPr>
            <w:r w:rsidRPr="00BE4D9E">
              <w:rPr>
                <w:szCs w:val="16"/>
              </w:rPr>
              <w:t>0.28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97B1DA" w14:textId="77777777" w:rsidR="00E650AE" w:rsidRPr="00BE4D9E" w:rsidRDefault="00E650AE" w:rsidP="00E650AE">
            <w:pPr>
              <w:pStyle w:val="TableDataEntries"/>
              <w:rPr>
                <w:szCs w:val="16"/>
              </w:rPr>
            </w:pPr>
            <w:r w:rsidRPr="00BE4D9E">
              <w:rPr>
                <w:szCs w:val="16"/>
              </w:rPr>
              <w:t>0.22</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8EB676" w14:textId="77777777" w:rsidR="00E650AE" w:rsidRPr="00BE4D9E" w:rsidRDefault="00E650AE" w:rsidP="00E650AE">
            <w:pPr>
              <w:pStyle w:val="TableDataEntries"/>
              <w:rPr>
                <w:szCs w:val="16"/>
              </w:rPr>
            </w:pPr>
            <w:r w:rsidRPr="00BE4D9E">
              <w:rPr>
                <w:szCs w:val="16"/>
              </w:rPr>
              <w:t>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FAA48A" w14:textId="77777777" w:rsidR="00E650AE" w:rsidRPr="00BE4D9E" w:rsidRDefault="00E650AE" w:rsidP="00E650AE">
            <w:pPr>
              <w:pStyle w:val="TableDataEntries"/>
              <w:rPr>
                <w:szCs w:val="16"/>
              </w:rPr>
            </w:pPr>
            <w:r w:rsidRPr="00BE4D9E">
              <w:rPr>
                <w:szCs w:val="16"/>
              </w:rPr>
              <w:t>3.38</w:t>
            </w:r>
          </w:p>
        </w:tc>
      </w:tr>
      <w:tr w:rsidR="00E650AE" w14:paraId="4DD66F45"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C61329" w14:textId="77777777" w:rsidR="00E650AE" w:rsidRDefault="00E650AE" w:rsidP="00E650AE">
            <w:pPr>
              <w:pStyle w:val="TableDataEntries"/>
              <w:jc w:val="left"/>
            </w:pPr>
            <w:r>
              <w:t>10%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D9E640" w14:textId="77777777" w:rsidR="00E650AE" w:rsidRPr="00BE4D9E" w:rsidRDefault="00E650AE" w:rsidP="00E650AE">
            <w:pPr>
              <w:pStyle w:val="TableDataEntries"/>
              <w:rPr>
                <w:szCs w:val="16"/>
              </w:rPr>
            </w:pPr>
            <w:r w:rsidRPr="00BE4D9E">
              <w:rPr>
                <w:szCs w:val="16"/>
              </w:rPr>
              <w:t>0.41</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62F20E" w14:textId="77777777" w:rsidR="00E650AE" w:rsidRPr="00BE4D9E" w:rsidRDefault="00E650AE" w:rsidP="00E650AE">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ECBD89"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2FD7F4"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7CABC4" w14:textId="77777777" w:rsidR="00E650AE" w:rsidRPr="00BE4D9E" w:rsidRDefault="00E650AE" w:rsidP="00E650AE">
            <w:pPr>
              <w:pStyle w:val="TableDataEntries"/>
              <w:rPr>
                <w:szCs w:val="16"/>
              </w:rPr>
            </w:pPr>
            <w:r w:rsidRPr="00BE4D9E">
              <w:rPr>
                <w:szCs w:val="16"/>
              </w:rPr>
              <w:t>2.11</w:t>
            </w:r>
          </w:p>
        </w:tc>
      </w:tr>
      <w:tr w:rsidR="00E650AE" w14:paraId="0F2C3179"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78794" w14:textId="77777777" w:rsidR="00E650AE" w:rsidRDefault="00E650AE" w:rsidP="00E650AE">
            <w:pPr>
              <w:pStyle w:val="TableDataEntries"/>
              <w:jc w:val="left"/>
            </w:pPr>
            <w:r>
              <w:t>5%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99069E" w14:textId="77777777" w:rsidR="00E650AE" w:rsidRPr="00BE4D9E" w:rsidRDefault="00E650AE" w:rsidP="00E650AE">
            <w:pPr>
              <w:pStyle w:val="TableDataEntries"/>
              <w:rPr>
                <w:szCs w:val="16"/>
              </w:rPr>
            </w:pPr>
            <w:r w:rsidRPr="00BE4D9E">
              <w:rPr>
                <w:szCs w:val="16"/>
              </w:rPr>
              <w:t>0.37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9FAAAC" w14:textId="77777777" w:rsidR="00E650AE" w:rsidRPr="00BE4D9E" w:rsidRDefault="00E650AE" w:rsidP="00E650AE">
            <w:pPr>
              <w:pStyle w:val="TableDataEntries"/>
              <w:rPr>
                <w:szCs w:val="16"/>
              </w:rPr>
            </w:pPr>
            <w:r w:rsidRPr="00BE4D9E">
              <w:rPr>
                <w:szCs w:val="16"/>
              </w:rPr>
              <w:t>0.17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636910"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C29030"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224133" w14:textId="77777777" w:rsidR="00E650AE" w:rsidRPr="00BE4D9E" w:rsidRDefault="00E650AE" w:rsidP="00E650AE">
            <w:pPr>
              <w:pStyle w:val="TableDataEntries"/>
              <w:rPr>
                <w:szCs w:val="16"/>
              </w:rPr>
            </w:pPr>
            <w:r w:rsidRPr="00BE4D9E">
              <w:rPr>
                <w:szCs w:val="16"/>
              </w:rPr>
              <w:t>2.11</w:t>
            </w:r>
          </w:p>
        </w:tc>
      </w:tr>
      <w:tr w:rsidR="00E650AE" w14:paraId="673A32BD"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2B0D2" w14:textId="77777777" w:rsidR="00E650AE" w:rsidRDefault="00E650AE" w:rsidP="00E650AE">
            <w:pPr>
              <w:pStyle w:val="TableDataEntries"/>
              <w:jc w:val="left"/>
            </w:pPr>
            <w:r>
              <w:t>3%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F6352B" w14:textId="77777777" w:rsidR="00E650AE" w:rsidRPr="00BE4D9E" w:rsidRDefault="00E650AE" w:rsidP="00E650AE">
            <w:pPr>
              <w:pStyle w:val="TableDataEntries"/>
              <w:rPr>
                <w:szCs w:val="16"/>
              </w:rPr>
            </w:pPr>
            <w:r w:rsidRPr="00BE4D9E">
              <w:rPr>
                <w:szCs w:val="16"/>
              </w:rPr>
              <w:t>0.40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627409" w14:textId="77777777" w:rsidR="00E650AE" w:rsidRPr="00BE4D9E" w:rsidRDefault="00E650AE" w:rsidP="00E650AE">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0A46B3"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471B2B" w14:textId="77777777" w:rsidR="00E650AE" w:rsidRPr="00BE4D9E" w:rsidRDefault="00E650AE" w:rsidP="00E650AE">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EA07CF" w14:textId="77777777" w:rsidR="00E650AE" w:rsidRPr="00BE4D9E" w:rsidRDefault="00E650AE" w:rsidP="00E650AE">
            <w:pPr>
              <w:pStyle w:val="TableDataEntries"/>
              <w:rPr>
                <w:szCs w:val="16"/>
              </w:rPr>
            </w:pPr>
            <w:r w:rsidRPr="00BE4D9E">
              <w:rPr>
                <w:szCs w:val="16"/>
              </w:rPr>
              <w:t>2.15</w:t>
            </w:r>
          </w:p>
        </w:tc>
      </w:tr>
      <w:tr w:rsidR="00E650AE" w14:paraId="6A320174"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972C0" w14:textId="77777777" w:rsidR="00E650AE" w:rsidRDefault="00E650AE" w:rsidP="00E650AE">
            <w:pPr>
              <w:pStyle w:val="TableDataEntries"/>
              <w:jc w:val="left"/>
            </w:pPr>
            <w:r>
              <w:t>20 year regulatory period</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74046B" w14:textId="77777777" w:rsidR="00E650AE" w:rsidRPr="00BE4D9E" w:rsidRDefault="00E650AE" w:rsidP="00E650AE">
            <w:pPr>
              <w:pStyle w:val="TableDataEntries"/>
              <w:rPr>
                <w:szCs w:val="16"/>
              </w:rPr>
            </w:pPr>
            <w:r w:rsidRPr="00BE4D9E">
              <w:rPr>
                <w:szCs w:val="16"/>
              </w:rPr>
              <w:t>0.60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DA6073" w14:textId="77777777" w:rsidR="00E650AE" w:rsidRPr="00BE4D9E" w:rsidRDefault="00E650AE" w:rsidP="00E650AE">
            <w:pPr>
              <w:pStyle w:val="TableDataEntries"/>
              <w:rPr>
                <w:szCs w:val="16"/>
              </w:rPr>
            </w:pPr>
            <w:r w:rsidRPr="00BE4D9E">
              <w:rPr>
                <w:szCs w:val="16"/>
              </w:rPr>
              <w:t>0.20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B3050D" w14:textId="77777777" w:rsidR="00E650AE" w:rsidRPr="00BE4D9E" w:rsidRDefault="00E650AE" w:rsidP="00E650AE">
            <w:pPr>
              <w:pStyle w:val="TableDataEntries"/>
              <w:rPr>
                <w:szCs w:val="16"/>
              </w:rPr>
            </w:pPr>
            <w:r w:rsidRPr="00BE4D9E">
              <w:rPr>
                <w:szCs w:val="16"/>
              </w:rPr>
              <w:t>0.16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D5A56E" w14:textId="77777777" w:rsidR="00E650AE" w:rsidRPr="00BE4D9E" w:rsidRDefault="00E650AE" w:rsidP="00E650AE">
            <w:pPr>
              <w:pStyle w:val="TableDataEntries"/>
              <w:rPr>
                <w:szCs w:val="16"/>
              </w:rPr>
            </w:pPr>
            <w:r w:rsidRPr="00BE4D9E">
              <w:rPr>
                <w:szCs w:val="16"/>
              </w:rPr>
              <w:t>0.16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384167" w14:textId="77777777" w:rsidR="00E650AE" w:rsidRPr="00BE4D9E" w:rsidRDefault="00E650AE" w:rsidP="00E650AE">
            <w:pPr>
              <w:pStyle w:val="TableDataEntries"/>
              <w:rPr>
                <w:szCs w:val="16"/>
              </w:rPr>
            </w:pPr>
            <w:r w:rsidRPr="00BE4D9E">
              <w:rPr>
                <w:szCs w:val="16"/>
              </w:rPr>
              <w:t>2.11</w:t>
            </w:r>
          </w:p>
        </w:tc>
      </w:tr>
      <w:tr w:rsidR="00E650AE" w14:paraId="6EAC5511" w14:textId="77777777" w:rsidTr="00A953AD">
        <w:trPr>
          <w:trHeight w:val="245"/>
        </w:trPr>
        <w:tc>
          <w:tcPr>
            <w:tcW w:w="3127" w:type="dxa"/>
            <w:tcBorders>
              <w:top w:val="single" w:sz="8" w:space="0" w:color="FFFFFF" w:themeColor="background1"/>
              <w:bottom w:val="single" w:sz="6" w:space="0" w:color="6F6652"/>
            </w:tcBorders>
            <w:shd w:val="clear" w:color="auto" w:fill="E9E8E5" w:themeFill="background2"/>
            <w:tcMar>
              <w:left w:w="57" w:type="dxa"/>
              <w:right w:w="57" w:type="dxa"/>
            </w:tcMar>
          </w:tcPr>
          <w:p w14:paraId="1B6EB4B5" w14:textId="77777777" w:rsidR="00E650AE" w:rsidRDefault="00E650AE" w:rsidP="00E650AE">
            <w:pPr>
              <w:pStyle w:val="TableDataEntries"/>
              <w:jc w:val="left"/>
            </w:pPr>
            <w:r>
              <w:t>50-year life of dwelling</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01173702" w14:textId="77777777" w:rsidR="00E650AE" w:rsidRPr="00BE4D9E" w:rsidRDefault="00E650AE" w:rsidP="00E650AE">
            <w:pPr>
              <w:pStyle w:val="TableDataEntries"/>
              <w:rPr>
                <w:szCs w:val="16"/>
              </w:rPr>
            </w:pPr>
            <w:r w:rsidRPr="00BE4D9E">
              <w:rPr>
                <w:szCs w:val="16"/>
              </w:rPr>
              <w:t>0.29</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2A6047E" w14:textId="77777777" w:rsidR="00E650AE" w:rsidRPr="00BE4D9E" w:rsidRDefault="00E650AE" w:rsidP="00E650AE">
            <w:pPr>
              <w:pStyle w:val="TableDataEntries"/>
              <w:rPr>
                <w:szCs w:val="16"/>
              </w:rPr>
            </w:pPr>
            <w:r w:rsidRPr="00BE4D9E">
              <w:rPr>
                <w:szCs w:val="16"/>
              </w:rPr>
              <w:t>0.13</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66073B86" w14:textId="77777777" w:rsidR="00E650AE" w:rsidRPr="00BE4D9E" w:rsidRDefault="00E650AE" w:rsidP="00E650AE">
            <w:pPr>
              <w:pStyle w:val="TableDataEntries"/>
              <w:rPr>
                <w:szCs w:val="16"/>
              </w:rPr>
            </w:pPr>
            <w:r w:rsidRPr="00BE4D9E">
              <w:rPr>
                <w:szCs w:val="16"/>
              </w:rPr>
              <w:t>0.10</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E8382AF" w14:textId="77777777" w:rsidR="00E650AE" w:rsidRPr="00BE4D9E" w:rsidRDefault="00E650AE" w:rsidP="00E650AE">
            <w:pPr>
              <w:pStyle w:val="TableDataEntries"/>
              <w:rPr>
                <w:szCs w:val="16"/>
              </w:rPr>
            </w:pPr>
            <w:r w:rsidRPr="00BE4D9E">
              <w:rPr>
                <w:szCs w:val="16"/>
              </w:rPr>
              <w:t>0.11</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563948D7" w14:textId="77777777" w:rsidR="00E650AE" w:rsidRPr="00BE4D9E" w:rsidRDefault="00E650AE" w:rsidP="00E650AE">
            <w:pPr>
              <w:pStyle w:val="TableDataEntries"/>
              <w:rPr>
                <w:szCs w:val="16"/>
              </w:rPr>
            </w:pPr>
            <w:r w:rsidRPr="00BE4D9E">
              <w:rPr>
                <w:szCs w:val="16"/>
              </w:rPr>
              <w:t>2.11</w:t>
            </w:r>
          </w:p>
        </w:tc>
      </w:tr>
    </w:tbl>
    <w:p w14:paraId="64485BC5" w14:textId="77777777" w:rsidR="003D239B" w:rsidRPr="00B53322" w:rsidRDefault="003D239B" w:rsidP="003D239B">
      <w:pPr>
        <w:pStyle w:val="Note"/>
      </w:pPr>
      <w:r w:rsidRPr="00E4232C">
        <w:rPr>
          <w:rStyle w:val="NoteLabel"/>
        </w:rPr>
        <w:t>a</w:t>
      </w:r>
      <w:r>
        <w:t xml:space="preserve"> </w:t>
      </w:r>
      <w:r w:rsidRPr="00B53322">
        <w:t>reflects the value of statistical life (VSL) suggested by Dalton and Carter (2020a)</w:t>
      </w:r>
      <w:r w:rsidR="00BD176C">
        <w:t>.</w:t>
      </w:r>
    </w:p>
    <w:p w14:paraId="46F5724D" w14:textId="77777777" w:rsidR="0039262C" w:rsidRPr="00B53322" w:rsidRDefault="0039262C" w:rsidP="0039262C">
      <w:pPr>
        <w:pStyle w:val="Source"/>
        <w:rPr>
          <w:lang w:bidi="fa-IR"/>
        </w:rPr>
      </w:pPr>
      <w:r w:rsidRPr="00B53322">
        <w:rPr>
          <w:lang w:bidi="fa-IR"/>
        </w:rPr>
        <w:t>Source: CIE estimates.</w:t>
      </w:r>
    </w:p>
    <w:p w14:paraId="512ED6BA" w14:textId="77777777" w:rsidR="00A953AD" w:rsidRDefault="00A953AD" w:rsidP="00A953AD">
      <w:pPr>
        <w:pStyle w:val="Heading4"/>
        <w:rPr>
          <w:lang w:eastAsia="en-US" w:bidi="fa-IR"/>
        </w:rPr>
      </w:pPr>
      <w:r>
        <w:rPr>
          <w:lang w:eastAsia="en-US" w:bidi="fa-IR"/>
        </w:rPr>
        <w:t>Sensitivity analysis for CBA including employment and societal benefits</w:t>
      </w:r>
    </w:p>
    <w:p w14:paraId="0CF086D9" w14:textId="77777777" w:rsidR="00A953AD" w:rsidRDefault="00A953AD" w:rsidP="00A953AD">
      <w:pPr>
        <w:pStyle w:val="BodyText"/>
        <w:rPr>
          <w:lang w:eastAsia="en-US" w:bidi="fa-IR"/>
        </w:rPr>
      </w:pPr>
      <w:r>
        <w:rPr>
          <w:lang w:eastAsia="en-US" w:bidi="fa-IR"/>
        </w:rPr>
        <w:t>Table 8.6 shows the break-even analysis and the BCRs when the societal benefits and the upper bound estimate of employment impacts are included.</w:t>
      </w:r>
    </w:p>
    <w:p w14:paraId="0271EE2E" w14:textId="6D34AAC2" w:rsidR="00A953AD" w:rsidRDefault="00BD17F9" w:rsidP="00BD17F9">
      <w:pPr>
        <w:pStyle w:val="Caption"/>
        <w:ind w:left="568" w:hanging="568"/>
      </w:pPr>
      <w:bookmarkStart w:id="535" w:name="_Toc70505594"/>
      <w:r>
        <w:t>8.6</w:t>
      </w:r>
      <w:r w:rsidR="00A953AD" w:rsidRPr="00695C93">
        <w:tab/>
      </w:r>
      <w:r w:rsidR="00A953AD">
        <w:t>Sensitivity and break-even analysis</w:t>
      </w:r>
      <w:r w:rsidR="008E131E">
        <w:t xml:space="preserve"> with societal and employment benefits being included in the central case</w:t>
      </w:r>
      <w:r w:rsidR="00A953AD">
        <w:t xml:space="preserve"> — benefit-cost ratio under alternative assumptions</w:t>
      </w:r>
      <w:bookmarkEnd w:id="535"/>
    </w:p>
    <w:tbl>
      <w:tblPr>
        <w:tblW w:w="7937" w:type="dxa"/>
        <w:tblLayout w:type="fixed"/>
        <w:tblLook w:val="0000" w:firstRow="0" w:lastRow="0" w:firstColumn="0" w:lastColumn="0" w:noHBand="0" w:noVBand="0"/>
        <w:tblCaption w:val="Table 8.6: Sensitivity and break-even analysis with societal and employment benefits being included in the central case — benefit-cost ratio under alternative assumptions"/>
        <w:tblDescription w:val="Table 8.6 shows the break-even analysis and the BCRs when the societal benefits and the upper bound estimate of employment impacts are included."/>
      </w:tblPr>
      <w:tblGrid>
        <w:gridCol w:w="3127"/>
        <w:gridCol w:w="962"/>
        <w:gridCol w:w="962"/>
        <w:gridCol w:w="962"/>
        <w:gridCol w:w="962"/>
        <w:gridCol w:w="962"/>
      </w:tblGrid>
      <w:tr w:rsidR="00A953AD" w:rsidRPr="00BD176C" w14:paraId="3E2AA618" w14:textId="77777777" w:rsidTr="00A953AD">
        <w:trPr>
          <w:trHeight w:val="490"/>
          <w:tblHeader/>
        </w:trPr>
        <w:tc>
          <w:tcPr>
            <w:tcW w:w="3127" w:type="dxa"/>
            <w:tcBorders>
              <w:bottom w:val="single" w:sz="8" w:space="0" w:color="FFFFFF" w:themeColor="background1"/>
            </w:tcBorders>
            <w:shd w:val="clear" w:color="auto" w:fill="6F6652"/>
            <w:tcMar>
              <w:left w:w="57" w:type="dxa"/>
              <w:right w:w="57" w:type="dxa"/>
            </w:tcMar>
          </w:tcPr>
          <w:p w14:paraId="67CB08CA" w14:textId="77777777" w:rsidR="00A953AD" w:rsidRPr="00BD176C" w:rsidRDefault="00FA2A5F" w:rsidP="00A953AD">
            <w:pPr>
              <w:pStyle w:val="TableDataColumnHeading"/>
              <w:jc w:val="left"/>
            </w:pPr>
            <w:r w:rsidRPr="00BD176C">
              <w:t>Assumptions</w:t>
            </w:r>
          </w:p>
        </w:tc>
        <w:tc>
          <w:tcPr>
            <w:tcW w:w="962" w:type="dxa"/>
            <w:tcBorders>
              <w:bottom w:val="single" w:sz="8" w:space="0" w:color="FFFFFF" w:themeColor="background1"/>
            </w:tcBorders>
            <w:shd w:val="clear" w:color="auto" w:fill="6F6652"/>
            <w:tcMar>
              <w:left w:w="57" w:type="dxa"/>
              <w:right w:w="57" w:type="dxa"/>
            </w:tcMar>
          </w:tcPr>
          <w:p w14:paraId="731D226C" w14:textId="77777777" w:rsidR="00A953AD" w:rsidRPr="00BD176C" w:rsidRDefault="00A953AD" w:rsidP="00A953AD">
            <w:pPr>
              <w:pStyle w:val="TableDataColumnHeading"/>
            </w:pPr>
            <w:r w:rsidRPr="00BD176C">
              <w:t>Option 1 ($ million)</w:t>
            </w:r>
          </w:p>
        </w:tc>
        <w:tc>
          <w:tcPr>
            <w:tcW w:w="962" w:type="dxa"/>
            <w:tcBorders>
              <w:bottom w:val="single" w:sz="8" w:space="0" w:color="FFFFFF" w:themeColor="background1"/>
            </w:tcBorders>
            <w:shd w:val="clear" w:color="auto" w:fill="6F6652"/>
            <w:tcMar>
              <w:left w:w="57" w:type="dxa"/>
              <w:right w:w="57" w:type="dxa"/>
            </w:tcMar>
          </w:tcPr>
          <w:p w14:paraId="3FBE6F70" w14:textId="77777777" w:rsidR="00A953AD" w:rsidRPr="00BD176C" w:rsidRDefault="00A953AD" w:rsidP="00A953AD">
            <w:pPr>
              <w:pStyle w:val="TableDataColumnHeading"/>
            </w:pPr>
            <w:r w:rsidRPr="00BD176C">
              <w:t>Option 2 ($ million)</w:t>
            </w:r>
          </w:p>
        </w:tc>
        <w:tc>
          <w:tcPr>
            <w:tcW w:w="962" w:type="dxa"/>
            <w:tcBorders>
              <w:bottom w:val="single" w:sz="8" w:space="0" w:color="FFFFFF" w:themeColor="background1"/>
            </w:tcBorders>
            <w:shd w:val="clear" w:color="auto" w:fill="6F6652"/>
            <w:tcMar>
              <w:left w:w="57" w:type="dxa"/>
              <w:right w:w="57" w:type="dxa"/>
            </w:tcMar>
          </w:tcPr>
          <w:p w14:paraId="07C5EC3D" w14:textId="77777777" w:rsidR="00A953AD" w:rsidRPr="00BD176C" w:rsidRDefault="00A953AD" w:rsidP="00A953AD">
            <w:pPr>
              <w:pStyle w:val="TableDataColumnHeading"/>
            </w:pPr>
            <w:r w:rsidRPr="00BD176C">
              <w:t>Option 3 ($ million)</w:t>
            </w:r>
          </w:p>
        </w:tc>
        <w:tc>
          <w:tcPr>
            <w:tcW w:w="962" w:type="dxa"/>
            <w:tcBorders>
              <w:bottom w:val="single" w:sz="8" w:space="0" w:color="FFFFFF" w:themeColor="background1"/>
            </w:tcBorders>
            <w:shd w:val="clear" w:color="auto" w:fill="6F6652"/>
            <w:tcMar>
              <w:left w:w="57" w:type="dxa"/>
              <w:right w:w="57" w:type="dxa"/>
            </w:tcMar>
          </w:tcPr>
          <w:p w14:paraId="4F049DC0" w14:textId="77777777" w:rsidR="00A953AD" w:rsidRPr="00BD176C" w:rsidRDefault="00A953AD" w:rsidP="00A953AD">
            <w:pPr>
              <w:pStyle w:val="TableDataColumnHeading"/>
            </w:pPr>
            <w:r w:rsidRPr="00BD176C">
              <w:t>Option 4 ($ million)</w:t>
            </w:r>
          </w:p>
        </w:tc>
        <w:tc>
          <w:tcPr>
            <w:tcW w:w="962" w:type="dxa"/>
            <w:tcBorders>
              <w:bottom w:val="single" w:sz="8" w:space="0" w:color="FFFFFF" w:themeColor="background1"/>
            </w:tcBorders>
            <w:shd w:val="clear" w:color="auto" w:fill="6F6652"/>
            <w:tcMar>
              <w:left w:w="57" w:type="dxa"/>
              <w:right w:w="57" w:type="dxa"/>
            </w:tcMar>
          </w:tcPr>
          <w:p w14:paraId="7F24B46D" w14:textId="77777777" w:rsidR="00A953AD" w:rsidRPr="00BD176C" w:rsidRDefault="00A953AD" w:rsidP="00A953AD">
            <w:pPr>
              <w:pStyle w:val="TableDataColumnHeading"/>
            </w:pPr>
            <w:r w:rsidRPr="00BD176C">
              <w:t>Option 5 ($ million)</w:t>
            </w:r>
          </w:p>
        </w:tc>
      </w:tr>
      <w:tr w:rsidR="00A953AD" w14:paraId="412D0772"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32C129" w14:textId="77777777" w:rsidR="00A953AD" w:rsidRDefault="00A953AD" w:rsidP="00A953AD">
            <w:pPr>
              <w:pStyle w:val="TableHeading1"/>
            </w:pPr>
            <w:r>
              <w:t>Break-even analysis</w:t>
            </w: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728FE97" w14:textId="77777777" w:rsidR="00A953AD" w:rsidRPr="00BE4D9E" w:rsidRDefault="00A953AD" w:rsidP="00A953AD">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ABB9F47" w14:textId="77777777" w:rsidR="00A953AD" w:rsidRPr="00BE4D9E" w:rsidRDefault="00A953AD" w:rsidP="00A953AD">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DA3805" w14:textId="77777777" w:rsidR="00A953AD" w:rsidRPr="00BE4D9E" w:rsidRDefault="00A953AD" w:rsidP="00A953AD">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0A3C765" w14:textId="77777777" w:rsidR="00A953AD" w:rsidRPr="00BE4D9E" w:rsidRDefault="00A953AD" w:rsidP="00A953AD">
            <w:pPr>
              <w:pStyle w:val="TableHeading1"/>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62554A4" w14:textId="77777777" w:rsidR="00A953AD" w:rsidRPr="00BE4D9E" w:rsidRDefault="00A953AD" w:rsidP="00A953AD">
            <w:pPr>
              <w:pStyle w:val="TableHeading1"/>
              <w:rPr>
                <w:szCs w:val="16"/>
              </w:rPr>
            </w:pPr>
          </w:p>
        </w:tc>
      </w:tr>
      <w:tr w:rsidR="008073EF" w14:paraId="25FEFAE7"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838185" w14:textId="77777777" w:rsidR="008073EF" w:rsidRDefault="008073EF" w:rsidP="008073EF">
            <w:pPr>
              <w:pStyle w:val="TableDataEntries"/>
              <w:jc w:val="left"/>
            </w:pPr>
            <w:r>
              <w:t>Change in cost per dwelling to break even ($)</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0CB4BE" w14:textId="77777777" w:rsidR="008073EF" w:rsidRPr="00BE4D9E" w:rsidRDefault="008073EF" w:rsidP="008073EF">
            <w:pPr>
              <w:pStyle w:val="TableDataEntries"/>
              <w:rPr>
                <w:szCs w:val="16"/>
              </w:rPr>
            </w:pPr>
            <w:r w:rsidRPr="00BE4D9E">
              <w:rPr>
                <w:szCs w:val="16"/>
              </w:rPr>
              <w:t>-2 276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7EA662" w14:textId="77777777" w:rsidR="008073EF" w:rsidRPr="00BE4D9E" w:rsidRDefault="008073EF" w:rsidP="008073EF">
            <w:pPr>
              <w:pStyle w:val="TableDataEntries"/>
              <w:rPr>
                <w:szCs w:val="16"/>
              </w:rPr>
            </w:pPr>
            <w:r w:rsidRPr="00BE4D9E">
              <w:rPr>
                <w:szCs w:val="16"/>
              </w:rPr>
              <w:t>-14 580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C1AA68" w14:textId="77777777" w:rsidR="008073EF" w:rsidRPr="00BE4D9E" w:rsidRDefault="008073EF" w:rsidP="008073EF">
            <w:pPr>
              <w:pStyle w:val="TableDataEntries"/>
              <w:rPr>
                <w:szCs w:val="16"/>
              </w:rPr>
            </w:pPr>
            <w:r w:rsidRPr="00BE4D9E">
              <w:rPr>
                <w:szCs w:val="16"/>
              </w:rPr>
              <w:t>-19 927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B34974" w14:textId="77777777" w:rsidR="008073EF" w:rsidRPr="00BE4D9E" w:rsidRDefault="008073EF" w:rsidP="008073EF">
            <w:pPr>
              <w:pStyle w:val="TableDataEntries"/>
              <w:rPr>
                <w:szCs w:val="16"/>
              </w:rPr>
            </w:pPr>
            <w:r w:rsidRPr="00BE4D9E">
              <w:rPr>
                <w:szCs w:val="16"/>
              </w:rPr>
              <w:t>-25 566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1594ED" w14:textId="77777777" w:rsidR="008073EF" w:rsidRPr="00BE4D9E" w:rsidRDefault="008073EF" w:rsidP="008073EF">
            <w:pPr>
              <w:pStyle w:val="TableDataEntries"/>
              <w:rPr>
                <w:szCs w:val="16"/>
              </w:rPr>
            </w:pPr>
            <w:r w:rsidRPr="00BE4D9E">
              <w:rPr>
                <w:szCs w:val="16"/>
              </w:rPr>
              <w:t>n.a.</w:t>
            </w:r>
          </w:p>
        </w:tc>
      </w:tr>
      <w:tr w:rsidR="008073EF" w14:paraId="58701928"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1EC293D" w14:textId="77777777" w:rsidR="008073EF" w:rsidRDefault="008073EF" w:rsidP="008073EF">
            <w:pPr>
              <w:pStyle w:val="TableHeading1"/>
            </w:pPr>
            <w:r>
              <w:t>Sensitivity analysis (BCR)</w:t>
            </w: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BF6E147" w14:textId="77777777" w:rsidR="008073EF" w:rsidRPr="00BE4D9E" w:rsidRDefault="008073EF" w:rsidP="008073EF">
            <w:pPr>
              <w:pStyle w:val="TableDataEntries"/>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92D2BA5" w14:textId="77777777" w:rsidR="008073EF" w:rsidRPr="00BE4D9E" w:rsidRDefault="008073EF" w:rsidP="008073EF">
            <w:pPr>
              <w:pStyle w:val="TableDataEntries"/>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04F04464" w14:textId="77777777" w:rsidR="008073EF" w:rsidRPr="00BE4D9E" w:rsidRDefault="008073EF" w:rsidP="008073EF">
            <w:pPr>
              <w:pStyle w:val="TableDataEntries"/>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07C75F1" w14:textId="77777777" w:rsidR="008073EF" w:rsidRPr="00BE4D9E" w:rsidRDefault="008073EF" w:rsidP="008073EF">
            <w:pPr>
              <w:pStyle w:val="TableDataEntries"/>
              <w:rPr>
                <w:szCs w:val="16"/>
              </w:rPr>
            </w:pPr>
          </w:p>
        </w:tc>
        <w:tc>
          <w:tcPr>
            <w:tcW w:w="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1C54837" w14:textId="77777777" w:rsidR="008073EF" w:rsidRPr="00BE4D9E" w:rsidRDefault="008073EF" w:rsidP="008073EF">
            <w:pPr>
              <w:pStyle w:val="TableDataEntries"/>
              <w:rPr>
                <w:szCs w:val="16"/>
              </w:rPr>
            </w:pPr>
          </w:p>
        </w:tc>
      </w:tr>
      <w:tr w:rsidR="008073EF" w14:paraId="7E3EAB62"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81EFB1" w14:textId="77777777" w:rsidR="008073EF" w:rsidRDefault="008073EF" w:rsidP="008073EF">
            <w:pPr>
              <w:pStyle w:val="TableDataEntries"/>
              <w:jc w:val="left"/>
            </w:pPr>
            <w:r>
              <w:t>Central case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D5432D" w14:textId="77777777" w:rsidR="008073EF" w:rsidRPr="00BE4D9E" w:rsidRDefault="008073EF" w:rsidP="008073EF">
            <w:pPr>
              <w:pStyle w:val="TableDataEntries"/>
              <w:rPr>
                <w:szCs w:val="16"/>
              </w:rPr>
            </w:pPr>
            <w:r w:rsidRPr="00BE4D9E">
              <w:rPr>
                <w:szCs w:val="16"/>
              </w:rPr>
              <w:t xml:space="preserve"> 0.54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7EE214" w14:textId="77777777" w:rsidR="008073EF" w:rsidRPr="00BE4D9E" w:rsidRDefault="008073EF" w:rsidP="008073EF">
            <w:pPr>
              <w:pStyle w:val="TableDataEntries"/>
              <w:rPr>
                <w:szCs w:val="16"/>
              </w:rPr>
            </w:pPr>
            <w:r w:rsidRPr="00BE4D9E">
              <w:rPr>
                <w:szCs w:val="16"/>
              </w:rPr>
              <w:t xml:space="preserve"> 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B3CCBE" w14:textId="77777777" w:rsidR="008073EF" w:rsidRPr="00BE4D9E" w:rsidRDefault="008073EF" w:rsidP="008073EF">
            <w:pPr>
              <w:pStyle w:val="TableDataEntries"/>
              <w:rPr>
                <w:szCs w:val="16"/>
              </w:rPr>
            </w:pPr>
            <w:r w:rsidRPr="00BE4D9E">
              <w:rPr>
                <w:szCs w:val="16"/>
              </w:rPr>
              <w:t xml:space="preserve"> 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C266B1" w14:textId="77777777" w:rsidR="008073EF" w:rsidRPr="00BE4D9E" w:rsidRDefault="008073EF" w:rsidP="008073EF">
            <w:pPr>
              <w:pStyle w:val="TableDataEntries"/>
              <w:rPr>
                <w:szCs w:val="16"/>
              </w:rPr>
            </w:pPr>
            <w:r w:rsidRPr="00BE4D9E">
              <w:rPr>
                <w:szCs w:val="16"/>
              </w:rPr>
              <w:t xml:space="preserve"> 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EA940D" w14:textId="77777777" w:rsidR="008073EF" w:rsidRPr="00BE4D9E" w:rsidRDefault="008073EF" w:rsidP="008073EF">
            <w:pPr>
              <w:pStyle w:val="TableDataEntries"/>
              <w:rPr>
                <w:szCs w:val="16"/>
              </w:rPr>
            </w:pPr>
            <w:r w:rsidRPr="00BE4D9E">
              <w:rPr>
                <w:szCs w:val="16"/>
              </w:rPr>
              <w:t xml:space="preserve"> 4.27</w:t>
            </w:r>
          </w:p>
        </w:tc>
      </w:tr>
      <w:tr w:rsidR="008073EF" w14:paraId="171B0E7F"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41C7C3" w14:textId="77777777" w:rsidR="008073EF" w:rsidRDefault="008073EF" w:rsidP="008073EF">
            <w:pPr>
              <w:pStyle w:val="TableDataEntries"/>
              <w:jc w:val="left"/>
            </w:pPr>
            <w:r>
              <w:t>Alternative allocation assumption for owner-occupiers</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9952BE" w14:textId="77777777" w:rsidR="008073EF" w:rsidRPr="00BE4D9E" w:rsidRDefault="008073EF" w:rsidP="008073EF">
            <w:pPr>
              <w:pStyle w:val="TableDataEntries"/>
              <w:rPr>
                <w:szCs w:val="16"/>
              </w:rPr>
            </w:pPr>
            <w:r w:rsidRPr="00BE4D9E">
              <w:rPr>
                <w:szCs w:val="16"/>
              </w:rPr>
              <w:t xml:space="preserve"> 0.79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0800C4" w14:textId="77777777" w:rsidR="008073EF" w:rsidRPr="00BE4D9E" w:rsidRDefault="008073EF" w:rsidP="008073EF">
            <w:pPr>
              <w:pStyle w:val="TableDataEntries"/>
              <w:rPr>
                <w:szCs w:val="16"/>
              </w:rPr>
            </w:pPr>
            <w:r w:rsidRPr="00BE4D9E">
              <w:rPr>
                <w:szCs w:val="16"/>
              </w:rPr>
              <w:t xml:space="preserve"> 0.33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122C74" w14:textId="77777777" w:rsidR="008073EF" w:rsidRPr="00BE4D9E" w:rsidRDefault="008073EF" w:rsidP="008073EF">
            <w:pPr>
              <w:pStyle w:val="TableDataEntries"/>
              <w:rPr>
                <w:szCs w:val="16"/>
              </w:rPr>
            </w:pPr>
            <w:r w:rsidRPr="00BE4D9E">
              <w:rPr>
                <w:szCs w:val="16"/>
              </w:rPr>
              <w:t xml:space="preserve"> 0.26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404265" w14:textId="77777777" w:rsidR="008073EF" w:rsidRPr="00BE4D9E" w:rsidRDefault="008073EF" w:rsidP="008073EF">
            <w:pPr>
              <w:pStyle w:val="TableDataEntries"/>
              <w:rPr>
                <w:szCs w:val="16"/>
              </w:rPr>
            </w:pPr>
            <w:r w:rsidRPr="00BE4D9E">
              <w:rPr>
                <w:szCs w:val="16"/>
              </w:rPr>
              <w:t xml:space="preserve"> 0.27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3FF808" w14:textId="77777777" w:rsidR="008073EF" w:rsidRPr="00BE4D9E" w:rsidRDefault="008073EF" w:rsidP="008073EF">
            <w:pPr>
              <w:pStyle w:val="TableDataEntries"/>
              <w:rPr>
                <w:szCs w:val="16"/>
              </w:rPr>
            </w:pPr>
            <w:r w:rsidRPr="00BE4D9E">
              <w:rPr>
                <w:szCs w:val="16"/>
              </w:rPr>
              <w:t xml:space="preserve"> 4.27</w:t>
            </w:r>
          </w:p>
        </w:tc>
      </w:tr>
      <w:tr w:rsidR="008073EF" w14:paraId="00D183EB"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07CB79" w14:textId="77777777" w:rsidR="008073EF" w:rsidRDefault="008073EF" w:rsidP="008073EF">
            <w:pPr>
              <w:pStyle w:val="TableDataEntries"/>
              <w:jc w:val="left"/>
            </w:pPr>
            <w:r>
              <w:lastRenderedPageBreak/>
              <w:t>Random allocation for renters</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159050" w14:textId="77777777" w:rsidR="008073EF" w:rsidRPr="00BE4D9E" w:rsidRDefault="008073EF" w:rsidP="008073EF">
            <w:pPr>
              <w:pStyle w:val="TableDataEntries"/>
              <w:rPr>
                <w:szCs w:val="16"/>
              </w:rPr>
            </w:pPr>
            <w:r w:rsidRPr="00BE4D9E">
              <w:rPr>
                <w:szCs w:val="16"/>
              </w:rPr>
              <w:t xml:space="preserve"> 0.36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4E1F1B" w14:textId="77777777" w:rsidR="008073EF" w:rsidRPr="00BE4D9E" w:rsidRDefault="008073EF" w:rsidP="008073EF">
            <w:pPr>
              <w:pStyle w:val="TableDataEntries"/>
              <w:rPr>
                <w:szCs w:val="16"/>
              </w:rPr>
            </w:pPr>
            <w:r w:rsidRPr="00BE4D9E">
              <w:rPr>
                <w:szCs w:val="16"/>
              </w:rPr>
              <w:t xml:space="preserve"> 0.16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0C4B0B" w14:textId="77777777" w:rsidR="008073EF" w:rsidRPr="00BE4D9E" w:rsidRDefault="008073EF" w:rsidP="008073EF">
            <w:pPr>
              <w:pStyle w:val="TableDataEntries"/>
              <w:rPr>
                <w:szCs w:val="16"/>
              </w:rPr>
            </w:pPr>
            <w:r w:rsidRPr="00BE4D9E">
              <w:rPr>
                <w:szCs w:val="16"/>
              </w:rPr>
              <w:t xml:space="preserve"> 0.13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A79E9E" w14:textId="77777777" w:rsidR="008073EF" w:rsidRPr="00BE4D9E" w:rsidRDefault="008073EF" w:rsidP="008073EF">
            <w:pPr>
              <w:pStyle w:val="TableDataEntries"/>
              <w:rPr>
                <w:szCs w:val="16"/>
              </w:rPr>
            </w:pPr>
            <w:r w:rsidRPr="00BE4D9E">
              <w:rPr>
                <w:szCs w:val="16"/>
              </w:rPr>
              <w:t xml:space="preserve"> 0.13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7CE105" w14:textId="77777777" w:rsidR="008073EF" w:rsidRPr="00BE4D9E" w:rsidRDefault="008073EF" w:rsidP="008073EF">
            <w:pPr>
              <w:pStyle w:val="TableDataEntries"/>
              <w:rPr>
                <w:szCs w:val="16"/>
              </w:rPr>
            </w:pPr>
            <w:r w:rsidRPr="00BE4D9E">
              <w:rPr>
                <w:szCs w:val="16"/>
              </w:rPr>
              <w:t xml:space="preserve"> 2.11</w:t>
            </w:r>
          </w:p>
        </w:tc>
      </w:tr>
      <w:tr w:rsidR="008073EF" w14:paraId="10FB08BC"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BE6EAB" w14:textId="77777777" w:rsidR="008073EF" w:rsidRDefault="008073EF" w:rsidP="008073EF">
            <w:pPr>
              <w:pStyle w:val="TableDataEntries"/>
              <w:jc w:val="left"/>
            </w:pPr>
            <w:r>
              <w:t>High allocation for renters (25% higher than random allocation)</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A8549D" w14:textId="77777777" w:rsidR="008073EF" w:rsidRPr="00BE4D9E" w:rsidRDefault="008073EF" w:rsidP="008073EF">
            <w:pPr>
              <w:pStyle w:val="TableDataEntries"/>
              <w:rPr>
                <w:szCs w:val="16"/>
              </w:rPr>
            </w:pPr>
            <w:r w:rsidRPr="00BE4D9E">
              <w:rPr>
                <w:szCs w:val="16"/>
              </w:rPr>
              <w:t xml:space="preserve"> 0.59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C2DCBD" w14:textId="77777777" w:rsidR="008073EF" w:rsidRPr="00BE4D9E" w:rsidRDefault="008073EF" w:rsidP="008073EF">
            <w:pPr>
              <w:pStyle w:val="TableDataEntries"/>
              <w:rPr>
                <w:szCs w:val="16"/>
              </w:rPr>
            </w:pPr>
            <w:r w:rsidRPr="00BE4D9E">
              <w:rPr>
                <w:szCs w:val="16"/>
              </w:rPr>
              <w:t xml:space="preserve"> 0.25</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9B3E14" w14:textId="77777777" w:rsidR="008073EF" w:rsidRPr="00BE4D9E" w:rsidRDefault="008073EF" w:rsidP="008073EF">
            <w:pPr>
              <w:pStyle w:val="TableDataEntries"/>
              <w:rPr>
                <w:szCs w:val="16"/>
              </w:rPr>
            </w:pPr>
            <w:r w:rsidRPr="00BE4D9E">
              <w:rPr>
                <w:szCs w:val="16"/>
              </w:rPr>
              <w:t xml:space="preserve"> 0.19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A9475A" w14:textId="77777777" w:rsidR="008073EF" w:rsidRPr="00BE4D9E" w:rsidRDefault="008073EF" w:rsidP="008073EF">
            <w:pPr>
              <w:pStyle w:val="TableDataEntries"/>
              <w:rPr>
                <w:szCs w:val="16"/>
              </w:rPr>
            </w:pPr>
            <w:r w:rsidRPr="00BE4D9E">
              <w:rPr>
                <w:szCs w:val="16"/>
              </w:rPr>
              <w:t xml:space="preserve"> 0.20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23297A" w14:textId="77777777" w:rsidR="008073EF" w:rsidRPr="00BE4D9E" w:rsidRDefault="008073EF" w:rsidP="008073EF">
            <w:pPr>
              <w:pStyle w:val="TableDataEntries"/>
              <w:rPr>
                <w:szCs w:val="16"/>
              </w:rPr>
            </w:pPr>
            <w:r w:rsidRPr="00BE4D9E">
              <w:rPr>
                <w:szCs w:val="16"/>
              </w:rPr>
              <w:t xml:space="preserve"> 4.27</w:t>
            </w:r>
          </w:p>
        </w:tc>
      </w:tr>
      <w:tr w:rsidR="008073EF" w14:paraId="03869A29"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8ADEDB" w14:textId="77777777" w:rsidR="008073EF" w:rsidRDefault="008073EF" w:rsidP="008073EF">
            <w:pPr>
              <w:pStyle w:val="TableDataEntries"/>
              <w:jc w:val="left"/>
            </w:pPr>
            <w:r>
              <w:t>Opportunity cost of space excluded</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9420C5" w14:textId="77777777" w:rsidR="008073EF" w:rsidRPr="00BE4D9E" w:rsidRDefault="008073EF" w:rsidP="008073EF">
            <w:pPr>
              <w:pStyle w:val="TableDataEntries"/>
              <w:rPr>
                <w:szCs w:val="16"/>
              </w:rPr>
            </w:pPr>
            <w:r w:rsidRPr="00BE4D9E">
              <w:rPr>
                <w:szCs w:val="16"/>
              </w:rPr>
              <w:t>0.58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B9FBA8" w14:textId="77777777" w:rsidR="008073EF" w:rsidRPr="00BE4D9E" w:rsidRDefault="008073EF" w:rsidP="008073EF">
            <w:pPr>
              <w:pStyle w:val="TableDataEntries"/>
              <w:rPr>
                <w:szCs w:val="16"/>
              </w:rPr>
            </w:pPr>
            <w:r w:rsidRPr="00BE4D9E">
              <w:rPr>
                <w:szCs w:val="16"/>
              </w:rPr>
              <w:t>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F850EB"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452F00"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28CE7E" w14:textId="77777777" w:rsidR="008073EF" w:rsidRPr="00BE4D9E" w:rsidRDefault="008073EF" w:rsidP="008073EF">
            <w:pPr>
              <w:pStyle w:val="TableDataEntries"/>
              <w:rPr>
                <w:szCs w:val="16"/>
              </w:rPr>
            </w:pPr>
            <w:r w:rsidRPr="00BE4D9E">
              <w:rPr>
                <w:szCs w:val="16"/>
              </w:rPr>
              <w:t>4.27</w:t>
            </w:r>
          </w:p>
        </w:tc>
      </w:tr>
      <w:tr w:rsidR="008073EF" w14:paraId="0B649386"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D4B6F6" w14:textId="77777777" w:rsidR="008073EF" w:rsidRDefault="008073EF" w:rsidP="008073EF">
            <w:pPr>
              <w:pStyle w:val="TableDataEntries"/>
              <w:jc w:val="left"/>
            </w:pPr>
            <w:r>
              <w:t>Low problem scenario</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7BF1AE" w14:textId="77777777" w:rsidR="008073EF" w:rsidRPr="00BE4D9E" w:rsidRDefault="008073EF" w:rsidP="008073EF">
            <w:pPr>
              <w:pStyle w:val="TableDataEntries"/>
              <w:rPr>
                <w:szCs w:val="16"/>
              </w:rPr>
            </w:pPr>
            <w:r w:rsidRPr="00BE4D9E">
              <w:rPr>
                <w:szCs w:val="16"/>
              </w:rPr>
              <w:t>0.50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F372C8" w14:textId="77777777" w:rsidR="008073EF" w:rsidRPr="00BE4D9E" w:rsidRDefault="008073EF" w:rsidP="008073EF">
            <w:pPr>
              <w:pStyle w:val="TableDataEntries"/>
              <w:rPr>
                <w:szCs w:val="16"/>
              </w:rPr>
            </w:pPr>
            <w:r w:rsidRPr="00BE4D9E">
              <w:rPr>
                <w:szCs w:val="16"/>
              </w:rPr>
              <w:t>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8742F0"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1FDAB1"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15622F" w14:textId="77777777" w:rsidR="008073EF" w:rsidRPr="00BE4D9E" w:rsidRDefault="008073EF" w:rsidP="008073EF">
            <w:pPr>
              <w:pStyle w:val="TableDataEntries"/>
              <w:rPr>
                <w:szCs w:val="16"/>
              </w:rPr>
            </w:pPr>
            <w:r w:rsidRPr="00BE4D9E">
              <w:rPr>
                <w:szCs w:val="16"/>
              </w:rPr>
              <w:t>4.27</w:t>
            </w:r>
          </w:p>
        </w:tc>
      </w:tr>
      <w:tr w:rsidR="008073EF" w14:paraId="53590EC3"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7C2544" w14:textId="77777777" w:rsidR="008073EF" w:rsidRDefault="008073EF" w:rsidP="008073EF">
            <w:pPr>
              <w:pStyle w:val="TableDataEntries"/>
              <w:jc w:val="left"/>
            </w:pPr>
            <w:r>
              <w:t>High problem scenario</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AE7446" w14:textId="77777777" w:rsidR="008073EF" w:rsidRPr="00BE4D9E" w:rsidRDefault="008073EF" w:rsidP="008073EF">
            <w:pPr>
              <w:pStyle w:val="TableDataEntries"/>
              <w:rPr>
                <w:szCs w:val="16"/>
              </w:rPr>
            </w:pPr>
            <w:r w:rsidRPr="00BE4D9E">
              <w:rPr>
                <w:szCs w:val="16"/>
              </w:rPr>
              <w:t>0.66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AF81B7" w14:textId="77777777" w:rsidR="008073EF" w:rsidRPr="00BE4D9E" w:rsidRDefault="008073EF" w:rsidP="008073EF">
            <w:pPr>
              <w:pStyle w:val="TableDataEntries"/>
              <w:rPr>
                <w:szCs w:val="16"/>
              </w:rPr>
            </w:pPr>
            <w:r w:rsidRPr="00BE4D9E">
              <w:rPr>
                <w:szCs w:val="16"/>
              </w:rPr>
              <w:t>0.32</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100C9E" w14:textId="77777777" w:rsidR="008073EF" w:rsidRPr="00BE4D9E" w:rsidRDefault="008073EF" w:rsidP="008073EF">
            <w:pPr>
              <w:pStyle w:val="TableDataEntries"/>
              <w:rPr>
                <w:szCs w:val="16"/>
              </w:rPr>
            </w:pPr>
            <w:r w:rsidRPr="00BE4D9E">
              <w:rPr>
                <w:szCs w:val="16"/>
              </w:rPr>
              <w:t>0.25</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C0D9A6" w14:textId="77777777" w:rsidR="008073EF" w:rsidRPr="00BE4D9E" w:rsidRDefault="008073EF" w:rsidP="008073EF">
            <w:pPr>
              <w:pStyle w:val="TableDataEntries"/>
              <w:rPr>
                <w:szCs w:val="16"/>
              </w:rPr>
            </w:pPr>
            <w:r w:rsidRPr="00BE4D9E">
              <w:rPr>
                <w:szCs w:val="16"/>
              </w:rPr>
              <w:t>0.47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6A7D63" w14:textId="77777777" w:rsidR="008073EF" w:rsidRPr="00BE4D9E" w:rsidRDefault="008073EF" w:rsidP="008073EF">
            <w:pPr>
              <w:pStyle w:val="TableDataEntries"/>
              <w:rPr>
                <w:szCs w:val="16"/>
              </w:rPr>
            </w:pPr>
            <w:r w:rsidRPr="00BE4D9E">
              <w:rPr>
                <w:szCs w:val="16"/>
              </w:rPr>
              <w:t>4.27</w:t>
            </w:r>
          </w:p>
        </w:tc>
      </w:tr>
      <w:tr w:rsidR="008073EF" w14:paraId="37F8AE80"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9839D7" w14:textId="77777777" w:rsidR="008073EF" w:rsidRDefault="008073EF" w:rsidP="008073EF">
            <w:pPr>
              <w:pStyle w:val="TableDataEntries"/>
              <w:jc w:val="left"/>
            </w:pPr>
            <w:r>
              <w:t>High VSL:</w:t>
            </w:r>
            <w:r w:rsidRPr="00356840">
              <w:rPr>
                <w:rStyle w:val="NoteLabel"/>
              </w:rPr>
              <w:t>a</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EFAF44" w14:textId="77777777" w:rsidR="008073EF" w:rsidRPr="00BE4D9E" w:rsidRDefault="008073EF" w:rsidP="008073EF">
            <w:pPr>
              <w:pStyle w:val="TableDataEntries"/>
              <w:rPr>
                <w:szCs w:val="16"/>
              </w:rPr>
            </w:pPr>
            <w:r w:rsidRPr="00BE4D9E">
              <w:rPr>
                <w:szCs w:val="16"/>
              </w:rPr>
              <w:t>0.43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23AC73"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9BB56E" w14:textId="77777777" w:rsidR="008073EF" w:rsidRPr="00BE4D9E" w:rsidRDefault="008073EF" w:rsidP="008073EF">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8C2E54" w14:textId="77777777" w:rsidR="008073EF" w:rsidRPr="00BE4D9E" w:rsidRDefault="008073EF" w:rsidP="008073EF">
            <w:pPr>
              <w:pStyle w:val="TableDataEntries"/>
              <w:rPr>
                <w:szCs w:val="16"/>
              </w:rPr>
            </w:pPr>
            <w:r w:rsidRPr="00BE4D9E">
              <w:rPr>
                <w:szCs w:val="16"/>
              </w:rPr>
              <w:t>0.14</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DA1F89" w14:textId="77777777" w:rsidR="008073EF" w:rsidRPr="00BE4D9E" w:rsidRDefault="008073EF" w:rsidP="008073EF">
            <w:pPr>
              <w:pStyle w:val="TableDataEntries"/>
              <w:rPr>
                <w:szCs w:val="16"/>
              </w:rPr>
            </w:pPr>
            <w:r w:rsidRPr="00BE4D9E">
              <w:rPr>
                <w:szCs w:val="16"/>
              </w:rPr>
              <w:t>3.69</w:t>
            </w:r>
          </w:p>
        </w:tc>
      </w:tr>
      <w:tr w:rsidR="008073EF" w14:paraId="2A36FC0E"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4B3545" w14:textId="77777777" w:rsidR="008073EF" w:rsidRDefault="008073EF" w:rsidP="008073EF">
            <w:pPr>
              <w:pStyle w:val="TableDataEntries"/>
              <w:jc w:val="left"/>
            </w:pPr>
            <w:r>
              <w:t>No adjustment for baseline effects (Additionality)</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4790EE" w14:textId="77777777" w:rsidR="008073EF" w:rsidRPr="00BE4D9E" w:rsidRDefault="008073EF" w:rsidP="008073EF">
            <w:pPr>
              <w:pStyle w:val="TableDataEntries"/>
              <w:rPr>
                <w:szCs w:val="16"/>
              </w:rPr>
            </w:pPr>
            <w:r w:rsidRPr="00BE4D9E">
              <w:rPr>
                <w:szCs w:val="16"/>
              </w:rPr>
              <w:t>0.77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8FAD69" w14:textId="77777777" w:rsidR="008073EF" w:rsidRPr="00BE4D9E" w:rsidRDefault="008073EF" w:rsidP="008073EF">
            <w:pPr>
              <w:pStyle w:val="TableDataEntries"/>
              <w:rPr>
                <w:szCs w:val="16"/>
              </w:rPr>
            </w:pPr>
            <w:r w:rsidRPr="00BE4D9E">
              <w:rPr>
                <w:szCs w:val="16"/>
              </w:rPr>
              <w:t>0.33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FC82C4" w14:textId="77777777" w:rsidR="008073EF" w:rsidRPr="00BE4D9E" w:rsidRDefault="008073EF" w:rsidP="008073EF">
            <w:pPr>
              <w:pStyle w:val="TableDataEntries"/>
              <w:rPr>
                <w:szCs w:val="16"/>
              </w:rPr>
            </w:pPr>
            <w:r w:rsidRPr="00BE4D9E">
              <w:rPr>
                <w:szCs w:val="16"/>
              </w:rPr>
              <w:t>0.26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316914" w14:textId="77777777" w:rsidR="008073EF" w:rsidRPr="00BE4D9E" w:rsidRDefault="008073EF" w:rsidP="008073EF">
            <w:pPr>
              <w:pStyle w:val="TableDataEntries"/>
              <w:rPr>
                <w:szCs w:val="16"/>
              </w:rPr>
            </w:pPr>
            <w:r w:rsidRPr="00BE4D9E">
              <w:rPr>
                <w:szCs w:val="16"/>
              </w:rPr>
              <w:t>0.27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98EFDE" w14:textId="77777777" w:rsidR="008073EF" w:rsidRPr="00BE4D9E" w:rsidRDefault="008073EF" w:rsidP="008073EF">
            <w:pPr>
              <w:pStyle w:val="TableDataEntries"/>
              <w:rPr>
                <w:szCs w:val="16"/>
              </w:rPr>
            </w:pPr>
            <w:r w:rsidRPr="00BE4D9E">
              <w:rPr>
                <w:szCs w:val="16"/>
              </w:rPr>
              <w:t>5.54</w:t>
            </w:r>
          </w:p>
        </w:tc>
      </w:tr>
      <w:tr w:rsidR="008073EF" w14:paraId="601CADB0"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067DA" w14:textId="77777777" w:rsidR="008073EF" w:rsidRDefault="008073EF" w:rsidP="008073EF">
            <w:pPr>
              <w:pStyle w:val="TableDataEntries"/>
              <w:jc w:val="left"/>
            </w:pPr>
            <w:r>
              <w:t>10%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4CC39A" w14:textId="77777777" w:rsidR="008073EF" w:rsidRPr="00BE4D9E" w:rsidRDefault="008073EF" w:rsidP="008073EF">
            <w:pPr>
              <w:pStyle w:val="TableDataEntries"/>
              <w:rPr>
                <w:szCs w:val="16"/>
              </w:rPr>
            </w:pPr>
            <w:r w:rsidRPr="00BE4D9E">
              <w:rPr>
                <w:szCs w:val="16"/>
              </w:rPr>
              <w:t>0.56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F8C7A2" w14:textId="77777777" w:rsidR="008073EF" w:rsidRPr="00BE4D9E" w:rsidRDefault="008073EF" w:rsidP="008073EF">
            <w:pPr>
              <w:pStyle w:val="TableDataEntries"/>
              <w:rPr>
                <w:szCs w:val="16"/>
              </w:rPr>
            </w:pPr>
            <w:r w:rsidRPr="00BE4D9E">
              <w:rPr>
                <w:szCs w:val="16"/>
              </w:rPr>
              <w:t>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0F5FC6"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DA2B8A"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C5034E" w14:textId="77777777" w:rsidR="008073EF" w:rsidRPr="00BE4D9E" w:rsidRDefault="008073EF" w:rsidP="008073EF">
            <w:pPr>
              <w:pStyle w:val="TableDataEntries"/>
              <w:rPr>
                <w:szCs w:val="16"/>
              </w:rPr>
            </w:pPr>
            <w:r w:rsidRPr="00BE4D9E">
              <w:rPr>
                <w:szCs w:val="16"/>
              </w:rPr>
              <w:t>4.27</w:t>
            </w:r>
          </w:p>
        </w:tc>
      </w:tr>
      <w:tr w:rsidR="008073EF" w14:paraId="73FA0568"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0176C" w14:textId="77777777" w:rsidR="008073EF" w:rsidRDefault="008073EF" w:rsidP="008073EF">
            <w:pPr>
              <w:pStyle w:val="TableDataEntries"/>
              <w:jc w:val="left"/>
            </w:pPr>
            <w:r>
              <w:t>5%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CF65F3" w14:textId="77777777" w:rsidR="008073EF" w:rsidRPr="00BE4D9E" w:rsidRDefault="008073EF" w:rsidP="008073EF">
            <w:pPr>
              <w:pStyle w:val="TableDataEntries"/>
              <w:rPr>
                <w:szCs w:val="16"/>
              </w:rPr>
            </w:pPr>
            <w:r w:rsidRPr="00BE4D9E">
              <w:rPr>
                <w:szCs w:val="16"/>
              </w:rPr>
              <w:t>0.51</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86DB58" w14:textId="77777777" w:rsidR="008073EF" w:rsidRPr="00BE4D9E" w:rsidRDefault="008073EF" w:rsidP="008073EF">
            <w:pPr>
              <w:pStyle w:val="TableDataEntries"/>
              <w:rPr>
                <w:szCs w:val="16"/>
              </w:rPr>
            </w:pPr>
            <w:r w:rsidRPr="00BE4D9E">
              <w:rPr>
                <w:szCs w:val="16"/>
              </w:rPr>
              <w:t>0.22</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997E0F"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85E88C"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36EB9F" w14:textId="77777777" w:rsidR="008073EF" w:rsidRPr="00BE4D9E" w:rsidRDefault="008073EF" w:rsidP="008073EF">
            <w:pPr>
              <w:pStyle w:val="TableDataEntries"/>
              <w:rPr>
                <w:szCs w:val="16"/>
              </w:rPr>
            </w:pPr>
            <w:r w:rsidRPr="00BE4D9E">
              <w:rPr>
                <w:szCs w:val="16"/>
              </w:rPr>
              <w:t>4.27</w:t>
            </w:r>
          </w:p>
        </w:tc>
      </w:tr>
      <w:tr w:rsidR="008073EF" w14:paraId="6942693B"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AE4E08" w14:textId="77777777" w:rsidR="008073EF" w:rsidRDefault="008073EF" w:rsidP="008073EF">
            <w:pPr>
              <w:pStyle w:val="TableDataEntries"/>
              <w:jc w:val="left"/>
            </w:pPr>
            <w:r>
              <w:t>3% discount rate</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F46E70" w14:textId="77777777" w:rsidR="008073EF" w:rsidRPr="00BE4D9E" w:rsidRDefault="008073EF" w:rsidP="008073EF">
            <w:pPr>
              <w:pStyle w:val="TableDataEntries"/>
              <w:rPr>
                <w:szCs w:val="16"/>
              </w:rPr>
            </w:pPr>
            <w:r w:rsidRPr="00BE4D9E">
              <w:rPr>
                <w:szCs w:val="16"/>
              </w:rPr>
              <w:t>0.55</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3D76E2" w14:textId="77777777" w:rsidR="008073EF" w:rsidRPr="00BE4D9E" w:rsidRDefault="008073EF" w:rsidP="008073EF">
            <w:pPr>
              <w:pStyle w:val="TableDataEntries"/>
              <w:rPr>
                <w:szCs w:val="16"/>
              </w:rPr>
            </w:pPr>
            <w:r w:rsidRPr="00BE4D9E">
              <w:rPr>
                <w:szCs w:val="16"/>
              </w:rPr>
              <w:t>0.23</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069EC9" w14:textId="77777777" w:rsidR="008073EF" w:rsidRPr="00BE4D9E" w:rsidRDefault="008073EF" w:rsidP="008073EF">
            <w:pPr>
              <w:pStyle w:val="TableDataEntries"/>
              <w:rPr>
                <w:szCs w:val="16"/>
              </w:rPr>
            </w:pPr>
            <w:r w:rsidRPr="00BE4D9E">
              <w:rPr>
                <w:szCs w:val="16"/>
              </w:rPr>
              <w:t>0.18</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0640F6" w14:textId="77777777" w:rsidR="008073EF" w:rsidRPr="00BE4D9E" w:rsidRDefault="008073EF" w:rsidP="008073EF">
            <w:pPr>
              <w:pStyle w:val="TableDataEntries"/>
              <w:rPr>
                <w:szCs w:val="16"/>
              </w:rPr>
            </w:pPr>
            <w:r w:rsidRPr="00BE4D9E">
              <w:rPr>
                <w:szCs w:val="16"/>
              </w:rPr>
              <w:t>0.19</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F70332" w14:textId="77777777" w:rsidR="008073EF" w:rsidRPr="00BE4D9E" w:rsidRDefault="008073EF" w:rsidP="008073EF">
            <w:pPr>
              <w:pStyle w:val="TableDataEntries"/>
              <w:rPr>
                <w:szCs w:val="16"/>
              </w:rPr>
            </w:pPr>
            <w:r w:rsidRPr="00BE4D9E">
              <w:rPr>
                <w:szCs w:val="16"/>
              </w:rPr>
              <w:t>4.30</w:t>
            </w:r>
          </w:p>
        </w:tc>
      </w:tr>
      <w:tr w:rsidR="008073EF" w14:paraId="126D9469" w14:textId="77777777" w:rsidTr="00A953AD">
        <w:trPr>
          <w:trHeight w:val="245"/>
        </w:trPr>
        <w:tc>
          <w:tcPr>
            <w:tcW w:w="3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CBF4FF" w14:textId="77777777" w:rsidR="008073EF" w:rsidRDefault="008073EF" w:rsidP="008073EF">
            <w:pPr>
              <w:pStyle w:val="TableDataEntries"/>
              <w:jc w:val="left"/>
            </w:pPr>
            <w:r>
              <w:t>20 year regulatory period</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829814" w14:textId="77777777" w:rsidR="008073EF" w:rsidRPr="00BE4D9E" w:rsidRDefault="008073EF" w:rsidP="008073EF">
            <w:pPr>
              <w:pStyle w:val="TableDataEntries"/>
              <w:rPr>
                <w:szCs w:val="16"/>
              </w:rPr>
            </w:pPr>
            <w:r w:rsidRPr="00BE4D9E">
              <w:rPr>
                <w:szCs w:val="16"/>
              </w:rPr>
              <w:t>0.77</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110F01" w14:textId="77777777" w:rsidR="008073EF" w:rsidRPr="00BE4D9E" w:rsidRDefault="008073EF" w:rsidP="008073EF">
            <w:pPr>
              <w:pStyle w:val="TableDataEntries"/>
              <w:rPr>
                <w:szCs w:val="16"/>
              </w:rPr>
            </w:pPr>
            <w:r w:rsidRPr="00BE4D9E">
              <w:rPr>
                <w:szCs w:val="16"/>
              </w:rPr>
              <w:t>0.26</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798E1A" w14:textId="77777777" w:rsidR="008073EF" w:rsidRPr="00BE4D9E" w:rsidRDefault="008073EF" w:rsidP="008073EF">
            <w:pPr>
              <w:pStyle w:val="TableDataEntries"/>
              <w:rPr>
                <w:szCs w:val="16"/>
              </w:rPr>
            </w:pPr>
            <w:r w:rsidRPr="00BE4D9E">
              <w:rPr>
                <w:szCs w:val="16"/>
              </w:rPr>
              <w:t>0.20</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4D5523" w14:textId="77777777" w:rsidR="008073EF" w:rsidRPr="00BE4D9E" w:rsidRDefault="008073EF" w:rsidP="008073EF">
            <w:pPr>
              <w:pStyle w:val="TableDataEntries"/>
              <w:rPr>
                <w:szCs w:val="16"/>
              </w:rPr>
            </w:pPr>
            <w:r w:rsidRPr="00BE4D9E">
              <w:rPr>
                <w:szCs w:val="16"/>
              </w:rPr>
              <w:t>0.21</w:t>
            </w:r>
          </w:p>
        </w:tc>
        <w:tc>
          <w:tcPr>
            <w:tcW w:w="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C7E373" w14:textId="77777777" w:rsidR="008073EF" w:rsidRPr="00BE4D9E" w:rsidRDefault="008073EF" w:rsidP="008073EF">
            <w:pPr>
              <w:pStyle w:val="TableDataEntries"/>
              <w:rPr>
                <w:szCs w:val="16"/>
              </w:rPr>
            </w:pPr>
            <w:r w:rsidRPr="00BE4D9E">
              <w:rPr>
                <w:szCs w:val="16"/>
              </w:rPr>
              <w:t>4.27</w:t>
            </w:r>
          </w:p>
        </w:tc>
      </w:tr>
      <w:tr w:rsidR="008073EF" w14:paraId="34F62269" w14:textId="77777777" w:rsidTr="00A953AD">
        <w:trPr>
          <w:trHeight w:val="245"/>
        </w:trPr>
        <w:tc>
          <w:tcPr>
            <w:tcW w:w="3127" w:type="dxa"/>
            <w:tcBorders>
              <w:top w:val="single" w:sz="8" w:space="0" w:color="FFFFFF" w:themeColor="background1"/>
              <w:bottom w:val="single" w:sz="6" w:space="0" w:color="6F6652"/>
            </w:tcBorders>
            <w:shd w:val="clear" w:color="auto" w:fill="E9E8E5" w:themeFill="background2"/>
            <w:tcMar>
              <w:left w:w="57" w:type="dxa"/>
              <w:right w:w="57" w:type="dxa"/>
            </w:tcMar>
          </w:tcPr>
          <w:p w14:paraId="10E34DA0" w14:textId="77777777" w:rsidR="008073EF" w:rsidRDefault="008073EF" w:rsidP="008073EF">
            <w:pPr>
              <w:pStyle w:val="TableDataEntries"/>
              <w:jc w:val="left"/>
            </w:pPr>
            <w:r>
              <w:t>50-year life of dwelling</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B259F8E" w14:textId="77777777" w:rsidR="008073EF" w:rsidRPr="00BE4D9E" w:rsidRDefault="008073EF" w:rsidP="008073EF">
            <w:pPr>
              <w:pStyle w:val="TableDataEntries"/>
              <w:rPr>
                <w:szCs w:val="16"/>
              </w:rPr>
            </w:pPr>
            <w:r w:rsidRPr="00BE4D9E">
              <w:rPr>
                <w:szCs w:val="16"/>
              </w:rPr>
              <w:t>0.41</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6D66FFC5" w14:textId="77777777" w:rsidR="008073EF" w:rsidRPr="00BE4D9E" w:rsidRDefault="008073EF" w:rsidP="008073EF">
            <w:pPr>
              <w:pStyle w:val="TableDataEntries"/>
              <w:rPr>
                <w:szCs w:val="16"/>
              </w:rPr>
            </w:pPr>
            <w:r w:rsidRPr="00BE4D9E">
              <w:rPr>
                <w:szCs w:val="16"/>
              </w:rPr>
              <w:t>0.17</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236F2C11" w14:textId="77777777" w:rsidR="008073EF" w:rsidRPr="00BE4D9E" w:rsidRDefault="008073EF" w:rsidP="008073EF">
            <w:pPr>
              <w:pStyle w:val="TableDataEntries"/>
              <w:rPr>
                <w:szCs w:val="16"/>
              </w:rPr>
            </w:pPr>
            <w:r w:rsidRPr="00BE4D9E">
              <w:rPr>
                <w:szCs w:val="16"/>
              </w:rPr>
              <w:t>0.13</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AFA599F" w14:textId="77777777" w:rsidR="008073EF" w:rsidRPr="00BE4D9E" w:rsidRDefault="008073EF" w:rsidP="008073EF">
            <w:pPr>
              <w:pStyle w:val="TableDataEntries"/>
              <w:rPr>
                <w:szCs w:val="16"/>
              </w:rPr>
            </w:pPr>
            <w:r w:rsidRPr="00BE4D9E">
              <w:rPr>
                <w:szCs w:val="16"/>
              </w:rPr>
              <w:t>0.14</w:t>
            </w:r>
          </w:p>
        </w:tc>
        <w:tc>
          <w:tcPr>
            <w:tcW w:w="96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14D139B" w14:textId="77777777" w:rsidR="008073EF" w:rsidRPr="00BE4D9E" w:rsidRDefault="008073EF" w:rsidP="008073EF">
            <w:pPr>
              <w:pStyle w:val="TableDataEntries"/>
              <w:rPr>
                <w:szCs w:val="16"/>
              </w:rPr>
            </w:pPr>
            <w:r w:rsidRPr="00BE4D9E">
              <w:rPr>
                <w:szCs w:val="16"/>
              </w:rPr>
              <w:t>4.20</w:t>
            </w:r>
          </w:p>
        </w:tc>
      </w:tr>
    </w:tbl>
    <w:p w14:paraId="6192EEC8" w14:textId="77777777" w:rsidR="003D239B" w:rsidRPr="00B53322" w:rsidRDefault="003D239B" w:rsidP="003D239B">
      <w:pPr>
        <w:pStyle w:val="Note"/>
      </w:pPr>
      <w:r w:rsidRPr="00E4232C">
        <w:rPr>
          <w:rStyle w:val="NoteLabel"/>
        </w:rPr>
        <w:t>a</w:t>
      </w:r>
      <w:r>
        <w:t xml:space="preserve"> </w:t>
      </w:r>
      <w:r w:rsidRPr="00B53322">
        <w:t>reflects the value of statistical life (VSL) suggested by Dalton and Carter (2020a)</w:t>
      </w:r>
      <w:r w:rsidR="00BD176C">
        <w:t>.</w:t>
      </w:r>
    </w:p>
    <w:p w14:paraId="5CDF6A49" w14:textId="77777777" w:rsidR="00A953AD" w:rsidRDefault="00A953AD" w:rsidP="00A953AD">
      <w:pPr>
        <w:pStyle w:val="Source"/>
        <w:rPr>
          <w:lang w:bidi="fa-IR"/>
        </w:rPr>
      </w:pPr>
      <w:r w:rsidRPr="00B53322">
        <w:rPr>
          <w:lang w:bidi="fa-IR"/>
        </w:rPr>
        <w:t>Source: CIE estimates</w:t>
      </w:r>
      <w:r>
        <w:rPr>
          <w:lang w:bidi="fa-IR"/>
        </w:rPr>
        <w:t>.</w:t>
      </w:r>
    </w:p>
    <w:p w14:paraId="01FD677D" w14:textId="77777777" w:rsidR="0039262C" w:rsidRDefault="0039262C" w:rsidP="0039262C">
      <w:pPr>
        <w:pStyle w:val="Heading3"/>
        <w:rPr>
          <w:lang w:bidi="fa-IR"/>
        </w:rPr>
      </w:pPr>
      <w:r>
        <w:rPr>
          <w:lang w:bidi="fa-IR"/>
        </w:rPr>
        <w:t>Key finding from sensitivity testing</w:t>
      </w:r>
    </w:p>
    <w:p w14:paraId="7177C846" w14:textId="77777777" w:rsidR="0039262C" w:rsidRDefault="0039262C" w:rsidP="0039262C">
      <w:pPr>
        <w:pStyle w:val="BodyText"/>
        <w:rPr>
          <w:lang w:bidi="fa-IR"/>
        </w:rPr>
      </w:pPr>
      <w:r>
        <w:rPr>
          <w:lang w:bidi="fa-IR"/>
        </w:rPr>
        <w:t xml:space="preserve">Key findings from the sensitivity and break-even analysis </w:t>
      </w:r>
      <w:r w:rsidR="00F01CDC">
        <w:rPr>
          <w:lang w:bidi="fa-IR"/>
        </w:rPr>
        <w:t xml:space="preserve">outlined above </w:t>
      </w:r>
      <w:r>
        <w:rPr>
          <w:lang w:bidi="fa-IR"/>
        </w:rPr>
        <w:t>are as follows.</w:t>
      </w:r>
    </w:p>
    <w:p w14:paraId="1B4B2988" w14:textId="77777777" w:rsidR="0039262C" w:rsidRDefault="0039262C" w:rsidP="0039262C">
      <w:pPr>
        <w:pStyle w:val="ListBullet"/>
        <w:numPr>
          <w:ilvl w:val="0"/>
          <w:numId w:val="16"/>
        </w:numPr>
        <w:rPr>
          <w:lang w:bidi="fa-IR"/>
        </w:rPr>
      </w:pPr>
      <w:r>
        <w:rPr>
          <w:lang w:bidi="fa-IR"/>
        </w:rPr>
        <w:t>When the community’s preference for more equitable housing outcomes for people with disability is included in the CBA, the costs are still estimated to outweigh the benefits. This is one way of incorporating benefits related to equity, human rights and social justice into CBA. However, weighing up these benefits against the net costs imposed on other members of the community is ultimately a matter for decision</w:t>
      </w:r>
      <w:r>
        <w:rPr>
          <w:lang w:bidi="fa-IR"/>
        </w:rPr>
        <w:noBreakHyphen/>
        <w:t>makers.</w:t>
      </w:r>
    </w:p>
    <w:p w14:paraId="2D8519CE" w14:textId="77777777" w:rsidR="0039262C" w:rsidRDefault="004D5744" w:rsidP="0039262C">
      <w:pPr>
        <w:pStyle w:val="ListBullet"/>
        <w:numPr>
          <w:ilvl w:val="0"/>
          <w:numId w:val="16"/>
        </w:numPr>
        <w:rPr>
          <w:lang w:bidi="fa-IR"/>
        </w:rPr>
      </w:pPr>
      <w:r>
        <w:rPr>
          <w:lang w:bidi="fa-IR"/>
        </w:rPr>
        <w:t>One of t</w:t>
      </w:r>
      <w:r w:rsidR="0039262C">
        <w:rPr>
          <w:lang w:bidi="fa-IR"/>
        </w:rPr>
        <w:t xml:space="preserve">he main unquantified benefits from more accessible housing relate to improved productivity and greater employment opportunities for those members of the community with accessibility needs. </w:t>
      </w:r>
      <w:r w:rsidR="00F01CDC">
        <w:rPr>
          <w:lang w:bidi="fa-IR"/>
        </w:rPr>
        <w:t>Even though t</w:t>
      </w:r>
      <w:r w:rsidR="0039262C">
        <w:rPr>
          <w:lang w:bidi="fa-IR"/>
        </w:rPr>
        <w:t>hese employment</w:t>
      </w:r>
      <w:r w:rsidR="0039262C">
        <w:rPr>
          <w:lang w:bidi="fa-IR"/>
        </w:rPr>
        <w:noBreakHyphen/>
        <w:t>related benefits could be significant</w:t>
      </w:r>
      <w:r w:rsidR="00F01CDC">
        <w:rPr>
          <w:lang w:bidi="fa-IR"/>
        </w:rPr>
        <w:t>,</w:t>
      </w:r>
      <w:r w:rsidR="0039262C">
        <w:rPr>
          <w:lang w:bidi="fa-IR"/>
        </w:rPr>
        <w:t xml:space="preserve"> </w:t>
      </w:r>
      <w:r w:rsidR="00F01CDC">
        <w:rPr>
          <w:lang w:bidi="fa-IR"/>
        </w:rPr>
        <w:t xml:space="preserve">the analysis shows </w:t>
      </w:r>
      <w:r w:rsidR="0039262C">
        <w:rPr>
          <w:lang w:bidi="fa-IR"/>
        </w:rPr>
        <w:t>they are unlikely to be sufficiently large to change the outcome of the CBA.</w:t>
      </w:r>
    </w:p>
    <w:p w14:paraId="663BADAE" w14:textId="77777777" w:rsidR="0039262C" w:rsidRDefault="0039262C" w:rsidP="0039262C">
      <w:pPr>
        <w:pStyle w:val="ListBullet"/>
        <w:numPr>
          <w:ilvl w:val="0"/>
          <w:numId w:val="16"/>
        </w:numPr>
        <w:rPr>
          <w:lang w:bidi="fa-IR"/>
        </w:rPr>
      </w:pPr>
      <w:r>
        <w:rPr>
          <w:lang w:bidi="fa-IR"/>
        </w:rPr>
        <w:t xml:space="preserve">Under all scenarios </w:t>
      </w:r>
      <w:r w:rsidR="00953B78">
        <w:rPr>
          <w:lang w:bidi="fa-IR"/>
        </w:rPr>
        <w:t xml:space="preserve">outlined above and </w:t>
      </w:r>
      <w:r>
        <w:rPr>
          <w:lang w:bidi="fa-IR"/>
        </w:rPr>
        <w:t>tested, the costs associated with all of the NCC options are estimated to outweigh the benefits</w:t>
      </w:r>
      <w:r w:rsidR="00953B78">
        <w:rPr>
          <w:lang w:bidi="fa-IR"/>
        </w:rPr>
        <w:t>, suggesting</w:t>
      </w:r>
      <w:r>
        <w:rPr>
          <w:lang w:bidi="fa-IR"/>
        </w:rPr>
        <w:t xml:space="preserve"> that this finding is reasonably robust.</w:t>
      </w:r>
    </w:p>
    <w:p w14:paraId="1A82CEBF" w14:textId="77777777" w:rsidR="00CC085F" w:rsidRDefault="00CC085F" w:rsidP="00CC085F">
      <w:pPr>
        <w:pStyle w:val="ListBullet2"/>
        <w:rPr>
          <w:lang w:bidi="fa-IR"/>
        </w:rPr>
      </w:pPr>
      <w:r>
        <w:rPr>
          <w:lang w:bidi="fa-IR"/>
        </w:rPr>
        <w:t xml:space="preserve">The CBA results are generally relatively sensitive to the assumptions around </w:t>
      </w:r>
      <w:r w:rsidR="008035E1">
        <w:rPr>
          <w:lang w:bidi="fa-IR"/>
        </w:rPr>
        <w:t xml:space="preserve">market </w:t>
      </w:r>
      <w:r>
        <w:rPr>
          <w:lang w:bidi="fa-IR"/>
        </w:rPr>
        <w:t>allocation, which is a key area of uncertainty.</w:t>
      </w:r>
    </w:p>
    <w:p w14:paraId="27422365" w14:textId="77777777" w:rsidR="00CC085F" w:rsidRDefault="00CC085F" w:rsidP="00CC085F">
      <w:pPr>
        <w:pStyle w:val="ListBullet2"/>
        <w:rPr>
          <w:lang w:bidi="fa-IR"/>
        </w:rPr>
      </w:pPr>
      <w:r>
        <w:rPr>
          <w:lang w:bidi="fa-IR"/>
        </w:rPr>
        <w:t>Extending the period over which the proposed regul</w:t>
      </w:r>
      <w:r w:rsidR="0059143D">
        <w:rPr>
          <w:lang w:bidi="fa-IR"/>
        </w:rPr>
        <w:t>atory change</w:t>
      </w:r>
      <w:r>
        <w:rPr>
          <w:lang w:bidi="fa-IR"/>
        </w:rPr>
        <w:t xml:space="preserve"> are analysed tends to </w:t>
      </w:r>
      <w:r w:rsidR="0059143D">
        <w:rPr>
          <w:lang w:bidi="fa-IR"/>
        </w:rPr>
        <w:t xml:space="preserve">result in a modest </w:t>
      </w:r>
      <w:r>
        <w:rPr>
          <w:lang w:bidi="fa-IR"/>
        </w:rPr>
        <w:t>improve</w:t>
      </w:r>
      <w:r w:rsidR="0059143D">
        <w:rPr>
          <w:lang w:bidi="fa-IR"/>
        </w:rPr>
        <w:t>ment in</w:t>
      </w:r>
      <w:r>
        <w:rPr>
          <w:lang w:bidi="fa-IR"/>
        </w:rPr>
        <w:t xml:space="preserve"> </w:t>
      </w:r>
      <w:r w:rsidR="0059143D">
        <w:rPr>
          <w:lang w:bidi="fa-IR"/>
        </w:rPr>
        <w:t xml:space="preserve">the </w:t>
      </w:r>
      <w:r>
        <w:rPr>
          <w:lang w:bidi="fa-IR"/>
        </w:rPr>
        <w:t xml:space="preserve">CBA results. This reflects </w:t>
      </w:r>
      <w:r w:rsidR="0059143D">
        <w:rPr>
          <w:lang w:bidi="fa-IR"/>
        </w:rPr>
        <w:t xml:space="preserve">two factors: </w:t>
      </w:r>
      <w:r>
        <w:rPr>
          <w:lang w:bidi="fa-IR"/>
        </w:rPr>
        <w:t>the size of the problem</w:t>
      </w:r>
      <w:r w:rsidR="0059143D">
        <w:rPr>
          <w:lang w:bidi="fa-IR"/>
        </w:rPr>
        <w:t xml:space="preserve"> is estimated to increase over time;</w:t>
      </w:r>
      <w:r>
        <w:rPr>
          <w:lang w:bidi="fa-IR"/>
        </w:rPr>
        <w:t xml:space="preserve"> and </w:t>
      </w:r>
      <w:r w:rsidR="0059143D">
        <w:rPr>
          <w:lang w:bidi="fa-IR"/>
        </w:rPr>
        <w:t xml:space="preserve">changes to the NCC become more effective in addressing the problem as the share of accessible dwellings in the </w:t>
      </w:r>
      <w:r w:rsidR="008035E1">
        <w:rPr>
          <w:lang w:bidi="fa-IR"/>
        </w:rPr>
        <w:t xml:space="preserve">housing </w:t>
      </w:r>
      <w:r w:rsidR="0059143D">
        <w:rPr>
          <w:lang w:bidi="fa-IR"/>
        </w:rPr>
        <w:t>stock increases.</w:t>
      </w:r>
    </w:p>
    <w:p w14:paraId="2F54A166" w14:textId="77777777" w:rsidR="00615D78" w:rsidRDefault="00615D78" w:rsidP="0039262C">
      <w:pPr>
        <w:pStyle w:val="ListBullet"/>
        <w:numPr>
          <w:ilvl w:val="0"/>
          <w:numId w:val="16"/>
        </w:numPr>
        <w:rPr>
          <w:lang w:bidi="fa-IR"/>
        </w:rPr>
      </w:pPr>
      <w:r>
        <w:rPr>
          <w:lang w:bidi="fa-IR"/>
        </w:rPr>
        <w:t>For the breakeven figure to be achieved the cost of Options 1-4 would need to have been significantly overestimated</w:t>
      </w:r>
      <w:r w:rsidR="00A84878">
        <w:rPr>
          <w:lang w:bidi="fa-IR"/>
        </w:rPr>
        <w:t>,</w:t>
      </w:r>
      <w:r>
        <w:rPr>
          <w:lang w:bidi="fa-IR"/>
        </w:rPr>
        <w:t xml:space="preserve"> </w:t>
      </w:r>
      <w:r w:rsidR="00A84878">
        <w:rPr>
          <w:lang w:bidi="fa-IR"/>
        </w:rPr>
        <w:t>a</w:t>
      </w:r>
      <w:r>
        <w:rPr>
          <w:lang w:bidi="fa-IR"/>
        </w:rPr>
        <w:t xml:space="preserve">s changes to the weightings would imply greater </w:t>
      </w:r>
      <w:r>
        <w:rPr>
          <w:lang w:bidi="fa-IR"/>
        </w:rPr>
        <w:lastRenderedPageBreak/>
        <w:t xml:space="preserve">provision of particular design features under the baseline </w:t>
      </w:r>
      <w:r w:rsidR="008035E1">
        <w:rPr>
          <w:lang w:bidi="fa-IR"/>
        </w:rPr>
        <w:t xml:space="preserve">would </w:t>
      </w:r>
      <w:r>
        <w:rPr>
          <w:lang w:bidi="fa-IR"/>
        </w:rPr>
        <w:t>counteract the benefits from mandating these features</w:t>
      </w:r>
      <w:r w:rsidR="00A84878">
        <w:rPr>
          <w:lang w:bidi="fa-IR"/>
        </w:rPr>
        <w:t xml:space="preserve">. This is considered </w:t>
      </w:r>
      <w:r w:rsidR="00A84878" w:rsidRPr="00953B78">
        <w:rPr>
          <w:lang w:bidi="fa-IR"/>
        </w:rPr>
        <w:t>to be unlikely</w:t>
      </w:r>
      <w:r w:rsidR="00A953AD" w:rsidRPr="00953B78">
        <w:rPr>
          <w:lang w:bidi="fa-IR"/>
        </w:rPr>
        <w:t>.</w:t>
      </w:r>
    </w:p>
    <w:p w14:paraId="5CC09960" w14:textId="77777777" w:rsidR="0039262C" w:rsidRDefault="0039262C" w:rsidP="0039262C">
      <w:pPr>
        <w:pStyle w:val="ListBullet"/>
        <w:numPr>
          <w:ilvl w:val="0"/>
          <w:numId w:val="16"/>
        </w:numPr>
        <w:rPr>
          <w:lang w:bidi="fa-IR"/>
        </w:rPr>
      </w:pPr>
      <w:r>
        <w:rPr>
          <w:lang w:bidi="fa-IR"/>
        </w:rPr>
        <w:t>On the other hand, the benefits associated with a subsidy program to provide accessible housing for renters with mobility</w:t>
      </w:r>
      <w:r>
        <w:rPr>
          <w:lang w:bidi="fa-IR"/>
        </w:rPr>
        <w:noBreakHyphen/>
        <w:t xml:space="preserve">related disability is estimated to outweigh the costs under all scenarios tested. Although this option is outside </w:t>
      </w:r>
      <w:r w:rsidR="00BE4D9E">
        <w:rPr>
          <w:lang w:bidi="fa-IR"/>
        </w:rPr>
        <w:t xml:space="preserve">the </w:t>
      </w:r>
      <w:r>
        <w:rPr>
          <w:lang w:bidi="fa-IR"/>
        </w:rPr>
        <w:t>ABCB’s area of responsibility,</w:t>
      </w:r>
      <w:r w:rsidR="002955AB">
        <w:rPr>
          <w:lang w:bidi="fa-IR"/>
        </w:rPr>
        <w:t xml:space="preserve"> it is included as an alternative non-regulatory option as opposed to the regulatory options (Options 1 to 4).</w:t>
      </w:r>
      <w:r>
        <w:rPr>
          <w:lang w:bidi="fa-IR"/>
        </w:rPr>
        <w:t xml:space="preserve"> </w:t>
      </w:r>
      <w:r w:rsidR="002955AB">
        <w:rPr>
          <w:lang w:bidi="fa-IR"/>
        </w:rPr>
        <w:t>The</w:t>
      </w:r>
      <w:r>
        <w:rPr>
          <w:lang w:bidi="fa-IR"/>
        </w:rPr>
        <w:t xml:space="preserve"> finding suggests that a more targeted approach to addressing the issue of a lack of accessible rental properties is likely to be more cost</w:t>
      </w:r>
      <w:r>
        <w:rPr>
          <w:lang w:bidi="fa-IR"/>
        </w:rPr>
        <w:noBreakHyphen/>
        <w:t>effective than changing the NCC</w:t>
      </w:r>
      <w:r w:rsidR="006B0EAD">
        <w:rPr>
          <w:lang w:bidi="fa-IR"/>
        </w:rPr>
        <w:t>, but the option has not been subject to a detailed, operational analysis</w:t>
      </w:r>
      <w:r>
        <w:rPr>
          <w:lang w:bidi="fa-IR"/>
        </w:rPr>
        <w:t xml:space="preserve">. </w:t>
      </w:r>
      <w:r w:rsidR="00953B78">
        <w:rPr>
          <w:lang w:bidi="fa-IR"/>
        </w:rPr>
        <w:t xml:space="preserve">As </w:t>
      </w:r>
      <w:r>
        <w:rPr>
          <w:lang w:bidi="fa-IR"/>
        </w:rPr>
        <w:t xml:space="preserve">this approach </w:t>
      </w:r>
      <w:r w:rsidR="00953B78">
        <w:rPr>
          <w:lang w:bidi="fa-IR"/>
        </w:rPr>
        <w:t>is targeting a limited number of rental properties,</w:t>
      </w:r>
      <w:r>
        <w:rPr>
          <w:lang w:bidi="fa-IR"/>
        </w:rPr>
        <w:t xml:space="preserve"> </w:t>
      </w:r>
      <w:r w:rsidR="00953B78">
        <w:rPr>
          <w:lang w:bidi="fa-IR"/>
        </w:rPr>
        <w:t xml:space="preserve">it would not fully address </w:t>
      </w:r>
      <w:r>
        <w:rPr>
          <w:lang w:bidi="fa-IR"/>
        </w:rPr>
        <w:t>visitability issues</w:t>
      </w:r>
      <w:r w:rsidR="00953B78">
        <w:rPr>
          <w:lang w:bidi="fa-IR"/>
        </w:rPr>
        <w:t xml:space="preserve"> which would require all dwellings </w:t>
      </w:r>
      <w:r w:rsidR="008035E1">
        <w:rPr>
          <w:lang w:bidi="fa-IR"/>
        </w:rPr>
        <w:t>to be</w:t>
      </w:r>
      <w:r w:rsidR="00953B78">
        <w:rPr>
          <w:lang w:bidi="fa-IR"/>
        </w:rPr>
        <w:t xml:space="preserve"> accessible</w:t>
      </w:r>
      <w:r>
        <w:rPr>
          <w:lang w:bidi="fa-IR"/>
        </w:rPr>
        <w:t>.</w:t>
      </w:r>
    </w:p>
    <w:p w14:paraId="63C8D11D" w14:textId="77777777" w:rsidR="002955AB" w:rsidRDefault="002955AB" w:rsidP="0039262C">
      <w:pPr>
        <w:pStyle w:val="BodyText"/>
        <w:rPr>
          <w:lang w:bidi="fa-IR"/>
        </w:rPr>
      </w:pPr>
      <w:r>
        <w:rPr>
          <w:lang w:bidi="fa-IR"/>
        </w:rPr>
        <w:t>These findings will be discussed in the next chapter to form the conclusion of the RIS.</w:t>
      </w:r>
    </w:p>
    <w:p w14:paraId="2A0B2C30" w14:textId="77777777" w:rsidR="004E736E" w:rsidRPr="004C5AA6" w:rsidRDefault="004E736E" w:rsidP="005B0289">
      <w:pPr>
        <w:pStyle w:val="Heading1"/>
      </w:pPr>
      <w:bookmarkStart w:id="536" w:name="_Toc70505130"/>
      <w:bookmarkEnd w:id="522"/>
      <w:r w:rsidRPr="004C5AA6">
        <w:lastRenderedPageBreak/>
        <w:t>Conclusions</w:t>
      </w:r>
      <w:bookmarkEnd w:id="536"/>
    </w:p>
    <w:p w14:paraId="09AB0170" w14:textId="77777777" w:rsidR="004E736E" w:rsidRPr="004C5AA6" w:rsidRDefault="00AB4FA6" w:rsidP="00F11AF4">
      <w:pPr>
        <w:pStyle w:val="Heading2"/>
        <w:numPr>
          <w:ilvl w:val="1"/>
          <w:numId w:val="5"/>
        </w:numPr>
      </w:pPr>
      <w:bookmarkStart w:id="537" w:name="_Toc70505131"/>
      <w:r>
        <w:t>Inaccessible housing is a significant problem</w:t>
      </w:r>
      <w:bookmarkEnd w:id="537"/>
    </w:p>
    <w:p w14:paraId="0062CA8E" w14:textId="77777777" w:rsidR="0088031C" w:rsidRDefault="0088031C" w:rsidP="006C5856">
      <w:pPr>
        <w:pStyle w:val="BodyText"/>
        <w:rPr>
          <w:lang w:bidi="fa-IR"/>
        </w:rPr>
      </w:pPr>
      <w:r>
        <w:rPr>
          <w:lang w:bidi="fa-IR"/>
        </w:rPr>
        <w:t xml:space="preserve">The costs associated with inaccessible </w:t>
      </w:r>
      <w:r w:rsidR="00A40051">
        <w:rPr>
          <w:lang w:bidi="fa-IR"/>
        </w:rPr>
        <w:t xml:space="preserve">housing </w:t>
      </w:r>
      <w:r>
        <w:rPr>
          <w:lang w:bidi="fa-IR"/>
        </w:rPr>
        <w:t>are a large and growing problem for the community. More than 3 million Australians have a mobility limitation and/or a self</w:t>
      </w:r>
      <w:r>
        <w:rPr>
          <w:lang w:bidi="fa-IR"/>
        </w:rPr>
        <w:noBreakHyphen/>
        <w:t>care limitation due to disability, with more than 90 per cent living within the community.</w:t>
      </w:r>
      <w:r w:rsidR="00DC43F3">
        <w:rPr>
          <w:rStyle w:val="FootnoteReference"/>
          <w:lang w:bidi="fa-IR"/>
        </w:rPr>
        <w:footnoteReference w:id="247"/>
      </w:r>
      <w:r w:rsidR="00F109CF">
        <w:rPr>
          <w:lang w:bidi="fa-IR"/>
        </w:rPr>
        <w:t xml:space="preserve"> This is</w:t>
      </w:r>
      <w:r>
        <w:rPr>
          <w:lang w:bidi="fa-IR"/>
        </w:rPr>
        <w:t xml:space="preserve"> estimated to increase to around 4.5 million people by 2040.</w:t>
      </w:r>
    </w:p>
    <w:p w14:paraId="69016B25" w14:textId="77777777" w:rsidR="00822A20" w:rsidRDefault="003202E9" w:rsidP="006C5856">
      <w:pPr>
        <w:pStyle w:val="BodyText"/>
        <w:rPr>
          <w:lang w:bidi="fa-IR"/>
        </w:rPr>
      </w:pPr>
      <w:r>
        <w:rPr>
          <w:lang w:bidi="fa-IR"/>
        </w:rPr>
        <w:t>Despite their disability, more than 80 per cent of people with limited mobility living in the community have no difficulty moving around their residence,</w:t>
      </w:r>
      <w:r w:rsidR="00C612B9">
        <w:rPr>
          <w:rStyle w:val="FootnoteReference"/>
          <w:lang w:bidi="fa-IR"/>
        </w:rPr>
        <w:footnoteReference w:id="248"/>
      </w:r>
      <w:r>
        <w:rPr>
          <w:lang w:bidi="fa-IR"/>
        </w:rPr>
        <w:t xml:space="preserve"> suggesting that their housing generally meets their needs.</w:t>
      </w:r>
      <w:r w:rsidR="00DC3D2A">
        <w:rPr>
          <w:lang w:bidi="fa-IR"/>
        </w:rPr>
        <w:t xml:space="preserve"> </w:t>
      </w:r>
    </w:p>
    <w:p w14:paraId="7678682B" w14:textId="77777777" w:rsidR="003202E9" w:rsidRDefault="00DC3D2A" w:rsidP="006C5856">
      <w:pPr>
        <w:pStyle w:val="BodyText"/>
        <w:rPr>
          <w:lang w:bidi="fa-IR"/>
        </w:rPr>
      </w:pPr>
      <w:r>
        <w:rPr>
          <w:lang w:bidi="fa-IR"/>
        </w:rPr>
        <w:t>Table 9.1 reports the estimated number of people who may be affected by inaccessible housing</w:t>
      </w:r>
      <w:r w:rsidR="00822A20">
        <w:rPr>
          <w:lang w:bidi="fa-IR"/>
        </w:rPr>
        <w:t xml:space="preserve"> with respect to the type of problems associated with inaccessibility. The numbers across problem type are not additive because one person may have multiple problems.</w:t>
      </w:r>
    </w:p>
    <w:p w14:paraId="04414045" w14:textId="081DD86F" w:rsidR="00DC3D2A" w:rsidRDefault="00BD17F9" w:rsidP="00DC3D2A">
      <w:pPr>
        <w:pStyle w:val="Caption"/>
      </w:pPr>
      <w:bookmarkStart w:id="538" w:name="_Toc70505595"/>
      <w:r>
        <w:t>9.1</w:t>
      </w:r>
      <w:r w:rsidR="00DC3D2A" w:rsidRPr="00695C93">
        <w:tab/>
      </w:r>
      <w:r w:rsidR="00DC3D2A">
        <w:t xml:space="preserve">Number of people affected by </w:t>
      </w:r>
      <w:r w:rsidR="00E00422">
        <w:t>lack of accessible</w:t>
      </w:r>
      <w:r w:rsidR="00DC3D2A">
        <w:t xml:space="preserve"> housing per year</w:t>
      </w:r>
      <w:bookmarkEnd w:id="538"/>
    </w:p>
    <w:tbl>
      <w:tblPr>
        <w:tblW w:w="0" w:type="auto"/>
        <w:tblLayout w:type="fixed"/>
        <w:tblLook w:val="0000" w:firstRow="0" w:lastRow="0" w:firstColumn="0" w:lastColumn="0" w:noHBand="0" w:noVBand="0"/>
        <w:tblCaption w:val="Table 9.1: Number of people affected by inaccessible housing per year"/>
        <w:tblDescription w:val="Table 9.1 reports the estimated number of people who may be affected by inaccessible housing with respect to the type of problems associated with inaccessibility. People may have multiple problems. The most significant number of people are affected by quality of life problems (554,400), additional carer-related costs (453,400) and safety-related costs (325,100)."/>
      </w:tblPr>
      <w:tblGrid>
        <w:gridCol w:w="3968"/>
        <w:gridCol w:w="3969"/>
      </w:tblGrid>
      <w:tr w:rsidR="00DC3D2A" w14:paraId="7772900C" w14:textId="77777777" w:rsidTr="00DC3D2A">
        <w:tc>
          <w:tcPr>
            <w:tcW w:w="3968" w:type="dxa"/>
            <w:tcBorders>
              <w:bottom w:val="single" w:sz="8" w:space="0" w:color="FFFFFF" w:themeColor="background1"/>
            </w:tcBorders>
            <w:shd w:val="clear" w:color="auto" w:fill="6F6652"/>
            <w:tcMar>
              <w:left w:w="57" w:type="dxa"/>
              <w:right w:w="57" w:type="dxa"/>
            </w:tcMar>
          </w:tcPr>
          <w:p w14:paraId="564B5A47" w14:textId="77777777" w:rsidR="00DC3D2A" w:rsidRDefault="00DC3D2A" w:rsidP="00DC3D2A">
            <w:pPr>
              <w:pStyle w:val="TableTextColumnHeading"/>
            </w:pPr>
            <w:r>
              <w:t>Problem</w:t>
            </w:r>
          </w:p>
        </w:tc>
        <w:tc>
          <w:tcPr>
            <w:tcW w:w="3969" w:type="dxa"/>
            <w:tcBorders>
              <w:bottom w:val="single" w:sz="8" w:space="0" w:color="FFFFFF" w:themeColor="background1"/>
            </w:tcBorders>
            <w:shd w:val="clear" w:color="auto" w:fill="6F6652"/>
            <w:tcMar>
              <w:left w:w="57" w:type="dxa"/>
              <w:right w:w="57" w:type="dxa"/>
            </w:tcMar>
          </w:tcPr>
          <w:p w14:paraId="23D32D03" w14:textId="77777777" w:rsidR="00DC3D2A" w:rsidRDefault="00DC3D2A" w:rsidP="00DC3D2A">
            <w:pPr>
              <w:pStyle w:val="TableTextColumnHeading"/>
            </w:pPr>
            <w:r>
              <w:t>Estimated number of people affected per year</w:t>
            </w:r>
          </w:p>
        </w:tc>
      </w:tr>
      <w:tr w:rsidR="00DC3D2A" w14:paraId="6530ADC8"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D12E6" w14:textId="77777777" w:rsidR="00DC3D2A" w:rsidRDefault="00DC3D2A" w:rsidP="00DC3D2A">
            <w:pPr>
              <w:pStyle w:val="TableTextEntries"/>
            </w:pPr>
            <w:r>
              <w:t>Safety-</w:t>
            </w:r>
            <w:r w:rsidR="00E00422">
              <w:t>risks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9AC2D1" w14:textId="77777777" w:rsidR="00DC3D2A" w:rsidRDefault="00DC3D2A" w:rsidP="00DC3D2A">
            <w:pPr>
              <w:pStyle w:val="TableTextEntries"/>
            </w:pPr>
            <w:r>
              <w:t>325 100</w:t>
            </w:r>
          </w:p>
        </w:tc>
      </w:tr>
      <w:tr w:rsidR="00DC3D2A" w14:paraId="596ED149"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87BF94" w14:textId="77777777" w:rsidR="00DC3D2A" w:rsidRDefault="00DC3D2A" w:rsidP="00DC3D2A">
            <w:pPr>
              <w:pStyle w:val="TableTextEntries"/>
            </w:pPr>
            <w:r>
              <w:t>Additional care</w:t>
            </w:r>
            <w:r w:rsidR="00E00422">
              <w:t xml:space="preserve"> needs</w:t>
            </w:r>
            <w:r w:rsidRPr="00E4232C">
              <w:rPr>
                <w:rStyle w:val="NoteLabel"/>
              </w:rPr>
              <w:t xml:space="preserve"> </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CD5626" w14:textId="77777777" w:rsidR="00DC3D2A" w:rsidRDefault="00DC3D2A" w:rsidP="00DC3D2A">
            <w:pPr>
              <w:pStyle w:val="TableTextEntries"/>
            </w:pPr>
            <w:r>
              <w:t>453 400</w:t>
            </w:r>
            <w:r w:rsidRPr="00E4232C">
              <w:rPr>
                <w:rStyle w:val="NoteLabel"/>
              </w:rPr>
              <w:t xml:space="preserve"> </w:t>
            </w:r>
          </w:p>
        </w:tc>
      </w:tr>
      <w:tr w:rsidR="00DC3D2A" w14:paraId="62470881"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5FC36D" w14:textId="77777777" w:rsidR="00DC3D2A" w:rsidRDefault="00DC3D2A" w:rsidP="00DC3D2A">
            <w:pPr>
              <w:pStyle w:val="TableTextEntries"/>
            </w:pPr>
            <w:r>
              <w:t>Quality of life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8E145" w14:textId="77777777" w:rsidR="00DC3D2A" w:rsidRDefault="00DC3D2A" w:rsidP="00DC3D2A">
            <w:pPr>
              <w:pStyle w:val="TableTextEntries"/>
            </w:pPr>
            <w:r>
              <w:t>554 400</w:t>
            </w:r>
          </w:p>
        </w:tc>
      </w:tr>
      <w:tr w:rsidR="00DC3D2A" w14:paraId="11052CE6"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1E2131" w14:textId="77777777" w:rsidR="00DC3D2A" w:rsidRDefault="00DC3D2A" w:rsidP="00DC3D2A">
            <w:pPr>
              <w:pStyle w:val="TableTextEntries"/>
            </w:pPr>
            <w:r>
              <w:t>Additional time in hospital/transition care</w:t>
            </w:r>
            <w:r w:rsidRPr="00E4232C">
              <w:rPr>
                <w:rStyle w:val="NoteLabel"/>
              </w:rPr>
              <w:t xml:space="preserve"> </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EC36F5" w14:textId="77777777" w:rsidR="00DC3D2A" w:rsidRDefault="00DC3D2A" w:rsidP="00DC3D2A">
            <w:pPr>
              <w:pStyle w:val="TableTextEntries"/>
            </w:pPr>
            <w:r>
              <w:t>159 900</w:t>
            </w:r>
          </w:p>
        </w:tc>
      </w:tr>
      <w:tr w:rsidR="00DC3D2A" w14:paraId="1E27C08D"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982982" w14:textId="77777777" w:rsidR="00DC3D2A" w:rsidRDefault="00DC3D2A" w:rsidP="00DC3D2A">
            <w:pPr>
              <w:pStyle w:val="TableTextEntries"/>
            </w:pPr>
            <w:r>
              <w:t>Home modifications</w:t>
            </w:r>
            <w:r w:rsidR="00E00422">
              <w:t xml:space="preserve"> per annu</w:t>
            </w:r>
            <w:r w:rsidR="00E52D3D">
              <w:t>m</w:t>
            </w:r>
            <w:r>
              <w:rPr>
                <w:rStyle w:val="NoteLabel"/>
              </w:rPr>
              <w:t xml:space="preserve"> a</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7D0B4F" w14:textId="77777777" w:rsidR="00DC3D2A" w:rsidRPr="0013651D" w:rsidRDefault="00DC3D2A" w:rsidP="00DC3D2A">
            <w:pPr>
              <w:pStyle w:val="TableTextEntries"/>
            </w:pPr>
            <w:r w:rsidRPr="0013651D">
              <w:t>21 790</w:t>
            </w:r>
          </w:p>
        </w:tc>
      </w:tr>
      <w:tr w:rsidR="00DC3D2A" w14:paraId="5E0D6B41"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129598" w14:textId="77777777" w:rsidR="00DC3D2A" w:rsidRDefault="00DC3D2A" w:rsidP="00DC3D2A">
            <w:pPr>
              <w:pStyle w:val="TableTextEntries"/>
            </w:pPr>
            <w:r>
              <w:t xml:space="preserve">Additional </w:t>
            </w:r>
            <w:r w:rsidR="00E52D3D">
              <w:t>home moves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01E726" w14:textId="77777777" w:rsidR="00DC3D2A" w:rsidRPr="0013651D" w:rsidRDefault="002478D9" w:rsidP="00DC3D2A">
            <w:pPr>
              <w:pStyle w:val="TableTextEntries"/>
            </w:pPr>
            <w:r w:rsidRPr="0013651D">
              <w:t xml:space="preserve">Range of </w:t>
            </w:r>
            <w:r w:rsidR="00DC3D2A" w:rsidRPr="0013651D">
              <w:t>6 400 – 17 300</w:t>
            </w:r>
          </w:p>
        </w:tc>
      </w:tr>
      <w:tr w:rsidR="00DC3D2A" w14:paraId="41D0D601"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D87D45" w14:textId="77777777" w:rsidR="00DC3D2A" w:rsidRDefault="00DC3D2A" w:rsidP="00DC3D2A">
            <w:pPr>
              <w:pStyle w:val="TableTextEntries"/>
            </w:pPr>
            <w:r>
              <w:t xml:space="preserve">Premature/inappropriate entry into </w:t>
            </w:r>
            <w:r w:rsidR="00490205">
              <w:t xml:space="preserve">residential </w:t>
            </w:r>
            <w:r>
              <w:t>aged care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4AA60B" w14:textId="77777777" w:rsidR="00DC3D2A" w:rsidRPr="0013651D" w:rsidRDefault="002478D9" w:rsidP="00DC3D2A">
            <w:pPr>
              <w:pStyle w:val="TableTextEntries"/>
            </w:pPr>
            <w:r w:rsidRPr="0013651D">
              <w:t xml:space="preserve">Range of </w:t>
            </w:r>
            <w:r w:rsidR="00DC3D2A" w:rsidRPr="0013651D">
              <w:t xml:space="preserve">2 767 – 6 199 </w:t>
            </w:r>
          </w:p>
        </w:tc>
      </w:tr>
      <w:tr w:rsidR="00DC3D2A" w14:paraId="56F096E1"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EAE52" w14:textId="77777777" w:rsidR="00DC3D2A" w:rsidRDefault="00E52D3D" w:rsidP="00DC3D2A">
            <w:pPr>
              <w:pStyle w:val="TableTextEntries"/>
            </w:pPr>
            <w:r>
              <w:t>Inability to visit family and friends</w:t>
            </w:r>
            <w:r w:rsidR="00DC3D2A">
              <w:t>-</w:t>
            </w:r>
            <w:r>
              <w:t>(</w:t>
            </w:r>
            <w:r w:rsidR="00DC3D2A">
              <w:t>vistability</w:t>
            </w:r>
            <w:r>
              <w:t>)</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623DFA" w14:textId="77777777" w:rsidR="00DC3D2A" w:rsidRPr="0013651D" w:rsidRDefault="00DC3D2A" w:rsidP="00DC3D2A">
            <w:pPr>
              <w:pStyle w:val="TableTextEntries"/>
            </w:pPr>
            <w:r w:rsidRPr="0013651D">
              <w:t>85 800</w:t>
            </w:r>
          </w:p>
        </w:tc>
      </w:tr>
      <w:tr w:rsidR="00DC3D2A" w14:paraId="2078D2FB" w14:textId="77777777" w:rsidTr="00DC3D2A">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D927A1" w14:textId="77777777" w:rsidR="00DC3D2A" w:rsidRDefault="00DC3D2A" w:rsidP="00DC3D2A">
            <w:pPr>
              <w:pStyle w:val="TableTextEntries"/>
            </w:pPr>
            <w:r>
              <w:t>Families with young depend</w:t>
            </w:r>
            <w:r w:rsidR="003F2BCB">
              <w:t>a</w:t>
            </w:r>
            <w:r>
              <w:t>nts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D228ED" w14:textId="77777777" w:rsidR="00DC3D2A" w:rsidRPr="0013651D" w:rsidRDefault="0013651D" w:rsidP="00DC3D2A">
            <w:pPr>
              <w:pStyle w:val="TableTextEntries"/>
            </w:pPr>
            <w:r w:rsidRPr="0013651D">
              <w:t xml:space="preserve">Up to </w:t>
            </w:r>
            <w:r w:rsidR="00DC3D2A" w:rsidRPr="0013651D">
              <w:t>16 000</w:t>
            </w:r>
          </w:p>
        </w:tc>
      </w:tr>
      <w:tr w:rsidR="00DC3D2A" w14:paraId="6E91F5FC" w14:textId="77777777" w:rsidTr="00DC3D2A">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14:paraId="5642BA94" w14:textId="77777777" w:rsidR="00DC3D2A" w:rsidRDefault="00DC3D2A" w:rsidP="00DC3D2A">
            <w:pPr>
              <w:pStyle w:val="TableTextEntries"/>
            </w:pPr>
            <w:r>
              <w:t>Short-term injuries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14:paraId="58FC9FF9" w14:textId="77777777" w:rsidR="00DC3D2A" w:rsidRDefault="00DC3D2A" w:rsidP="00DC3D2A">
            <w:pPr>
              <w:pStyle w:val="TableTextEntries"/>
            </w:pPr>
            <w:r>
              <w:t>17 551</w:t>
            </w:r>
          </w:p>
        </w:tc>
      </w:tr>
    </w:tbl>
    <w:p w14:paraId="7096BF47" w14:textId="77777777" w:rsidR="00DC3D2A" w:rsidRPr="002B6BB3" w:rsidRDefault="00DC3D2A" w:rsidP="00DC3D2A">
      <w:pPr>
        <w:pStyle w:val="Note"/>
      </w:pPr>
      <w:r>
        <w:rPr>
          <w:rStyle w:val="NoteLabel"/>
        </w:rPr>
        <w:t>a</w:t>
      </w:r>
      <w:r>
        <w:t xml:space="preserve"> </w:t>
      </w:r>
      <w:r w:rsidRPr="00B53322">
        <w:t xml:space="preserve">Assumes one person per relevant modification per year </w:t>
      </w:r>
      <w:r w:rsidR="002B6BB3" w:rsidRPr="00B53322">
        <w:br/>
        <w:t>Note: the number of people affected is not additive across each type of problem.</w:t>
      </w:r>
      <w:r w:rsidRPr="00B53322">
        <w:br/>
        <w:t>Source: CIE</w:t>
      </w:r>
      <w:r w:rsidR="00E52D3D" w:rsidRPr="00B53322">
        <w:t xml:space="preserve"> – population is estimated on the basis of analysis in appendices B-J.</w:t>
      </w:r>
    </w:p>
    <w:p w14:paraId="6234F503" w14:textId="77777777" w:rsidR="00F109CF" w:rsidRDefault="00B66AC9" w:rsidP="006C5856">
      <w:pPr>
        <w:pStyle w:val="BodyText"/>
        <w:rPr>
          <w:lang w:bidi="fa-IR"/>
        </w:rPr>
      </w:pPr>
      <w:r>
        <w:rPr>
          <w:lang w:bidi="fa-IR"/>
        </w:rPr>
        <w:t>While the number of people affected by inaccessible housing appears a small proportion of the total population, t</w:t>
      </w:r>
      <w:r w:rsidR="003202E9">
        <w:rPr>
          <w:lang w:bidi="fa-IR"/>
        </w:rPr>
        <w:t>he cost</w:t>
      </w:r>
      <w:r>
        <w:rPr>
          <w:lang w:bidi="fa-IR"/>
        </w:rPr>
        <w:t>s</w:t>
      </w:r>
      <w:r w:rsidR="00F109CF">
        <w:rPr>
          <w:lang w:bidi="fa-IR"/>
        </w:rPr>
        <w:t xml:space="preserve"> to the community for those whose needs are not met (or </w:t>
      </w:r>
      <w:r w:rsidR="00C42647">
        <w:rPr>
          <w:lang w:bidi="fa-IR"/>
        </w:rPr>
        <w:t xml:space="preserve">who </w:t>
      </w:r>
      <w:r w:rsidR="00F109CF">
        <w:rPr>
          <w:lang w:bidi="fa-IR"/>
        </w:rPr>
        <w:t xml:space="preserve">have incurred significant cost in having their needs met) are estimated to be </w:t>
      </w:r>
      <w:r w:rsidR="00F109CF">
        <w:rPr>
          <w:lang w:bidi="fa-IR"/>
        </w:rPr>
        <w:lastRenderedPageBreak/>
        <w:t>significant.</w:t>
      </w:r>
      <w:r>
        <w:rPr>
          <w:lang w:bidi="fa-IR"/>
        </w:rPr>
        <w:t xml:space="preserve"> The costs to the community are assessed and estimated around each type of problem. For quantifiable costs they are additive. </w:t>
      </w:r>
    </w:p>
    <w:p w14:paraId="24A8556C" w14:textId="77777777" w:rsidR="004E736E" w:rsidRDefault="0088031C" w:rsidP="00F109CF">
      <w:pPr>
        <w:pStyle w:val="ListBullet"/>
        <w:rPr>
          <w:lang w:bidi="fa-IR"/>
        </w:rPr>
      </w:pPr>
      <w:r>
        <w:rPr>
          <w:lang w:bidi="fa-IR"/>
        </w:rPr>
        <w:t>The costs associated with inaccessible housing that were able to be quantified are estimated to range between around $3 billion and $6.5 billion per year based on 2018 data.</w:t>
      </w:r>
    </w:p>
    <w:p w14:paraId="68E1E833" w14:textId="77777777" w:rsidR="0088031C" w:rsidRDefault="0088031C" w:rsidP="00F109CF">
      <w:pPr>
        <w:pStyle w:val="ListBullet"/>
        <w:rPr>
          <w:lang w:bidi="fa-IR"/>
        </w:rPr>
      </w:pPr>
      <w:r>
        <w:rPr>
          <w:lang w:bidi="fa-IR"/>
        </w:rPr>
        <w:t xml:space="preserve">These costs are estimated to increase to between </w:t>
      </w:r>
      <w:r w:rsidR="00F109CF">
        <w:rPr>
          <w:lang w:bidi="fa-IR"/>
        </w:rPr>
        <w:t>$4.5 billion and $9.9 billion per year by 2040.</w:t>
      </w:r>
    </w:p>
    <w:p w14:paraId="3D95CFCF" w14:textId="77777777" w:rsidR="00630F4D" w:rsidRDefault="00630F4D" w:rsidP="00F11AF4">
      <w:pPr>
        <w:pStyle w:val="Heading2"/>
        <w:numPr>
          <w:ilvl w:val="1"/>
          <w:numId w:val="5"/>
        </w:numPr>
        <w:rPr>
          <w:lang w:bidi="fa-IR"/>
        </w:rPr>
      </w:pPr>
      <w:bookmarkStart w:id="539" w:name="_Toc70505132"/>
      <w:r>
        <w:rPr>
          <w:lang w:bidi="fa-IR"/>
        </w:rPr>
        <w:t>Discussion of results</w:t>
      </w:r>
      <w:bookmarkEnd w:id="539"/>
    </w:p>
    <w:p w14:paraId="37520587" w14:textId="77777777" w:rsidR="004E736E" w:rsidRDefault="00F109CF" w:rsidP="00E85E8F">
      <w:pPr>
        <w:pStyle w:val="Heading3"/>
        <w:spacing w:before="240"/>
        <w:rPr>
          <w:lang w:bidi="fa-IR"/>
        </w:rPr>
      </w:pPr>
      <w:r>
        <w:rPr>
          <w:lang w:bidi="fa-IR"/>
        </w:rPr>
        <w:t>NCC options</w:t>
      </w:r>
    </w:p>
    <w:p w14:paraId="60AAD0E7" w14:textId="77777777" w:rsidR="00380A33" w:rsidRDefault="005A37A9" w:rsidP="006C5856">
      <w:pPr>
        <w:pStyle w:val="BodyText"/>
        <w:rPr>
          <w:lang w:bidi="fa-IR"/>
        </w:rPr>
      </w:pPr>
      <w:r>
        <w:rPr>
          <w:lang w:bidi="fa-IR"/>
        </w:rPr>
        <w:t>T</w:t>
      </w:r>
      <w:r w:rsidR="00C612B9">
        <w:rPr>
          <w:lang w:bidi="fa-IR"/>
        </w:rPr>
        <w:t xml:space="preserve">he costs of </w:t>
      </w:r>
      <w:r w:rsidR="00F44A9B">
        <w:rPr>
          <w:lang w:bidi="fa-IR"/>
        </w:rPr>
        <w:t>each</w:t>
      </w:r>
      <w:r w:rsidR="00C612B9">
        <w:rPr>
          <w:lang w:bidi="fa-IR"/>
        </w:rPr>
        <w:t xml:space="preserve"> of the NCC options considered as part of the RIS were estimated to outweigh the benefits</w:t>
      </w:r>
      <w:r>
        <w:rPr>
          <w:lang w:bidi="fa-IR"/>
        </w:rPr>
        <w:t>, although</w:t>
      </w:r>
      <w:r w:rsidR="00C612B9">
        <w:rPr>
          <w:lang w:bidi="fa-IR"/>
        </w:rPr>
        <w:t xml:space="preserve"> not all of the benefits were able to be quantified.</w:t>
      </w:r>
    </w:p>
    <w:p w14:paraId="141D04FD" w14:textId="77777777" w:rsidR="00735F59" w:rsidRDefault="00D0665C" w:rsidP="006C5856">
      <w:pPr>
        <w:pStyle w:val="BodyText"/>
        <w:rPr>
          <w:lang w:bidi="fa-IR"/>
        </w:rPr>
      </w:pPr>
      <w:r>
        <w:rPr>
          <w:lang w:bidi="fa-IR"/>
        </w:rPr>
        <w:t>One of t</w:t>
      </w:r>
      <w:r w:rsidR="00380A33">
        <w:rPr>
          <w:lang w:bidi="fa-IR"/>
        </w:rPr>
        <w:t>he main benefits that were not able to be quantified were the employment</w:t>
      </w:r>
      <w:r w:rsidR="00380A33">
        <w:rPr>
          <w:lang w:bidi="fa-IR"/>
        </w:rPr>
        <w:noBreakHyphen/>
        <w:t>related benefits. Although there is qualitative evidence to support the proposition that inaccessible housing can contribute to poorer employment outcomes among people with limited mobility</w:t>
      </w:r>
      <w:r w:rsidR="00C612B9">
        <w:rPr>
          <w:lang w:bidi="fa-IR"/>
        </w:rPr>
        <w:t xml:space="preserve">, </w:t>
      </w:r>
      <w:r w:rsidR="00F44A9B">
        <w:rPr>
          <w:lang w:bidi="fa-IR"/>
        </w:rPr>
        <w:t>this</w:t>
      </w:r>
      <w:r w:rsidR="00380A33">
        <w:rPr>
          <w:lang w:bidi="fa-IR"/>
        </w:rPr>
        <w:t xml:space="preserve"> evidence </w:t>
      </w:r>
      <w:r w:rsidR="00F44A9B">
        <w:rPr>
          <w:lang w:bidi="fa-IR"/>
        </w:rPr>
        <w:t>does not</w:t>
      </w:r>
      <w:r w:rsidR="00380A33">
        <w:rPr>
          <w:lang w:bidi="fa-IR"/>
        </w:rPr>
        <w:t xml:space="preserve"> enable </w:t>
      </w:r>
      <w:r w:rsidR="00F44A9B">
        <w:rPr>
          <w:lang w:bidi="fa-IR"/>
        </w:rPr>
        <w:t xml:space="preserve">robust </w:t>
      </w:r>
      <w:r w:rsidR="00380A33">
        <w:rPr>
          <w:lang w:bidi="fa-IR"/>
        </w:rPr>
        <w:t xml:space="preserve">quantification. </w:t>
      </w:r>
    </w:p>
    <w:p w14:paraId="385513EF" w14:textId="77777777" w:rsidR="00C612B9" w:rsidRDefault="00A40051" w:rsidP="006C5856">
      <w:pPr>
        <w:pStyle w:val="BodyText"/>
        <w:rPr>
          <w:lang w:bidi="fa-IR"/>
        </w:rPr>
      </w:pPr>
      <w:r>
        <w:rPr>
          <w:lang w:bidi="fa-IR"/>
        </w:rPr>
        <w:t>However</w:t>
      </w:r>
      <w:r w:rsidR="00380A33">
        <w:rPr>
          <w:lang w:bidi="fa-IR"/>
        </w:rPr>
        <w:t xml:space="preserve">, sensitivity analysis </w:t>
      </w:r>
      <w:r w:rsidR="0007793C">
        <w:rPr>
          <w:lang w:bidi="fa-IR"/>
        </w:rPr>
        <w:t xml:space="preserve">presented in the previous chapter </w:t>
      </w:r>
      <w:r w:rsidR="00380A33">
        <w:rPr>
          <w:lang w:bidi="fa-IR"/>
        </w:rPr>
        <w:t>suggests that these benefits are unlikely to be sufficiently large to change the outcome of the CBA.</w:t>
      </w:r>
      <w:r w:rsidR="0007793C">
        <w:rPr>
          <w:lang w:bidi="fa-IR"/>
        </w:rPr>
        <w:t xml:space="preserve"> Including these unquantifiable benefits in the CBA would still result in net cost. </w:t>
      </w:r>
    </w:p>
    <w:p w14:paraId="32EA903E" w14:textId="77777777" w:rsidR="00E755EB" w:rsidRDefault="00E755EB" w:rsidP="006C5856">
      <w:pPr>
        <w:pStyle w:val="BodyText"/>
        <w:rPr>
          <w:lang w:bidi="fa-IR"/>
        </w:rPr>
      </w:pPr>
      <w:r>
        <w:rPr>
          <w:lang w:bidi="fa-IR"/>
        </w:rPr>
        <w:t xml:space="preserve">The key factors that drive the net cost outcome </w:t>
      </w:r>
      <w:r w:rsidR="0007793C">
        <w:rPr>
          <w:lang w:bidi="fa-IR"/>
        </w:rPr>
        <w:t xml:space="preserve">of the CBA </w:t>
      </w:r>
      <w:r>
        <w:rPr>
          <w:lang w:bidi="fa-IR"/>
        </w:rPr>
        <w:t>are as follows.</w:t>
      </w:r>
    </w:p>
    <w:p w14:paraId="6BAC5AE2" w14:textId="77777777" w:rsidR="00E755EB" w:rsidRDefault="00E755EB" w:rsidP="00DF725C">
      <w:pPr>
        <w:pStyle w:val="ListBullet"/>
        <w:rPr>
          <w:lang w:bidi="fa-IR"/>
        </w:rPr>
      </w:pPr>
      <w:r>
        <w:rPr>
          <w:lang w:bidi="fa-IR"/>
        </w:rPr>
        <w:t>The cost of complying with the proposed requirements are estimated to be non</w:t>
      </w:r>
      <w:r>
        <w:rPr>
          <w:lang w:bidi="fa-IR"/>
        </w:rPr>
        <w:noBreakHyphen/>
        <w:t>trivial, in the order of several thousand dollars per dwelling. Th</w:t>
      </w:r>
      <w:r w:rsidR="00E359BA">
        <w:rPr>
          <w:lang w:bidi="fa-IR"/>
        </w:rPr>
        <w:t xml:space="preserve">ese estimates are conservative, compared with </w:t>
      </w:r>
      <w:r w:rsidR="00C90922">
        <w:rPr>
          <w:lang w:bidi="fa-IR"/>
        </w:rPr>
        <w:t xml:space="preserve">most </w:t>
      </w:r>
      <w:r w:rsidR="00E359BA">
        <w:rPr>
          <w:lang w:bidi="fa-IR"/>
        </w:rPr>
        <w:t>cost estimates from industry submissions</w:t>
      </w:r>
      <w:r w:rsidR="00A40051">
        <w:rPr>
          <w:lang w:bidi="fa-IR"/>
        </w:rPr>
        <w:t xml:space="preserve"> </w:t>
      </w:r>
      <w:r w:rsidR="00735F59">
        <w:rPr>
          <w:lang w:bidi="fa-IR"/>
        </w:rPr>
        <w:t>that</w:t>
      </w:r>
      <w:r w:rsidR="00A40051">
        <w:rPr>
          <w:lang w:bidi="fa-IR"/>
        </w:rPr>
        <w:t xml:space="preserve"> range</w:t>
      </w:r>
      <w:r w:rsidR="00735F59">
        <w:rPr>
          <w:lang w:bidi="fa-IR"/>
        </w:rPr>
        <w:t>d</w:t>
      </w:r>
      <w:r w:rsidR="00A40051">
        <w:rPr>
          <w:lang w:bidi="fa-IR"/>
        </w:rPr>
        <w:t xml:space="preserve"> from $</w:t>
      </w:r>
      <w:r w:rsidR="00AA7A29">
        <w:rPr>
          <w:lang w:bidi="fa-IR"/>
        </w:rPr>
        <w:t>3 000</w:t>
      </w:r>
      <w:r w:rsidR="00A40051">
        <w:rPr>
          <w:lang w:bidi="fa-IR"/>
        </w:rPr>
        <w:t xml:space="preserve"> to </w:t>
      </w:r>
      <w:r w:rsidR="00AA7A29">
        <w:rPr>
          <w:lang w:bidi="fa-IR"/>
        </w:rPr>
        <w:t xml:space="preserve">over </w:t>
      </w:r>
      <w:r w:rsidR="00A40051">
        <w:rPr>
          <w:lang w:bidi="fa-IR"/>
        </w:rPr>
        <w:t>$</w:t>
      </w:r>
      <w:r w:rsidR="00AA7A29">
        <w:rPr>
          <w:lang w:bidi="fa-IR"/>
        </w:rPr>
        <w:t>55 000</w:t>
      </w:r>
      <w:r w:rsidR="00E359BA">
        <w:rPr>
          <w:lang w:bidi="fa-IR"/>
        </w:rPr>
        <w:t xml:space="preserve"> </w:t>
      </w:r>
      <w:r w:rsidR="00AA7A29">
        <w:rPr>
          <w:lang w:bidi="fa-IR"/>
        </w:rPr>
        <w:t>(table 6.2</w:t>
      </w:r>
      <w:r w:rsidR="00C42647">
        <w:rPr>
          <w:lang w:bidi="fa-IR"/>
        </w:rPr>
        <w:t xml:space="preserve"> in chapter </w:t>
      </w:r>
      <w:r w:rsidR="00735F59">
        <w:rPr>
          <w:lang w:bidi="fa-IR"/>
        </w:rPr>
        <w:t>six</w:t>
      </w:r>
      <w:r w:rsidR="00AA7A29">
        <w:rPr>
          <w:lang w:bidi="fa-IR"/>
        </w:rPr>
        <w:t>)</w:t>
      </w:r>
      <w:r w:rsidR="00E359BA">
        <w:rPr>
          <w:lang w:bidi="fa-IR"/>
        </w:rPr>
        <w:t>.</w:t>
      </w:r>
    </w:p>
    <w:p w14:paraId="4E27916D" w14:textId="77777777" w:rsidR="00E359BA" w:rsidRDefault="00E359BA" w:rsidP="00DF725C">
      <w:pPr>
        <w:pStyle w:val="ListBullet"/>
        <w:rPr>
          <w:lang w:bidi="fa-IR"/>
        </w:rPr>
      </w:pPr>
      <w:r>
        <w:rPr>
          <w:lang w:bidi="fa-IR"/>
        </w:rPr>
        <w:t>As new dwellings contribute around 2 per cent of the dwelling stock per year, changes to the NCC will address the problem slowly over time</w:t>
      </w:r>
      <w:r w:rsidR="00C42647">
        <w:rPr>
          <w:lang w:bidi="fa-IR"/>
        </w:rPr>
        <w:t>.</w:t>
      </w:r>
      <w:r>
        <w:rPr>
          <w:lang w:bidi="fa-IR"/>
        </w:rPr>
        <w:t xml:space="preserve"> </w:t>
      </w:r>
      <w:r w:rsidR="00C42647">
        <w:rPr>
          <w:lang w:bidi="fa-IR"/>
        </w:rPr>
        <w:t>T</w:t>
      </w:r>
      <w:r>
        <w:rPr>
          <w:lang w:bidi="fa-IR"/>
        </w:rPr>
        <w:t>he impacts are estimated to be modest in the near to medium term.</w:t>
      </w:r>
    </w:p>
    <w:p w14:paraId="5F02F037" w14:textId="77777777" w:rsidR="00E359BA" w:rsidRDefault="00E359BA" w:rsidP="00DF725C">
      <w:pPr>
        <w:pStyle w:val="ListBullet"/>
        <w:rPr>
          <w:lang w:bidi="fa-IR"/>
        </w:rPr>
      </w:pPr>
      <w:r>
        <w:rPr>
          <w:lang w:bidi="fa-IR"/>
        </w:rPr>
        <w:t xml:space="preserve">Addressing the problem through the NCC is </w:t>
      </w:r>
      <w:r w:rsidR="005A37A9">
        <w:rPr>
          <w:lang w:bidi="fa-IR"/>
        </w:rPr>
        <w:t xml:space="preserve">generally a blunt approach to addressing the problems associated with inaccessible housing. A mandatory accessibility standard in the NCC would result in </w:t>
      </w:r>
      <w:r>
        <w:rPr>
          <w:lang w:bidi="fa-IR"/>
        </w:rPr>
        <w:t>a large number of accessible dwellings</w:t>
      </w:r>
      <w:r w:rsidR="003C13C0">
        <w:rPr>
          <w:lang w:bidi="fa-IR"/>
        </w:rPr>
        <w:t xml:space="preserve"> be</w:t>
      </w:r>
      <w:r w:rsidR="005A37A9">
        <w:rPr>
          <w:lang w:bidi="fa-IR"/>
        </w:rPr>
        <w:t>ing</w:t>
      </w:r>
      <w:r w:rsidR="003C13C0">
        <w:rPr>
          <w:lang w:bidi="fa-IR"/>
        </w:rPr>
        <w:t xml:space="preserve"> built</w:t>
      </w:r>
      <w:r>
        <w:rPr>
          <w:lang w:bidi="fa-IR"/>
        </w:rPr>
        <w:t>,</w:t>
      </w:r>
      <w:r w:rsidR="005A37A9">
        <w:rPr>
          <w:lang w:bidi="fa-IR"/>
        </w:rPr>
        <w:t xml:space="preserve"> although</w:t>
      </w:r>
      <w:r>
        <w:rPr>
          <w:lang w:bidi="fa-IR"/>
        </w:rPr>
        <w:t xml:space="preserve"> a relatively small share </w:t>
      </w:r>
      <w:r w:rsidR="00DF725C">
        <w:rPr>
          <w:lang w:bidi="fa-IR"/>
        </w:rPr>
        <w:t>will be occupied by people with accessibility needs</w:t>
      </w:r>
      <w:r w:rsidR="003C13C0">
        <w:rPr>
          <w:lang w:bidi="fa-IR"/>
        </w:rPr>
        <w:t xml:space="preserve"> through the market process</w:t>
      </w:r>
      <w:r w:rsidR="00DF725C">
        <w:rPr>
          <w:lang w:bidi="fa-IR"/>
        </w:rPr>
        <w:t>.</w:t>
      </w:r>
      <w:r w:rsidR="003C13C0">
        <w:rPr>
          <w:lang w:bidi="fa-IR"/>
        </w:rPr>
        <w:t xml:space="preserve"> There are many factors affecting who may purchase or rent a dwelling with accessible features, as discussed in the ‘allocation’ section in </w:t>
      </w:r>
      <w:r w:rsidR="00C42647">
        <w:rPr>
          <w:lang w:bidi="fa-IR"/>
        </w:rPr>
        <w:t xml:space="preserve">chapter </w:t>
      </w:r>
      <w:r w:rsidR="00B50EC7">
        <w:rPr>
          <w:lang w:bidi="fa-IR"/>
        </w:rPr>
        <w:t>eight</w:t>
      </w:r>
      <w:r w:rsidR="00BD75CD">
        <w:rPr>
          <w:lang w:bidi="fa-IR"/>
        </w:rPr>
        <w:t>.</w:t>
      </w:r>
      <w:r w:rsidR="00C42647">
        <w:rPr>
          <w:lang w:bidi="fa-IR"/>
        </w:rPr>
        <w:t xml:space="preserve"> </w:t>
      </w:r>
    </w:p>
    <w:p w14:paraId="0EC66438" w14:textId="77777777" w:rsidR="00DF725C" w:rsidRDefault="00DF725C" w:rsidP="00DF725C">
      <w:pPr>
        <w:pStyle w:val="ListBullet"/>
        <w:rPr>
          <w:lang w:bidi="fa-IR"/>
        </w:rPr>
      </w:pPr>
      <w:r>
        <w:rPr>
          <w:lang w:bidi="fa-IR"/>
        </w:rPr>
        <w:t xml:space="preserve">There is a risk with </w:t>
      </w:r>
      <w:r w:rsidR="00AA7A29">
        <w:rPr>
          <w:lang w:bidi="fa-IR"/>
        </w:rPr>
        <w:t xml:space="preserve">adopting a </w:t>
      </w:r>
      <w:r>
        <w:rPr>
          <w:lang w:bidi="fa-IR"/>
        </w:rPr>
        <w:t xml:space="preserve">universal design </w:t>
      </w:r>
      <w:r w:rsidR="00AA7A29">
        <w:rPr>
          <w:lang w:bidi="fa-IR"/>
        </w:rPr>
        <w:t xml:space="preserve">approach to accessible housing </w:t>
      </w:r>
      <w:r>
        <w:rPr>
          <w:lang w:bidi="fa-IR"/>
        </w:rPr>
        <w:t xml:space="preserve">that one size does not fit all. In particular, it is possible that the accessibility features provided under the NCC proposal are not needed by most of the population (i.e. the benefits are </w:t>
      </w:r>
      <w:r w:rsidR="00B61718">
        <w:rPr>
          <w:lang w:bidi="fa-IR"/>
        </w:rPr>
        <w:t>likely to be small</w:t>
      </w:r>
      <w:r>
        <w:rPr>
          <w:lang w:bidi="fa-IR"/>
        </w:rPr>
        <w:t>), while the features may not be sufficient to meet the needs of those with significant accessibility needs (i.e. the universal design features are in some cases less stringent than some other accessibility standards</w:t>
      </w:r>
      <w:r w:rsidR="00AC386C">
        <w:rPr>
          <w:lang w:bidi="fa-IR"/>
        </w:rPr>
        <w:t xml:space="preserve"> – see the discussion in chapter </w:t>
      </w:r>
      <w:r w:rsidR="00FB60AA">
        <w:rPr>
          <w:lang w:bidi="fa-IR"/>
        </w:rPr>
        <w:t>seven</w:t>
      </w:r>
      <w:r>
        <w:rPr>
          <w:lang w:bidi="fa-IR"/>
        </w:rPr>
        <w:t>).</w:t>
      </w:r>
    </w:p>
    <w:p w14:paraId="6BFF83F2" w14:textId="77777777" w:rsidR="00C612B9" w:rsidRDefault="00C612B9" w:rsidP="006C5856">
      <w:pPr>
        <w:pStyle w:val="BodyText"/>
        <w:rPr>
          <w:lang w:bidi="fa-IR"/>
        </w:rPr>
      </w:pPr>
      <w:r>
        <w:rPr>
          <w:lang w:bidi="fa-IR"/>
        </w:rPr>
        <w:lastRenderedPageBreak/>
        <w:t>There are two important caveats around these findings.</w:t>
      </w:r>
    </w:p>
    <w:p w14:paraId="4475BF51" w14:textId="77777777" w:rsidR="00380A33" w:rsidRDefault="003C13C0" w:rsidP="006D7ACB">
      <w:pPr>
        <w:pStyle w:val="ListBullet"/>
        <w:rPr>
          <w:lang w:bidi="fa-IR"/>
        </w:rPr>
      </w:pPr>
      <w:r>
        <w:rPr>
          <w:lang w:bidi="fa-IR"/>
        </w:rPr>
        <w:t>T</w:t>
      </w:r>
      <w:r w:rsidR="00380A33">
        <w:rPr>
          <w:lang w:bidi="fa-IR"/>
        </w:rPr>
        <w:t xml:space="preserve">he CBA does not </w:t>
      </w:r>
      <w:r w:rsidR="00AC386C">
        <w:rPr>
          <w:lang w:bidi="fa-IR"/>
        </w:rPr>
        <w:t>explicitly</w:t>
      </w:r>
      <w:r>
        <w:rPr>
          <w:lang w:bidi="fa-IR"/>
        </w:rPr>
        <w:t xml:space="preserve"> </w:t>
      </w:r>
      <w:r w:rsidR="00380A33">
        <w:rPr>
          <w:lang w:bidi="fa-IR"/>
        </w:rPr>
        <w:t xml:space="preserve">take into account distributional impacts. In particular, the benefits of the proposal would mostly accrue to </w:t>
      </w:r>
      <w:r w:rsidR="00C10C72">
        <w:rPr>
          <w:lang w:bidi="fa-IR"/>
        </w:rPr>
        <w:t>people with disability and older Australians</w:t>
      </w:r>
      <w:r w:rsidR="006D7ACB">
        <w:rPr>
          <w:lang w:bidi="fa-IR"/>
        </w:rPr>
        <w:t xml:space="preserve"> and their families (and also reduce costs </w:t>
      </w:r>
      <w:r w:rsidR="007E420E">
        <w:rPr>
          <w:lang w:bidi="fa-IR"/>
        </w:rPr>
        <w:t>to</w:t>
      </w:r>
      <w:r w:rsidR="006D7ACB">
        <w:rPr>
          <w:lang w:bidi="fa-IR"/>
        </w:rPr>
        <w:t xml:space="preserve"> government support programs).</w:t>
      </w:r>
    </w:p>
    <w:p w14:paraId="74396F8C" w14:textId="77777777" w:rsidR="00C612B9" w:rsidRDefault="006D7ACB" w:rsidP="006D7ACB">
      <w:pPr>
        <w:pStyle w:val="ListBullet"/>
        <w:rPr>
          <w:lang w:bidi="fa-IR"/>
        </w:rPr>
      </w:pPr>
      <w:r>
        <w:rPr>
          <w:lang w:bidi="fa-IR"/>
        </w:rPr>
        <w:t>The CBA is based on limited evidence o</w:t>
      </w:r>
      <w:r w:rsidR="001E5A58">
        <w:rPr>
          <w:lang w:bidi="fa-IR"/>
        </w:rPr>
        <w:t>f</w:t>
      </w:r>
      <w:r>
        <w:rPr>
          <w:lang w:bidi="fa-IR"/>
        </w:rPr>
        <w:t xml:space="preserve"> the benefits of universal design</w:t>
      </w:r>
      <w:r w:rsidR="007A77F0">
        <w:rPr>
          <w:lang w:bidi="fa-IR"/>
        </w:rPr>
        <w:t xml:space="preserve"> as discussed in chapters </w:t>
      </w:r>
      <w:r w:rsidR="00FB60AA">
        <w:rPr>
          <w:lang w:bidi="fa-IR"/>
        </w:rPr>
        <w:t>three</w:t>
      </w:r>
      <w:r w:rsidR="007A77F0">
        <w:rPr>
          <w:lang w:bidi="fa-IR"/>
        </w:rPr>
        <w:t xml:space="preserve"> (statement of the problem) and </w:t>
      </w:r>
      <w:r w:rsidR="00FB60AA">
        <w:rPr>
          <w:lang w:bidi="fa-IR"/>
        </w:rPr>
        <w:t>seven</w:t>
      </w:r>
      <w:r w:rsidR="007A77F0">
        <w:rPr>
          <w:lang w:bidi="fa-IR"/>
        </w:rPr>
        <w:t xml:space="preserve"> (estimating the benefits) in particular</w:t>
      </w:r>
      <w:r>
        <w:rPr>
          <w:lang w:bidi="fa-IR"/>
        </w:rPr>
        <w:t>.</w:t>
      </w:r>
    </w:p>
    <w:p w14:paraId="5A7947FE" w14:textId="77777777" w:rsidR="00380A33" w:rsidRDefault="006D7ACB" w:rsidP="00822A20">
      <w:pPr>
        <w:pStyle w:val="Heading4"/>
        <w:rPr>
          <w:lang w:bidi="fa-IR"/>
        </w:rPr>
      </w:pPr>
      <w:r>
        <w:rPr>
          <w:lang w:bidi="fa-IR"/>
        </w:rPr>
        <w:t>Distributional impacts</w:t>
      </w:r>
    </w:p>
    <w:p w14:paraId="79CBB81B" w14:textId="77777777" w:rsidR="006D7ACB" w:rsidRDefault="006D7ACB" w:rsidP="006D7ACB">
      <w:pPr>
        <w:pStyle w:val="BodyText"/>
        <w:rPr>
          <w:lang w:bidi="fa-IR"/>
        </w:rPr>
      </w:pPr>
      <w:r>
        <w:rPr>
          <w:lang w:bidi="fa-IR"/>
        </w:rPr>
        <w:t>Several stakeholders advocated for minimum accessibility standards on human rights and other equity grounds. These arguments can be summarised as follows.</w:t>
      </w:r>
    </w:p>
    <w:p w14:paraId="1762E609" w14:textId="77777777" w:rsidR="006D7ACB" w:rsidRDefault="006D7ACB" w:rsidP="006D7ACB">
      <w:pPr>
        <w:pStyle w:val="ListBullet"/>
        <w:numPr>
          <w:ilvl w:val="0"/>
          <w:numId w:val="16"/>
        </w:numPr>
        <w:rPr>
          <w:lang w:bidi="fa-IR"/>
        </w:rPr>
      </w:pPr>
      <w:r>
        <w:rPr>
          <w:lang w:bidi="fa-IR"/>
        </w:rPr>
        <w:t>People with disabilit</w:t>
      </w:r>
      <w:r w:rsidR="00D870C0">
        <w:rPr>
          <w:lang w:bidi="fa-IR"/>
        </w:rPr>
        <w:t>y</w:t>
      </w:r>
      <w:r>
        <w:rPr>
          <w:lang w:bidi="fa-IR"/>
        </w:rPr>
        <w:t xml:space="preserve"> should have the same access and housing choices as other members of the community. They should have access to mainstream housing options, rather than segregated housing that specifically caters for those with accessibility needs.</w:t>
      </w:r>
    </w:p>
    <w:p w14:paraId="481FB56B" w14:textId="77777777" w:rsidR="006D7ACB" w:rsidRDefault="006D7ACB" w:rsidP="006D7ACB">
      <w:pPr>
        <w:pStyle w:val="ListBullet"/>
        <w:numPr>
          <w:ilvl w:val="0"/>
          <w:numId w:val="16"/>
        </w:numPr>
        <w:rPr>
          <w:rFonts w:eastAsia="Calisto MT"/>
          <w:color w:val="000000"/>
          <w:lang w:val="en-US"/>
        </w:rPr>
      </w:pPr>
      <w:r>
        <w:rPr>
          <w:lang w:bidi="fa-IR"/>
        </w:rPr>
        <w:t xml:space="preserve">Australia has an obligation to implement the recommendation of the Committee </w:t>
      </w:r>
      <w:r>
        <w:rPr>
          <w:rFonts w:eastAsia="Calisto MT"/>
          <w:color w:val="000000"/>
          <w:lang w:val="en-US"/>
        </w:rPr>
        <w:t>on the Rights of Persons with Disabilities to introduce a minimum accessibility standard into the NCC.</w:t>
      </w:r>
      <w:r>
        <w:rPr>
          <w:rStyle w:val="FootnoteReference"/>
          <w:rFonts w:eastAsia="Calisto MT"/>
          <w:lang w:val="en-US"/>
        </w:rPr>
        <w:footnoteReference w:id="249"/>
      </w:r>
    </w:p>
    <w:p w14:paraId="037FB506" w14:textId="77777777" w:rsidR="00392882" w:rsidRDefault="006D7ACB" w:rsidP="006D7ACB">
      <w:pPr>
        <w:pStyle w:val="BodyText"/>
        <w:rPr>
          <w:lang w:eastAsia="en-US" w:bidi="fa-IR"/>
        </w:rPr>
      </w:pPr>
      <w:r>
        <w:rPr>
          <w:lang w:eastAsia="en-US" w:bidi="fa-IR"/>
        </w:rPr>
        <w:t xml:space="preserve">Consistent with the </w:t>
      </w:r>
      <w:r w:rsidR="00392882">
        <w:rPr>
          <w:lang w:eastAsia="en-US" w:bidi="fa-IR"/>
        </w:rPr>
        <w:t xml:space="preserve">COAG </w:t>
      </w:r>
      <w:r>
        <w:rPr>
          <w:lang w:eastAsia="en-US" w:bidi="fa-IR"/>
        </w:rPr>
        <w:t>RIS Guidelines, the key analytical tool</w:t>
      </w:r>
      <w:r w:rsidR="00AA7A29">
        <w:rPr>
          <w:lang w:eastAsia="en-US" w:bidi="fa-IR"/>
        </w:rPr>
        <w:t xml:space="preserve"> adopted in this RIS</w:t>
      </w:r>
      <w:r>
        <w:rPr>
          <w:lang w:eastAsia="en-US" w:bidi="fa-IR"/>
        </w:rPr>
        <w:t xml:space="preserve"> is CBA. CBA is based on utilitarian principles, where the costs and benefits on all members of the community are considered equally.</w:t>
      </w:r>
      <w:r w:rsidR="00392882">
        <w:rPr>
          <w:lang w:eastAsia="en-US" w:bidi="fa-IR"/>
        </w:rPr>
        <w:t xml:space="preserve"> </w:t>
      </w:r>
      <w:r w:rsidR="00AA7A29">
        <w:rPr>
          <w:lang w:eastAsia="en-US" w:bidi="fa-IR"/>
        </w:rPr>
        <w:t>This approach does not take into consideration distributional impacts, although as suggested by stakeholders these impacts are important when considering the provision of accessible housing.</w:t>
      </w:r>
    </w:p>
    <w:p w14:paraId="555050EA" w14:textId="77777777" w:rsidR="006D7ACB" w:rsidRDefault="00392882" w:rsidP="006D7ACB">
      <w:pPr>
        <w:pStyle w:val="BodyText"/>
        <w:rPr>
          <w:lang w:eastAsia="en-US" w:bidi="fa-IR"/>
        </w:rPr>
      </w:pPr>
      <w:r>
        <w:rPr>
          <w:lang w:eastAsia="en-US" w:bidi="fa-IR"/>
        </w:rPr>
        <w:t>Consistent with the COAG RIS Guidelines, decision</w:t>
      </w:r>
      <w:r>
        <w:rPr>
          <w:lang w:eastAsia="en-US" w:bidi="fa-IR"/>
        </w:rPr>
        <w:noBreakHyphen/>
        <w:t>makers are best placed to weigh up the distributional impacts against the net cost of the proposal. In particular:</w:t>
      </w:r>
    </w:p>
    <w:p w14:paraId="053D0185" w14:textId="77777777" w:rsidR="006D7ACB" w:rsidRDefault="006D7ACB" w:rsidP="006D7ACB">
      <w:pPr>
        <w:pStyle w:val="Quote"/>
      </w:pPr>
      <w:r>
        <w:rPr>
          <w:lang w:eastAsia="en-US" w:bidi="fa-IR"/>
        </w:rPr>
        <w:t>“D</w:t>
      </w:r>
      <w:r>
        <w:t>istributional judgements are properly made at the political level. In the interests of avoiding subjective bias, analysts should, by and large, refrain from attaching distributional weights to cost and benefit streams. Exceptions might be where there are unambiguous government policy objectives to assist specific groups in the community, and where the justification for special assistance to these groups relative to other groups is clearly established. However, for reasons of transparency, decision-makers and the public should be made fully aware of the costs of government action aimed at benefiting particular individuals or groups in the community.”</w:t>
      </w:r>
      <w:r>
        <w:rPr>
          <w:rStyle w:val="FootnoteReference"/>
        </w:rPr>
        <w:footnoteReference w:id="250"/>
      </w:r>
    </w:p>
    <w:p w14:paraId="106FFCFF" w14:textId="77777777" w:rsidR="00290137" w:rsidRDefault="00290137" w:rsidP="006D7ACB">
      <w:pPr>
        <w:pStyle w:val="BodyText"/>
        <w:rPr>
          <w:lang w:eastAsia="en-US" w:bidi="fa-IR"/>
        </w:rPr>
      </w:pPr>
      <w:r>
        <w:rPr>
          <w:lang w:eastAsia="en-US" w:bidi="fa-IR"/>
        </w:rPr>
        <w:t xml:space="preserve">For the Consultation RIS, </w:t>
      </w:r>
      <w:r w:rsidR="00087C1B">
        <w:rPr>
          <w:lang w:eastAsia="en-US" w:bidi="fa-IR"/>
        </w:rPr>
        <w:t>CIE estimated the community’s preference for fairer outcomes for people with disabilit</w:t>
      </w:r>
      <w:r w:rsidR="00D870C0">
        <w:rPr>
          <w:lang w:eastAsia="en-US" w:bidi="fa-IR"/>
        </w:rPr>
        <w:t>y</w:t>
      </w:r>
      <w:r w:rsidR="00B744CC">
        <w:rPr>
          <w:lang w:eastAsia="en-US" w:bidi="fa-IR"/>
        </w:rPr>
        <w:t xml:space="preserve"> </w:t>
      </w:r>
      <w:r w:rsidR="00087C1B">
        <w:rPr>
          <w:lang w:eastAsia="en-US" w:bidi="fa-IR"/>
        </w:rPr>
        <w:t>and older people through a stated preference survey.</w:t>
      </w:r>
    </w:p>
    <w:p w14:paraId="33498686" w14:textId="77777777" w:rsidR="00C10C72" w:rsidRDefault="00392882" w:rsidP="006D7ACB">
      <w:pPr>
        <w:pStyle w:val="BodyText"/>
        <w:rPr>
          <w:lang w:eastAsia="en-US" w:bidi="fa-IR"/>
        </w:rPr>
      </w:pPr>
      <w:r>
        <w:rPr>
          <w:lang w:eastAsia="en-US" w:bidi="fa-IR"/>
        </w:rPr>
        <w:t>To provide some guidance to decision</w:t>
      </w:r>
      <w:r>
        <w:rPr>
          <w:lang w:eastAsia="en-US" w:bidi="fa-IR"/>
        </w:rPr>
        <w:noBreakHyphen/>
        <w:t>makers</w:t>
      </w:r>
      <w:r w:rsidR="004543B4">
        <w:rPr>
          <w:lang w:eastAsia="en-US" w:bidi="fa-IR"/>
        </w:rPr>
        <w:t>,</w:t>
      </w:r>
      <w:r>
        <w:rPr>
          <w:lang w:eastAsia="en-US" w:bidi="fa-IR"/>
        </w:rPr>
        <w:t xml:space="preserve"> an estimate of these societal benefits </w:t>
      </w:r>
      <w:r w:rsidR="00B744CC">
        <w:rPr>
          <w:lang w:eastAsia="en-US" w:bidi="fa-IR"/>
        </w:rPr>
        <w:t xml:space="preserve">is included </w:t>
      </w:r>
      <w:r w:rsidR="00087C1B">
        <w:rPr>
          <w:lang w:eastAsia="en-US" w:bidi="fa-IR"/>
        </w:rPr>
        <w:t>as part of the scenario analysis</w:t>
      </w:r>
      <w:r>
        <w:rPr>
          <w:lang w:eastAsia="en-US" w:bidi="fa-IR"/>
        </w:rPr>
        <w:t xml:space="preserve">. </w:t>
      </w:r>
      <w:r w:rsidR="0073582F">
        <w:rPr>
          <w:lang w:eastAsia="en-US" w:bidi="fa-IR"/>
        </w:rPr>
        <w:t>W</w:t>
      </w:r>
      <w:r>
        <w:rPr>
          <w:lang w:eastAsia="en-US" w:bidi="fa-IR"/>
        </w:rPr>
        <w:t xml:space="preserve">hen these benefits </w:t>
      </w:r>
      <w:r w:rsidR="0073582F">
        <w:rPr>
          <w:lang w:eastAsia="en-US" w:bidi="fa-IR"/>
        </w:rPr>
        <w:t xml:space="preserve">are </w:t>
      </w:r>
      <w:r>
        <w:rPr>
          <w:lang w:eastAsia="en-US" w:bidi="fa-IR"/>
        </w:rPr>
        <w:t xml:space="preserve">included, all of the </w:t>
      </w:r>
      <w:r>
        <w:rPr>
          <w:lang w:eastAsia="en-US" w:bidi="fa-IR"/>
        </w:rPr>
        <w:lastRenderedPageBreak/>
        <w:t>NCC proposals</w:t>
      </w:r>
      <w:r w:rsidR="00290137">
        <w:rPr>
          <w:lang w:eastAsia="en-US" w:bidi="fa-IR"/>
        </w:rPr>
        <w:t xml:space="preserve"> </w:t>
      </w:r>
      <w:r w:rsidR="0073582F">
        <w:rPr>
          <w:lang w:eastAsia="en-US" w:bidi="fa-IR"/>
        </w:rPr>
        <w:t xml:space="preserve">are </w:t>
      </w:r>
      <w:r w:rsidR="00290137">
        <w:rPr>
          <w:lang w:eastAsia="en-US" w:bidi="fa-IR"/>
        </w:rPr>
        <w:t>estimated to impose a net cost to the community</w:t>
      </w:r>
      <w:r w:rsidR="00B744CC">
        <w:rPr>
          <w:lang w:eastAsia="en-US" w:bidi="fa-IR"/>
        </w:rPr>
        <w:t xml:space="preserve"> (see the scenario and sensitivity analysis section, especially tables 8.</w:t>
      </w:r>
      <w:r w:rsidR="00660951">
        <w:rPr>
          <w:lang w:eastAsia="en-US" w:bidi="fa-IR"/>
        </w:rPr>
        <w:t>4</w:t>
      </w:r>
      <w:r w:rsidR="00B744CC">
        <w:rPr>
          <w:lang w:eastAsia="en-US" w:bidi="fa-IR"/>
        </w:rPr>
        <w:t xml:space="preserve"> </w:t>
      </w:r>
      <w:r w:rsidR="00AA7A29">
        <w:rPr>
          <w:lang w:eastAsia="en-US" w:bidi="fa-IR"/>
        </w:rPr>
        <w:t>through</w:t>
      </w:r>
      <w:r w:rsidR="00B744CC">
        <w:rPr>
          <w:lang w:eastAsia="en-US" w:bidi="fa-IR"/>
        </w:rPr>
        <w:t xml:space="preserve"> 8.</w:t>
      </w:r>
      <w:r w:rsidR="00AA7A29">
        <w:rPr>
          <w:lang w:eastAsia="en-US" w:bidi="fa-IR"/>
        </w:rPr>
        <w:t>6</w:t>
      </w:r>
      <w:r w:rsidR="00B744CC">
        <w:rPr>
          <w:lang w:eastAsia="en-US" w:bidi="fa-IR"/>
        </w:rPr>
        <w:t xml:space="preserve"> in chapter </w:t>
      </w:r>
      <w:r w:rsidR="00FB60AA">
        <w:rPr>
          <w:lang w:eastAsia="en-US" w:bidi="fa-IR"/>
        </w:rPr>
        <w:t>eight</w:t>
      </w:r>
      <w:r w:rsidR="00B744CC">
        <w:rPr>
          <w:lang w:eastAsia="en-US" w:bidi="fa-IR"/>
        </w:rPr>
        <w:t>)</w:t>
      </w:r>
      <w:r w:rsidR="00290137">
        <w:rPr>
          <w:lang w:eastAsia="en-US" w:bidi="fa-IR"/>
        </w:rPr>
        <w:t>.</w:t>
      </w:r>
      <w:r w:rsidR="00087C1B">
        <w:rPr>
          <w:lang w:eastAsia="en-US" w:bidi="fa-IR"/>
        </w:rPr>
        <w:t xml:space="preserve"> </w:t>
      </w:r>
      <w:r w:rsidR="0061121D">
        <w:rPr>
          <w:lang w:eastAsia="en-US" w:bidi="fa-IR"/>
        </w:rPr>
        <w:t xml:space="preserve">However, </w:t>
      </w:r>
      <w:r w:rsidR="0073582F">
        <w:rPr>
          <w:lang w:eastAsia="en-US" w:bidi="fa-IR"/>
        </w:rPr>
        <w:t xml:space="preserve">some stakeholders have </w:t>
      </w:r>
      <w:r w:rsidR="00C65C7D">
        <w:rPr>
          <w:lang w:eastAsia="en-US" w:bidi="fa-IR"/>
        </w:rPr>
        <w:t>suggest</w:t>
      </w:r>
      <w:r w:rsidR="0073582F">
        <w:rPr>
          <w:lang w:eastAsia="en-US" w:bidi="fa-IR"/>
        </w:rPr>
        <w:t xml:space="preserve">ed this approach did not capture the full range of benefits. </w:t>
      </w:r>
    </w:p>
    <w:p w14:paraId="26BA8BE3" w14:textId="77777777" w:rsidR="0061121D" w:rsidRDefault="0073582F" w:rsidP="006D7ACB">
      <w:pPr>
        <w:pStyle w:val="BodyText"/>
        <w:rPr>
          <w:lang w:eastAsia="en-US" w:bidi="fa-IR"/>
        </w:rPr>
      </w:pPr>
      <w:r>
        <w:rPr>
          <w:lang w:eastAsia="en-US" w:bidi="fa-IR"/>
        </w:rPr>
        <w:t>Though CIE h</w:t>
      </w:r>
      <w:r w:rsidR="00900989">
        <w:rPr>
          <w:lang w:eastAsia="en-US" w:bidi="fa-IR"/>
        </w:rPr>
        <w:t>as</w:t>
      </w:r>
      <w:r>
        <w:rPr>
          <w:lang w:eastAsia="en-US" w:bidi="fa-IR"/>
        </w:rPr>
        <w:t xml:space="preserve"> attempted to include all benefits in its CBA assessment, some </w:t>
      </w:r>
      <w:r w:rsidR="007E420E">
        <w:rPr>
          <w:lang w:eastAsia="en-US" w:bidi="fa-IR"/>
        </w:rPr>
        <w:t xml:space="preserve">benefits </w:t>
      </w:r>
      <w:r>
        <w:rPr>
          <w:lang w:eastAsia="en-US" w:bidi="fa-IR"/>
        </w:rPr>
        <w:t>resist quantification. D</w:t>
      </w:r>
      <w:r w:rsidR="0061121D">
        <w:rPr>
          <w:lang w:eastAsia="en-US" w:bidi="fa-IR"/>
        </w:rPr>
        <w:t>ecision</w:t>
      </w:r>
      <w:r w:rsidR="0061121D">
        <w:rPr>
          <w:lang w:eastAsia="en-US" w:bidi="fa-IR"/>
        </w:rPr>
        <w:noBreakHyphen/>
        <w:t xml:space="preserve">makers are best placed to weigh up factors, such as social justice for people with disability and </w:t>
      </w:r>
      <w:r>
        <w:rPr>
          <w:lang w:eastAsia="en-US" w:bidi="fa-IR"/>
        </w:rPr>
        <w:t xml:space="preserve">policies to progress </w:t>
      </w:r>
      <w:r w:rsidR="0061121D">
        <w:rPr>
          <w:lang w:eastAsia="en-US" w:bidi="fa-IR"/>
        </w:rPr>
        <w:t>Australia’s human rights commitments under the UNC</w:t>
      </w:r>
      <w:r w:rsidR="00F67B18">
        <w:rPr>
          <w:lang w:eastAsia="en-US" w:bidi="fa-IR"/>
        </w:rPr>
        <w:t>R</w:t>
      </w:r>
      <w:r w:rsidR="0061121D">
        <w:rPr>
          <w:lang w:eastAsia="en-US" w:bidi="fa-IR"/>
        </w:rPr>
        <w:t>PD against the net cost imposed on other members of the community.</w:t>
      </w:r>
    </w:p>
    <w:p w14:paraId="5D9548B2" w14:textId="77777777" w:rsidR="00C612B9" w:rsidRDefault="00C612B9" w:rsidP="00FA2519">
      <w:pPr>
        <w:pStyle w:val="Heading4"/>
        <w:rPr>
          <w:lang w:bidi="fa-IR"/>
        </w:rPr>
      </w:pPr>
      <w:r>
        <w:rPr>
          <w:lang w:bidi="fa-IR"/>
        </w:rPr>
        <w:t xml:space="preserve">Limited </w:t>
      </w:r>
      <w:r w:rsidR="00AA7A29">
        <w:rPr>
          <w:lang w:bidi="fa-IR"/>
        </w:rPr>
        <w:t>r</w:t>
      </w:r>
      <w:r w:rsidR="00A47889">
        <w:rPr>
          <w:lang w:bidi="fa-IR"/>
        </w:rPr>
        <w:t>esearch</w:t>
      </w:r>
      <w:r w:rsidR="003D239B">
        <w:rPr>
          <w:lang w:bidi="fa-IR"/>
        </w:rPr>
        <w:t xml:space="preserve"> in the literature</w:t>
      </w:r>
    </w:p>
    <w:p w14:paraId="4312CE93" w14:textId="77777777" w:rsidR="00C612B9" w:rsidRDefault="00087C1B" w:rsidP="006C5856">
      <w:pPr>
        <w:pStyle w:val="BodyText"/>
        <w:rPr>
          <w:lang w:bidi="fa-IR"/>
        </w:rPr>
      </w:pPr>
      <w:r>
        <w:rPr>
          <w:lang w:bidi="fa-IR"/>
        </w:rPr>
        <w:t>Although there is much qualitative evidence on the costs associated with inaccessible housing, there is little robust quantitative evidence on the number of people who require accessible housing and the benefits of universal design.</w:t>
      </w:r>
    </w:p>
    <w:p w14:paraId="438BA52F" w14:textId="77777777" w:rsidR="00C612B9" w:rsidRDefault="00087C1B" w:rsidP="00087C1B">
      <w:pPr>
        <w:pStyle w:val="ListBullet"/>
        <w:rPr>
          <w:lang w:bidi="fa-IR"/>
        </w:rPr>
      </w:pPr>
      <w:r>
        <w:rPr>
          <w:lang w:bidi="fa-IR"/>
        </w:rPr>
        <w:t xml:space="preserve">Although SDAC </w:t>
      </w:r>
      <w:r w:rsidR="00C0592C">
        <w:rPr>
          <w:lang w:bidi="fa-IR"/>
        </w:rPr>
        <w:t xml:space="preserve">is a detailed and reliable source of information, there is little detail on accessibility needs in relation to housing and the extent to which these needs are met. As such, the estimates </w:t>
      </w:r>
      <w:r w:rsidR="00297C8D">
        <w:rPr>
          <w:lang w:bidi="fa-IR"/>
        </w:rPr>
        <w:t xml:space="preserve">in this report </w:t>
      </w:r>
      <w:r w:rsidR="00C0592C">
        <w:rPr>
          <w:lang w:bidi="fa-IR"/>
        </w:rPr>
        <w:t xml:space="preserve">are </w:t>
      </w:r>
      <w:r w:rsidR="00297C8D">
        <w:rPr>
          <w:lang w:bidi="fa-IR"/>
        </w:rPr>
        <w:t xml:space="preserve">mainly </w:t>
      </w:r>
      <w:r w:rsidR="00C0592C">
        <w:rPr>
          <w:lang w:bidi="fa-IR"/>
        </w:rPr>
        <w:t>based on inferences, rather than direct evidence.</w:t>
      </w:r>
    </w:p>
    <w:p w14:paraId="5F4CD65C" w14:textId="77777777" w:rsidR="00087C1B" w:rsidRDefault="00C0592C" w:rsidP="00C0592C">
      <w:pPr>
        <w:pStyle w:val="ListBullet"/>
        <w:rPr>
          <w:lang w:bidi="fa-IR"/>
        </w:rPr>
      </w:pPr>
      <w:r>
        <w:rPr>
          <w:lang w:bidi="fa-IR"/>
        </w:rPr>
        <w:t xml:space="preserve">Most of the literature on the impacts of accessible housing </w:t>
      </w:r>
      <w:r w:rsidR="00BF76BA">
        <w:rPr>
          <w:lang w:bidi="fa-IR"/>
        </w:rPr>
        <w:t xml:space="preserve">relates to home modifications. However, </w:t>
      </w:r>
      <w:r w:rsidR="00E755EB">
        <w:rPr>
          <w:lang w:bidi="fa-IR"/>
        </w:rPr>
        <w:t>the benefits of universal design cannot necessarily be extrapolate</w:t>
      </w:r>
      <w:r w:rsidR="002A224D">
        <w:rPr>
          <w:lang w:bidi="fa-IR"/>
        </w:rPr>
        <w:t>d</w:t>
      </w:r>
      <w:r w:rsidR="00E755EB">
        <w:rPr>
          <w:lang w:bidi="fa-IR"/>
        </w:rPr>
        <w:t xml:space="preserve"> from the impacts of bespoke home modifications</w:t>
      </w:r>
      <w:r w:rsidR="00C65C7D">
        <w:rPr>
          <w:lang w:bidi="fa-IR"/>
        </w:rPr>
        <w:t>.</w:t>
      </w:r>
    </w:p>
    <w:p w14:paraId="21C882E8" w14:textId="77777777" w:rsidR="00FF5620" w:rsidRDefault="00E755EB" w:rsidP="00DC3D2A">
      <w:pPr>
        <w:pStyle w:val="ListBullet"/>
        <w:rPr>
          <w:lang w:bidi="fa-IR"/>
        </w:rPr>
      </w:pPr>
      <w:r>
        <w:rPr>
          <w:lang w:bidi="fa-IR"/>
        </w:rPr>
        <w:t xml:space="preserve">There is limited </w:t>
      </w:r>
      <w:r w:rsidR="003309F5">
        <w:rPr>
          <w:lang w:bidi="fa-IR"/>
        </w:rPr>
        <w:t xml:space="preserve">quantitative </w:t>
      </w:r>
      <w:r>
        <w:rPr>
          <w:lang w:bidi="fa-IR"/>
        </w:rPr>
        <w:t>evidence on some of the key benefits</w:t>
      </w:r>
      <w:r w:rsidR="00C90922">
        <w:rPr>
          <w:lang w:bidi="fa-IR"/>
        </w:rPr>
        <w:t>.</w:t>
      </w:r>
      <w:r w:rsidR="00FF5620">
        <w:rPr>
          <w:lang w:bidi="fa-IR"/>
        </w:rPr>
        <w:t xml:space="preserve"> </w:t>
      </w:r>
    </w:p>
    <w:p w14:paraId="2452BEF2" w14:textId="77777777" w:rsidR="00E359BA" w:rsidRDefault="00C90922" w:rsidP="00FF5620">
      <w:pPr>
        <w:pStyle w:val="ListBullet2"/>
        <w:rPr>
          <w:lang w:bidi="fa-IR"/>
        </w:rPr>
      </w:pPr>
      <w:r>
        <w:rPr>
          <w:lang w:bidi="fa-IR"/>
        </w:rPr>
        <w:t>In particular</w:t>
      </w:r>
      <w:r w:rsidR="00E755EB">
        <w:rPr>
          <w:lang w:bidi="fa-IR"/>
        </w:rPr>
        <w:t xml:space="preserve">, </w:t>
      </w:r>
      <w:r w:rsidR="00C82EA0">
        <w:rPr>
          <w:lang w:bidi="fa-IR"/>
        </w:rPr>
        <w:t xml:space="preserve">there is limited evidence on </w:t>
      </w:r>
      <w:r w:rsidR="00E359BA">
        <w:rPr>
          <w:lang w:bidi="fa-IR"/>
        </w:rPr>
        <w:t>the impact of universal design on</w:t>
      </w:r>
      <w:r w:rsidR="00C82EA0">
        <w:rPr>
          <w:lang w:bidi="fa-IR"/>
        </w:rPr>
        <w:t xml:space="preserve"> some of the key benefits (which together are likely to contribute most of the total), including</w:t>
      </w:r>
      <w:r w:rsidR="00E359BA">
        <w:rPr>
          <w:lang w:bidi="fa-IR"/>
        </w:rPr>
        <w:t>:</w:t>
      </w:r>
    </w:p>
    <w:p w14:paraId="15741A64" w14:textId="77777777" w:rsidR="00E755EB" w:rsidRDefault="00E359BA" w:rsidP="00FF5620">
      <w:pPr>
        <w:pStyle w:val="ListBullet3"/>
        <w:rPr>
          <w:lang w:bidi="fa-IR"/>
        </w:rPr>
      </w:pPr>
      <w:r>
        <w:rPr>
          <w:lang w:bidi="fa-IR"/>
        </w:rPr>
        <w:t>quality of life</w:t>
      </w:r>
    </w:p>
    <w:p w14:paraId="222524F4" w14:textId="77777777" w:rsidR="00E359BA" w:rsidRDefault="00E359BA" w:rsidP="00FF5620">
      <w:pPr>
        <w:pStyle w:val="ListBullet3"/>
        <w:rPr>
          <w:lang w:bidi="fa-IR"/>
        </w:rPr>
      </w:pPr>
      <w:r>
        <w:rPr>
          <w:lang w:bidi="fa-IR"/>
        </w:rPr>
        <w:t>care needs</w:t>
      </w:r>
      <w:r w:rsidR="002A224D">
        <w:rPr>
          <w:lang w:bidi="fa-IR"/>
        </w:rPr>
        <w:t xml:space="preserve"> and</w:t>
      </w:r>
    </w:p>
    <w:p w14:paraId="06076814" w14:textId="77777777" w:rsidR="00E359BA" w:rsidRDefault="00E359BA" w:rsidP="00FF5620">
      <w:pPr>
        <w:pStyle w:val="ListBullet3"/>
        <w:rPr>
          <w:lang w:bidi="fa-IR"/>
        </w:rPr>
      </w:pPr>
      <w:r>
        <w:rPr>
          <w:lang w:bidi="fa-IR"/>
        </w:rPr>
        <w:t>employment outcomes.</w:t>
      </w:r>
    </w:p>
    <w:p w14:paraId="65308D06" w14:textId="77777777" w:rsidR="00DB3230" w:rsidRDefault="00DB3230" w:rsidP="00DB3230">
      <w:pPr>
        <w:pStyle w:val="ListBullet2"/>
        <w:rPr>
          <w:lang w:bidi="fa-IR"/>
        </w:rPr>
      </w:pPr>
      <w:r>
        <w:rPr>
          <w:lang w:bidi="fa-IR"/>
        </w:rPr>
        <w:t xml:space="preserve">In </w:t>
      </w:r>
      <w:r w:rsidR="00985733">
        <w:rPr>
          <w:lang w:bidi="fa-IR"/>
        </w:rPr>
        <w:t>some</w:t>
      </w:r>
      <w:r>
        <w:rPr>
          <w:lang w:bidi="fa-IR"/>
        </w:rPr>
        <w:t xml:space="preserve"> cases, the benefits were not able to be quantified at all.</w:t>
      </w:r>
    </w:p>
    <w:p w14:paraId="129EFD25" w14:textId="77777777" w:rsidR="00E359BA" w:rsidRDefault="00DF725C" w:rsidP="00E359BA">
      <w:pPr>
        <w:pStyle w:val="BodyText"/>
        <w:rPr>
          <w:lang w:bidi="fa-IR"/>
        </w:rPr>
      </w:pPr>
      <w:r>
        <w:rPr>
          <w:lang w:bidi="fa-IR"/>
        </w:rPr>
        <w:t>The lack of</w:t>
      </w:r>
      <w:r w:rsidR="00E359BA">
        <w:rPr>
          <w:lang w:bidi="fa-IR"/>
        </w:rPr>
        <w:t xml:space="preserve"> a strong body of</w:t>
      </w:r>
      <w:r w:rsidR="00A47889">
        <w:rPr>
          <w:lang w:bidi="fa-IR"/>
        </w:rPr>
        <w:t xml:space="preserve"> quantitative</w:t>
      </w:r>
      <w:r w:rsidR="00E359BA">
        <w:rPr>
          <w:lang w:bidi="fa-IR"/>
        </w:rPr>
        <w:t xml:space="preserve"> evidence</w:t>
      </w:r>
      <w:r>
        <w:rPr>
          <w:lang w:bidi="fa-IR"/>
        </w:rPr>
        <w:t xml:space="preserve"> creates </w:t>
      </w:r>
      <w:r w:rsidR="00E359BA">
        <w:rPr>
          <w:lang w:bidi="fa-IR"/>
        </w:rPr>
        <w:t>room for different interpretations</w:t>
      </w:r>
      <w:r>
        <w:rPr>
          <w:lang w:bidi="fa-IR"/>
        </w:rPr>
        <w:t xml:space="preserve"> of the </w:t>
      </w:r>
      <w:r w:rsidR="00EC2D92">
        <w:rPr>
          <w:lang w:bidi="fa-IR"/>
        </w:rPr>
        <w:t xml:space="preserve">available </w:t>
      </w:r>
      <w:r>
        <w:rPr>
          <w:lang w:bidi="fa-IR"/>
        </w:rPr>
        <w:t xml:space="preserve">evidence and the need to make general assumptions that are contestable. In this regard, although </w:t>
      </w:r>
      <w:r w:rsidR="006C2309">
        <w:rPr>
          <w:lang w:bidi="fa-IR"/>
        </w:rPr>
        <w:t>CIE’s</w:t>
      </w:r>
      <w:r>
        <w:rPr>
          <w:lang w:bidi="fa-IR"/>
        </w:rPr>
        <w:t xml:space="preserve"> sensitivity testing suggests it is unlikely, the p</w:t>
      </w:r>
      <w:r w:rsidR="00EC2D92">
        <w:rPr>
          <w:lang w:bidi="fa-IR"/>
        </w:rPr>
        <w:t xml:space="preserve">ossibility that the proposal could deliver a net benefit cannot be </w:t>
      </w:r>
      <w:r w:rsidR="00297C8D">
        <w:rPr>
          <w:lang w:bidi="fa-IR"/>
        </w:rPr>
        <w:t xml:space="preserve">completely </w:t>
      </w:r>
      <w:r w:rsidR="00EC2D92">
        <w:rPr>
          <w:lang w:bidi="fa-IR"/>
        </w:rPr>
        <w:t>ruled out.</w:t>
      </w:r>
      <w:r w:rsidR="003309F5">
        <w:rPr>
          <w:lang w:bidi="fa-IR"/>
        </w:rPr>
        <w:t xml:space="preserve"> For example, it is possible that some of the benefits </w:t>
      </w:r>
      <w:r w:rsidR="00DB3230">
        <w:rPr>
          <w:lang w:bidi="fa-IR"/>
        </w:rPr>
        <w:t>may be much larger than estimated based on CIE’s interpretation of the available evidence. If strong quantitative evidence w</w:t>
      </w:r>
      <w:r w:rsidR="007E420E">
        <w:rPr>
          <w:lang w:bidi="fa-IR"/>
        </w:rPr>
        <w:t>as</w:t>
      </w:r>
      <w:r w:rsidR="00DB3230">
        <w:rPr>
          <w:lang w:bidi="fa-IR"/>
        </w:rPr>
        <w:t xml:space="preserve"> to emerge </w:t>
      </w:r>
      <w:r w:rsidR="00C65C7D">
        <w:rPr>
          <w:lang w:bidi="fa-IR"/>
        </w:rPr>
        <w:t xml:space="preserve">in the future </w:t>
      </w:r>
      <w:r w:rsidR="00DB3230">
        <w:rPr>
          <w:lang w:bidi="fa-IR"/>
        </w:rPr>
        <w:t>that the benefits were significantly understated in the CBA, the conclusions may need to be re-considered.</w:t>
      </w:r>
    </w:p>
    <w:p w14:paraId="78621F5F" w14:textId="77777777" w:rsidR="00EC2D92" w:rsidRDefault="00EC2D92" w:rsidP="00FA2519">
      <w:pPr>
        <w:pStyle w:val="BodyText"/>
        <w:rPr>
          <w:lang w:bidi="fa-IR"/>
        </w:rPr>
      </w:pPr>
      <w:r>
        <w:rPr>
          <w:lang w:bidi="fa-IR"/>
        </w:rPr>
        <w:t>Under COAG best practice principles</w:t>
      </w:r>
      <w:r>
        <w:t xml:space="preserve">, </w:t>
      </w:r>
      <w:r w:rsidR="00EF4124">
        <w:t>the RIS must demonstrate</w:t>
      </w:r>
      <w:r w:rsidR="00FA2519">
        <w:t xml:space="preserve"> </w:t>
      </w:r>
      <w:r>
        <w:t>the benefits of the restrictions to the community as a whole outweigh the costs</w:t>
      </w:r>
      <w:r w:rsidR="00FF5620">
        <w:t xml:space="preserve">. </w:t>
      </w:r>
      <w:r w:rsidR="00FF5620">
        <w:rPr>
          <w:lang w:bidi="fa-IR"/>
        </w:rPr>
        <w:t xml:space="preserve">In this context, the lack of strong quantitative evidence to support the proposal tends </w:t>
      </w:r>
      <w:r w:rsidR="001578E8">
        <w:rPr>
          <w:lang w:bidi="fa-IR"/>
        </w:rPr>
        <w:t xml:space="preserve">not </w:t>
      </w:r>
      <w:r w:rsidR="00FF5620">
        <w:rPr>
          <w:lang w:bidi="fa-IR"/>
        </w:rPr>
        <w:t>to strengthen the case for change.</w:t>
      </w:r>
    </w:p>
    <w:p w14:paraId="675A82C9" w14:textId="77777777" w:rsidR="004E736E" w:rsidRDefault="00865799" w:rsidP="00FA2519">
      <w:pPr>
        <w:pStyle w:val="Heading3"/>
        <w:rPr>
          <w:lang w:bidi="fa-IR"/>
        </w:rPr>
      </w:pPr>
      <w:r>
        <w:rPr>
          <w:lang w:bidi="fa-IR"/>
        </w:rPr>
        <w:lastRenderedPageBreak/>
        <w:t>Non-regulatory</w:t>
      </w:r>
      <w:r w:rsidR="00C612B9">
        <w:rPr>
          <w:lang w:bidi="fa-IR"/>
        </w:rPr>
        <w:t xml:space="preserve"> options</w:t>
      </w:r>
    </w:p>
    <w:p w14:paraId="16583BDA" w14:textId="77777777" w:rsidR="00395609" w:rsidRDefault="00395609" w:rsidP="00395609">
      <w:pPr>
        <w:pStyle w:val="BodyText"/>
        <w:rPr>
          <w:lang w:bidi="fa-IR"/>
        </w:rPr>
      </w:pPr>
      <w:r>
        <w:rPr>
          <w:lang w:bidi="fa-IR"/>
        </w:rPr>
        <w:t>The Decision RIS also considered two non</w:t>
      </w:r>
      <w:r>
        <w:rPr>
          <w:lang w:bidi="fa-IR"/>
        </w:rPr>
        <w:noBreakHyphen/>
        <w:t>regulatory options:</w:t>
      </w:r>
    </w:p>
    <w:p w14:paraId="51FCE413" w14:textId="77777777" w:rsidR="00395609" w:rsidRDefault="00395609" w:rsidP="00231B7C">
      <w:pPr>
        <w:pStyle w:val="ListBullet"/>
        <w:numPr>
          <w:ilvl w:val="0"/>
          <w:numId w:val="18"/>
        </w:numPr>
        <w:rPr>
          <w:lang w:bidi="fa-IR"/>
        </w:rPr>
      </w:pPr>
      <w:r>
        <w:rPr>
          <w:lang w:bidi="fa-IR"/>
        </w:rPr>
        <w:t xml:space="preserve">a </w:t>
      </w:r>
      <w:r w:rsidR="007E420E">
        <w:rPr>
          <w:lang w:bidi="fa-IR"/>
        </w:rPr>
        <w:t xml:space="preserve">generalised </w:t>
      </w:r>
      <w:r>
        <w:rPr>
          <w:lang w:bidi="fa-IR"/>
        </w:rPr>
        <w:t>subsidy scheme to target a lack of accessible rental properties</w:t>
      </w:r>
      <w:r w:rsidR="00865799">
        <w:rPr>
          <w:lang w:bidi="fa-IR"/>
        </w:rPr>
        <w:t xml:space="preserve"> – Option 5</w:t>
      </w:r>
    </w:p>
    <w:p w14:paraId="6DC68A7C" w14:textId="77777777" w:rsidR="00395609" w:rsidRDefault="00395609" w:rsidP="00231B7C">
      <w:pPr>
        <w:pStyle w:val="ListBullet"/>
        <w:numPr>
          <w:ilvl w:val="0"/>
          <w:numId w:val="18"/>
        </w:numPr>
        <w:rPr>
          <w:lang w:bidi="fa-IR"/>
        </w:rPr>
      </w:pPr>
      <w:r>
        <w:rPr>
          <w:lang w:bidi="fa-IR"/>
        </w:rPr>
        <w:t>an enhanced voluntary code</w:t>
      </w:r>
      <w:r w:rsidR="00865799">
        <w:rPr>
          <w:lang w:bidi="fa-IR"/>
        </w:rPr>
        <w:t xml:space="preserve"> – Option 6</w:t>
      </w:r>
      <w:r>
        <w:rPr>
          <w:lang w:bidi="fa-IR"/>
        </w:rPr>
        <w:t>.</w:t>
      </w:r>
    </w:p>
    <w:p w14:paraId="74BBB23A" w14:textId="77777777" w:rsidR="00395609" w:rsidRDefault="00865799" w:rsidP="00395609">
      <w:pPr>
        <w:pStyle w:val="BodyText"/>
        <w:rPr>
          <w:lang w:bidi="fa-IR"/>
        </w:rPr>
      </w:pPr>
      <w:r>
        <w:rPr>
          <w:lang w:bidi="fa-IR"/>
        </w:rPr>
        <w:t>While a</w:t>
      </w:r>
      <w:r w:rsidR="00395609">
        <w:rPr>
          <w:lang w:bidi="fa-IR"/>
        </w:rPr>
        <w:t xml:space="preserve"> subsidy scheme is outside of </w:t>
      </w:r>
      <w:r w:rsidR="001578E8">
        <w:rPr>
          <w:lang w:bidi="fa-IR"/>
        </w:rPr>
        <w:t xml:space="preserve">the </w:t>
      </w:r>
      <w:r w:rsidR="00395609">
        <w:rPr>
          <w:lang w:bidi="fa-IR"/>
        </w:rPr>
        <w:t>ABCB’s area of responsibility</w:t>
      </w:r>
      <w:r>
        <w:rPr>
          <w:lang w:bidi="fa-IR"/>
        </w:rPr>
        <w:t>,</w:t>
      </w:r>
      <w:r w:rsidR="00395609">
        <w:rPr>
          <w:lang w:bidi="fa-IR"/>
        </w:rPr>
        <w:t xml:space="preserve"> </w:t>
      </w:r>
      <w:r>
        <w:rPr>
          <w:lang w:bidi="fa-IR"/>
        </w:rPr>
        <w:t>it is included in the analysis to test whether regulatory options deliver more net benefits than non-regulatory options</w:t>
      </w:r>
      <w:r w:rsidR="00395609">
        <w:rPr>
          <w:lang w:bidi="fa-IR"/>
        </w:rPr>
        <w:t>. Consistent with the COAG RIS Guidelines, a RIS must establish not only that the benefits of a regulatory proposal outweigh the cost</w:t>
      </w:r>
      <w:r>
        <w:rPr>
          <w:lang w:bidi="fa-IR"/>
        </w:rPr>
        <w:t>s</w:t>
      </w:r>
      <w:r w:rsidR="00395609">
        <w:rPr>
          <w:lang w:bidi="fa-IR"/>
        </w:rPr>
        <w:t xml:space="preserve">, but </w:t>
      </w:r>
      <w:r w:rsidR="00AD345F">
        <w:rPr>
          <w:lang w:bidi="fa-IR"/>
        </w:rPr>
        <w:t>also</w:t>
      </w:r>
      <w:r w:rsidR="00395609">
        <w:rPr>
          <w:lang w:bidi="fa-IR"/>
        </w:rPr>
        <w:t xml:space="preserve"> that it is the best policy approach to meet the objectives (i.e. delivers the greatest net benefits). As such, regulatory options must be tested against alternative approaches to meet the objectives.</w:t>
      </w:r>
    </w:p>
    <w:p w14:paraId="5FB14C96" w14:textId="77777777" w:rsidR="00395609" w:rsidRDefault="00395609" w:rsidP="00395609">
      <w:pPr>
        <w:pStyle w:val="BodyText"/>
        <w:rPr>
          <w:lang w:bidi="fa-IR"/>
        </w:rPr>
      </w:pPr>
      <w:r>
        <w:rPr>
          <w:lang w:bidi="fa-IR"/>
        </w:rPr>
        <w:t xml:space="preserve">As this option is not formally under consideration, the design of a subsidy scheme (including eligibility requirements) has not been </w:t>
      </w:r>
      <w:r w:rsidR="00865799">
        <w:rPr>
          <w:lang w:bidi="fa-IR"/>
        </w:rPr>
        <w:t xml:space="preserve">fully </w:t>
      </w:r>
      <w:r>
        <w:rPr>
          <w:lang w:bidi="fa-IR"/>
        </w:rPr>
        <w:t>developed. Furthermore, the speed with which such a scheme could be developed is likely to be much slower than estimated in the CBA.</w:t>
      </w:r>
    </w:p>
    <w:p w14:paraId="2FD3F787" w14:textId="77777777" w:rsidR="00395609" w:rsidRDefault="00395609" w:rsidP="00395609">
      <w:pPr>
        <w:pStyle w:val="BodyText"/>
        <w:rPr>
          <w:lang w:bidi="fa-IR"/>
        </w:rPr>
      </w:pPr>
      <w:r>
        <w:rPr>
          <w:lang w:bidi="fa-IR"/>
        </w:rPr>
        <w:t>Nevertheless, the CBA suggests that a subsidy scheme to provide accessible rental properties to people with accessibility needs is a more targeted and therefore more cost</w:t>
      </w:r>
      <w:r>
        <w:rPr>
          <w:lang w:bidi="fa-IR"/>
        </w:rPr>
        <w:noBreakHyphen/>
        <w:t xml:space="preserve">effective approach to </w:t>
      </w:r>
      <w:r w:rsidR="00FC0C58">
        <w:rPr>
          <w:lang w:bidi="fa-IR"/>
        </w:rPr>
        <w:t xml:space="preserve">at least </w:t>
      </w:r>
      <w:r>
        <w:rPr>
          <w:lang w:bidi="fa-IR"/>
        </w:rPr>
        <w:t>partially addressing the problems associated with inaccessible housing than through the NCC. In particular:</w:t>
      </w:r>
    </w:p>
    <w:p w14:paraId="71CBB222" w14:textId="77777777" w:rsidR="00395609" w:rsidRDefault="00395609" w:rsidP="00231B7C">
      <w:pPr>
        <w:pStyle w:val="ListBullet"/>
        <w:numPr>
          <w:ilvl w:val="0"/>
          <w:numId w:val="18"/>
        </w:numPr>
        <w:rPr>
          <w:lang w:bidi="fa-IR"/>
        </w:rPr>
      </w:pPr>
      <w:r>
        <w:rPr>
          <w:lang w:bidi="fa-IR"/>
        </w:rPr>
        <w:t>renters are often unable to make modifications to a rental property because landlords are reluctant to approve modifications</w:t>
      </w:r>
    </w:p>
    <w:p w14:paraId="2E7DB61E" w14:textId="77777777" w:rsidR="00395609" w:rsidRDefault="00395609" w:rsidP="00231B7C">
      <w:pPr>
        <w:pStyle w:val="ListBullet"/>
        <w:numPr>
          <w:ilvl w:val="0"/>
          <w:numId w:val="18"/>
        </w:numPr>
        <w:rPr>
          <w:lang w:bidi="fa-IR"/>
        </w:rPr>
      </w:pPr>
      <w:r>
        <w:rPr>
          <w:lang w:bidi="fa-IR"/>
        </w:rPr>
        <w:t>renters are unable to take advantage of subsidies on home modifications.</w:t>
      </w:r>
    </w:p>
    <w:p w14:paraId="27C068CD" w14:textId="77777777" w:rsidR="00570533" w:rsidRDefault="00395609" w:rsidP="00395609">
      <w:pPr>
        <w:pStyle w:val="BodyText"/>
        <w:rPr>
          <w:lang w:bidi="fa-IR"/>
        </w:rPr>
      </w:pPr>
      <w:r>
        <w:rPr>
          <w:lang w:bidi="fa-IR"/>
        </w:rPr>
        <w:t xml:space="preserve">The benefits and costs of an enhanced voluntary code were unable to be quantified. </w:t>
      </w:r>
    </w:p>
    <w:p w14:paraId="1B815A64" w14:textId="77777777" w:rsidR="00395609" w:rsidRDefault="00395609" w:rsidP="00395609">
      <w:pPr>
        <w:pStyle w:val="BodyText"/>
        <w:rPr>
          <w:lang w:bidi="fa-IR"/>
        </w:rPr>
      </w:pPr>
      <w:r>
        <w:rPr>
          <w:lang w:bidi="fa-IR"/>
        </w:rPr>
        <w:t xml:space="preserve">However, construction of more accessible homes is likely to be beneficial. Although it is acknowledged that a voluntary approach has not seen high levels of adoption in the past (which means the impact of enhanced measures may be limited), any relatively low-cost initiatives to encourage voluntary uptake of </w:t>
      </w:r>
      <w:r w:rsidR="00F67B18">
        <w:rPr>
          <w:lang w:bidi="fa-IR"/>
        </w:rPr>
        <w:t>more accessible</w:t>
      </w:r>
      <w:r>
        <w:rPr>
          <w:lang w:bidi="fa-IR"/>
        </w:rPr>
        <w:t xml:space="preserve"> dwellings would be beneficial.</w:t>
      </w:r>
    </w:p>
    <w:p w14:paraId="4C75609B" w14:textId="77777777" w:rsidR="00F67B18" w:rsidRPr="003A1AB0" w:rsidRDefault="004B1875" w:rsidP="00F67B18">
      <w:pPr>
        <w:pStyle w:val="Heading2"/>
        <w:rPr>
          <w:lang w:bidi="fa-IR"/>
        </w:rPr>
      </w:pPr>
      <w:bookmarkStart w:id="540" w:name="_Toc70505133"/>
      <w:r w:rsidRPr="003A1AB0">
        <w:rPr>
          <w:lang w:bidi="fa-IR"/>
        </w:rPr>
        <w:t>Findings of analysis</w:t>
      </w:r>
      <w:bookmarkEnd w:id="540"/>
    </w:p>
    <w:p w14:paraId="4E07EF94" w14:textId="77777777" w:rsidR="00705895" w:rsidRDefault="00705895" w:rsidP="00705895">
      <w:pPr>
        <w:pStyle w:val="BodyText"/>
      </w:pPr>
      <w:r>
        <w:t>This RIS has investigated the inclusion of minimum accessibility housing standards in the NCC. It considers the costs and benefits of options to ensure housing is built to meet the needs of all Australians, drawing on the best available information, supported by important lived experiences and information received during consultation.</w:t>
      </w:r>
    </w:p>
    <w:p w14:paraId="217ECF5E" w14:textId="77777777" w:rsidR="00705895" w:rsidRDefault="00705895" w:rsidP="00705895">
      <w:pPr>
        <w:pStyle w:val="BodyText"/>
      </w:pPr>
      <w:r>
        <w:t>Although a lack of accessible housing imposes a significant and growing cost on the community (incurred mostly by people with disability and older people), this RIS concludes that regulatory options to amend the NCC for all new houses and apartments based on Silver, Gold and Gold + impose costs that outweigh the benefits.</w:t>
      </w:r>
    </w:p>
    <w:p w14:paraId="18E61162" w14:textId="77777777" w:rsidR="00705895" w:rsidRDefault="00705895" w:rsidP="00705895">
      <w:pPr>
        <w:pStyle w:val="BodyText"/>
      </w:pPr>
      <w:r w:rsidRPr="00705895">
        <w:t xml:space="preserve">To provide a comparison to the regulatory options, this RIS also looked at two non-regulatory options (Options 5 and 6). Analysis of Option 5 (conceptual targeted </w:t>
      </w:r>
      <w:r w:rsidRPr="00705895">
        <w:lastRenderedPageBreak/>
        <w:t>subsidies), undertaken on a general basis, suggests the potential for a net benefit, noting the analysis of Option 5 and Option 6 were conducted in general and on limited terms.</w:t>
      </w:r>
    </w:p>
    <w:p w14:paraId="4D3593F9" w14:textId="77777777" w:rsidR="00705895" w:rsidRDefault="00705895" w:rsidP="00705895">
      <w:pPr>
        <w:pStyle w:val="BodyText"/>
      </w:pPr>
      <w:r>
        <w:t xml:space="preserve">The CBA provides quantitative information to inform policy decisions. In an effort to provide further information, the RIS also discusses broader impacts to society including employment and productivity benefits and the community’s preference for more equitable outcomes in housing.  </w:t>
      </w:r>
    </w:p>
    <w:p w14:paraId="1B7A9A37" w14:textId="77777777" w:rsidR="00705895" w:rsidRDefault="00705895" w:rsidP="00705895">
      <w:pPr>
        <w:pStyle w:val="BodyText"/>
      </w:pPr>
      <w:r>
        <w:t xml:space="preserve">Finally, the CBA is not the only input to decision making. </w:t>
      </w:r>
      <w:r>
        <w:rPr>
          <w:lang w:eastAsia="en-US"/>
        </w:rPr>
        <w:t>Decision</w:t>
      </w:r>
      <w:r>
        <w:rPr>
          <w:lang w:eastAsia="en-US"/>
        </w:rPr>
        <w:noBreakHyphen/>
        <w:t>makers are best placed to weigh up factors, such as social justice for people with disability supporting more inclusive communities and ageing in place, as well as Australia’s future progress towards international human rights treaties, against the net cost imposed on other members of the community.</w:t>
      </w:r>
    </w:p>
    <w:p w14:paraId="497AF2E4" w14:textId="77777777" w:rsidR="001E45D0" w:rsidRPr="00F4477B" w:rsidRDefault="001E45D0" w:rsidP="00F4477B">
      <w:pPr>
        <w:pStyle w:val="Heading1-Appendix"/>
      </w:pPr>
      <w:bookmarkStart w:id="541" w:name="_Ref55121504"/>
      <w:r w:rsidRPr="00F4477B">
        <w:lastRenderedPageBreak/>
        <w:t>Consultation summary</w:t>
      </w:r>
      <w:bookmarkEnd w:id="541"/>
    </w:p>
    <w:p w14:paraId="0CC4F68A" w14:textId="77777777" w:rsidR="001E45D0" w:rsidRDefault="001E45D0" w:rsidP="00F4477B">
      <w:r>
        <w:t>The Centre for International Economics (CIE) prepared the Consultation Regulation Impact Statement (Consultation RIS) for the proposal to include minimum accessibility standards for housing in the National Construction Code</w:t>
      </w:r>
      <w:r w:rsidR="006E088C">
        <w:t xml:space="preserve"> (NCC)</w:t>
      </w:r>
      <w:r>
        <w:t>.</w:t>
      </w:r>
      <w:r>
        <w:rPr>
          <w:rStyle w:val="FootnoteReference"/>
          <w:lang w:bidi="fa-IR"/>
        </w:rPr>
        <w:footnoteReference w:id="251"/>
      </w:r>
    </w:p>
    <w:p w14:paraId="7B32BA36" w14:textId="77777777" w:rsidR="00145A70" w:rsidRDefault="00145A70" w:rsidP="001E45D0">
      <w:pPr>
        <w:pStyle w:val="BodyText"/>
        <w:rPr>
          <w:lang w:bidi="fa-IR"/>
        </w:rPr>
      </w:pPr>
      <w:r>
        <w:rPr>
          <w:lang w:bidi="fa-IR"/>
        </w:rPr>
        <w:t>The Consultation RIS provided a basis for review and input from a range of stakeholders including advocacy groups, industry and the general public.</w:t>
      </w:r>
    </w:p>
    <w:p w14:paraId="641E9EA7" w14:textId="77777777" w:rsidR="001E45D0" w:rsidRDefault="001E45D0" w:rsidP="001E45D0">
      <w:pPr>
        <w:pStyle w:val="BodyText"/>
        <w:rPr>
          <w:lang w:bidi="fa-IR"/>
        </w:rPr>
      </w:pPr>
      <w:r>
        <w:rPr>
          <w:lang w:bidi="fa-IR"/>
        </w:rPr>
        <w:t>Public consultation</w:t>
      </w:r>
      <w:r w:rsidR="00145A70">
        <w:rPr>
          <w:lang w:bidi="fa-IR"/>
        </w:rPr>
        <w:t xml:space="preserve"> on the Consultation RIS</w:t>
      </w:r>
      <w:r>
        <w:rPr>
          <w:lang w:bidi="fa-IR"/>
        </w:rPr>
        <w:t xml:space="preserve"> </w:t>
      </w:r>
      <w:r w:rsidR="00145A70">
        <w:rPr>
          <w:lang w:bidi="fa-IR"/>
        </w:rPr>
        <w:t>extended</w:t>
      </w:r>
      <w:r>
        <w:rPr>
          <w:lang w:bidi="fa-IR"/>
        </w:rPr>
        <w:t xml:space="preserve"> from 6 July to 31 August 2020. </w:t>
      </w:r>
      <w:r w:rsidR="00145A70">
        <w:rPr>
          <w:lang w:bidi="fa-IR"/>
        </w:rPr>
        <w:t>C</w:t>
      </w:r>
      <w:r>
        <w:rPr>
          <w:lang w:bidi="fa-IR"/>
        </w:rPr>
        <w:t xml:space="preserve">onsultation was conducted through </w:t>
      </w:r>
      <w:r w:rsidR="00F50249">
        <w:rPr>
          <w:lang w:bidi="fa-IR"/>
        </w:rPr>
        <w:t xml:space="preserve">the </w:t>
      </w:r>
      <w:r>
        <w:rPr>
          <w:lang w:bidi="fa-IR"/>
        </w:rPr>
        <w:t>ABCB’s Consultation Hub platform</w:t>
      </w:r>
      <w:r>
        <w:rPr>
          <w:rStyle w:val="FootnoteReference"/>
          <w:lang w:bidi="fa-IR"/>
        </w:rPr>
        <w:footnoteReference w:id="252"/>
      </w:r>
      <w:r>
        <w:rPr>
          <w:lang w:bidi="fa-IR"/>
        </w:rPr>
        <w:t xml:space="preserve"> </w:t>
      </w:r>
      <w:r w:rsidR="00145A70">
        <w:rPr>
          <w:lang w:bidi="fa-IR"/>
        </w:rPr>
        <w:t>which</w:t>
      </w:r>
      <w:r>
        <w:rPr>
          <w:lang w:bidi="fa-IR"/>
        </w:rPr>
        <w:t xml:space="preserve"> feature</w:t>
      </w:r>
      <w:r w:rsidR="00145A70">
        <w:rPr>
          <w:lang w:bidi="fa-IR"/>
        </w:rPr>
        <w:t>d</w:t>
      </w:r>
      <w:r>
        <w:rPr>
          <w:lang w:bidi="fa-IR"/>
        </w:rPr>
        <w:t xml:space="preserve"> 36 structured questions to assist the public to provide their </w:t>
      </w:r>
      <w:r w:rsidR="00145A70">
        <w:rPr>
          <w:lang w:bidi="fa-IR"/>
        </w:rPr>
        <w:t>feedback</w:t>
      </w:r>
      <w:r>
        <w:rPr>
          <w:lang w:bidi="fa-IR"/>
        </w:rPr>
        <w:t xml:space="preserve"> on relevant parts of the C</w:t>
      </w:r>
      <w:r w:rsidR="00B01E99">
        <w:rPr>
          <w:lang w:bidi="fa-IR"/>
        </w:rPr>
        <w:t xml:space="preserve">onsultation </w:t>
      </w:r>
      <w:r>
        <w:rPr>
          <w:lang w:bidi="fa-IR"/>
        </w:rPr>
        <w:t>RIS.</w:t>
      </w:r>
      <w:r w:rsidR="00145A70">
        <w:rPr>
          <w:lang w:bidi="fa-IR"/>
        </w:rPr>
        <w:t xml:space="preserve"> Submissions were also received outside the Consultation Hub.</w:t>
      </w:r>
    </w:p>
    <w:p w14:paraId="05B96262" w14:textId="77777777" w:rsidR="001E45D0" w:rsidRDefault="001E45D0" w:rsidP="001E45D0">
      <w:pPr>
        <w:pStyle w:val="BodyText"/>
        <w:rPr>
          <w:lang w:bidi="fa-IR"/>
        </w:rPr>
      </w:pPr>
      <w:r>
        <w:rPr>
          <w:lang w:bidi="fa-IR"/>
        </w:rPr>
        <w:t xml:space="preserve">There </w:t>
      </w:r>
      <w:r w:rsidR="00145A70">
        <w:rPr>
          <w:lang w:bidi="fa-IR"/>
        </w:rPr>
        <w:t>we</w:t>
      </w:r>
      <w:r>
        <w:rPr>
          <w:lang w:bidi="fa-IR"/>
        </w:rPr>
        <w:t xml:space="preserve">re </w:t>
      </w:r>
      <w:r w:rsidR="00FB7022">
        <w:rPr>
          <w:lang w:bidi="fa-IR"/>
        </w:rPr>
        <w:t>203</w:t>
      </w:r>
      <w:r>
        <w:rPr>
          <w:lang w:bidi="fa-IR"/>
        </w:rPr>
        <w:t xml:space="preserve"> submissions in total, with </w:t>
      </w:r>
      <w:r w:rsidR="00501E6E">
        <w:rPr>
          <w:lang w:bidi="fa-IR"/>
        </w:rPr>
        <w:t xml:space="preserve">98 </w:t>
      </w:r>
      <w:r>
        <w:rPr>
          <w:lang w:bidi="fa-IR"/>
        </w:rPr>
        <w:t xml:space="preserve">submissions </w:t>
      </w:r>
      <w:r w:rsidR="00145A70">
        <w:rPr>
          <w:lang w:bidi="fa-IR"/>
        </w:rPr>
        <w:t>responding</w:t>
      </w:r>
      <w:r>
        <w:rPr>
          <w:lang w:bidi="fa-IR"/>
        </w:rPr>
        <w:t xml:space="preserve"> through the Consultation Hub, and the remaining being submitted separately</w:t>
      </w:r>
      <w:r w:rsidR="00145A70">
        <w:rPr>
          <w:lang w:bidi="fa-IR"/>
        </w:rPr>
        <w:t>.</w:t>
      </w:r>
    </w:p>
    <w:p w14:paraId="34000ACA" w14:textId="77777777" w:rsidR="00BE115C" w:rsidRPr="00351299" w:rsidRDefault="00BE115C" w:rsidP="001E45D0">
      <w:pPr>
        <w:pStyle w:val="BodyText"/>
        <w:rPr>
          <w:lang w:bidi="fa-IR"/>
        </w:rPr>
      </w:pPr>
      <w:bookmarkStart w:id="542" w:name="_Hlk57986736"/>
      <w:r>
        <w:rPr>
          <w:lang w:bidi="fa-IR"/>
        </w:rPr>
        <w:t xml:space="preserve">Among the </w:t>
      </w:r>
      <w:r w:rsidR="00FB7022">
        <w:rPr>
          <w:lang w:bidi="fa-IR"/>
        </w:rPr>
        <w:t xml:space="preserve">203 </w:t>
      </w:r>
      <w:r>
        <w:rPr>
          <w:lang w:bidi="fa-IR"/>
        </w:rPr>
        <w:t xml:space="preserve">submissions, there </w:t>
      </w:r>
      <w:r w:rsidR="00145A70">
        <w:rPr>
          <w:lang w:bidi="fa-IR"/>
        </w:rPr>
        <w:t>we</w:t>
      </w:r>
      <w:r>
        <w:rPr>
          <w:lang w:bidi="fa-IR"/>
        </w:rPr>
        <w:t xml:space="preserve">re </w:t>
      </w:r>
      <w:r w:rsidR="00FB7022">
        <w:rPr>
          <w:lang w:bidi="fa-IR"/>
        </w:rPr>
        <w:t xml:space="preserve">114 </w:t>
      </w:r>
      <w:r>
        <w:rPr>
          <w:lang w:bidi="fa-IR"/>
        </w:rPr>
        <w:t xml:space="preserve">public submissions, </w:t>
      </w:r>
      <w:r w:rsidR="00FB7022">
        <w:rPr>
          <w:lang w:bidi="fa-IR"/>
        </w:rPr>
        <w:t xml:space="preserve">63 </w:t>
      </w:r>
      <w:r>
        <w:rPr>
          <w:lang w:bidi="fa-IR"/>
        </w:rPr>
        <w:t xml:space="preserve">anonymous submissions, and 26 confidential submissions. Public submissions are identified by the respondent name while anonymous ones by their unique </w:t>
      </w:r>
      <w:r w:rsidR="000102B8">
        <w:rPr>
          <w:lang w:bidi="fa-IR"/>
        </w:rPr>
        <w:t>ID</w:t>
      </w:r>
      <w:r>
        <w:rPr>
          <w:lang w:bidi="fa-IR"/>
        </w:rPr>
        <w:t xml:space="preserve"> number on the </w:t>
      </w:r>
      <w:r w:rsidR="000102B8">
        <w:rPr>
          <w:lang w:bidi="fa-IR"/>
        </w:rPr>
        <w:t>ABCB consultation website</w:t>
      </w:r>
      <w:r w:rsidR="00745D52">
        <w:rPr>
          <w:rStyle w:val="FootnoteReference"/>
          <w:lang w:bidi="fa-IR"/>
        </w:rPr>
        <w:footnoteReference w:id="253"/>
      </w:r>
      <w:r w:rsidR="00745D52">
        <w:rPr>
          <w:lang w:bidi="fa-IR"/>
        </w:rPr>
        <w:t>.</w:t>
      </w:r>
      <w:r w:rsidR="000102B8">
        <w:rPr>
          <w:lang w:bidi="fa-IR"/>
        </w:rPr>
        <w:t xml:space="preserve"> Confidential submissions are not </w:t>
      </w:r>
      <w:r w:rsidR="000102B8" w:rsidRPr="00351299">
        <w:rPr>
          <w:lang w:bidi="fa-IR"/>
        </w:rPr>
        <w:t>published</w:t>
      </w:r>
      <w:r w:rsidR="00D62175" w:rsidRPr="00351299">
        <w:rPr>
          <w:lang w:bidi="fa-IR"/>
        </w:rPr>
        <w:t xml:space="preserve"> and are not identified explicitly in this RIS</w:t>
      </w:r>
      <w:r w:rsidR="008E74BA" w:rsidRPr="00351299">
        <w:rPr>
          <w:lang w:bidi="fa-IR"/>
        </w:rPr>
        <w:t>.</w:t>
      </w:r>
      <w:r w:rsidR="00D62175" w:rsidRPr="00351299">
        <w:rPr>
          <w:lang w:bidi="fa-IR"/>
        </w:rPr>
        <w:t xml:space="preserve"> </w:t>
      </w:r>
      <w:r w:rsidR="006304D0" w:rsidRPr="00351299">
        <w:rPr>
          <w:lang w:bidi="fa-IR"/>
        </w:rPr>
        <w:t>The phrase ‘a</w:t>
      </w:r>
      <w:r w:rsidR="00AC015C">
        <w:rPr>
          <w:lang w:bidi="fa-IR"/>
        </w:rPr>
        <w:t>/</w:t>
      </w:r>
      <w:r w:rsidR="006304D0" w:rsidRPr="00351299">
        <w:rPr>
          <w:lang w:bidi="fa-IR"/>
        </w:rPr>
        <w:t>one submission’ is used when referencing feedback from a confidential submission.</w:t>
      </w:r>
    </w:p>
    <w:p w14:paraId="00AAC246" w14:textId="77777777" w:rsidR="0038709C" w:rsidRDefault="0038709C" w:rsidP="001E45D0">
      <w:pPr>
        <w:pStyle w:val="BodyText"/>
        <w:rPr>
          <w:lang w:bidi="fa-IR"/>
        </w:rPr>
      </w:pPr>
      <w:r>
        <w:rPr>
          <w:lang w:bidi="fa-IR"/>
        </w:rPr>
        <w:t xml:space="preserve">CIE has conducted three follow-up consultations </w:t>
      </w:r>
      <w:r w:rsidR="00F1642E">
        <w:rPr>
          <w:lang w:bidi="fa-IR"/>
        </w:rPr>
        <w:t xml:space="preserve">to better understand how the proposed accessible features benefit people with accessibility needs. These consultations were held </w:t>
      </w:r>
      <w:r>
        <w:rPr>
          <w:lang w:bidi="fa-IR"/>
        </w:rPr>
        <w:t>with Professor Catherine Bridge of the Home Modification Information Clearinghouse</w:t>
      </w:r>
      <w:r w:rsidR="003230C5">
        <w:rPr>
          <w:lang w:bidi="fa-IR"/>
        </w:rPr>
        <w:t>;</w:t>
      </w:r>
      <w:r>
        <w:rPr>
          <w:lang w:bidi="fa-IR"/>
        </w:rPr>
        <w:t xml:space="preserve"> Madison Silver, Michael </w:t>
      </w:r>
      <w:r w:rsidR="003230C5">
        <w:rPr>
          <w:lang w:bidi="fa-IR"/>
        </w:rPr>
        <w:t>Barrett, Emily Steel and Tammy Aplin of Occupation</w:t>
      </w:r>
      <w:r w:rsidR="006E088C">
        <w:rPr>
          <w:lang w:bidi="fa-IR"/>
        </w:rPr>
        <w:t>al</w:t>
      </w:r>
      <w:r w:rsidR="003230C5">
        <w:rPr>
          <w:lang w:bidi="fa-IR"/>
        </w:rPr>
        <w:t xml:space="preserve"> Therapy Australia (OTA); and </w:t>
      </w:r>
      <w:r>
        <w:rPr>
          <w:lang w:bidi="fa-IR"/>
        </w:rPr>
        <w:t>Michael Fox AM (access consultant)</w:t>
      </w:r>
      <w:r w:rsidR="003230C5">
        <w:rPr>
          <w:lang w:bidi="fa-IR"/>
        </w:rPr>
        <w:t>.</w:t>
      </w:r>
    </w:p>
    <w:bookmarkEnd w:id="542"/>
    <w:p w14:paraId="31EBB792" w14:textId="77777777" w:rsidR="001E45D0" w:rsidRDefault="001E45D0" w:rsidP="001E45D0">
      <w:pPr>
        <w:pStyle w:val="BodyText"/>
        <w:rPr>
          <w:lang w:bidi="fa-IR"/>
        </w:rPr>
      </w:pPr>
      <w:r>
        <w:rPr>
          <w:lang w:bidi="fa-IR"/>
        </w:rPr>
        <w:t xml:space="preserve">This </w:t>
      </w:r>
      <w:r w:rsidR="0036279D">
        <w:rPr>
          <w:lang w:bidi="fa-IR"/>
        </w:rPr>
        <w:t>appendix</w:t>
      </w:r>
      <w:r>
        <w:rPr>
          <w:lang w:bidi="fa-IR"/>
        </w:rPr>
        <w:t xml:space="preserve"> summarises the views expressed in the submissions</w:t>
      </w:r>
      <w:r w:rsidR="00145A70">
        <w:rPr>
          <w:lang w:bidi="fa-IR"/>
        </w:rPr>
        <w:t xml:space="preserve"> received during public consultation on the Consultation RIS</w:t>
      </w:r>
      <w:r>
        <w:rPr>
          <w:lang w:bidi="fa-IR"/>
        </w:rPr>
        <w:t>. It is structured around the topics discussed in the C</w:t>
      </w:r>
      <w:r w:rsidR="002F2FBF">
        <w:rPr>
          <w:lang w:bidi="fa-IR"/>
        </w:rPr>
        <w:t xml:space="preserve">onsultation </w:t>
      </w:r>
      <w:r>
        <w:rPr>
          <w:lang w:bidi="fa-IR"/>
        </w:rPr>
        <w:t>RIS.</w:t>
      </w:r>
      <w:r w:rsidR="003230C5">
        <w:rPr>
          <w:lang w:bidi="fa-IR"/>
        </w:rPr>
        <w:t xml:space="preserve"> The appendix does not provide comments and/or responses to the submission</w:t>
      </w:r>
      <w:r w:rsidR="00145A70">
        <w:rPr>
          <w:lang w:bidi="fa-IR"/>
        </w:rPr>
        <w:t xml:space="preserve"> received.</w:t>
      </w:r>
      <w:r w:rsidR="003230C5">
        <w:rPr>
          <w:lang w:bidi="fa-IR"/>
        </w:rPr>
        <w:t xml:space="preserve"> </w:t>
      </w:r>
      <w:r w:rsidR="00145A70">
        <w:rPr>
          <w:lang w:bidi="fa-IR"/>
        </w:rPr>
        <w:t>It is discussed</w:t>
      </w:r>
      <w:r w:rsidR="003230C5">
        <w:rPr>
          <w:lang w:bidi="fa-IR"/>
        </w:rPr>
        <w:t xml:space="preserve"> in chapter </w:t>
      </w:r>
      <w:r w:rsidR="00FB60AA">
        <w:rPr>
          <w:lang w:bidi="fa-IR"/>
        </w:rPr>
        <w:t>two</w:t>
      </w:r>
      <w:r w:rsidR="003230C5">
        <w:rPr>
          <w:lang w:bidi="fa-IR"/>
        </w:rPr>
        <w:t xml:space="preserve"> in the main body of the report.</w:t>
      </w:r>
    </w:p>
    <w:p w14:paraId="3AEE2219" w14:textId="77777777" w:rsidR="001E45D0" w:rsidRPr="00F4477B" w:rsidRDefault="001E45D0" w:rsidP="00F4477B">
      <w:pPr>
        <w:pStyle w:val="Heading2-Appendix"/>
      </w:pPr>
      <w:bookmarkStart w:id="543" w:name="_Toc50453222"/>
      <w:bookmarkStart w:id="544" w:name="_Toc52383055"/>
      <w:r w:rsidRPr="00F4477B">
        <w:lastRenderedPageBreak/>
        <w:t>Size of the problem</w:t>
      </w:r>
      <w:bookmarkEnd w:id="543"/>
      <w:bookmarkEnd w:id="544"/>
    </w:p>
    <w:p w14:paraId="5C9EF80D" w14:textId="77777777" w:rsidR="001E45D0" w:rsidRPr="00F4477B" w:rsidRDefault="001E45D0" w:rsidP="00F4477B">
      <w:pPr>
        <w:pStyle w:val="Heading3-Appendix"/>
      </w:pPr>
      <w:r w:rsidRPr="00F4477B">
        <w:t>General assessment</w:t>
      </w:r>
    </w:p>
    <w:p w14:paraId="599F0082" w14:textId="77777777" w:rsidR="001E45D0" w:rsidRDefault="001E45D0" w:rsidP="00F4477B">
      <w:r>
        <w:t>Despite the high number of n</w:t>
      </w:r>
      <w:r w:rsidR="00195B75">
        <w:t>il</w:t>
      </w:r>
      <w:r>
        <w:t xml:space="preserve"> answers</w:t>
      </w:r>
      <w:r w:rsidR="00195B75">
        <w:t xml:space="preserve"> to many of the questions around the problem</w:t>
      </w:r>
      <w:r>
        <w:t>, more respondents agreed that the problem in the Consultation RIS is adequately established (Question 8) and the extent of the problem is adequately described (Question 9) (chart</w:t>
      </w:r>
      <w:r w:rsidR="00551164">
        <w:t> A.1</w:t>
      </w:r>
      <w:r>
        <w:t xml:space="preserve">). </w:t>
      </w:r>
    </w:p>
    <w:p w14:paraId="43E369BF" w14:textId="77777777" w:rsidR="001E45D0" w:rsidRDefault="00AD75C3" w:rsidP="001E45D0">
      <w:pPr>
        <w:pStyle w:val="BodyText"/>
        <w:rPr>
          <w:lang w:bidi="fa-IR"/>
        </w:rPr>
      </w:pPr>
      <w:r>
        <w:rPr>
          <w:lang w:bidi="fa-IR"/>
        </w:rPr>
        <w:t>T</w:t>
      </w:r>
      <w:r w:rsidR="001E45D0">
        <w:rPr>
          <w:lang w:bidi="fa-IR"/>
        </w:rPr>
        <w:t>he following subsections discuss the specific issues raised in the submissions which would affect the estimation of the size of the problem.</w:t>
      </w:r>
    </w:p>
    <w:p w14:paraId="065C9B28" w14:textId="07C44579" w:rsidR="001E45D0" w:rsidRDefault="00BD17F9" w:rsidP="001E45D0">
      <w:pPr>
        <w:pStyle w:val="Caption"/>
      </w:pPr>
      <w:bookmarkStart w:id="545" w:name="_Toc50453229"/>
      <w:bookmarkStart w:id="546" w:name="_Toc52383061"/>
      <w:bookmarkStart w:id="547" w:name="_Toc57643650"/>
      <w:bookmarkStart w:id="548" w:name="_Toc70505596"/>
      <w:r>
        <w:t>A.1</w:t>
      </w:r>
      <w:r w:rsidR="001E45D0" w:rsidRPr="00695C93">
        <w:tab/>
      </w:r>
      <w:r w:rsidR="001E45D0">
        <w:t>Problem established and the extent of the problem</w:t>
      </w:r>
      <w:bookmarkEnd w:id="545"/>
      <w:bookmarkEnd w:id="546"/>
      <w:bookmarkEnd w:id="547"/>
      <w:bookmarkEnd w:id="548"/>
    </w:p>
    <w:p w14:paraId="29B90E0C" w14:textId="77777777" w:rsidR="001E45D0" w:rsidRPr="00953136" w:rsidRDefault="00457205" w:rsidP="001E45D0">
      <w:pPr>
        <w:pStyle w:val="Note"/>
        <w:rPr>
          <w:iCs/>
        </w:rPr>
      </w:pPr>
      <w:r w:rsidRPr="000664C3">
        <w:rPr>
          <w:noProof/>
          <w:lang w:eastAsia="en-AU"/>
        </w:rPr>
        <w:drawing>
          <wp:inline distT="0" distB="0" distL="0" distR="0" wp14:anchorId="1E54CF9D" wp14:editId="36AD72E8">
            <wp:extent cx="5022850" cy="2501900"/>
            <wp:effectExtent l="57150" t="57150" r="63500" b="50800"/>
            <wp:docPr id="1" name="Picture 1" descr="This graph indicates that more respondents agreed that the problem is established and the extent of the problem is adequately described than disagreed. However, more people did not respond to these questions than those who answered either yes or no." title="Chart A.1: Problem established and the extent of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2850" cy="2501900"/>
                    </a:xfrm>
                    <a:prstGeom prst="rect">
                      <a:avLst/>
                    </a:prstGeom>
                    <a:noFill/>
                    <a:ln w="57150">
                      <a:solidFill>
                        <a:schemeClr val="bg2"/>
                      </a:solidFill>
                    </a:ln>
                  </pic:spPr>
                </pic:pic>
              </a:graphicData>
            </a:graphic>
          </wp:inline>
        </w:drawing>
      </w:r>
      <w:r w:rsidR="001E45D0" w:rsidRPr="00953136">
        <w:rPr>
          <w:iCs/>
        </w:rPr>
        <w:t>Note: answers to Questions 8 and 9</w:t>
      </w:r>
      <w:r w:rsidR="00E85E8F">
        <w:rPr>
          <w:iCs/>
        </w:rPr>
        <w:t>.</w:t>
      </w:r>
    </w:p>
    <w:p w14:paraId="3B5CA4E5" w14:textId="77777777" w:rsidR="001E45D0" w:rsidRPr="00953136" w:rsidRDefault="001E45D0" w:rsidP="001E45D0">
      <w:pPr>
        <w:pStyle w:val="Source"/>
        <w:rPr>
          <w:iCs/>
        </w:rPr>
      </w:pPr>
      <w:r w:rsidRPr="00953136">
        <w:rPr>
          <w:iCs/>
        </w:rPr>
        <w:t>Data source: Consultation Hub</w:t>
      </w:r>
      <w:r w:rsidR="00E85E8F">
        <w:rPr>
          <w:iCs/>
        </w:rPr>
        <w:t>.</w:t>
      </w:r>
    </w:p>
    <w:p w14:paraId="6C2ECA6B" w14:textId="77777777" w:rsidR="001E45D0" w:rsidRDefault="001E45D0" w:rsidP="004B79EC">
      <w:pPr>
        <w:pStyle w:val="Heading3-Appendix"/>
      </w:pPr>
      <w:r>
        <w:t>Impacts to the broader community</w:t>
      </w:r>
    </w:p>
    <w:p w14:paraId="5A1853EB" w14:textId="77777777" w:rsidR="001E45D0" w:rsidRDefault="001E45D0" w:rsidP="001E45D0">
      <w:pPr>
        <w:pStyle w:val="BodyText"/>
        <w:rPr>
          <w:lang w:bidi="fa-IR"/>
        </w:rPr>
      </w:pPr>
      <w:r>
        <w:rPr>
          <w:lang w:bidi="fa-IR"/>
        </w:rPr>
        <w:t xml:space="preserve">A number of submissions </w:t>
      </w:r>
      <w:r w:rsidR="000664C3">
        <w:rPr>
          <w:lang w:bidi="fa-IR"/>
        </w:rPr>
        <w:t>suggest</w:t>
      </w:r>
      <w:r>
        <w:rPr>
          <w:lang w:bidi="fa-IR"/>
        </w:rPr>
        <w:t>ed that the C</w:t>
      </w:r>
      <w:r w:rsidR="002F2FBF">
        <w:rPr>
          <w:lang w:bidi="fa-IR"/>
        </w:rPr>
        <w:t xml:space="preserve">onsultation </w:t>
      </w:r>
      <w:r>
        <w:rPr>
          <w:lang w:bidi="fa-IR"/>
        </w:rPr>
        <w:t xml:space="preserve">RIS should consider the costs to a wider community that inaccessible housing has caused, rather than costs to people with mobility disability and older Australians. For example, </w:t>
      </w:r>
      <w:r w:rsidR="008B76F7">
        <w:rPr>
          <w:lang w:bidi="fa-IR"/>
        </w:rPr>
        <w:t>one submission</w:t>
      </w:r>
      <w:r>
        <w:rPr>
          <w:lang w:bidi="fa-IR"/>
        </w:rPr>
        <w:t xml:space="preserve"> </w:t>
      </w:r>
      <w:r w:rsidR="000664C3">
        <w:rPr>
          <w:lang w:bidi="fa-IR"/>
        </w:rPr>
        <w:t>expresse</w:t>
      </w:r>
      <w:r>
        <w:rPr>
          <w:lang w:bidi="fa-IR"/>
        </w:rPr>
        <w:t xml:space="preserve">d </w:t>
      </w:r>
      <w:r w:rsidR="000664C3">
        <w:rPr>
          <w:lang w:bidi="fa-IR"/>
        </w:rPr>
        <w:t xml:space="preserve">concern that </w:t>
      </w:r>
      <w:r>
        <w:rPr>
          <w:lang w:bidi="fa-IR"/>
        </w:rPr>
        <w:t xml:space="preserve">the </w:t>
      </w:r>
      <w:r w:rsidR="002F2FBF">
        <w:rPr>
          <w:lang w:bidi="fa-IR"/>
        </w:rPr>
        <w:t xml:space="preserve">Consultation </w:t>
      </w:r>
      <w:r>
        <w:rPr>
          <w:lang w:bidi="fa-IR"/>
        </w:rPr>
        <w:t xml:space="preserve">RIS </w:t>
      </w:r>
      <w:r w:rsidR="000664C3">
        <w:rPr>
          <w:lang w:bidi="fa-IR"/>
        </w:rPr>
        <w:t xml:space="preserve">was </w:t>
      </w:r>
      <w:r>
        <w:rPr>
          <w:lang w:bidi="fa-IR"/>
        </w:rPr>
        <w:t>‘</w:t>
      </w:r>
      <w:r w:rsidRPr="00FE5ED0">
        <w:rPr>
          <w:lang w:bidi="fa-IR"/>
        </w:rPr>
        <w:t xml:space="preserve">only using the information from the exceptionally small cross section of the community who have a strong personal interest in the matter, </w:t>
      </w:r>
      <w:r w:rsidR="000664C3">
        <w:rPr>
          <w:lang w:bidi="fa-IR"/>
        </w:rPr>
        <w:t>and</w:t>
      </w:r>
      <w:r w:rsidRPr="00FE5ED0">
        <w:rPr>
          <w:lang w:bidi="fa-IR"/>
        </w:rPr>
        <w:t xml:space="preserve"> treating it as is it is somehow </w:t>
      </w:r>
      <w:r w:rsidR="000664C3">
        <w:rPr>
          <w:lang w:bidi="fa-IR"/>
        </w:rPr>
        <w:t>‘</w:t>
      </w:r>
      <w:r w:rsidRPr="00FE5ED0">
        <w:rPr>
          <w:lang w:bidi="fa-IR"/>
        </w:rPr>
        <w:t>broadly representative.</w:t>
      </w:r>
      <w:r>
        <w:rPr>
          <w:lang w:bidi="fa-IR"/>
        </w:rPr>
        <w:t>’</w:t>
      </w:r>
      <w:r w:rsidR="008B76F7">
        <w:rPr>
          <w:rStyle w:val="FootnoteReference"/>
          <w:lang w:bidi="fa-IR"/>
        </w:rPr>
        <w:footnoteReference w:id="254"/>
      </w:r>
    </w:p>
    <w:p w14:paraId="725851AF" w14:textId="77777777" w:rsidR="001E45D0" w:rsidRDefault="001E45D0" w:rsidP="001E45D0">
      <w:pPr>
        <w:pStyle w:val="BodyText"/>
        <w:rPr>
          <w:lang w:bidi="fa-IR"/>
        </w:rPr>
      </w:pPr>
      <w:r>
        <w:rPr>
          <w:lang w:bidi="fa-IR"/>
        </w:rPr>
        <w:t>Spinal Life Australia suggested the following people need accessible housing:</w:t>
      </w:r>
      <w:r w:rsidR="00D570FB">
        <w:rPr>
          <w:rStyle w:val="FootnoteReference"/>
          <w:lang w:bidi="fa-IR"/>
        </w:rPr>
        <w:footnoteReference w:id="255"/>
      </w:r>
    </w:p>
    <w:p w14:paraId="41429552" w14:textId="77777777" w:rsidR="001E45D0" w:rsidRDefault="001E45D0" w:rsidP="001E45D0">
      <w:pPr>
        <w:pStyle w:val="ListBullet"/>
        <w:rPr>
          <w:lang w:bidi="fa-IR"/>
        </w:rPr>
      </w:pPr>
      <w:r>
        <w:rPr>
          <w:lang w:bidi="fa-IR"/>
        </w:rPr>
        <w:lastRenderedPageBreak/>
        <w:t>people with disability in order to participate in their community as Australians without disability do</w:t>
      </w:r>
    </w:p>
    <w:p w14:paraId="32673040" w14:textId="77777777" w:rsidR="001E45D0" w:rsidRDefault="001E45D0" w:rsidP="001E45D0">
      <w:pPr>
        <w:pStyle w:val="ListBullet"/>
        <w:rPr>
          <w:lang w:bidi="fa-IR"/>
        </w:rPr>
      </w:pPr>
      <w:r>
        <w:rPr>
          <w:lang w:bidi="fa-IR"/>
        </w:rPr>
        <w:t>people over 60s to manage diminishing functionality associated with ageing, to age in place, and to maintain their local relationships through peers and family with diminished functionality being able to visit them</w:t>
      </w:r>
    </w:p>
    <w:p w14:paraId="3BB2C956" w14:textId="77777777" w:rsidR="001E45D0" w:rsidRDefault="001E45D0" w:rsidP="001E45D0">
      <w:pPr>
        <w:pStyle w:val="ListBullet"/>
        <w:rPr>
          <w:lang w:bidi="fa-IR"/>
        </w:rPr>
      </w:pPr>
      <w:r>
        <w:rPr>
          <w:lang w:bidi="fa-IR"/>
        </w:rPr>
        <w:t>people with a medical condition (illness, muscular, respiratory and cognitive) to manage diminished functionality associated with their medical condition and aging, to age in place, and to maintain their local relationships through peers and family with diminished functionality being able to visit them</w:t>
      </w:r>
      <w:r w:rsidR="00E85E8F">
        <w:rPr>
          <w:lang w:bidi="fa-IR"/>
        </w:rPr>
        <w:t>,</w:t>
      </w:r>
      <w:r>
        <w:rPr>
          <w:lang w:bidi="fa-IR"/>
        </w:rPr>
        <w:t xml:space="preserve"> and</w:t>
      </w:r>
    </w:p>
    <w:p w14:paraId="54E2CA06" w14:textId="77777777" w:rsidR="001E45D0" w:rsidRDefault="001E45D0" w:rsidP="001E45D0">
      <w:pPr>
        <w:pStyle w:val="ListBullet"/>
        <w:rPr>
          <w:lang w:bidi="fa-IR"/>
        </w:rPr>
      </w:pPr>
      <w:r>
        <w:rPr>
          <w:lang w:bidi="fa-IR"/>
        </w:rPr>
        <w:t>young families to seek accessibility in order that aging grandparents (and their peers) can participate in the lives of their children and contribution in supporting their family.</w:t>
      </w:r>
    </w:p>
    <w:p w14:paraId="1B6D2398" w14:textId="77777777" w:rsidR="001E45D0" w:rsidRDefault="001E45D0" w:rsidP="001E45D0">
      <w:pPr>
        <w:pStyle w:val="BodyText"/>
        <w:rPr>
          <w:lang w:bidi="fa-IR"/>
        </w:rPr>
      </w:pPr>
      <w:r>
        <w:rPr>
          <w:lang w:bidi="fa-IR"/>
        </w:rPr>
        <w:t xml:space="preserve">Accordingly, the </w:t>
      </w:r>
      <w:r w:rsidR="00B04C9F">
        <w:rPr>
          <w:lang w:bidi="fa-IR"/>
        </w:rPr>
        <w:t>populations affected by inaccessible housing are</w:t>
      </w:r>
      <w:r>
        <w:rPr>
          <w:lang w:bidi="fa-IR"/>
        </w:rPr>
        <w:t>:</w:t>
      </w:r>
    </w:p>
    <w:p w14:paraId="44FB48C6" w14:textId="77777777" w:rsidR="001E45D0" w:rsidRDefault="001E45D0" w:rsidP="001E45D0">
      <w:pPr>
        <w:pStyle w:val="ListBullet"/>
        <w:rPr>
          <w:lang w:bidi="fa-IR"/>
        </w:rPr>
      </w:pPr>
      <w:r>
        <w:rPr>
          <w:lang w:bidi="fa-IR"/>
        </w:rPr>
        <w:t>people with short-term injuries and chronic health conditions</w:t>
      </w:r>
    </w:p>
    <w:p w14:paraId="7723A380" w14:textId="77777777" w:rsidR="001E45D0" w:rsidRDefault="001E45D0" w:rsidP="001E45D0">
      <w:pPr>
        <w:pStyle w:val="ListBullet"/>
        <w:rPr>
          <w:lang w:bidi="fa-IR"/>
        </w:rPr>
      </w:pPr>
      <w:r>
        <w:rPr>
          <w:lang w:bidi="fa-IR"/>
        </w:rPr>
        <w:t>families rather than individuals with accessibility needs</w:t>
      </w:r>
      <w:r w:rsidR="00E85E8F">
        <w:rPr>
          <w:lang w:bidi="fa-IR"/>
        </w:rPr>
        <w:t>,</w:t>
      </w:r>
      <w:r>
        <w:rPr>
          <w:lang w:bidi="fa-IR"/>
        </w:rPr>
        <w:t xml:space="preserve"> and</w:t>
      </w:r>
    </w:p>
    <w:p w14:paraId="2D4461F5" w14:textId="77777777" w:rsidR="001E45D0" w:rsidRDefault="004C37E9" w:rsidP="001E45D0">
      <w:pPr>
        <w:pStyle w:val="ListBullet"/>
        <w:rPr>
          <w:lang w:bidi="fa-IR"/>
        </w:rPr>
      </w:pPr>
      <w:r>
        <w:rPr>
          <w:lang w:bidi="fa-IR"/>
        </w:rPr>
        <w:t xml:space="preserve">the </w:t>
      </w:r>
      <w:r w:rsidR="001E45D0">
        <w:rPr>
          <w:lang w:bidi="fa-IR"/>
        </w:rPr>
        <w:t>general public.</w:t>
      </w:r>
    </w:p>
    <w:p w14:paraId="336EC29B" w14:textId="77777777" w:rsidR="001E45D0" w:rsidRDefault="001E45D0" w:rsidP="001E45D0">
      <w:pPr>
        <w:pStyle w:val="BodyText"/>
        <w:rPr>
          <w:lang w:bidi="fa-IR"/>
        </w:rPr>
      </w:pPr>
      <w:r>
        <w:rPr>
          <w:lang w:bidi="fa-IR"/>
        </w:rPr>
        <w:t>These are discussed in detail below.</w:t>
      </w:r>
    </w:p>
    <w:p w14:paraId="3B2C7C8A" w14:textId="77777777" w:rsidR="001E45D0" w:rsidRPr="004B79EC" w:rsidRDefault="001E45D0" w:rsidP="004B79EC">
      <w:pPr>
        <w:pStyle w:val="Heading4-Appendix"/>
      </w:pPr>
      <w:r w:rsidRPr="004B79EC">
        <w:t>People with short-term injury and chronic health conditions</w:t>
      </w:r>
    </w:p>
    <w:p w14:paraId="34B297DE" w14:textId="77777777" w:rsidR="001E45D0" w:rsidRDefault="001E45D0" w:rsidP="00F4477B">
      <w:r>
        <w:t xml:space="preserve">Several submissions (including </w:t>
      </w:r>
      <w:r w:rsidR="00935064">
        <w:t>Specialist Disability Accommodation</w:t>
      </w:r>
      <w:r>
        <w:t xml:space="preserve"> (SDA</w:t>
      </w:r>
      <w:r w:rsidR="006E088C">
        <w:t>)</w:t>
      </w:r>
      <w:r>
        <w:t xml:space="preserve"> Alliance</w:t>
      </w:r>
      <w:r w:rsidR="00665697">
        <w:rPr>
          <w:rStyle w:val="FootnoteReference"/>
          <w:lang w:bidi="fa-IR"/>
        </w:rPr>
        <w:footnoteReference w:id="256"/>
      </w:r>
      <w:r>
        <w:t xml:space="preserve">) noted that the analysis in the </w:t>
      </w:r>
      <w:r w:rsidR="00995B0F">
        <w:t xml:space="preserve">Consultation </w:t>
      </w:r>
      <w:r>
        <w:t>RIS has not taken into account the potential benefits of accessible housing to people with temporary injuries.</w:t>
      </w:r>
    </w:p>
    <w:p w14:paraId="42790267" w14:textId="77777777" w:rsidR="001E45D0" w:rsidRDefault="001E45D0" w:rsidP="001E45D0">
      <w:pPr>
        <w:pStyle w:val="BodyText"/>
        <w:rPr>
          <w:lang w:bidi="fa-IR"/>
        </w:rPr>
      </w:pPr>
      <w:r>
        <w:rPr>
          <w:lang w:bidi="fa-IR"/>
        </w:rPr>
        <w:t>SDA Alliance and ANUHD</w:t>
      </w:r>
      <w:r w:rsidR="0093108B">
        <w:rPr>
          <w:rStyle w:val="FootnoteReference"/>
          <w:lang w:bidi="fa-IR"/>
        </w:rPr>
        <w:footnoteReference w:id="257"/>
      </w:r>
      <w:r>
        <w:rPr>
          <w:lang w:bidi="fa-IR"/>
        </w:rPr>
        <w:t xml:space="preserve"> </w:t>
      </w:r>
      <w:r w:rsidR="000664C3">
        <w:rPr>
          <w:lang w:bidi="fa-IR"/>
        </w:rPr>
        <w:t>suggest</w:t>
      </w:r>
      <w:r>
        <w:rPr>
          <w:lang w:bidi="fa-IR"/>
        </w:rPr>
        <w:t>ed that people with chronic health conditions but not identified as having disability are affected by the lack of accessibility. These chronic illnesses include:</w:t>
      </w:r>
    </w:p>
    <w:p w14:paraId="375E12B1" w14:textId="77777777" w:rsidR="001E45D0" w:rsidRDefault="001E45D0" w:rsidP="001E45D0">
      <w:pPr>
        <w:pStyle w:val="ListBullet"/>
        <w:rPr>
          <w:lang w:bidi="fa-IR"/>
        </w:rPr>
      </w:pPr>
      <w:r>
        <w:rPr>
          <w:lang w:bidi="fa-IR"/>
        </w:rPr>
        <w:t>mental and behavioural conditions (4.8 million people);</w:t>
      </w:r>
    </w:p>
    <w:p w14:paraId="2EFFF202" w14:textId="77777777" w:rsidR="001E45D0" w:rsidRPr="00F57D48" w:rsidRDefault="001E45D0" w:rsidP="001E45D0">
      <w:pPr>
        <w:pStyle w:val="ListBullet"/>
        <w:rPr>
          <w:lang w:bidi="fa-IR"/>
        </w:rPr>
      </w:pPr>
      <w:r>
        <w:rPr>
          <w:lang w:bidi="fa-IR"/>
        </w:rPr>
        <w:t>b</w:t>
      </w:r>
      <w:r w:rsidRPr="00F57D48">
        <w:rPr>
          <w:lang w:bidi="fa-IR"/>
        </w:rPr>
        <w:t>ack problems - 4.0 million people (16.4</w:t>
      </w:r>
      <w:r>
        <w:rPr>
          <w:lang w:bidi="fa-IR"/>
        </w:rPr>
        <w:t xml:space="preserve"> per cent</w:t>
      </w:r>
      <w:r w:rsidRPr="00F57D48">
        <w:rPr>
          <w:lang w:bidi="fa-IR"/>
        </w:rPr>
        <w:t xml:space="preserve">) </w:t>
      </w:r>
    </w:p>
    <w:p w14:paraId="2BF40B2C" w14:textId="77777777" w:rsidR="001E45D0" w:rsidRPr="00F57D48" w:rsidRDefault="001E45D0" w:rsidP="001E45D0">
      <w:pPr>
        <w:pStyle w:val="ListBullet"/>
        <w:rPr>
          <w:lang w:bidi="fa-IR"/>
        </w:rPr>
      </w:pPr>
      <w:r>
        <w:rPr>
          <w:lang w:bidi="fa-IR"/>
        </w:rPr>
        <w:t>a</w:t>
      </w:r>
      <w:r w:rsidRPr="00F57D48">
        <w:rPr>
          <w:lang w:bidi="fa-IR"/>
        </w:rPr>
        <w:t>rthritis - 3.6 million people (15.0</w:t>
      </w:r>
      <w:r>
        <w:rPr>
          <w:lang w:bidi="fa-IR"/>
        </w:rPr>
        <w:t xml:space="preserve"> per cent</w:t>
      </w:r>
      <w:r w:rsidRPr="00F57D48">
        <w:rPr>
          <w:lang w:bidi="fa-IR"/>
        </w:rPr>
        <w:t xml:space="preserve">) </w:t>
      </w:r>
    </w:p>
    <w:p w14:paraId="4C5D65A9" w14:textId="77777777" w:rsidR="001E45D0" w:rsidRPr="00F57D48" w:rsidRDefault="001E45D0" w:rsidP="001E45D0">
      <w:pPr>
        <w:pStyle w:val="ListBullet"/>
        <w:rPr>
          <w:lang w:bidi="fa-IR"/>
        </w:rPr>
      </w:pPr>
      <w:r>
        <w:rPr>
          <w:lang w:bidi="fa-IR"/>
        </w:rPr>
        <w:t>a</w:t>
      </w:r>
      <w:r w:rsidRPr="00F57D48">
        <w:rPr>
          <w:lang w:bidi="fa-IR"/>
        </w:rPr>
        <w:t>sthma - 2.7 million people (11.2</w:t>
      </w:r>
      <w:r>
        <w:rPr>
          <w:lang w:bidi="fa-IR"/>
        </w:rPr>
        <w:t xml:space="preserve"> per cent</w:t>
      </w:r>
      <w:r w:rsidRPr="00F57D48">
        <w:rPr>
          <w:lang w:bidi="fa-IR"/>
        </w:rPr>
        <w:t xml:space="preserve">) </w:t>
      </w:r>
    </w:p>
    <w:p w14:paraId="3611D398" w14:textId="77777777" w:rsidR="001E45D0" w:rsidRPr="00F57D48" w:rsidRDefault="001E45D0" w:rsidP="001E45D0">
      <w:pPr>
        <w:pStyle w:val="ListBullet"/>
        <w:rPr>
          <w:lang w:bidi="fa-IR"/>
        </w:rPr>
      </w:pPr>
      <w:r>
        <w:rPr>
          <w:lang w:bidi="fa-IR"/>
        </w:rPr>
        <w:t>d</w:t>
      </w:r>
      <w:r w:rsidRPr="00F57D48">
        <w:rPr>
          <w:lang w:bidi="fa-IR"/>
        </w:rPr>
        <w:t>iabetes mellitus- 1.2 million people (4.9</w:t>
      </w:r>
      <w:r>
        <w:rPr>
          <w:lang w:bidi="fa-IR"/>
        </w:rPr>
        <w:t xml:space="preserve"> per cent</w:t>
      </w:r>
      <w:r w:rsidRPr="00F57D48">
        <w:rPr>
          <w:lang w:bidi="fa-IR"/>
        </w:rPr>
        <w:t>) comprising Type 1 Diabetes - 144,800 people (0.6</w:t>
      </w:r>
      <w:r>
        <w:rPr>
          <w:lang w:bidi="fa-IR"/>
        </w:rPr>
        <w:t xml:space="preserve"> per cent</w:t>
      </w:r>
      <w:r w:rsidRPr="00F57D48">
        <w:rPr>
          <w:lang w:bidi="fa-IR"/>
        </w:rPr>
        <w:t>) and Type 2 Diabetes - 998,100 people (4.1</w:t>
      </w:r>
      <w:r>
        <w:rPr>
          <w:lang w:bidi="fa-IR"/>
        </w:rPr>
        <w:t xml:space="preserve"> per cent</w:t>
      </w:r>
      <w:r w:rsidRPr="00F57D48">
        <w:rPr>
          <w:lang w:bidi="fa-IR"/>
        </w:rPr>
        <w:t xml:space="preserve">) </w:t>
      </w:r>
    </w:p>
    <w:p w14:paraId="64EF47D5" w14:textId="77777777" w:rsidR="001E45D0" w:rsidRPr="00F57D48" w:rsidRDefault="001E45D0" w:rsidP="001E45D0">
      <w:pPr>
        <w:pStyle w:val="ListBullet"/>
        <w:rPr>
          <w:lang w:bidi="fa-IR"/>
        </w:rPr>
      </w:pPr>
      <w:r>
        <w:rPr>
          <w:lang w:bidi="fa-IR"/>
        </w:rPr>
        <w:t>h</w:t>
      </w:r>
      <w:r w:rsidRPr="00F57D48">
        <w:rPr>
          <w:lang w:bidi="fa-IR"/>
        </w:rPr>
        <w:t>eart, stroke, and vascular disease - 1.2 million people (4.8</w:t>
      </w:r>
      <w:r>
        <w:rPr>
          <w:lang w:bidi="fa-IR"/>
        </w:rPr>
        <w:t xml:space="preserve"> per cent</w:t>
      </w:r>
      <w:r w:rsidRPr="00F57D48">
        <w:rPr>
          <w:lang w:bidi="fa-IR"/>
        </w:rPr>
        <w:t xml:space="preserve">) </w:t>
      </w:r>
    </w:p>
    <w:p w14:paraId="4AA39982" w14:textId="77777777" w:rsidR="001E45D0" w:rsidRPr="00F57D48" w:rsidRDefault="001E45D0" w:rsidP="001E45D0">
      <w:pPr>
        <w:pStyle w:val="ListBullet"/>
        <w:rPr>
          <w:lang w:bidi="fa-IR"/>
        </w:rPr>
      </w:pPr>
      <w:r>
        <w:rPr>
          <w:lang w:bidi="fa-IR"/>
        </w:rPr>
        <w:t>o</w:t>
      </w:r>
      <w:r w:rsidRPr="00F57D48">
        <w:rPr>
          <w:lang w:bidi="fa-IR"/>
        </w:rPr>
        <w:t>steoporosis - 924,000 people (3.8</w:t>
      </w:r>
      <w:r>
        <w:rPr>
          <w:lang w:bidi="fa-IR"/>
        </w:rPr>
        <w:t xml:space="preserve"> per cent</w:t>
      </w:r>
      <w:r w:rsidRPr="00F57D48">
        <w:rPr>
          <w:lang w:bidi="fa-IR"/>
        </w:rPr>
        <w:t xml:space="preserve">) </w:t>
      </w:r>
    </w:p>
    <w:p w14:paraId="0144F5FC" w14:textId="77777777" w:rsidR="001E45D0" w:rsidRPr="00F57D48" w:rsidRDefault="001E45D0" w:rsidP="001E45D0">
      <w:pPr>
        <w:pStyle w:val="ListBullet"/>
        <w:rPr>
          <w:lang w:bidi="fa-IR"/>
        </w:rPr>
      </w:pPr>
      <w:r>
        <w:rPr>
          <w:lang w:bidi="fa-IR"/>
        </w:rPr>
        <w:t>c</w:t>
      </w:r>
      <w:r w:rsidRPr="00F57D48">
        <w:rPr>
          <w:lang w:bidi="fa-IR"/>
        </w:rPr>
        <w:t>hronic obstructive pulmonary disease (COPD) - 598,800 people (2.5</w:t>
      </w:r>
      <w:r>
        <w:rPr>
          <w:lang w:bidi="fa-IR"/>
        </w:rPr>
        <w:t xml:space="preserve"> per cent</w:t>
      </w:r>
      <w:r w:rsidRPr="00F57D48">
        <w:rPr>
          <w:lang w:bidi="fa-IR"/>
        </w:rPr>
        <w:t xml:space="preserve">) </w:t>
      </w:r>
    </w:p>
    <w:p w14:paraId="4D9D6B49" w14:textId="77777777" w:rsidR="001E45D0" w:rsidRPr="00F57D48" w:rsidRDefault="001E45D0" w:rsidP="001E45D0">
      <w:pPr>
        <w:pStyle w:val="ListBullet"/>
        <w:rPr>
          <w:lang w:bidi="fa-IR"/>
        </w:rPr>
      </w:pPr>
      <w:r>
        <w:rPr>
          <w:lang w:bidi="fa-IR"/>
        </w:rPr>
        <w:lastRenderedPageBreak/>
        <w:t>c</w:t>
      </w:r>
      <w:r w:rsidRPr="00F57D48">
        <w:rPr>
          <w:lang w:bidi="fa-IR"/>
        </w:rPr>
        <w:t>ancer - 432,400 people (1.8</w:t>
      </w:r>
      <w:r>
        <w:rPr>
          <w:lang w:bidi="fa-IR"/>
        </w:rPr>
        <w:t xml:space="preserve"> per cent</w:t>
      </w:r>
      <w:r w:rsidRPr="00F57D48">
        <w:rPr>
          <w:lang w:bidi="fa-IR"/>
        </w:rPr>
        <w:t xml:space="preserve">) </w:t>
      </w:r>
    </w:p>
    <w:p w14:paraId="2B29A5D7" w14:textId="77777777" w:rsidR="001E45D0" w:rsidRDefault="001E45D0" w:rsidP="001E45D0">
      <w:pPr>
        <w:pStyle w:val="ListBullet"/>
        <w:rPr>
          <w:lang w:bidi="fa-IR"/>
        </w:rPr>
      </w:pPr>
      <w:r>
        <w:rPr>
          <w:lang w:bidi="fa-IR"/>
        </w:rPr>
        <w:t>k</w:t>
      </w:r>
      <w:r w:rsidRPr="00F57D48">
        <w:rPr>
          <w:lang w:bidi="fa-IR"/>
        </w:rPr>
        <w:t>idney disease - 237,800 people (1.0</w:t>
      </w:r>
      <w:r>
        <w:rPr>
          <w:lang w:bidi="fa-IR"/>
        </w:rPr>
        <w:t xml:space="preserve"> per cent</w:t>
      </w:r>
      <w:r w:rsidRPr="00F57D48">
        <w:rPr>
          <w:lang w:bidi="fa-IR"/>
        </w:rPr>
        <w:t>)</w:t>
      </w:r>
    </w:p>
    <w:p w14:paraId="77CBF1A2" w14:textId="77777777" w:rsidR="001E45D0" w:rsidRDefault="00665697" w:rsidP="001E45D0">
      <w:pPr>
        <w:pStyle w:val="BodyText"/>
        <w:rPr>
          <w:lang w:bidi="fa-IR"/>
        </w:rPr>
      </w:pPr>
      <w:r>
        <w:rPr>
          <w:lang w:bidi="fa-IR"/>
        </w:rPr>
        <w:t>According</w:t>
      </w:r>
      <w:r w:rsidR="001E45D0">
        <w:rPr>
          <w:lang w:bidi="fa-IR"/>
        </w:rPr>
        <w:t xml:space="preserve"> to SDA Alliance, i</w:t>
      </w:r>
      <w:r w:rsidR="001E45D0" w:rsidRPr="00F57D48">
        <w:rPr>
          <w:lang w:bidi="fa-IR"/>
        </w:rPr>
        <w:t>n 2017-18, two thirds (67.0</w:t>
      </w:r>
      <w:r w:rsidR="001E45D0">
        <w:rPr>
          <w:lang w:bidi="fa-IR"/>
        </w:rPr>
        <w:t xml:space="preserve"> per cent</w:t>
      </w:r>
      <w:r w:rsidR="001E45D0" w:rsidRPr="00F57D48">
        <w:rPr>
          <w:lang w:bidi="fa-IR"/>
        </w:rPr>
        <w:t>) of Australian adults were overweight or obese (12.5 million people), a condition that is on the increase not only in numbers but also in severity. There is also a large increase in the incidence of obesity in people aged 18-24 years. It has been established that, for many people, obesity leads to chronic health problems later in life.</w:t>
      </w:r>
      <w:r w:rsidR="00550429">
        <w:rPr>
          <w:rStyle w:val="FootnoteReference"/>
          <w:lang w:bidi="fa-IR"/>
        </w:rPr>
        <w:footnoteReference w:id="258"/>
      </w:r>
    </w:p>
    <w:p w14:paraId="6601CD75" w14:textId="77777777" w:rsidR="001E45D0" w:rsidRDefault="000664C3" w:rsidP="001E45D0">
      <w:pPr>
        <w:pStyle w:val="BodyText"/>
        <w:rPr>
          <w:lang w:bidi="fa-IR"/>
        </w:rPr>
      </w:pPr>
      <w:r>
        <w:rPr>
          <w:lang w:bidi="fa-IR"/>
        </w:rPr>
        <w:t>S</w:t>
      </w:r>
      <w:r w:rsidR="001E45D0">
        <w:rPr>
          <w:lang w:bidi="fa-IR"/>
        </w:rPr>
        <w:t xml:space="preserve">ubmissions </w:t>
      </w:r>
      <w:r>
        <w:rPr>
          <w:lang w:bidi="fa-IR"/>
        </w:rPr>
        <w:t xml:space="preserve">also </w:t>
      </w:r>
      <w:r w:rsidR="001E45D0">
        <w:rPr>
          <w:lang w:bidi="fa-IR"/>
        </w:rPr>
        <w:t xml:space="preserve">suggested that pregnant women and young families would </w:t>
      </w:r>
      <w:r w:rsidR="00B04C9F">
        <w:rPr>
          <w:lang w:bidi="fa-IR"/>
        </w:rPr>
        <w:t>also</w:t>
      </w:r>
      <w:r w:rsidR="001E45D0">
        <w:rPr>
          <w:lang w:bidi="fa-IR"/>
        </w:rPr>
        <w:t xml:space="preserve"> benefit from accessible housing.</w:t>
      </w:r>
    </w:p>
    <w:p w14:paraId="6E33FA36" w14:textId="77777777" w:rsidR="001E45D0" w:rsidRDefault="001E45D0" w:rsidP="001E45D0">
      <w:pPr>
        <w:pStyle w:val="BodyText"/>
        <w:rPr>
          <w:lang w:bidi="fa-IR"/>
        </w:rPr>
      </w:pPr>
      <w:r>
        <w:rPr>
          <w:lang w:bidi="fa-IR"/>
        </w:rPr>
        <w:t xml:space="preserve">Post-Polio Victoria (PPV) </w:t>
      </w:r>
      <w:r w:rsidR="000664C3">
        <w:rPr>
          <w:lang w:bidi="fa-IR"/>
        </w:rPr>
        <w:t>suggest</w:t>
      </w:r>
      <w:r>
        <w:rPr>
          <w:lang w:bidi="fa-IR"/>
        </w:rPr>
        <w:t xml:space="preserve">ed that </w:t>
      </w:r>
      <w:r w:rsidRPr="00F04897">
        <w:rPr>
          <w:lang w:bidi="fa-IR"/>
        </w:rPr>
        <w:t xml:space="preserve">the accessibility needs of </w:t>
      </w:r>
      <w:r w:rsidRPr="00F11742">
        <w:t>the hearing impaired and those with psycho-social disabilit</w:t>
      </w:r>
      <w:r w:rsidR="006E088C">
        <w:t>y</w:t>
      </w:r>
      <w:r w:rsidRPr="00F04897">
        <w:rPr>
          <w:lang w:bidi="fa-IR"/>
        </w:rPr>
        <w:t xml:space="preserve"> need to be considered, as per the UN Committee on the Rights of Persons with</w:t>
      </w:r>
      <w:r>
        <w:rPr>
          <w:lang w:bidi="fa-IR"/>
        </w:rPr>
        <w:t xml:space="preserve"> </w:t>
      </w:r>
      <w:r w:rsidRPr="00F04897">
        <w:rPr>
          <w:lang w:bidi="fa-IR"/>
        </w:rPr>
        <w:t xml:space="preserve">Disabilities’ </w:t>
      </w:r>
      <w:r w:rsidRPr="009E6567">
        <w:rPr>
          <w:i/>
          <w:iCs/>
          <w:lang w:bidi="fa-IR"/>
        </w:rPr>
        <w:t>Concluding Observations on the Initial Report of Australia</w:t>
      </w:r>
      <w:r w:rsidRPr="00F04897">
        <w:rPr>
          <w:lang w:bidi="fa-IR"/>
        </w:rPr>
        <w:t xml:space="preserve">, </w:t>
      </w:r>
      <w:r>
        <w:rPr>
          <w:lang w:bidi="fa-IR"/>
        </w:rPr>
        <w:t>a</w:t>
      </w:r>
      <w:r w:rsidRPr="00F04897">
        <w:rPr>
          <w:lang w:bidi="fa-IR"/>
        </w:rPr>
        <w:t>dopted by the</w:t>
      </w:r>
      <w:r>
        <w:rPr>
          <w:lang w:bidi="fa-IR"/>
        </w:rPr>
        <w:t xml:space="preserve"> </w:t>
      </w:r>
      <w:r w:rsidRPr="00F04897">
        <w:rPr>
          <w:lang w:bidi="fa-IR"/>
        </w:rPr>
        <w:t>Committee at its Tenth Session (2-13 Sept</w:t>
      </w:r>
      <w:r>
        <w:rPr>
          <w:lang w:bidi="fa-IR"/>
        </w:rPr>
        <w:t>ember</w:t>
      </w:r>
      <w:r w:rsidRPr="00F04897">
        <w:rPr>
          <w:lang w:bidi="fa-IR"/>
        </w:rPr>
        <w:t xml:space="preserve"> 2013).</w:t>
      </w:r>
      <w:r w:rsidR="00550429">
        <w:rPr>
          <w:rStyle w:val="FootnoteReference"/>
          <w:lang w:bidi="fa-IR"/>
        </w:rPr>
        <w:footnoteReference w:id="259"/>
      </w:r>
    </w:p>
    <w:p w14:paraId="5B12DB5B" w14:textId="77777777" w:rsidR="001E45D0" w:rsidRPr="004B79EC" w:rsidRDefault="001E45D0" w:rsidP="004B79EC">
      <w:pPr>
        <w:pStyle w:val="Heading4-Appendix"/>
      </w:pPr>
      <w:r w:rsidRPr="004B79EC">
        <w:t>Person-based versus family-based approach</w:t>
      </w:r>
    </w:p>
    <w:p w14:paraId="7D762811" w14:textId="77777777" w:rsidR="001E45D0" w:rsidRDefault="001E45D0" w:rsidP="001E45D0">
      <w:pPr>
        <w:pStyle w:val="BodyText"/>
        <w:rPr>
          <w:lang w:bidi="fa-IR"/>
        </w:rPr>
      </w:pPr>
      <w:r>
        <w:rPr>
          <w:lang w:bidi="fa-IR"/>
        </w:rPr>
        <w:t xml:space="preserve">Some submissions </w:t>
      </w:r>
      <w:r w:rsidR="000664C3">
        <w:rPr>
          <w:lang w:bidi="fa-IR"/>
        </w:rPr>
        <w:t>made the point</w:t>
      </w:r>
      <w:r>
        <w:rPr>
          <w:lang w:bidi="fa-IR"/>
        </w:rPr>
        <w:t xml:space="preserve"> that the analysis is flawed because it is based on the impacts on the person with a mobility</w:t>
      </w:r>
      <w:r>
        <w:rPr>
          <w:lang w:bidi="fa-IR"/>
        </w:rPr>
        <w:noBreakHyphen/>
        <w:t>related disability, rather than the household. The submissions ma</w:t>
      </w:r>
      <w:r w:rsidR="000664C3">
        <w:rPr>
          <w:lang w:bidi="fa-IR"/>
        </w:rPr>
        <w:t>d</w:t>
      </w:r>
      <w:r>
        <w:rPr>
          <w:lang w:bidi="fa-IR"/>
        </w:rPr>
        <w:t xml:space="preserve">e the point that people with </w:t>
      </w:r>
      <w:r w:rsidR="00D870C0">
        <w:rPr>
          <w:lang w:bidi="fa-IR"/>
        </w:rPr>
        <w:t>disability</w:t>
      </w:r>
      <w:r w:rsidR="00211E22">
        <w:rPr>
          <w:lang w:bidi="fa-IR"/>
        </w:rPr>
        <w:t xml:space="preserve"> </w:t>
      </w:r>
      <w:r>
        <w:rPr>
          <w:lang w:bidi="fa-IR"/>
        </w:rPr>
        <w:t>live in households</w:t>
      </w:r>
      <w:r w:rsidR="002F4AA3">
        <w:rPr>
          <w:lang w:bidi="fa-IR"/>
        </w:rPr>
        <w:t xml:space="preserve"> – </w:t>
      </w:r>
      <w:r>
        <w:rPr>
          <w:lang w:bidi="fa-IR"/>
        </w:rPr>
        <w:t>accessible housing is not about individuals; it is about households (families).</w:t>
      </w:r>
    </w:p>
    <w:p w14:paraId="38EC179A" w14:textId="77777777" w:rsidR="001E45D0" w:rsidRPr="004B79EC" w:rsidRDefault="001E45D0" w:rsidP="004B79EC">
      <w:pPr>
        <w:pStyle w:val="Heading4-Appendix"/>
      </w:pPr>
      <w:r w:rsidRPr="004B79EC">
        <w:t>Broader community</w:t>
      </w:r>
    </w:p>
    <w:p w14:paraId="54523980" w14:textId="77777777" w:rsidR="001E45D0" w:rsidRDefault="001E45D0" w:rsidP="001E45D0">
      <w:pPr>
        <w:pStyle w:val="BodyText"/>
        <w:rPr>
          <w:lang w:bidi="fa-IR"/>
        </w:rPr>
      </w:pPr>
      <w:r>
        <w:rPr>
          <w:lang w:bidi="fa-IR"/>
        </w:rPr>
        <w:t xml:space="preserve">Some submissions </w:t>
      </w:r>
      <w:r w:rsidR="000664C3">
        <w:rPr>
          <w:lang w:bidi="fa-IR"/>
        </w:rPr>
        <w:t>suggested</w:t>
      </w:r>
      <w:r>
        <w:rPr>
          <w:lang w:bidi="fa-IR"/>
        </w:rPr>
        <w:t xml:space="preserve"> that the impact of inaccessible housing on </w:t>
      </w:r>
      <w:r w:rsidR="006E088C">
        <w:rPr>
          <w:lang w:bidi="fa-IR"/>
        </w:rPr>
        <w:t xml:space="preserve">the </w:t>
      </w:r>
      <w:r>
        <w:rPr>
          <w:lang w:bidi="fa-IR"/>
        </w:rPr>
        <w:t xml:space="preserve">general public has not been considered in the </w:t>
      </w:r>
      <w:r w:rsidR="00995B0F">
        <w:rPr>
          <w:lang w:bidi="fa-IR"/>
        </w:rPr>
        <w:t xml:space="preserve">Consultation </w:t>
      </w:r>
      <w:r>
        <w:rPr>
          <w:lang w:bidi="fa-IR"/>
        </w:rPr>
        <w:t>RIS.</w:t>
      </w:r>
    </w:p>
    <w:p w14:paraId="7174B312" w14:textId="77777777" w:rsidR="001E45D0" w:rsidRDefault="001E45D0" w:rsidP="001E45D0">
      <w:pPr>
        <w:pStyle w:val="BodyText"/>
        <w:rPr>
          <w:lang w:bidi="fa-IR"/>
        </w:rPr>
      </w:pPr>
      <w:r>
        <w:rPr>
          <w:lang w:bidi="fa-IR"/>
        </w:rPr>
        <w:t>For example, t</w:t>
      </w:r>
      <w:r w:rsidRPr="00720041">
        <w:rPr>
          <w:lang w:bidi="fa-IR"/>
        </w:rPr>
        <w:t xml:space="preserve">he </w:t>
      </w:r>
      <w:r>
        <w:rPr>
          <w:lang w:bidi="fa-IR"/>
        </w:rPr>
        <w:t xml:space="preserve">SDA </w:t>
      </w:r>
      <w:r w:rsidRPr="00720041">
        <w:rPr>
          <w:lang w:bidi="fa-IR"/>
        </w:rPr>
        <w:t>Alliance</w:t>
      </w:r>
      <w:r w:rsidR="00515E8D">
        <w:rPr>
          <w:rStyle w:val="FootnoteReference"/>
          <w:lang w:bidi="fa-IR"/>
        </w:rPr>
        <w:footnoteReference w:id="260"/>
      </w:r>
      <w:r>
        <w:rPr>
          <w:lang w:bidi="fa-IR"/>
        </w:rPr>
        <w:t>, PM&amp;D Architects P/L</w:t>
      </w:r>
      <w:r w:rsidR="001D1DDB">
        <w:rPr>
          <w:rStyle w:val="FootnoteReference"/>
          <w:lang w:bidi="fa-IR"/>
        </w:rPr>
        <w:footnoteReference w:id="261"/>
      </w:r>
      <w:r>
        <w:rPr>
          <w:lang w:bidi="fa-IR"/>
        </w:rPr>
        <w:t>, among others, were</w:t>
      </w:r>
      <w:r w:rsidRPr="00720041">
        <w:rPr>
          <w:lang w:bidi="fa-IR"/>
        </w:rPr>
        <w:t xml:space="preserve"> concerned that the true and realistic estimate of cost to the community from a lack of accessible housing </w:t>
      </w:r>
      <w:r w:rsidR="000664C3">
        <w:rPr>
          <w:lang w:bidi="fa-IR"/>
        </w:rPr>
        <w:t>was not</w:t>
      </w:r>
      <w:r w:rsidRPr="00720041">
        <w:rPr>
          <w:lang w:bidi="fa-IR"/>
        </w:rPr>
        <w:t xml:space="preserve"> fully captured.</w:t>
      </w:r>
      <w:r>
        <w:rPr>
          <w:lang w:bidi="fa-IR"/>
        </w:rPr>
        <w:t xml:space="preserve"> They </w:t>
      </w:r>
      <w:r w:rsidR="00DE785C">
        <w:rPr>
          <w:lang w:bidi="fa-IR"/>
        </w:rPr>
        <w:t>agreed with</w:t>
      </w:r>
      <w:r>
        <w:rPr>
          <w:lang w:bidi="fa-IR"/>
        </w:rPr>
        <w:t xml:space="preserve"> Dalton and Carter (2020</w:t>
      </w:r>
      <w:r w:rsidR="00347BBA">
        <w:rPr>
          <w:lang w:bidi="fa-IR"/>
        </w:rPr>
        <w:t>a</w:t>
      </w:r>
      <w:r>
        <w:rPr>
          <w:lang w:bidi="fa-IR"/>
        </w:rPr>
        <w:t>)</w:t>
      </w:r>
      <w:r>
        <w:rPr>
          <w:rStyle w:val="FootnoteReference"/>
          <w:lang w:bidi="fa-IR"/>
        </w:rPr>
        <w:footnoteReference w:id="262"/>
      </w:r>
      <w:r>
        <w:rPr>
          <w:lang w:bidi="fa-IR"/>
        </w:rPr>
        <w:t xml:space="preserve"> that t</w:t>
      </w:r>
      <w:r w:rsidRPr="00720041">
        <w:rPr>
          <w:lang w:bidi="fa-IR"/>
        </w:rPr>
        <w:t xml:space="preserve">he significant benefits that flow directly from improved design and functionality to the general community </w:t>
      </w:r>
      <w:r w:rsidR="000664C3">
        <w:rPr>
          <w:lang w:bidi="fa-IR"/>
        </w:rPr>
        <w:t>we</w:t>
      </w:r>
      <w:r w:rsidRPr="00720041">
        <w:rPr>
          <w:lang w:bidi="fa-IR"/>
        </w:rPr>
        <w:t>re not included</w:t>
      </w:r>
      <w:r>
        <w:rPr>
          <w:lang w:bidi="fa-IR"/>
        </w:rPr>
        <w:t>.</w:t>
      </w:r>
    </w:p>
    <w:p w14:paraId="2506B5FF" w14:textId="77777777" w:rsidR="001E45D0" w:rsidRPr="00CA4C40" w:rsidRDefault="001E45D0" w:rsidP="001E45D0">
      <w:pPr>
        <w:pStyle w:val="BodyText"/>
        <w:rPr>
          <w:lang w:bidi="fa-IR"/>
        </w:rPr>
      </w:pPr>
      <w:r w:rsidRPr="00CA4C40">
        <w:rPr>
          <w:lang w:bidi="fa-IR"/>
        </w:rPr>
        <w:lastRenderedPageBreak/>
        <w:t xml:space="preserve">Physical Disability Council of NSW </w:t>
      </w:r>
      <w:r>
        <w:rPr>
          <w:lang w:bidi="fa-IR"/>
        </w:rPr>
        <w:t>(PDCN) argued that liveable housing design (LHD) has benefits across the broader population for the following reasons</w:t>
      </w:r>
      <w:r w:rsidRPr="00CA4C40">
        <w:rPr>
          <w:lang w:bidi="fa-IR"/>
        </w:rPr>
        <w:t>:</w:t>
      </w:r>
      <w:r w:rsidR="002C7EF2">
        <w:rPr>
          <w:rStyle w:val="FootnoteReference"/>
          <w:lang w:bidi="fa-IR"/>
        </w:rPr>
        <w:footnoteReference w:id="263"/>
      </w:r>
      <w:r w:rsidRPr="00CA4C40">
        <w:rPr>
          <w:lang w:bidi="fa-IR"/>
        </w:rPr>
        <w:t xml:space="preserve"> </w:t>
      </w:r>
    </w:p>
    <w:p w14:paraId="0D80C63D" w14:textId="77777777" w:rsidR="001E45D0" w:rsidRPr="00CA4C40" w:rsidRDefault="001E45D0" w:rsidP="001E45D0">
      <w:pPr>
        <w:pStyle w:val="ListBullet"/>
        <w:rPr>
          <w:lang w:bidi="fa-IR"/>
        </w:rPr>
      </w:pPr>
      <w:r>
        <w:rPr>
          <w:lang w:bidi="fa-IR"/>
        </w:rPr>
        <w:t>t</w:t>
      </w:r>
      <w:r w:rsidRPr="00CA4C40">
        <w:rPr>
          <w:lang w:bidi="fa-IR"/>
        </w:rPr>
        <w:t>he benefit of decreased general trips and falls in the home across all population demographics</w:t>
      </w:r>
    </w:p>
    <w:p w14:paraId="2041DA65" w14:textId="77777777" w:rsidR="001E45D0" w:rsidRPr="00CA4C40" w:rsidRDefault="001E45D0" w:rsidP="001E45D0">
      <w:pPr>
        <w:pStyle w:val="ListBullet"/>
        <w:rPr>
          <w:lang w:bidi="fa-IR"/>
        </w:rPr>
      </w:pPr>
      <w:r>
        <w:rPr>
          <w:lang w:bidi="fa-IR"/>
        </w:rPr>
        <w:t>t</w:t>
      </w:r>
      <w:r w:rsidRPr="00CA4C40">
        <w:rPr>
          <w:lang w:bidi="fa-IR"/>
        </w:rPr>
        <w:t>he benefit of childcare being able to be provided by older relatives in the home</w:t>
      </w:r>
    </w:p>
    <w:p w14:paraId="19640C11" w14:textId="77777777" w:rsidR="001E45D0" w:rsidRPr="00E57096" w:rsidRDefault="001E45D0" w:rsidP="001E45D0">
      <w:pPr>
        <w:pStyle w:val="ListBullet"/>
        <w:rPr>
          <w:lang w:bidi="fa-IR"/>
        </w:rPr>
      </w:pPr>
      <w:r>
        <w:rPr>
          <w:lang w:bidi="fa-IR"/>
        </w:rPr>
        <w:t>b</w:t>
      </w:r>
      <w:r w:rsidRPr="00E57096">
        <w:rPr>
          <w:lang w:bidi="fa-IR"/>
        </w:rPr>
        <w:t>enefits in terms of savings across the NDIS, Aged Care system and individuals’ personal funds for modifications to homes</w:t>
      </w:r>
    </w:p>
    <w:p w14:paraId="2E2FA492" w14:textId="77777777" w:rsidR="001E45D0" w:rsidRPr="00E57096" w:rsidRDefault="001E45D0" w:rsidP="001E45D0">
      <w:pPr>
        <w:pStyle w:val="ListBullet"/>
        <w:rPr>
          <w:lang w:bidi="fa-IR"/>
        </w:rPr>
      </w:pPr>
      <w:r>
        <w:rPr>
          <w:lang w:bidi="fa-IR"/>
        </w:rPr>
        <w:t>b</w:t>
      </w:r>
      <w:r w:rsidRPr="00E57096">
        <w:rPr>
          <w:lang w:bidi="fa-IR"/>
        </w:rPr>
        <w:t>enefits stemming from a reduced need for mobility aids</w:t>
      </w:r>
    </w:p>
    <w:p w14:paraId="74C937F2" w14:textId="77777777" w:rsidR="001E45D0" w:rsidRPr="00CA4C40" w:rsidRDefault="001E45D0" w:rsidP="001E45D0">
      <w:pPr>
        <w:pStyle w:val="ListBullet"/>
        <w:rPr>
          <w:lang w:bidi="fa-IR"/>
        </w:rPr>
      </w:pPr>
      <w:r>
        <w:rPr>
          <w:lang w:bidi="fa-IR"/>
        </w:rPr>
        <w:t>b</w:t>
      </w:r>
      <w:r w:rsidRPr="00CA4C40">
        <w:rPr>
          <w:lang w:bidi="fa-IR"/>
        </w:rPr>
        <w:t>enefits from reduced need for respite services</w:t>
      </w:r>
    </w:p>
    <w:p w14:paraId="667446FB" w14:textId="77777777" w:rsidR="001E45D0" w:rsidRPr="00CA4C40" w:rsidRDefault="001E45D0" w:rsidP="001E45D0">
      <w:pPr>
        <w:pStyle w:val="ListBullet"/>
        <w:rPr>
          <w:lang w:bidi="fa-IR"/>
        </w:rPr>
      </w:pPr>
      <w:r>
        <w:rPr>
          <w:lang w:bidi="fa-IR"/>
        </w:rPr>
        <w:t>b</w:t>
      </w:r>
      <w:r w:rsidRPr="00CA4C40">
        <w:rPr>
          <w:lang w:bidi="fa-IR"/>
        </w:rPr>
        <w:t xml:space="preserve">etter health outcomes for carers, particularly mental health costs </w:t>
      </w:r>
    </w:p>
    <w:p w14:paraId="15D405FE" w14:textId="77777777" w:rsidR="001E45D0" w:rsidRPr="00CA4C40" w:rsidRDefault="001E45D0" w:rsidP="001E45D0">
      <w:pPr>
        <w:pStyle w:val="ListBullet"/>
        <w:rPr>
          <w:lang w:bidi="fa-IR"/>
        </w:rPr>
      </w:pPr>
      <w:r>
        <w:rPr>
          <w:lang w:bidi="fa-IR"/>
        </w:rPr>
        <w:t>l</w:t>
      </w:r>
      <w:r w:rsidRPr="00CA4C40">
        <w:rPr>
          <w:lang w:bidi="fa-IR"/>
        </w:rPr>
        <w:t>ess time and resources spent looking for suitable accommodation, both for the individual and their carers/advocates</w:t>
      </w:r>
    </w:p>
    <w:p w14:paraId="01F6AFF4" w14:textId="77777777" w:rsidR="001E45D0" w:rsidRPr="00E57096" w:rsidRDefault="001E45D0" w:rsidP="001E45D0">
      <w:pPr>
        <w:pStyle w:val="ListBullet"/>
        <w:rPr>
          <w:lang w:bidi="fa-IR"/>
        </w:rPr>
      </w:pPr>
      <w:r>
        <w:rPr>
          <w:lang w:bidi="fa-IR"/>
        </w:rPr>
        <w:t>b</w:t>
      </w:r>
      <w:r w:rsidRPr="00E57096">
        <w:rPr>
          <w:lang w:bidi="fa-IR"/>
        </w:rPr>
        <w:t>enefits in terms of cost saving relating to homelessness for persons with physical disability who cannot secure affordable/accessible accommodation</w:t>
      </w:r>
    </w:p>
    <w:p w14:paraId="6FC8CC79" w14:textId="77777777" w:rsidR="001E45D0" w:rsidRPr="00CA4C40" w:rsidRDefault="001E45D0" w:rsidP="001E45D0">
      <w:pPr>
        <w:pStyle w:val="ListBullet"/>
        <w:rPr>
          <w:lang w:bidi="fa-IR"/>
        </w:rPr>
      </w:pPr>
      <w:r>
        <w:rPr>
          <w:lang w:bidi="fa-IR"/>
        </w:rPr>
        <w:t>b</w:t>
      </w:r>
      <w:r w:rsidRPr="00CA4C40">
        <w:rPr>
          <w:lang w:bidi="fa-IR"/>
        </w:rPr>
        <w:t>enefits accruing from individuals being able to remain in the workforce for longer and delay retirement</w:t>
      </w:r>
    </w:p>
    <w:p w14:paraId="05593DF1" w14:textId="77777777" w:rsidR="001E45D0" w:rsidRPr="00CA4C40" w:rsidRDefault="001E45D0" w:rsidP="001E45D0">
      <w:pPr>
        <w:pStyle w:val="ListBullet"/>
        <w:rPr>
          <w:lang w:bidi="fa-IR"/>
        </w:rPr>
      </w:pPr>
      <w:r>
        <w:rPr>
          <w:lang w:bidi="fa-IR"/>
        </w:rPr>
        <w:t>b</w:t>
      </w:r>
      <w:r w:rsidRPr="00CA4C40">
        <w:rPr>
          <w:lang w:bidi="fa-IR"/>
        </w:rPr>
        <w:t>enefits associated with delayed physical decline from existing medical conditions</w:t>
      </w:r>
      <w:r w:rsidR="00CD1DA9">
        <w:rPr>
          <w:lang w:bidi="fa-IR"/>
        </w:rPr>
        <w:t xml:space="preserve">, </w:t>
      </w:r>
      <w:r w:rsidRPr="00CA4C40">
        <w:rPr>
          <w:lang w:bidi="fa-IR"/>
        </w:rPr>
        <w:t xml:space="preserve"> </w:t>
      </w:r>
      <w:r>
        <w:rPr>
          <w:lang w:bidi="fa-IR"/>
        </w:rPr>
        <w:t>and</w:t>
      </w:r>
    </w:p>
    <w:p w14:paraId="4BA9F408" w14:textId="77777777" w:rsidR="001E45D0" w:rsidRPr="00CA4C40" w:rsidRDefault="001E45D0" w:rsidP="001E45D0">
      <w:pPr>
        <w:pStyle w:val="ListBullet"/>
        <w:rPr>
          <w:lang w:bidi="fa-IR"/>
        </w:rPr>
      </w:pPr>
      <w:r>
        <w:rPr>
          <w:lang w:bidi="fa-IR"/>
        </w:rPr>
        <w:t>b</w:t>
      </w:r>
      <w:r w:rsidRPr="00CA4C40">
        <w:rPr>
          <w:lang w:bidi="fa-IR"/>
        </w:rPr>
        <w:t xml:space="preserve">enefits of increased capacity for formal and informal volunteer work </w:t>
      </w:r>
    </w:p>
    <w:p w14:paraId="5203BA8F" w14:textId="77777777" w:rsidR="001E45D0" w:rsidRDefault="001E45D0" w:rsidP="001E45D0">
      <w:pPr>
        <w:pStyle w:val="BodyText"/>
        <w:rPr>
          <w:lang w:bidi="fa-IR"/>
        </w:rPr>
      </w:pPr>
      <w:r>
        <w:rPr>
          <w:lang w:bidi="fa-IR"/>
        </w:rPr>
        <w:t>It is noted that s</w:t>
      </w:r>
      <w:r w:rsidRPr="00E57096">
        <w:rPr>
          <w:lang w:bidi="fa-IR"/>
        </w:rPr>
        <w:t xml:space="preserve">ome of these reasons </w:t>
      </w:r>
      <w:r w:rsidR="000664C3">
        <w:rPr>
          <w:lang w:bidi="fa-IR"/>
        </w:rPr>
        <w:t>relate to</w:t>
      </w:r>
      <w:r w:rsidRPr="00E57096">
        <w:rPr>
          <w:lang w:bidi="fa-IR"/>
        </w:rPr>
        <w:t xml:space="preserve"> other items </w:t>
      </w:r>
      <w:r w:rsidR="000664C3">
        <w:rPr>
          <w:lang w:bidi="fa-IR"/>
        </w:rPr>
        <w:t>associated with</w:t>
      </w:r>
      <w:r w:rsidRPr="00E57096">
        <w:rPr>
          <w:lang w:bidi="fa-IR"/>
        </w:rPr>
        <w:t xml:space="preserve"> the size of </w:t>
      </w:r>
      <w:r w:rsidR="006E088C">
        <w:rPr>
          <w:lang w:bidi="fa-IR"/>
        </w:rPr>
        <w:t xml:space="preserve">the </w:t>
      </w:r>
      <w:r w:rsidRPr="00E57096">
        <w:rPr>
          <w:lang w:bidi="fa-IR"/>
        </w:rPr>
        <w:t>problem (benefits)</w:t>
      </w:r>
      <w:r>
        <w:rPr>
          <w:lang w:bidi="fa-IR"/>
        </w:rPr>
        <w:t>.</w:t>
      </w:r>
    </w:p>
    <w:p w14:paraId="7418F01D" w14:textId="77777777" w:rsidR="001E45D0" w:rsidRPr="004B79EC" w:rsidRDefault="001E45D0" w:rsidP="004B79EC">
      <w:pPr>
        <w:pStyle w:val="Heading4-Appendix"/>
      </w:pPr>
      <w:r w:rsidRPr="004B79EC">
        <w:t>Ageing in place</w:t>
      </w:r>
    </w:p>
    <w:p w14:paraId="7BC08583" w14:textId="77777777" w:rsidR="00C63D46" w:rsidRDefault="008817AC" w:rsidP="001E45D0">
      <w:pPr>
        <w:pStyle w:val="BodyText"/>
        <w:rPr>
          <w:lang w:bidi="fa-IR"/>
        </w:rPr>
      </w:pPr>
      <w:r>
        <w:rPr>
          <w:lang w:bidi="fa-IR"/>
        </w:rPr>
        <w:t>A number of submissions, including</w:t>
      </w:r>
      <w:r w:rsidR="00C63D46">
        <w:rPr>
          <w:lang w:bidi="fa-IR"/>
        </w:rPr>
        <w:t>:</w:t>
      </w:r>
    </w:p>
    <w:p w14:paraId="23CEF1E5" w14:textId="77777777" w:rsidR="00C63D46" w:rsidRDefault="008817AC" w:rsidP="00C63D46">
      <w:pPr>
        <w:pStyle w:val="ListBullet"/>
        <w:rPr>
          <w:lang w:bidi="fa-IR"/>
        </w:rPr>
      </w:pPr>
      <w:r>
        <w:rPr>
          <w:lang w:bidi="fa-IR"/>
        </w:rPr>
        <w:t>Housing for the Aged Action Group</w:t>
      </w:r>
      <w:r w:rsidR="00A15BAC">
        <w:rPr>
          <w:lang w:bidi="fa-IR"/>
        </w:rPr>
        <w:t xml:space="preserve"> (HAAG)</w:t>
      </w:r>
      <w:r w:rsidR="00515E8D">
        <w:rPr>
          <w:rStyle w:val="FootnoteReference"/>
          <w:lang w:bidi="fa-IR"/>
        </w:rPr>
        <w:footnoteReference w:id="264"/>
      </w:r>
    </w:p>
    <w:p w14:paraId="5522A90B" w14:textId="77777777" w:rsidR="00E03F47" w:rsidRDefault="008817AC" w:rsidP="00C63D46">
      <w:pPr>
        <w:pStyle w:val="ListBullet"/>
        <w:rPr>
          <w:lang w:bidi="fa-IR"/>
        </w:rPr>
      </w:pPr>
      <w:r>
        <w:rPr>
          <w:lang w:bidi="fa-IR"/>
        </w:rPr>
        <w:t>Shelter WA</w:t>
      </w:r>
      <w:r w:rsidR="00515E8D">
        <w:rPr>
          <w:rStyle w:val="FootnoteReference"/>
          <w:lang w:bidi="fa-IR"/>
        </w:rPr>
        <w:footnoteReference w:id="265"/>
      </w:r>
    </w:p>
    <w:p w14:paraId="2DBBF672" w14:textId="77777777" w:rsidR="00E03F47" w:rsidRDefault="008817AC" w:rsidP="00C63D46">
      <w:pPr>
        <w:pStyle w:val="ListBullet"/>
        <w:rPr>
          <w:lang w:bidi="fa-IR"/>
        </w:rPr>
      </w:pPr>
      <w:r>
        <w:rPr>
          <w:lang w:bidi="fa-IR"/>
        </w:rPr>
        <w:t>Spinal Life Australia</w:t>
      </w:r>
      <w:r w:rsidR="00285A11">
        <w:rPr>
          <w:rStyle w:val="FootnoteReference"/>
          <w:lang w:bidi="fa-IR"/>
        </w:rPr>
        <w:footnoteReference w:id="266"/>
      </w:r>
    </w:p>
    <w:p w14:paraId="1EEA3906" w14:textId="77777777" w:rsidR="00E03F47" w:rsidRDefault="008817AC" w:rsidP="00C63D46">
      <w:pPr>
        <w:pStyle w:val="ListBullet"/>
        <w:rPr>
          <w:lang w:bidi="fa-IR"/>
        </w:rPr>
      </w:pPr>
      <w:r>
        <w:rPr>
          <w:lang w:bidi="fa-IR"/>
        </w:rPr>
        <w:lastRenderedPageBreak/>
        <w:t>Ja</w:t>
      </w:r>
      <w:r w:rsidR="00C04711">
        <w:rPr>
          <w:lang w:bidi="fa-IR"/>
        </w:rPr>
        <w:t>c</w:t>
      </w:r>
      <w:r>
        <w:rPr>
          <w:lang w:bidi="fa-IR"/>
        </w:rPr>
        <w:t>queline Marks</w:t>
      </w:r>
      <w:r w:rsidR="00C04711">
        <w:rPr>
          <w:rStyle w:val="FootnoteReference"/>
          <w:lang w:bidi="fa-IR"/>
        </w:rPr>
        <w:footnoteReference w:id="267"/>
      </w:r>
    </w:p>
    <w:p w14:paraId="1A9A6B35" w14:textId="77777777" w:rsidR="00E03F47" w:rsidRDefault="008817AC" w:rsidP="00C63D46">
      <w:pPr>
        <w:pStyle w:val="ListBullet"/>
        <w:rPr>
          <w:lang w:bidi="fa-IR"/>
        </w:rPr>
      </w:pPr>
      <w:r>
        <w:rPr>
          <w:lang w:bidi="fa-IR"/>
        </w:rPr>
        <w:t>Victorian Council of Social Service (VCOSS)</w:t>
      </w:r>
      <w:r w:rsidR="00C04711">
        <w:rPr>
          <w:rStyle w:val="FootnoteReference"/>
          <w:lang w:bidi="fa-IR"/>
        </w:rPr>
        <w:footnoteReference w:id="268"/>
      </w:r>
    </w:p>
    <w:p w14:paraId="310F836E" w14:textId="77777777" w:rsidR="00E03F47" w:rsidRDefault="008817AC" w:rsidP="00C63D46">
      <w:pPr>
        <w:pStyle w:val="ListBullet"/>
        <w:rPr>
          <w:lang w:bidi="fa-IR"/>
        </w:rPr>
      </w:pPr>
      <w:r>
        <w:rPr>
          <w:lang w:bidi="fa-IR"/>
        </w:rPr>
        <w:t>Department of Communities, Housing Advisory Unit WA</w:t>
      </w:r>
      <w:r w:rsidR="00695B33">
        <w:rPr>
          <w:rStyle w:val="FootnoteReference"/>
          <w:lang w:bidi="fa-IR"/>
        </w:rPr>
        <w:footnoteReference w:id="269"/>
      </w:r>
    </w:p>
    <w:p w14:paraId="3B31EF20" w14:textId="77777777" w:rsidR="00E03F47" w:rsidRDefault="001E45D0" w:rsidP="00E03F47">
      <w:pPr>
        <w:pStyle w:val="BodyText"/>
        <w:rPr>
          <w:lang w:bidi="fa-IR"/>
        </w:rPr>
      </w:pPr>
      <w:r>
        <w:rPr>
          <w:lang w:bidi="fa-IR"/>
        </w:rPr>
        <w:t>noted that c</w:t>
      </w:r>
      <w:r w:rsidRPr="00046BB7">
        <w:rPr>
          <w:lang w:bidi="fa-IR"/>
        </w:rPr>
        <w:t xml:space="preserve">osts associated with care for those remaining in their family home are much lower than residential aged care, whether </w:t>
      </w:r>
      <w:r w:rsidR="00B474A2">
        <w:rPr>
          <w:lang w:bidi="fa-IR"/>
        </w:rPr>
        <w:t>care is</w:t>
      </w:r>
      <w:r w:rsidRPr="00046BB7">
        <w:rPr>
          <w:lang w:bidi="fa-IR"/>
        </w:rPr>
        <w:t xml:space="preserve"> provided through formal or informal means. </w:t>
      </w:r>
    </w:p>
    <w:p w14:paraId="05AF6224" w14:textId="77777777" w:rsidR="001E45D0" w:rsidRDefault="00E03F47" w:rsidP="00E03F47">
      <w:pPr>
        <w:pStyle w:val="BodyText"/>
        <w:rPr>
          <w:lang w:bidi="fa-IR"/>
        </w:rPr>
      </w:pPr>
      <w:r>
        <w:rPr>
          <w:lang w:bidi="fa-IR"/>
        </w:rPr>
        <w:t>Therefore</w:t>
      </w:r>
      <w:r w:rsidR="00BE4D9E">
        <w:rPr>
          <w:lang w:bidi="fa-IR"/>
        </w:rPr>
        <w:t>,</w:t>
      </w:r>
      <w:r>
        <w:rPr>
          <w:lang w:bidi="fa-IR"/>
        </w:rPr>
        <w:t xml:space="preserve"> h</w:t>
      </w:r>
      <w:r w:rsidR="001E45D0" w:rsidRPr="00046BB7">
        <w:rPr>
          <w:lang w:bidi="fa-IR"/>
        </w:rPr>
        <w:t>ousing designs that support enabling people with care needs to remain in their home are important in reducing the calls on the residential aged care system, reducing costs to government. The cost savings associated with in home care have been a major reason guiding policies around ageing in place.</w:t>
      </w:r>
      <w:r w:rsidR="001E45D0">
        <w:rPr>
          <w:lang w:bidi="fa-IR"/>
        </w:rPr>
        <w:t xml:space="preserve"> </w:t>
      </w:r>
    </w:p>
    <w:p w14:paraId="3454A571" w14:textId="77777777" w:rsidR="001E45D0" w:rsidRDefault="003C751F" w:rsidP="001E45D0">
      <w:pPr>
        <w:pStyle w:val="BodyText"/>
        <w:rPr>
          <w:lang w:bidi="fa-IR"/>
        </w:rPr>
      </w:pPr>
      <w:r>
        <w:rPr>
          <w:lang w:bidi="fa-IR"/>
        </w:rPr>
        <w:t xml:space="preserve">As </w:t>
      </w:r>
      <w:r w:rsidR="00663AA6">
        <w:rPr>
          <w:lang w:bidi="fa-IR"/>
        </w:rPr>
        <w:t>cit</w:t>
      </w:r>
      <w:r>
        <w:rPr>
          <w:lang w:bidi="fa-IR"/>
        </w:rPr>
        <w:t xml:space="preserve">ed by the submissions, </w:t>
      </w:r>
      <w:r w:rsidR="00607006">
        <w:rPr>
          <w:lang w:bidi="fa-IR"/>
        </w:rPr>
        <w:t>Judd et al (2010)</w:t>
      </w:r>
      <w:r w:rsidR="00607006">
        <w:rPr>
          <w:rStyle w:val="FootnoteReference"/>
          <w:lang w:bidi="fa-IR"/>
        </w:rPr>
        <w:footnoteReference w:id="270"/>
      </w:r>
      <w:r w:rsidR="00607006">
        <w:rPr>
          <w:lang w:bidi="fa-IR"/>
        </w:rPr>
        <w:t xml:space="preserve"> found that m</w:t>
      </w:r>
      <w:r w:rsidR="001E45D0" w:rsidRPr="00844512">
        <w:rPr>
          <w:lang w:bidi="fa-IR"/>
        </w:rPr>
        <w:t xml:space="preserve">ost older home owners (over 90 per cent) prefer to age in place – usually in their present dwelling, modifying their home and using care services in the home. </w:t>
      </w:r>
      <w:r w:rsidR="001E45D0" w:rsidRPr="00FB144A">
        <w:rPr>
          <w:lang w:bidi="fa-IR"/>
        </w:rPr>
        <w:t>However in a survey of older home owners, around a third (34 per cent) had made modifications to their house to make it safer or easier to use, with the most common modifications being grab rails, modified bathrooms or stairs.</w:t>
      </w:r>
    </w:p>
    <w:p w14:paraId="2E5BB9E4" w14:textId="77777777" w:rsidR="001E45D0" w:rsidRPr="00046BB7" w:rsidRDefault="008326FA" w:rsidP="001E45D0">
      <w:pPr>
        <w:pStyle w:val="BodyText"/>
        <w:rPr>
          <w:lang w:bidi="fa-IR"/>
        </w:rPr>
      </w:pPr>
      <w:r>
        <w:rPr>
          <w:lang w:bidi="fa-IR"/>
        </w:rPr>
        <w:t>One</w:t>
      </w:r>
      <w:r w:rsidR="001E45D0">
        <w:rPr>
          <w:lang w:bidi="fa-IR"/>
        </w:rPr>
        <w:t xml:space="preserve"> submission </w:t>
      </w:r>
      <w:r w:rsidR="000664C3">
        <w:rPr>
          <w:lang w:bidi="fa-IR"/>
        </w:rPr>
        <w:t>highlighted</w:t>
      </w:r>
      <w:r w:rsidR="001E45D0">
        <w:rPr>
          <w:lang w:bidi="fa-IR"/>
        </w:rPr>
        <w:t xml:space="preserve"> mixed appeal for universal, adaptable or visitable designs among older people. </w:t>
      </w:r>
      <w:r w:rsidR="00A75CEE">
        <w:rPr>
          <w:lang w:bidi="fa-IR"/>
        </w:rPr>
        <w:t>On the one hand, as quoted by the submission, Judd et al (2010) found that</w:t>
      </w:r>
      <w:r w:rsidR="001E45D0">
        <w:rPr>
          <w:lang w:bidi="fa-IR"/>
        </w:rPr>
        <w:t xml:space="preserve"> most older people support adaptable or universal design (85 per cent and 78 per cent respectively see it as important) compared to moving house or visitable design (68 per cent and 65 per cent seeing as important)</w:t>
      </w:r>
      <w:r w:rsidR="00A75CEE">
        <w:rPr>
          <w:lang w:bidi="fa-IR"/>
        </w:rPr>
        <w:t>.</w:t>
      </w:r>
      <w:r w:rsidR="001E45D0">
        <w:rPr>
          <w:lang w:bidi="fa-IR"/>
        </w:rPr>
        <w:t xml:space="preserve"> </w:t>
      </w:r>
      <w:r w:rsidR="00A75CEE">
        <w:rPr>
          <w:lang w:bidi="fa-IR"/>
        </w:rPr>
        <w:t xml:space="preserve">On the other hand, the submission quoted </w:t>
      </w:r>
      <w:r w:rsidR="00B474A2">
        <w:rPr>
          <w:lang w:bidi="fa-IR"/>
        </w:rPr>
        <w:t xml:space="preserve">a </w:t>
      </w:r>
      <w:r w:rsidR="00A75CEE">
        <w:rPr>
          <w:lang w:bidi="fa-IR"/>
        </w:rPr>
        <w:t>study by James et al (2019)</w:t>
      </w:r>
      <w:r w:rsidR="00A75CEE">
        <w:rPr>
          <w:rStyle w:val="FootnoteReference"/>
          <w:lang w:bidi="fa-IR"/>
        </w:rPr>
        <w:footnoteReference w:id="271"/>
      </w:r>
      <w:r w:rsidR="00A75CEE">
        <w:rPr>
          <w:lang w:bidi="fa-IR"/>
        </w:rPr>
        <w:t xml:space="preserve"> that found,</w:t>
      </w:r>
      <w:r w:rsidR="001E45D0">
        <w:rPr>
          <w:lang w:bidi="fa-IR"/>
        </w:rPr>
        <w:t xml:space="preserve"> when asked about the most important physical features they aspired to in their housing, only 28 per cent regarded accessible or universally designed housing as an important physical characteristic in their housing, and similar numbers regarded adaptability as an important characteristic in a house.</w:t>
      </w:r>
    </w:p>
    <w:p w14:paraId="0FF73181" w14:textId="77777777" w:rsidR="001E45D0" w:rsidRPr="00F4477B" w:rsidRDefault="001E45D0" w:rsidP="00F4477B">
      <w:pPr>
        <w:pStyle w:val="Heading3-Appendix"/>
      </w:pPr>
      <w:r w:rsidRPr="00F4477B">
        <w:lastRenderedPageBreak/>
        <w:t>Visitability</w:t>
      </w:r>
    </w:p>
    <w:p w14:paraId="1932D4E4" w14:textId="77777777" w:rsidR="001E45D0" w:rsidRDefault="001E45D0" w:rsidP="001E45D0">
      <w:pPr>
        <w:pStyle w:val="BodyText"/>
        <w:rPr>
          <w:lang w:bidi="fa-IR"/>
        </w:rPr>
      </w:pPr>
      <w:r>
        <w:rPr>
          <w:lang w:bidi="fa-IR"/>
        </w:rPr>
        <w:t>P</w:t>
      </w:r>
      <w:r w:rsidR="00E03F47">
        <w:rPr>
          <w:lang w:bidi="fa-IR"/>
        </w:rPr>
        <w:t xml:space="preserve">ost </w:t>
      </w:r>
      <w:r>
        <w:rPr>
          <w:lang w:bidi="fa-IR"/>
        </w:rPr>
        <w:t>P</w:t>
      </w:r>
      <w:r w:rsidR="00E03F47">
        <w:rPr>
          <w:lang w:bidi="fa-IR"/>
        </w:rPr>
        <w:t>olio</w:t>
      </w:r>
      <w:r w:rsidR="00CE0A32">
        <w:rPr>
          <w:lang w:bidi="fa-IR"/>
        </w:rPr>
        <w:t xml:space="preserve"> </w:t>
      </w:r>
      <w:r>
        <w:rPr>
          <w:lang w:bidi="fa-IR"/>
        </w:rPr>
        <w:t>V</w:t>
      </w:r>
      <w:r w:rsidR="00CE0A32">
        <w:rPr>
          <w:lang w:bidi="fa-IR"/>
        </w:rPr>
        <w:t>ictoria (PPV)</w:t>
      </w:r>
      <w:r w:rsidR="00A960EA">
        <w:rPr>
          <w:rStyle w:val="FootnoteReference"/>
          <w:lang w:bidi="fa-IR"/>
        </w:rPr>
        <w:footnoteReference w:id="272"/>
      </w:r>
      <w:r>
        <w:rPr>
          <w:lang w:bidi="fa-IR"/>
        </w:rPr>
        <w:t xml:space="preserve"> cited </w:t>
      </w:r>
      <w:r w:rsidR="00663AA6">
        <w:rPr>
          <w:lang w:bidi="fa-IR"/>
        </w:rPr>
        <w:t>a</w:t>
      </w:r>
      <w:r>
        <w:rPr>
          <w:lang w:bidi="fa-IR"/>
        </w:rPr>
        <w:t xml:space="preserve"> study by </w:t>
      </w:r>
      <w:r w:rsidRPr="0099647A">
        <w:rPr>
          <w:lang w:bidi="fa-IR"/>
        </w:rPr>
        <w:t>Duncan et al (2018)</w:t>
      </w:r>
      <w:r w:rsidR="00963191" w:rsidRPr="0099647A">
        <w:rPr>
          <w:rStyle w:val="FootnoteReference"/>
          <w:lang w:bidi="fa-IR"/>
        </w:rPr>
        <w:footnoteReference w:id="273"/>
      </w:r>
      <w:r>
        <w:rPr>
          <w:lang w:bidi="fa-IR"/>
        </w:rPr>
        <w:t xml:space="preserve"> on the impact of an individual’s social and environmental context on their health outcomes. The study </w:t>
      </w:r>
      <w:r w:rsidRPr="00825DCE">
        <w:rPr>
          <w:lang w:bidi="fa-IR"/>
        </w:rPr>
        <w:t>point</w:t>
      </w:r>
      <w:r>
        <w:rPr>
          <w:lang w:bidi="fa-IR"/>
        </w:rPr>
        <w:t>s</w:t>
      </w:r>
      <w:r w:rsidRPr="00825DCE">
        <w:rPr>
          <w:lang w:bidi="fa-IR"/>
        </w:rPr>
        <w:t xml:space="preserve"> out that inability to access their friends’ homes (</w:t>
      </w:r>
      <w:r>
        <w:rPr>
          <w:lang w:bidi="fa-IR"/>
        </w:rPr>
        <w:t xml:space="preserve">Duncan et al, </w:t>
      </w:r>
      <w:r w:rsidRPr="00825DCE">
        <w:rPr>
          <w:lang w:bidi="fa-IR"/>
        </w:rPr>
        <w:t>2018:6) can impact on</w:t>
      </w:r>
      <w:r>
        <w:rPr>
          <w:lang w:bidi="fa-IR"/>
        </w:rPr>
        <w:t xml:space="preserve"> </w:t>
      </w:r>
      <w:r w:rsidRPr="00825DCE">
        <w:rPr>
          <w:lang w:bidi="fa-IR"/>
        </w:rPr>
        <w:t>‘their commitment to continue to build a life full of meaning’ (Duncan et al, 2018:3) and, due to</w:t>
      </w:r>
      <w:r>
        <w:rPr>
          <w:lang w:bidi="fa-IR"/>
        </w:rPr>
        <w:t xml:space="preserve"> </w:t>
      </w:r>
      <w:r w:rsidRPr="00825DCE">
        <w:rPr>
          <w:lang w:bidi="fa-IR"/>
        </w:rPr>
        <w:t>their friends’ potential lack of understanding of their physical limitations, to diminished social</w:t>
      </w:r>
      <w:r>
        <w:rPr>
          <w:lang w:bidi="fa-IR"/>
        </w:rPr>
        <w:t xml:space="preserve"> </w:t>
      </w:r>
      <w:r w:rsidRPr="00825DCE">
        <w:rPr>
          <w:lang w:bidi="fa-IR"/>
        </w:rPr>
        <w:t>relationships, or inclusion.</w:t>
      </w:r>
    </w:p>
    <w:p w14:paraId="4E1DFD0D" w14:textId="77777777" w:rsidR="001E45D0" w:rsidRPr="00F4477B" w:rsidRDefault="001E45D0" w:rsidP="00F4477B">
      <w:pPr>
        <w:pStyle w:val="Heading3-Appendix"/>
      </w:pPr>
      <w:r w:rsidRPr="00F4477B">
        <w:t>Employment and productivity</w:t>
      </w:r>
    </w:p>
    <w:p w14:paraId="6F81CDD6" w14:textId="77777777" w:rsidR="001E45D0" w:rsidRDefault="001E45D0" w:rsidP="001E45D0">
      <w:pPr>
        <w:pStyle w:val="BodyText"/>
        <w:rPr>
          <w:lang w:bidi="fa-IR"/>
        </w:rPr>
      </w:pPr>
      <w:r>
        <w:rPr>
          <w:lang w:bidi="fa-IR"/>
        </w:rPr>
        <w:t>Dalton and Carter (2020</w:t>
      </w:r>
      <w:r w:rsidR="000664C3">
        <w:rPr>
          <w:lang w:bidi="fa-IR"/>
        </w:rPr>
        <w:t>a</w:t>
      </w:r>
      <w:r>
        <w:rPr>
          <w:lang w:bidi="fa-IR"/>
        </w:rPr>
        <w:t>)</w:t>
      </w:r>
      <w:r w:rsidR="000664C3">
        <w:rPr>
          <w:lang w:bidi="fa-IR"/>
        </w:rPr>
        <w:t xml:space="preserve"> in the MDI and Summer Foundation submission</w:t>
      </w:r>
      <w:r>
        <w:rPr>
          <w:lang w:bidi="fa-IR"/>
        </w:rPr>
        <w:t xml:space="preserve"> also raise other issues that may have a smaller impact. One of them is the employment and productivity impact of premature retirement, premature death and morbidity (section 1.7.3, p.10; section 3.5.3, p.27</w:t>
      </w:r>
      <w:r w:rsidR="007B5078">
        <w:rPr>
          <w:lang w:bidi="fa-IR"/>
        </w:rPr>
        <w:t xml:space="preserve"> in </w:t>
      </w:r>
      <w:bookmarkStart w:id="549" w:name="_Hlk64826100"/>
      <w:r w:rsidR="007B5078">
        <w:rPr>
          <w:lang w:bidi="fa-IR"/>
        </w:rPr>
        <w:t>Dalton and Carter (2020a)</w:t>
      </w:r>
      <w:bookmarkEnd w:id="549"/>
      <w:r>
        <w:rPr>
          <w:lang w:bidi="fa-IR"/>
        </w:rPr>
        <w:t>) and the productivity impact for people not in the paid workforce (section 3.5.3, p.27</w:t>
      </w:r>
      <w:r w:rsidR="007B5078">
        <w:rPr>
          <w:lang w:bidi="fa-IR"/>
        </w:rPr>
        <w:t xml:space="preserve"> Dalton and Carter (2020a)</w:t>
      </w:r>
      <w:r>
        <w:rPr>
          <w:lang w:bidi="fa-IR"/>
        </w:rPr>
        <w:t>).</w:t>
      </w:r>
    </w:p>
    <w:p w14:paraId="61C27D15" w14:textId="77777777" w:rsidR="001E45D0" w:rsidRDefault="001E45D0" w:rsidP="001E45D0">
      <w:pPr>
        <w:pStyle w:val="BodyText"/>
        <w:rPr>
          <w:lang w:bidi="fa-IR"/>
        </w:rPr>
      </w:pPr>
      <w:r>
        <w:rPr>
          <w:lang w:bidi="fa-IR"/>
        </w:rPr>
        <w:t>For example, s</w:t>
      </w:r>
      <w:r w:rsidRPr="008656C8">
        <w:rPr>
          <w:lang w:bidi="fa-IR"/>
        </w:rPr>
        <w:t xml:space="preserve">omeone who is injured as result of a fall may also require time off work, which is a cost to their employer and </w:t>
      </w:r>
      <w:r w:rsidR="00B73454">
        <w:rPr>
          <w:lang w:bidi="fa-IR"/>
        </w:rPr>
        <w:t xml:space="preserve">to </w:t>
      </w:r>
      <w:r w:rsidRPr="008656C8">
        <w:rPr>
          <w:lang w:bidi="fa-IR"/>
        </w:rPr>
        <w:t xml:space="preserve">the </w:t>
      </w:r>
      <w:r w:rsidR="00B73454">
        <w:rPr>
          <w:lang w:bidi="fa-IR"/>
        </w:rPr>
        <w:t xml:space="preserve">wider </w:t>
      </w:r>
      <w:r w:rsidRPr="008656C8">
        <w:rPr>
          <w:lang w:bidi="fa-IR"/>
        </w:rPr>
        <w:t>economy</w:t>
      </w:r>
      <w:r>
        <w:rPr>
          <w:lang w:bidi="fa-IR"/>
        </w:rPr>
        <w:t>.</w:t>
      </w:r>
      <w:r w:rsidR="006C74B9">
        <w:rPr>
          <w:rStyle w:val="FootnoteReference"/>
          <w:lang w:bidi="fa-IR"/>
        </w:rPr>
        <w:footnoteReference w:id="274"/>
      </w:r>
    </w:p>
    <w:p w14:paraId="7D456FA8" w14:textId="77777777" w:rsidR="001E45D0" w:rsidRDefault="001E45D0" w:rsidP="001E45D0">
      <w:pPr>
        <w:pStyle w:val="BodyText"/>
        <w:rPr>
          <w:lang w:bidi="fa-IR"/>
        </w:rPr>
      </w:pPr>
      <w:r>
        <w:rPr>
          <w:lang w:bidi="fa-IR"/>
        </w:rPr>
        <w:t xml:space="preserve">Some submissions provided data on </w:t>
      </w:r>
      <w:r w:rsidR="00922F40">
        <w:rPr>
          <w:lang w:bidi="fa-IR"/>
        </w:rPr>
        <w:t xml:space="preserve">the </w:t>
      </w:r>
      <w:r>
        <w:rPr>
          <w:lang w:bidi="fa-IR"/>
        </w:rPr>
        <w:t>employment impact of people with disability, for example:</w:t>
      </w:r>
    </w:p>
    <w:p w14:paraId="6BD988D9" w14:textId="77777777" w:rsidR="001E45D0" w:rsidRDefault="001E45D0" w:rsidP="001E45D0">
      <w:pPr>
        <w:pStyle w:val="ListBullet"/>
        <w:rPr>
          <w:lang w:bidi="fa-IR"/>
        </w:rPr>
      </w:pPr>
      <w:r w:rsidRPr="007139FF">
        <w:rPr>
          <w:lang w:bidi="fa-IR"/>
        </w:rPr>
        <w:t xml:space="preserve">Close to one-third of </w:t>
      </w:r>
      <w:r w:rsidR="000664C3">
        <w:rPr>
          <w:lang w:bidi="fa-IR"/>
        </w:rPr>
        <w:t>respondents to a</w:t>
      </w:r>
      <w:r>
        <w:rPr>
          <w:lang w:bidi="fa-IR"/>
        </w:rPr>
        <w:t xml:space="preserve"> </w:t>
      </w:r>
      <w:r w:rsidRPr="007139FF">
        <w:rPr>
          <w:lang w:bidi="fa-IR"/>
        </w:rPr>
        <w:t xml:space="preserve">survey </w:t>
      </w:r>
      <w:r w:rsidR="00B474A2">
        <w:rPr>
          <w:lang w:bidi="fa-IR"/>
        </w:rPr>
        <w:t>by Dr Wiese</w:t>
      </w:r>
      <w:r w:rsidR="00AC1240">
        <w:rPr>
          <w:lang w:bidi="fa-IR"/>
        </w:rPr>
        <w:t>l</w:t>
      </w:r>
      <w:r w:rsidRPr="007139FF">
        <w:rPr>
          <w:lang w:bidi="fa-IR"/>
        </w:rPr>
        <w:t xml:space="preserve"> reported lack of accessible housing has resulted in job loss, missed job opportunities, reduced work hours, or reduced productivity at work</w:t>
      </w:r>
      <w:r w:rsidRPr="00665AAB">
        <w:rPr>
          <w:lang w:bidi="fa-IR"/>
        </w:rPr>
        <w:t>.</w:t>
      </w:r>
      <w:r w:rsidR="000470EC">
        <w:rPr>
          <w:rStyle w:val="FootnoteReference"/>
          <w:lang w:bidi="fa-IR"/>
        </w:rPr>
        <w:footnoteReference w:id="275"/>
      </w:r>
    </w:p>
    <w:p w14:paraId="1363E0C0" w14:textId="77777777" w:rsidR="001E45D0" w:rsidRDefault="001E45D0" w:rsidP="001E45D0">
      <w:pPr>
        <w:pStyle w:val="ListBullet"/>
        <w:rPr>
          <w:lang w:bidi="fa-IR"/>
        </w:rPr>
      </w:pPr>
      <w:r>
        <w:rPr>
          <w:lang w:bidi="fa-IR"/>
        </w:rPr>
        <w:t>16 per cent to 30 per cent of members of Spinal Life Australia report that a lack of accessible housing has impacted their employment.</w:t>
      </w:r>
      <w:r w:rsidR="000470EC">
        <w:rPr>
          <w:rStyle w:val="FootnoteReference"/>
          <w:lang w:bidi="fa-IR"/>
        </w:rPr>
        <w:footnoteReference w:id="276"/>
      </w:r>
    </w:p>
    <w:p w14:paraId="79B1D939" w14:textId="77777777" w:rsidR="001E45D0" w:rsidRPr="00F4477B" w:rsidRDefault="001E45D0" w:rsidP="00F4477B">
      <w:pPr>
        <w:pStyle w:val="Heading3-Appendix"/>
      </w:pPr>
      <w:r w:rsidRPr="00F4477B">
        <w:t>Cost of falls</w:t>
      </w:r>
    </w:p>
    <w:p w14:paraId="36E757BE" w14:textId="77777777" w:rsidR="001E45D0" w:rsidRDefault="001E45D0" w:rsidP="001E45D0">
      <w:pPr>
        <w:pStyle w:val="BodyText"/>
        <w:rPr>
          <w:lang w:bidi="fa-IR"/>
        </w:rPr>
      </w:pPr>
      <w:r>
        <w:rPr>
          <w:lang w:bidi="fa-IR"/>
        </w:rPr>
        <w:t>PPV</w:t>
      </w:r>
      <w:r w:rsidR="00D54C3C">
        <w:rPr>
          <w:rStyle w:val="FootnoteReference"/>
          <w:lang w:bidi="fa-IR"/>
        </w:rPr>
        <w:footnoteReference w:id="277"/>
      </w:r>
      <w:r>
        <w:rPr>
          <w:lang w:bidi="fa-IR"/>
        </w:rPr>
        <w:t xml:space="preserve"> cited the estimates of costs of falls related injuries by </w:t>
      </w:r>
      <w:r w:rsidR="00C01DEF">
        <w:rPr>
          <w:lang w:bidi="fa-IR"/>
        </w:rPr>
        <w:t>the Australian Commission on Safety and Quality in Health Care (</w:t>
      </w:r>
      <w:r w:rsidRPr="00FB420E">
        <w:rPr>
          <w:lang w:bidi="fa-IR"/>
        </w:rPr>
        <w:t>ACSQHC</w:t>
      </w:r>
      <w:r w:rsidR="00C01DEF">
        <w:rPr>
          <w:lang w:bidi="fa-IR"/>
        </w:rPr>
        <w:t>)</w:t>
      </w:r>
      <w:r w:rsidRPr="00FB420E">
        <w:rPr>
          <w:lang w:bidi="fa-IR"/>
        </w:rPr>
        <w:t xml:space="preserve"> </w:t>
      </w:r>
      <w:r>
        <w:rPr>
          <w:lang w:bidi="fa-IR"/>
        </w:rPr>
        <w:t xml:space="preserve">(2009). It was </w:t>
      </w:r>
      <w:r w:rsidRPr="00FB420E">
        <w:rPr>
          <w:lang w:bidi="fa-IR"/>
        </w:rPr>
        <w:t xml:space="preserve">estimated that, if nothing was done to decrease the number of falls in older people between 2020 and 2051, </w:t>
      </w:r>
    </w:p>
    <w:p w14:paraId="641DED90" w14:textId="77777777" w:rsidR="001E45D0" w:rsidRDefault="001E45D0" w:rsidP="001E45D0">
      <w:pPr>
        <w:pStyle w:val="ListBullet"/>
        <w:rPr>
          <w:lang w:bidi="fa-IR"/>
        </w:rPr>
      </w:pPr>
      <w:r w:rsidRPr="00FB420E">
        <w:rPr>
          <w:lang w:bidi="fa-IR"/>
        </w:rPr>
        <w:lastRenderedPageBreak/>
        <w:t xml:space="preserve">the cost of falls-related injury would be $1.4 </w:t>
      </w:r>
      <w:r>
        <w:rPr>
          <w:lang w:bidi="fa-IR"/>
        </w:rPr>
        <w:t>b</w:t>
      </w:r>
      <w:r w:rsidRPr="00FB420E">
        <w:rPr>
          <w:lang w:bidi="fa-IR"/>
        </w:rPr>
        <w:t>illion p.a.</w:t>
      </w:r>
    </w:p>
    <w:p w14:paraId="6B2F8979" w14:textId="77777777" w:rsidR="001E45D0" w:rsidRDefault="001E45D0" w:rsidP="001E45D0">
      <w:pPr>
        <w:pStyle w:val="ListBullet"/>
        <w:rPr>
          <w:lang w:bidi="fa-IR"/>
        </w:rPr>
      </w:pPr>
      <w:r w:rsidRPr="00FB420E">
        <w:rPr>
          <w:lang w:bidi="fa-IR"/>
        </w:rPr>
        <w:t>hospitals would have 886</w:t>
      </w:r>
      <w:r w:rsidR="00CB755B">
        <w:rPr>
          <w:lang w:bidi="fa-IR"/>
        </w:rPr>
        <w:t xml:space="preserve"> </w:t>
      </w:r>
      <w:r w:rsidRPr="00FB420E">
        <w:rPr>
          <w:lang w:bidi="fa-IR"/>
        </w:rPr>
        <w:t>000 additional bed days occupied by people who had suffered from falls (or 2</w:t>
      </w:r>
      <w:r w:rsidR="00CB755B">
        <w:rPr>
          <w:lang w:bidi="fa-IR"/>
        </w:rPr>
        <w:t xml:space="preserve"> </w:t>
      </w:r>
      <w:r w:rsidRPr="00FB420E">
        <w:rPr>
          <w:lang w:bidi="fa-IR"/>
        </w:rPr>
        <w:t>500 dedicated hospital beds)</w:t>
      </w:r>
      <w:r w:rsidR="00CD1DA9">
        <w:rPr>
          <w:lang w:bidi="fa-IR"/>
        </w:rPr>
        <w:t>,</w:t>
      </w:r>
      <w:r w:rsidRPr="00FB420E">
        <w:rPr>
          <w:lang w:bidi="fa-IR"/>
        </w:rPr>
        <w:t xml:space="preserve"> and </w:t>
      </w:r>
    </w:p>
    <w:p w14:paraId="19B9D0D5" w14:textId="77777777" w:rsidR="001E45D0" w:rsidRDefault="001E45D0" w:rsidP="001E45D0">
      <w:pPr>
        <w:pStyle w:val="ListBullet"/>
        <w:rPr>
          <w:lang w:bidi="fa-IR"/>
        </w:rPr>
      </w:pPr>
      <w:r w:rsidRPr="00FB420E">
        <w:rPr>
          <w:lang w:bidi="fa-IR"/>
        </w:rPr>
        <w:t>3</w:t>
      </w:r>
      <w:r w:rsidR="00CB755B">
        <w:rPr>
          <w:lang w:bidi="fa-IR"/>
        </w:rPr>
        <w:t xml:space="preserve"> </w:t>
      </w:r>
      <w:r w:rsidRPr="00FB420E">
        <w:rPr>
          <w:lang w:bidi="fa-IR"/>
        </w:rPr>
        <w:t>320 additional residential aged care places would be required due to falls-related injuries.</w:t>
      </w:r>
    </w:p>
    <w:p w14:paraId="088D482F" w14:textId="77777777" w:rsidR="001E45D0" w:rsidRPr="00F4477B" w:rsidRDefault="001E45D0" w:rsidP="00F4477B">
      <w:pPr>
        <w:pStyle w:val="Heading3-Appendix"/>
      </w:pPr>
      <w:r w:rsidRPr="00F4477B">
        <w:t>Health care cost</w:t>
      </w:r>
    </w:p>
    <w:p w14:paraId="2F16ED85" w14:textId="77777777" w:rsidR="001E45D0" w:rsidRPr="001E45D0" w:rsidRDefault="001E45D0" w:rsidP="001E45D0">
      <w:pPr>
        <w:pStyle w:val="BodyText"/>
        <w:rPr>
          <w:rFonts w:eastAsia="SimSun"/>
          <w:lang w:eastAsia="zh-CN" w:bidi="fa-IR"/>
        </w:rPr>
      </w:pPr>
      <w:r>
        <w:rPr>
          <w:lang w:bidi="fa-IR"/>
        </w:rPr>
        <w:t>ANUHD</w:t>
      </w:r>
      <w:r w:rsidR="00E52757">
        <w:rPr>
          <w:rStyle w:val="FootnoteReference"/>
          <w:lang w:bidi="fa-IR"/>
        </w:rPr>
        <w:footnoteReference w:id="278"/>
      </w:r>
      <w:r>
        <w:rPr>
          <w:lang w:bidi="fa-IR"/>
        </w:rPr>
        <w:t xml:space="preserve"> </w:t>
      </w:r>
      <w:r w:rsidR="000664C3">
        <w:rPr>
          <w:lang w:bidi="fa-IR"/>
        </w:rPr>
        <w:t>suggest</w:t>
      </w:r>
      <w:r>
        <w:rPr>
          <w:lang w:bidi="fa-IR"/>
        </w:rPr>
        <w:t xml:space="preserve">ed that the costs of avoidable hospital stays are underestimated – transition care added on average 12 weeks of care within the health system for each person. The figure for </w:t>
      </w:r>
      <w:r w:rsidR="001E6B04">
        <w:rPr>
          <w:lang w:bidi="fa-IR"/>
        </w:rPr>
        <w:t>avoidable</w:t>
      </w:r>
      <w:r>
        <w:rPr>
          <w:lang w:bidi="fa-IR"/>
        </w:rPr>
        <w:t xml:space="preserve"> cost</w:t>
      </w:r>
      <w:r w:rsidR="001E6B04">
        <w:rPr>
          <w:lang w:bidi="fa-IR"/>
        </w:rPr>
        <w:t>s</w:t>
      </w:r>
      <w:r>
        <w:rPr>
          <w:lang w:bidi="fa-IR"/>
        </w:rPr>
        <w:t xml:space="preserve"> as a result of bed blocking in rehabilitation care wards is also likely to be underestimated because </w:t>
      </w:r>
      <w:r w:rsidR="000664C3">
        <w:rPr>
          <w:lang w:bidi="fa-IR"/>
        </w:rPr>
        <w:t>of</w:t>
      </w:r>
      <w:r>
        <w:rPr>
          <w:lang w:bidi="fa-IR"/>
        </w:rPr>
        <w:t xml:space="preserve"> a continuing trend towards patients in sub-acute beds being sicker and older than would typically have been the case in the past. It suggested </w:t>
      </w:r>
      <w:r w:rsidRPr="001E45D0">
        <w:rPr>
          <w:lang w:bidi="fa-IR"/>
        </w:rPr>
        <w:t>that people who stay in hospital longer than is clinically required tend to suffer adverse consequences such as heightened risk of infection, and loss of independence, which in turn, lead to higher rates of readmission, more accidents, increased need for greater home care etc</w:t>
      </w:r>
      <w:r>
        <w:rPr>
          <w:lang w:bidi="fa-IR"/>
        </w:rPr>
        <w:t xml:space="preserve">. </w:t>
      </w:r>
    </w:p>
    <w:p w14:paraId="1DA2D4DF" w14:textId="77777777" w:rsidR="001E45D0" w:rsidRPr="00F4477B" w:rsidRDefault="001E45D0" w:rsidP="00F4477B">
      <w:pPr>
        <w:pStyle w:val="Heading3-Appendix"/>
      </w:pPr>
      <w:r w:rsidRPr="00F4477B">
        <w:t>Care costs</w:t>
      </w:r>
    </w:p>
    <w:p w14:paraId="0ACD226B" w14:textId="77777777" w:rsidR="001E45D0" w:rsidRDefault="001E6B04" w:rsidP="001E45D0">
      <w:pPr>
        <w:pStyle w:val="BodyText"/>
        <w:rPr>
          <w:lang w:bidi="fa-IR"/>
        </w:rPr>
      </w:pPr>
      <w:r>
        <w:rPr>
          <w:lang w:bidi="fa-IR"/>
        </w:rPr>
        <w:t>S</w:t>
      </w:r>
      <w:r w:rsidR="001E45D0">
        <w:rPr>
          <w:lang w:bidi="fa-IR"/>
        </w:rPr>
        <w:t xml:space="preserve">ubmissions </w:t>
      </w:r>
      <w:r w:rsidR="000664C3">
        <w:rPr>
          <w:lang w:bidi="fa-IR"/>
        </w:rPr>
        <w:t>suggested the Consultation RIS</w:t>
      </w:r>
      <w:r w:rsidR="001E45D0">
        <w:rPr>
          <w:lang w:bidi="fa-IR"/>
        </w:rPr>
        <w:t xml:space="preserve"> understated estimates of care costs </w:t>
      </w:r>
      <w:r>
        <w:rPr>
          <w:lang w:bidi="fa-IR"/>
        </w:rPr>
        <w:t>(</w:t>
      </w:r>
      <w:r w:rsidR="001E45D0">
        <w:rPr>
          <w:lang w:bidi="fa-IR"/>
        </w:rPr>
        <w:t>as a result of inaccessibility</w:t>
      </w:r>
      <w:r>
        <w:rPr>
          <w:lang w:bidi="fa-IR"/>
        </w:rPr>
        <w:t>) in relation to the</w:t>
      </w:r>
      <w:r w:rsidR="001E45D0">
        <w:rPr>
          <w:lang w:bidi="fa-IR"/>
        </w:rPr>
        <w:t>:</w:t>
      </w:r>
    </w:p>
    <w:p w14:paraId="7AAE0735" w14:textId="77777777" w:rsidR="001E45D0" w:rsidRDefault="001E45D0" w:rsidP="001E45D0">
      <w:pPr>
        <w:pStyle w:val="ListBullet"/>
        <w:rPr>
          <w:lang w:bidi="fa-IR"/>
        </w:rPr>
      </w:pPr>
      <w:r>
        <w:rPr>
          <w:lang w:bidi="fa-IR"/>
        </w:rPr>
        <w:t xml:space="preserve">hours of care required </w:t>
      </w:r>
    </w:p>
    <w:p w14:paraId="01578022" w14:textId="77777777" w:rsidR="001E45D0" w:rsidRDefault="001E45D0" w:rsidP="001E45D0">
      <w:pPr>
        <w:pStyle w:val="ListBullet"/>
        <w:rPr>
          <w:lang w:bidi="fa-IR"/>
        </w:rPr>
      </w:pPr>
      <w:r>
        <w:rPr>
          <w:lang w:bidi="fa-IR"/>
        </w:rPr>
        <w:t>minimum wage rate</w:t>
      </w:r>
      <w:r w:rsidR="00CD1DA9">
        <w:rPr>
          <w:lang w:bidi="fa-IR"/>
        </w:rPr>
        <w:t>,</w:t>
      </w:r>
      <w:r>
        <w:rPr>
          <w:lang w:bidi="fa-IR"/>
        </w:rPr>
        <w:t xml:space="preserve"> and </w:t>
      </w:r>
    </w:p>
    <w:p w14:paraId="14DB3FD7" w14:textId="77777777" w:rsidR="001E45D0" w:rsidRPr="001D3A91" w:rsidRDefault="001E45D0" w:rsidP="001E45D0">
      <w:pPr>
        <w:pStyle w:val="ListBullet"/>
        <w:rPr>
          <w:lang w:bidi="fa-IR"/>
        </w:rPr>
      </w:pPr>
      <w:r>
        <w:rPr>
          <w:lang w:bidi="fa-IR"/>
        </w:rPr>
        <w:t>productivity and/or employment impact on informal carers</w:t>
      </w:r>
      <w:r w:rsidR="00CB755B">
        <w:rPr>
          <w:lang w:bidi="fa-IR"/>
        </w:rPr>
        <w:t>.</w:t>
      </w:r>
    </w:p>
    <w:p w14:paraId="3A2CEA62" w14:textId="77777777" w:rsidR="001E45D0" w:rsidRPr="004B79EC" w:rsidRDefault="001E45D0" w:rsidP="004B79EC">
      <w:pPr>
        <w:pStyle w:val="Heading4-Appendix"/>
      </w:pPr>
      <w:r w:rsidRPr="004B79EC">
        <w:t>Hours of care required</w:t>
      </w:r>
    </w:p>
    <w:p w14:paraId="68287752" w14:textId="77777777" w:rsidR="001E45D0" w:rsidRDefault="00922F40" w:rsidP="001E45D0">
      <w:pPr>
        <w:pStyle w:val="BodyText"/>
        <w:rPr>
          <w:lang w:bidi="fa-IR"/>
        </w:rPr>
      </w:pPr>
      <w:r>
        <w:rPr>
          <w:lang w:bidi="fa-IR"/>
        </w:rPr>
        <w:t>One</w:t>
      </w:r>
      <w:r w:rsidR="009C48FC">
        <w:rPr>
          <w:lang w:bidi="fa-IR"/>
        </w:rPr>
        <w:t xml:space="preserve"> submission</w:t>
      </w:r>
      <w:r w:rsidR="009C48FC">
        <w:rPr>
          <w:rStyle w:val="FootnoteReference"/>
          <w:lang w:bidi="fa-IR"/>
        </w:rPr>
        <w:footnoteReference w:id="279"/>
      </w:r>
      <w:r w:rsidR="001E45D0">
        <w:rPr>
          <w:lang w:bidi="fa-IR"/>
        </w:rPr>
        <w:t xml:space="preserve"> pointed out that the care cost estimates in the </w:t>
      </w:r>
      <w:r w:rsidR="00995B0F">
        <w:rPr>
          <w:lang w:bidi="fa-IR"/>
        </w:rPr>
        <w:t xml:space="preserve">Consultation </w:t>
      </w:r>
      <w:r w:rsidR="001E45D0">
        <w:rPr>
          <w:lang w:bidi="fa-IR"/>
        </w:rPr>
        <w:t>RIS w</w:t>
      </w:r>
      <w:r w:rsidR="00287441">
        <w:rPr>
          <w:lang w:bidi="fa-IR"/>
        </w:rPr>
        <w:t>ere</w:t>
      </w:r>
      <w:r w:rsidR="001E45D0">
        <w:rPr>
          <w:lang w:bidi="fa-IR"/>
        </w:rPr>
        <w:t xml:space="preserve"> understate</w:t>
      </w:r>
      <w:r w:rsidR="00287441">
        <w:rPr>
          <w:lang w:bidi="fa-IR"/>
        </w:rPr>
        <w:t>d</w:t>
      </w:r>
      <w:r w:rsidR="001E45D0">
        <w:rPr>
          <w:lang w:bidi="fa-IR"/>
        </w:rPr>
        <w:t>:</w:t>
      </w:r>
    </w:p>
    <w:p w14:paraId="7376727B" w14:textId="77777777" w:rsidR="001E45D0" w:rsidRDefault="001E45D0" w:rsidP="001E45D0">
      <w:pPr>
        <w:pStyle w:val="Quote"/>
        <w:rPr>
          <w:lang w:bidi="fa-IR"/>
        </w:rPr>
      </w:pPr>
      <w:r w:rsidRPr="006D7019">
        <w:rPr>
          <w:lang w:bidi="fa-IR"/>
        </w:rPr>
        <w:t xml:space="preserve">For appendix B, the paper cited considers older Australians who have a condition that is gradually deteriorating and the change in hours of care provided may significantly underweight the benefits of universal design for people with significant mobility issues. The cost of care and </w:t>
      </w:r>
      <w:r w:rsidRPr="006D7019">
        <w:rPr>
          <w:b/>
          <w:bCs/>
          <w:lang w:bidi="fa-IR"/>
        </w:rPr>
        <w:t>time of interventions</w:t>
      </w:r>
      <w:r w:rsidRPr="006D7019">
        <w:rPr>
          <w:lang w:bidi="fa-IR"/>
        </w:rPr>
        <w:t xml:space="preserve"> </w:t>
      </w:r>
      <w:r>
        <w:rPr>
          <w:lang w:bidi="fa-IR"/>
        </w:rPr>
        <w:t>were</w:t>
      </w:r>
      <w:r w:rsidRPr="006D7019">
        <w:rPr>
          <w:lang w:bidi="fa-IR"/>
        </w:rPr>
        <w:t xml:space="preserve"> based upon certain studies relating to individuals with vision issues. The minimum wage calculation also does not take into account penalty wages or the cost of assistance on weekends or at short notice. </w:t>
      </w:r>
    </w:p>
    <w:p w14:paraId="2212D5E4" w14:textId="77777777" w:rsidR="001E45D0" w:rsidRDefault="001E45D0" w:rsidP="001E45D0">
      <w:pPr>
        <w:pStyle w:val="Quote"/>
        <w:rPr>
          <w:lang w:bidi="fa-IR"/>
        </w:rPr>
      </w:pPr>
      <w:r w:rsidRPr="006D7019">
        <w:rPr>
          <w:lang w:bidi="fa-IR"/>
        </w:rPr>
        <w:t xml:space="preserve">This part of the paper is particularly underwhelming and needs to be heavily revised. It is quite common for showering and dressing of an individual once per day to take 2-3 hours and some NDIS packages provide for 24 hr a day care. </w:t>
      </w:r>
    </w:p>
    <w:p w14:paraId="47A45362" w14:textId="77777777" w:rsidR="001E45D0" w:rsidRDefault="001E45D0" w:rsidP="001E45D0">
      <w:pPr>
        <w:pStyle w:val="Quote"/>
        <w:rPr>
          <w:lang w:bidi="fa-IR"/>
        </w:rPr>
      </w:pPr>
      <w:r w:rsidRPr="006D7019">
        <w:rPr>
          <w:lang w:bidi="fa-IR"/>
        </w:rPr>
        <w:lastRenderedPageBreak/>
        <w:t xml:space="preserve">An assumption (without a clear basis) is made that the need for assistance for people with disability is often unrelated to housing design. This is, again, difficult to reconcile. Services provided for older Australians and Australians with disability are often related to </w:t>
      </w:r>
      <w:r w:rsidRPr="006D7019">
        <w:rPr>
          <w:b/>
          <w:bCs/>
          <w:lang w:bidi="fa-IR"/>
        </w:rPr>
        <w:t>selfcare</w:t>
      </w:r>
      <w:r w:rsidRPr="006D7019">
        <w:rPr>
          <w:lang w:bidi="fa-IR"/>
        </w:rPr>
        <w:t xml:space="preserve"> and </w:t>
      </w:r>
      <w:r w:rsidRPr="006D7019">
        <w:rPr>
          <w:b/>
          <w:bCs/>
          <w:lang w:bidi="fa-IR"/>
        </w:rPr>
        <w:t>personal care</w:t>
      </w:r>
      <w:r w:rsidRPr="006D7019">
        <w:rPr>
          <w:lang w:bidi="fa-IR"/>
        </w:rPr>
        <w:t>, which require access to either the bathroom or the kitchen. The significant waiting periods for entry into aged care highlight that many Australians need a vast array of services in the home, which may be impacted upon my housing design (cf the number of Aged Care Assessment Team reviews conducted annually).</w:t>
      </w:r>
    </w:p>
    <w:p w14:paraId="061FC25A" w14:textId="77777777" w:rsidR="001E45D0" w:rsidRPr="00103FFD" w:rsidRDefault="001E45D0" w:rsidP="001E45D0">
      <w:pPr>
        <w:pStyle w:val="BodyText"/>
        <w:rPr>
          <w:lang w:bidi="fa-IR"/>
        </w:rPr>
      </w:pPr>
      <w:r>
        <w:rPr>
          <w:lang w:bidi="fa-IR"/>
        </w:rPr>
        <w:t xml:space="preserve">The </w:t>
      </w:r>
      <w:r w:rsidR="00F56F45">
        <w:rPr>
          <w:lang w:bidi="fa-IR"/>
        </w:rPr>
        <w:t>submission</w:t>
      </w:r>
      <w:r>
        <w:rPr>
          <w:lang w:bidi="fa-IR"/>
        </w:rPr>
        <w:t xml:space="preserve"> suggested work by</w:t>
      </w:r>
      <w:r w:rsidR="00601173">
        <w:rPr>
          <w:lang w:bidi="fa-IR"/>
        </w:rPr>
        <w:t xml:space="preserve"> Professor</w:t>
      </w:r>
      <w:r>
        <w:rPr>
          <w:lang w:bidi="fa-IR"/>
        </w:rPr>
        <w:t xml:space="preserve"> Catherine Bridge </w:t>
      </w:r>
      <w:r w:rsidR="00601173">
        <w:rPr>
          <w:lang w:bidi="fa-IR"/>
        </w:rPr>
        <w:t>and other accessibility researchers might prove helpful</w:t>
      </w:r>
      <w:r>
        <w:rPr>
          <w:lang w:bidi="fa-IR"/>
        </w:rPr>
        <w:t>.</w:t>
      </w:r>
    </w:p>
    <w:p w14:paraId="0B6FB1D1" w14:textId="77777777" w:rsidR="001E45D0" w:rsidRPr="004B79EC" w:rsidRDefault="001E45D0" w:rsidP="004B79EC">
      <w:pPr>
        <w:pStyle w:val="Heading4-Appendix"/>
      </w:pPr>
      <w:r w:rsidRPr="004B79EC">
        <w:t>Minimum wage rate for informal carers is inappropriate</w:t>
      </w:r>
    </w:p>
    <w:p w14:paraId="57055E77" w14:textId="77777777" w:rsidR="001E45D0" w:rsidRDefault="001E45D0" w:rsidP="001E45D0">
      <w:pPr>
        <w:pStyle w:val="BodyText"/>
        <w:rPr>
          <w:lang w:bidi="fa-IR"/>
        </w:rPr>
      </w:pPr>
      <w:r>
        <w:rPr>
          <w:lang w:bidi="fa-IR"/>
        </w:rPr>
        <w:t>S</w:t>
      </w:r>
      <w:r w:rsidR="002B21FB">
        <w:rPr>
          <w:lang w:bidi="fa-IR"/>
        </w:rPr>
        <w:t>ome s</w:t>
      </w:r>
      <w:r>
        <w:rPr>
          <w:lang w:bidi="fa-IR"/>
        </w:rPr>
        <w:t xml:space="preserve">ubmissions questioned the use of </w:t>
      </w:r>
      <w:r w:rsidR="00CB755B">
        <w:rPr>
          <w:lang w:bidi="fa-IR"/>
        </w:rPr>
        <w:t xml:space="preserve">the </w:t>
      </w:r>
      <w:r>
        <w:rPr>
          <w:lang w:bidi="fa-IR"/>
        </w:rPr>
        <w:t xml:space="preserve">minimum wage rate in the </w:t>
      </w:r>
      <w:r w:rsidR="00995B0F">
        <w:rPr>
          <w:lang w:bidi="fa-IR"/>
        </w:rPr>
        <w:t xml:space="preserve">Consultation </w:t>
      </w:r>
      <w:r>
        <w:rPr>
          <w:lang w:bidi="fa-IR"/>
        </w:rPr>
        <w:t>RIS to estimate informal care costs</w:t>
      </w:r>
      <w:r w:rsidR="003D7E25">
        <w:rPr>
          <w:lang w:bidi="fa-IR"/>
        </w:rPr>
        <w:t>,</w:t>
      </w:r>
      <w:r>
        <w:rPr>
          <w:lang w:bidi="fa-IR"/>
        </w:rPr>
        <w:t xml:space="preserve"> </w:t>
      </w:r>
      <w:r w:rsidR="003D7E25">
        <w:rPr>
          <w:lang w:bidi="fa-IR"/>
        </w:rPr>
        <w:t>suggesting</w:t>
      </w:r>
      <w:r>
        <w:rPr>
          <w:lang w:bidi="fa-IR"/>
        </w:rPr>
        <w:t xml:space="preserve"> that the same rate of formal care or the average wage rate should be used instead.</w:t>
      </w:r>
    </w:p>
    <w:p w14:paraId="0405D646" w14:textId="77777777" w:rsidR="001E45D0" w:rsidRPr="00D74F75" w:rsidRDefault="001E45D0" w:rsidP="001E45D0">
      <w:pPr>
        <w:pStyle w:val="BodyText"/>
        <w:rPr>
          <w:lang w:bidi="fa-IR"/>
        </w:rPr>
      </w:pPr>
      <w:r>
        <w:rPr>
          <w:lang w:bidi="fa-IR"/>
        </w:rPr>
        <w:t>For example, Alexandrina Council</w:t>
      </w:r>
      <w:r w:rsidR="00795BD2">
        <w:rPr>
          <w:rStyle w:val="FootnoteReference"/>
          <w:lang w:bidi="fa-IR"/>
        </w:rPr>
        <w:footnoteReference w:id="280"/>
      </w:r>
      <w:r>
        <w:rPr>
          <w:lang w:bidi="fa-IR"/>
        </w:rPr>
        <w:t xml:space="preserve"> pointed out, ‘[t]he opportunity costs for many providers of informal assistance wo</w:t>
      </w:r>
      <w:r w:rsidR="002B21FB">
        <w:rPr>
          <w:lang w:bidi="fa-IR"/>
        </w:rPr>
        <w:t>u</w:t>
      </w:r>
      <w:r>
        <w:rPr>
          <w:lang w:bidi="fa-IR"/>
        </w:rPr>
        <w:t>ld be much higher where their time could be used in work, study or other caring responsibilities’.</w:t>
      </w:r>
    </w:p>
    <w:p w14:paraId="6EF9E324" w14:textId="77777777" w:rsidR="001E45D0" w:rsidRDefault="00F93CE0" w:rsidP="001E45D0">
      <w:pPr>
        <w:pStyle w:val="BodyText"/>
        <w:rPr>
          <w:lang w:bidi="fa-IR"/>
        </w:rPr>
      </w:pPr>
      <w:r>
        <w:rPr>
          <w:lang w:bidi="fa-IR"/>
        </w:rPr>
        <w:t>One</w:t>
      </w:r>
      <w:r w:rsidR="00795BD2">
        <w:rPr>
          <w:lang w:bidi="fa-IR"/>
        </w:rPr>
        <w:t xml:space="preserve"> submission</w:t>
      </w:r>
      <w:r w:rsidR="00795BD2">
        <w:rPr>
          <w:rStyle w:val="FootnoteReference"/>
          <w:lang w:bidi="fa-IR"/>
        </w:rPr>
        <w:footnoteReference w:id="281"/>
      </w:r>
      <w:r w:rsidR="001E45D0">
        <w:rPr>
          <w:lang w:bidi="fa-IR"/>
        </w:rPr>
        <w:t xml:space="preserve"> pointed out that t</w:t>
      </w:r>
      <w:r w:rsidR="001E45D0" w:rsidRPr="00DF3655">
        <w:rPr>
          <w:lang w:bidi="fa-IR"/>
        </w:rPr>
        <w:t>he minimum wage calculation also does not take into account penalty wages or the cost of assistance on weekends or at short notice.</w:t>
      </w:r>
      <w:r w:rsidR="001E45D0">
        <w:rPr>
          <w:lang w:bidi="fa-IR"/>
        </w:rPr>
        <w:t xml:space="preserve"> </w:t>
      </w:r>
    </w:p>
    <w:p w14:paraId="038BC043" w14:textId="77777777" w:rsidR="001E45D0" w:rsidRPr="004B79EC" w:rsidRDefault="001E45D0" w:rsidP="004B79EC">
      <w:pPr>
        <w:pStyle w:val="Heading4-Appendix"/>
      </w:pPr>
      <w:r w:rsidRPr="004B79EC">
        <w:t>Productivity and/or employment impacts of informal carers</w:t>
      </w:r>
    </w:p>
    <w:p w14:paraId="235B7846" w14:textId="77777777" w:rsidR="001E45D0" w:rsidRPr="00F170DD" w:rsidRDefault="001E45D0" w:rsidP="001E45D0">
      <w:pPr>
        <w:pStyle w:val="BodyText"/>
        <w:rPr>
          <w:lang w:bidi="fa-IR"/>
        </w:rPr>
      </w:pPr>
      <w:r>
        <w:rPr>
          <w:lang w:bidi="fa-IR"/>
        </w:rPr>
        <w:t>Some submissions</w:t>
      </w:r>
      <w:r w:rsidR="002A256F">
        <w:rPr>
          <w:lang w:bidi="fa-IR"/>
        </w:rPr>
        <w:t>,</w:t>
      </w:r>
      <w:r>
        <w:rPr>
          <w:lang w:bidi="fa-IR"/>
        </w:rPr>
        <w:t xml:space="preserve"> including </w:t>
      </w:r>
      <w:r w:rsidRPr="00F170DD">
        <w:rPr>
          <w:lang w:bidi="fa-IR"/>
        </w:rPr>
        <w:t>Building Designers Association of Australia</w:t>
      </w:r>
      <w:r w:rsidR="002A256F">
        <w:rPr>
          <w:lang w:bidi="fa-IR"/>
        </w:rPr>
        <w:t>,</w:t>
      </w:r>
      <w:r w:rsidR="00A327D7">
        <w:rPr>
          <w:rStyle w:val="FootnoteReference"/>
          <w:lang w:bidi="fa-IR"/>
        </w:rPr>
        <w:footnoteReference w:id="282"/>
      </w:r>
      <w:r>
        <w:rPr>
          <w:lang w:bidi="fa-IR"/>
        </w:rPr>
        <w:t xml:space="preserve"> </w:t>
      </w:r>
      <w:r w:rsidR="003D7E25">
        <w:rPr>
          <w:lang w:bidi="fa-IR"/>
        </w:rPr>
        <w:t>suggest</w:t>
      </w:r>
      <w:r>
        <w:rPr>
          <w:lang w:bidi="fa-IR"/>
        </w:rPr>
        <w:t>ed that t</w:t>
      </w:r>
      <w:r w:rsidRPr="00F170DD">
        <w:rPr>
          <w:lang w:bidi="fa-IR"/>
        </w:rPr>
        <w:t>he impacts on informal carers resulting from their reduced opportunity to engage in paid work</w:t>
      </w:r>
      <w:r>
        <w:rPr>
          <w:lang w:bidi="fa-IR"/>
        </w:rPr>
        <w:t xml:space="preserve"> should be included in the analysis.</w:t>
      </w:r>
    </w:p>
    <w:p w14:paraId="0721D62C" w14:textId="77777777" w:rsidR="001E45D0" w:rsidRDefault="001E45D0" w:rsidP="001E45D0">
      <w:pPr>
        <w:pStyle w:val="BodyText"/>
        <w:rPr>
          <w:lang w:bidi="fa-IR"/>
        </w:rPr>
      </w:pPr>
      <w:r>
        <w:rPr>
          <w:lang w:bidi="fa-IR"/>
        </w:rPr>
        <w:t xml:space="preserve">As explained by Carers </w:t>
      </w:r>
      <w:r w:rsidRPr="0018584C">
        <w:rPr>
          <w:lang w:bidi="fa-IR"/>
        </w:rPr>
        <w:t>WA</w:t>
      </w:r>
      <w:r w:rsidR="004E0A7E">
        <w:rPr>
          <w:rStyle w:val="FootnoteReference"/>
          <w:lang w:bidi="fa-IR"/>
        </w:rPr>
        <w:footnoteReference w:id="283"/>
      </w:r>
      <w:r w:rsidRPr="0018584C">
        <w:rPr>
          <w:lang w:bidi="fa-IR"/>
        </w:rPr>
        <w:t>,</w:t>
      </w:r>
      <w:r>
        <w:rPr>
          <w:lang w:bidi="fa-IR"/>
        </w:rPr>
        <w:t xml:space="preserve"> informal carers</w:t>
      </w:r>
      <w:r w:rsidRPr="00CD15C0">
        <w:rPr>
          <w:lang w:bidi="fa-IR"/>
        </w:rPr>
        <w:t xml:space="preserve"> may wish to participate in the workforce but are limited by the care they need to provide to a family member who does not have access to suitable housing. Carers often spend a great deal of time and effort seeking information, assessments and advice on modifications to the family home which could be saved with better availability of accessible housing.</w:t>
      </w:r>
    </w:p>
    <w:p w14:paraId="38220710" w14:textId="77777777" w:rsidR="001E45D0" w:rsidRDefault="001E45D0" w:rsidP="001E45D0">
      <w:pPr>
        <w:pStyle w:val="BodyText"/>
        <w:rPr>
          <w:lang w:bidi="fa-IR"/>
        </w:rPr>
      </w:pPr>
      <w:r>
        <w:rPr>
          <w:lang w:bidi="fa-IR"/>
        </w:rPr>
        <w:lastRenderedPageBreak/>
        <w:t>A</w:t>
      </w:r>
      <w:r w:rsidRPr="002039B4">
        <w:rPr>
          <w:lang w:bidi="fa-IR"/>
        </w:rPr>
        <w:t xml:space="preserve"> recent report by </w:t>
      </w:r>
      <w:r>
        <w:rPr>
          <w:lang w:bidi="fa-IR"/>
        </w:rPr>
        <w:t xml:space="preserve">Carers Australia and </w:t>
      </w:r>
      <w:r w:rsidRPr="002039B4">
        <w:rPr>
          <w:lang w:bidi="fa-IR"/>
        </w:rPr>
        <w:t xml:space="preserve">Deloitte </w:t>
      </w:r>
      <w:r>
        <w:rPr>
          <w:lang w:bidi="fa-IR"/>
        </w:rPr>
        <w:t>Access Economics on the value of informal care, which was mentioned in the Carers WA submission, notes that there are substantial differences in the employment outcomes for carers relative to non-car</w:t>
      </w:r>
      <w:r w:rsidR="002B4FC0">
        <w:rPr>
          <w:lang w:bidi="fa-IR"/>
        </w:rPr>
        <w:t>egiving</w:t>
      </w:r>
      <w:r>
        <w:rPr>
          <w:lang w:bidi="fa-IR"/>
        </w:rPr>
        <w:t xml:space="preserve"> Australians.</w:t>
      </w:r>
      <w:r>
        <w:rPr>
          <w:rStyle w:val="FootnoteReference"/>
          <w:lang w:bidi="fa-IR"/>
        </w:rPr>
        <w:footnoteReference w:id="284"/>
      </w:r>
    </w:p>
    <w:p w14:paraId="0C75C9AE" w14:textId="77777777" w:rsidR="001E45D0" w:rsidRPr="00F4477B" w:rsidRDefault="001E45D0" w:rsidP="00F4477B">
      <w:pPr>
        <w:pStyle w:val="Heading3-Appendix"/>
      </w:pPr>
      <w:r w:rsidRPr="00F4477B">
        <w:t>Moving home</w:t>
      </w:r>
    </w:p>
    <w:p w14:paraId="1DC6DC06" w14:textId="77777777" w:rsidR="002B4FC0" w:rsidRDefault="001E45D0" w:rsidP="001E45D0">
      <w:pPr>
        <w:pStyle w:val="BodyText"/>
        <w:rPr>
          <w:lang w:bidi="fa-IR"/>
        </w:rPr>
      </w:pPr>
      <w:r>
        <w:rPr>
          <w:lang w:bidi="fa-IR"/>
        </w:rPr>
        <w:t xml:space="preserve">Several submissions </w:t>
      </w:r>
      <w:r w:rsidR="003D7E25">
        <w:rPr>
          <w:lang w:bidi="fa-IR"/>
        </w:rPr>
        <w:t>suggest</w:t>
      </w:r>
      <w:r>
        <w:rPr>
          <w:lang w:bidi="fa-IR"/>
        </w:rPr>
        <w:t xml:space="preserve">ed that the costs associated with moving home are likely to be understated because the </w:t>
      </w:r>
      <w:r w:rsidR="00995B0F">
        <w:rPr>
          <w:lang w:bidi="fa-IR"/>
        </w:rPr>
        <w:t xml:space="preserve">Consultation </w:t>
      </w:r>
      <w:r>
        <w:rPr>
          <w:lang w:bidi="fa-IR"/>
        </w:rPr>
        <w:t xml:space="preserve">RIS only covers removalist costs. </w:t>
      </w:r>
    </w:p>
    <w:p w14:paraId="70F3946A" w14:textId="77777777" w:rsidR="001E45D0" w:rsidRDefault="001E45D0" w:rsidP="001E45D0">
      <w:pPr>
        <w:pStyle w:val="BodyText"/>
        <w:rPr>
          <w:lang w:bidi="fa-IR"/>
        </w:rPr>
      </w:pPr>
      <w:r>
        <w:rPr>
          <w:lang w:bidi="fa-IR"/>
        </w:rPr>
        <w:t>Moving</w:t>
      </w:r>
      <w:r>
        <w:rPr>
          <w:lang w:bidi="fa-IR"/>
        </w:rPr>
        <w:noBreakHyphen/>
        <w:t>related costs that have been omitted could include:</w:t>
      </w:r>
      <w:r w:rsidR="002A56A6">
        <w:rPr>
          <w:rStyle w:val="FootnoteReference"/>
        </w:rPr>
        <w:footnoteReference w:id="285"/>
      </w:r>
    </w:p>
    <w:p w14:paraId="4B91963A" w14:textId="77777777" w:rsidR="001E45D0" w:rsidRDefault="001E45D0" w:rsidP="001E45D0">
      <w:pPr>
        <w:pStyle w:val="ListBullet"/>
        <w:rPr>
          <w:lang w:bidi="fa-IR"/>
        </w:rPr>
      </w:pPr>
      <w:r>
        <w:rPr>
          <w:lang w:bidi="fa-IR"/>
        </w:rPr>
        <w:t>real estate agent fees</w:t>
      </w:r>
    </w:p>
    <w:p w14:paraId="2B3D0251" w14:textId="77777777" w:rsidR="001E45D0" w:rsidRDefault="001E45D0" w:rsidP="001E45D0">
      <w:pPr>
        <w:pStyle w:val="ListBullet"/>
        <w:rPr>
          <w:lang w:bidi="fa-IR"/>
        </w:rPr>
      </w:pPr>
      <w:r>
        <w:rPr>
          <w:lang w:bidi="fa-IR"/>
        </w:rPr>
        <w:t xml:space="preserve">stamp duties </w:t>
      </w:r>
    </w:p>
    <w:p w14:paraId="5E8EAFB2" w14:textId="77777777" w:rsidR="001E45D0" w:rsidRDefault="001E45D0" w:rsidP="001E45D0">
      <w:pPr>
        <w:pStyle w:val="ListBullet"/>
        <w:rPr>
          <w:lang w:bidi="fa-IR"/>
        </w:rPr>
      </w:pPr>
      <w:r>
        <w:rPr>
          <w:lang w:bidi="fa-IR"/>
        </w:rPr>
        <w:t>repair and cleaning obligations for renters</w:t>
      </w:r>
      <w:r w:rsidR="00CD1DA9">
        <w:rPr>
          <w:lang w:bidi="fa-IR"/>
        </w:rPr>
        <w:t>,</w:t>
      </w:r>
      <w:r>
        <w:rPr>
          <w:lang w:bidi="fa-IR"/>
        </w:rPr>
        <w:t xml:space="preserve"> and</w:t>
      </w:r>
    </w:p>
    <w:p w14:paraId="22F72A70" w14:textId="77777777" w:rsidR="001E45D0" w:rsidRDefault="001E45D0" w:rsidP="001E45D0">
      <w:pPr>
        <w:pStyle w:val="ListBullet"/>
        <w:rPr>
          <w:lang w:bidi="fa-IR"/>
        </w:rPr>
      </w:pPr>
      <w:r>
        <w:rPr>
          <w:lang w:bidi="fa-IR"/>
        </w:rPr>
        <w:t>additional search costs associated with a lack of accessible housing.</w:t>
      </w:r>
    </w:p>
    <w:p w14:paraId="7F23DE4E" w14:textId="77777777" w:rsidR="001E45D0" w:rsidRPr="00F4477B" w:rsidRDefault="001E45D0" w:rsidP="00F4477B">
      <w:pPr>
        <w:pStyle w:val="Heading3-Appendix"/>
      </w:pPr>
      <w:r w:rsidRPr="00F4477B">
        <w:t>Home modifications</w:t>
      </w:r>
    </w:p>
    <w:p w14:paraId="1E144B74" w14:textId="77777777" w:rsidR="001E45D0" w:rsidRDefault="001E45D0" w:rsidP="001E45D0">
      <w:pPr>
        <w:pStyle w:val="BodyText"/>
        <w:rPr>
          <w:lang w:bidi="fa-IR"/>
        </w:rPr>
      </w:pPr>
      <w:r>
        <w:rPr>
          <w:lang w:bidi="fa-IR"/>
        </w:rPr>
        <w:t>About 53 submissions provided additional information about the type and cost of home modifications that are made to improve the accessibility of a home (Question 13).</w:t>
      </w:r>
    </w:p>
    <w:p w14:paraId="0B9F5106" w14:textId="77777777" w:rsidR="001E45D0" w:rsidRPr="00115EA0" w:rsidRDefault="001E45D0" w:rsidP="001E45D0">
      <w:pPr>
        <w:pStyle w:val="BodyText"/>
        <w:rPr>
          <w:lang w:bidi="fa-IR"/>
        </w:rPr>
      </w:pPr>
      <w:r>
        <w:rPr>
          <w:lang w:bidi="fa-IR"/>
        </w:rPr>
        <w:t>Home Modification Information Clearing</w:t>
      </w:r>
      <w:r w:rsidR="002B4FC0">
        <w:rPr>
          <w:lang w:bidi="fa-IR"/>
        </w:rPr>
        <w:t>h</w:t>
      </w:r>
      <w:r>
        <w:rPr>
          <w:lang w:bidi="fa-IR"/>
        </w:rPr>
        <w:t>ouse</w:t>
      </w:r>
      <w:r w:rsidR="00DF3D2D">
        <w:rPr>
          <w:rStyle w:val="FootnoteReference"/>
          <w:lang w:bidi="fa-IR"/>
        </w:rPr>
        <w:footnoteReference w:id="286"/>
      </w:r>
      <w:r>
        <w:rPr>
          <w:lang w:bidi="fa-IR"/>
        </w:rPr>
        <w:t xml:space="preserve"> stressed that modifications are not universal design and cannot be assumed as a proxy for their costs. Because most of the modifications are bespoke to meeting special needs and </w:t>
      </w:r>
      <w:r w:rsidR="002B4FC0">
        <w:rPr>
          <w:lang w:bidi="fa-IR"/>
        </w:rPr>
        <w:t xml:space="preserve">are </w:t>
      </w:r>
      <w:r>
        <w:rPr>
          <w:lang w:bidi="fa-IR"/>
        </w:rPr>
        <w:t>not included in the universal design, using their costs as an indication to the size of the problem that universal design could avoid may</w:t>
      </w:r>
      <w:r w:rsidR="003D7E25">
        <w:rPr>
          <w:lang w:bidi="fa-IR"/>
        </w:rPr>
        <w:t xml:space="preserve"> </w:t>
      </w:r>
      <w:r>
        <w:rPr>
          <w:lang w:bidi="fa-IR"/>
        </w:rPr>
        <w:t>be an overstatement.</w:t>
      </w:r>
    </w:p>
    <w:p w14:paraId="79F40946" w14:textId="77777777" w:rsidR="001E45D0" w:rsidRPr="004B79EC" w:rsidRDefault="001E45D0" w:rsidP="004B79EC">
      <w:pPr>
        <w:pStyle w:val="Heading4-Appendix"/>
      </w:pPr>
      <w:r w:rsidRPr="004B79EC">
        <w:t>Features added by home modification</w:t>
      </w:r>
    </w:p>
    <w:p w14:paraId="2214C82E" w14:textId="77777777" w:rsidR="001E45D0" w:rsidRDefault="001E45D0" w:rsidP="001E45D0">
      <w:pPr>
        <w:pStyle w:val="BodyText"/>
        <w:rPr>
          <w:lang w:bidi="fa-IR"/>
        </w:rPr>
      </w:pPr>
      <w:r>
        <w:rPr>
          <w:lang w:bidi="fa-IR"/>
        </w:rPr>
        <w:t xml:space="preserve">A number of submissions </w:t>
      </w:r>
      <w:r w:rsidR="003D7E25">
        <w:rPr>
          <w:lang w:bidi="fa-IR"/>
        </w:rPr>
        <w:t xml:space="preserve">provided </w:t>
      </w:r>
      <w:r>
        <w:rPr>
          <w:lang w:bidi="fa-IR"/>
        </w:rPr>
        <w:t>suggest</w:t>
      </w:r>
      <w:r w:rsidR="003D7E25">
        <w:rPr>
          <w:lang w:bidi="fa-IR"/>
        </w:rPr>
        <w:t>ions</w:t>
      </w:r>
      <w:r>
        <w:rPr>
          <w:lang w:bidi="fa-IR"/>
        </w:rPr>
        <w:t xml:space="preserve"> on the features that people with disability often need and/or have been added to existing dwellings </w:t>
      </w:r>
      <w:r w:rsidR="002201BE">
        <w:rPr>
          <w:lang w:bidi="fa-IR"/>
        </w:rPr>
        <w:t>based on</w:t>
      </w:r>
      <w:r>
        <w:rPr>
          <w:lang w:bidi="fa-IR"/>
        </w:rPr>
        <w:t xml:space="preserve"> their personal or professional experience. These features include:</w:t>
      </w:r>
    </w:p>
    <w:p w14:paraId="12504908" w14:textId="77777777" w:rsidR="001E45D0" w:rsidRDefault="001E45D0" w:rsidP="001E45D0">
      <w:pPr>
        <w:pStyle w:val="ListBullet"/>
        <w:rPr>
          <w:lang w:bidi="fa-IR"/>
        </w:rPr>
      </w:pPr>
      <w:r>
        <w:rPr>
          <w:lang w:bidi="fa-IR"/>
        </w:rPr>
        <w:t>Adding grab rails, noggins for grab rails</w:t>
      </w:r>
    </w:p>
    <w:p w14:paraId="2D0E73DA" w14:textId="77777777" w:rsidR="001E45D0" w:rsidRDefault="001E45D0" w:rsidP="001E45D0">
      <w:pPr>
        <w:pStyle w:val="ListBullet"/>
        <w:rPr>
          <w:lang w:bidi="fa-IR"/>
        </w:rPr>
      </w:pPr>
      <w:r>
        <w:rPr>
          <w:lang w:bidi="fa-IR"/>
        </w:rPr>
        <w:t>Widening doorways, hallways and corridors</w:t>
      </w:r>
    </w:p>
    <w:p w14:paraId="1E7F31A9" w14:textId="77777777" w:rsidR="001E45D0" w:rsidRDefault="001E45D0" w:rsidP="001E45D0">
      <w:pPr>
        <w:pStyle w:val="ListBullet"/>
        <w:rPr>
          <w:lang w:bidi="fa-IR"/>
        </w:rPr>
      </w:pPr>
      <w:r>
        <w:rPr>
          <w:lang w:bidi="fa-IR"/>
        </w:rPr>
        <w:t>Converting garages to bedrooms</w:t>
      </w:r>
    </w:p>
    <w:p w14:paraId="10A0F478" w14:textId="77777777" w:rsidR="001E45D0" w:rsidRDefault="001E45D0" w:rsidP="001E45D0">
      <w:pPr>
        <w:pStyle w:val="ListBullet"/>
        <w:rPr>
          <w:lang w:bidi="fa-IR"/>
        </w:rPr>
      </w:pPr>
      <w:r>
        <w:rPr>
          <w:lang w:bidi="fa-IR"/>
        </w:rPr>
        <w:t>Modification to bathrooms</w:t>
      </w:r>
    </w:p>
    <w:p w14:paraId="09CF4B6E" w14:textId="77777777" w:rsidR="001E45D0" w:rsidRDefault="001E45D0" w:rsidP="001E45D0">
      <w:pPr>
        <w:pStyle w:val="ListBullet"/>
        <w:rPr>
          <w:lang w:bidi="fa-IR"/>
        </w:rPr>
      </w:pPr>
      <w:r>
        <w:rPr>
          <w:lang w:bidi="fa-IR"/>
        </w:rPr>
        <w:t>Adding ramps</w:t>
      </w:r>
    </w:p>
    <w:p w14:paraId="708D7866" w14:textId="77777777" w:rsidR="001E45D0" w:rsidRDefault="001E45D0" w:rsidP="001E45D0">
      <w:pPr>
        <w:pStyle w:val="ListBullet"/>
        <w:rPr>
          <w:lang w:bidi="fa-IR"/>
        </w:rPr>
      </w:pPr>
      <w:r>
        <w:rPr>
          <w:lang w:bidi="fa-IR"/>
        </w:rPr>
        <w:lastRenderedPageBreak/>
        <w:t>Level access – simultaneous pedestrian and car access and levelling flooring transitions do not only help to reduce trip hazards for those less mobile but also help robot vacuums to move between rooms which many people with disability use to remain independent</w:t>
      </w:r>
    </w:p>
    <w:p w14:paraId="7E50DF28" w14:textId="77777777" w:rsidR="001E45D0" w:rsidRDefault="001E45D0" w:rsidP="001E45D0">
      <w:pPr>
        <w:pStyle w:val="ListBullet"/>
        <w:rPr>
          <w:lang w:bidi="fa-IR"/>
        </w:rPr>
      </w:pPr>
      <w:r>
        <w:rPr>
          <w:lang w:bidi="fa-IR"/>
        </w:rPr>
        <w:t>Shade for car parking as many people with neuromuscular conditions and spinal cord injuries are sensitive to heat</w:t>
      </w:r>
    </w:p>
    <w:p w14:paraId="7F8DF657" w14:textId="77777777" w:rsidR="001E45D0" w:rsidRDefault="001E45D0" w:rsidP="001E45D0">
      <w:pPr>
        <w:pStyle w:val="ListBullet"/>
        <w:rPr>
          <w:lang w:bidi="fa-IR"/>
        </w:rPr>
      </w:pPr>
      <w:r>
        <w:rPr>
          <w:lang w:bidi="fa-IR"/>
        </w:rPr>
        <w:t>Access to clothes lines</w:t>
      </w:r>
    </w:p>
    <w:p w14:paraId="04306EB5" w14:textId="77777777" w:rsidR="001E45D0" w:rsidRDefault="0008329C" w:rsidP="0008329C">
      <w:pPr>
        <w:pStyle w:val="ListBullet"/>
        <w:rPr>
          <w:lang w:bidi="fa-IR"/>
        </w:rPr>
      </w:pPr>
      <w:r>
        <w:rPr>
          <w:lang w:bidi="fa-IR"/>
        </w:rPr>
        <w:t>Additional s</w:t>
      </w:r>
      <w:r w:rsidR="001E45D0">
        <w:rPr>
          <w:lang w:bidi="fa-IR"/>
        </w:rPr>
        <w:t xml:space="preserve">torage in a home as clear </w:t>
      </w:r>
      <w:r w:rsidR="001E45D0" w:rsidRPr="00FC75C4">
        <w:rPr>
          <w:lang w:bidi="fa-IR"/>
        </w:rPr>
        <w:t>space for circulation impacts on the amount of furniture in any room, its position and placement, additional storage is also needed for mobility equipment</w:t>
      </w:r>
    </w:p>
    <w:p w14:paraId="5113B60C" w14:textId="77777777" w:rsidR="001E45D0" w:rsidRDefault="001E45D0" w:rsidP="001E45D0">
      <w:pPr>
        <w:pStyle w:val="ListBullet"/>
        <w:rPr>
          <w:lang w:bidi="fa-IR"/>
        </w:rPr>
      </w:pPr>
      <w:r>
        <w:rPr>
          <w:lang w:bidi="fa-IR"/>
        </w:rPr>
        <w:t>Stair lifts</w:t>
      </w:r>
    </w:p>
    <w:p w14:paraId="7C3BCF36" w14:textId="77777777" w:rsidR="001E45D0" w:rsidRDefault="00D50E1A" w:rsidP="001E45D0">
      <w:pPr>
        <w:pStyle w:val="ListBullet"/>
        <w:rPr>
          <w:lang w:bidi="fa-IR"/>
        </w:rPr>
      </w:pPr>
      <w:r>
        <w:rPr>
          <w:lang w:bidi="fa-IR"/>
        </w:rPr>
        <w:t>Changing</w:t>
      </w:r>
      <w:r w:rsidR="001E45D0">
        <w:rPr>
          <w:lang w:bidi="fa-IR"/>
        </w:rPr>
        <w:t xml:space="preserve"> bench top heights, cupboard heights and appliance heights in kitchens, bathrooms and laundries</w:t>
      </w:r>
    </w:p>
    <w:p w14:paraId="1D893731" w14:textId="77777777" w:rsidR="001E45D0" w:rsidRDefault="001E45D0" w:rsidP="001E45D0">
      <w:pPr>
        <w:pStyle w:val="ListBullet"/>
        <w:rPr>
          <w:lang w:bidi="fa-IR"/>
        </w:rPr>
      </w:pPr>
      <w:r>
        <w:rPr>
          <w:lang w:bidi="fa-IR"/>
        </w:rPr>
        <w:t>Kitchen access between counters</w:t>
      </w:r>
    </w:p>
    <w:p w14:paraId="34170DEC" w14:textId="77777777" w:rsidR="001E45D0" w:rsidRDefault="001E45D0" w:rsidP="001E45D0">
      <w:pPr>
        <w:pStyle w:val="ListBullet"/>
        <w:rPr>
          <w:lang w:bidi="fa-IR"/>
        </w:rPr>
      </w:pPr>
      <w:r>
        <w:rPr>
          <w:lang w:bidi="fa-IR"/>
        </w:rPr>
        <w:t>Automated lights, doors, curtains</w:t>
      </w:r>
      <w:r w:rsidR="00CD1DA9">
        <w:rPr>
          <w:lang w:bidi="fa-IR"/>
        </w:rPr>
        <w:t>,</w:t>
      </w:r>
      <w:r>
        <w:rPr>
          <w:lang w:bidi="fa-IR"/>
        </w:rPr>
        <w:t xml:space="preserve"> and</w:t>
      </w:r>
    </w:p>
    <w:p w14:paraId="737DD645" w14:textId="77777777" w:rsidR="001E45D0" w:rsidRPr="00FC75C4" w:rsidRDefault="001E45D0" w:rsidP="001E45D0">
      <w:pPr>
        <w:pStyle w:val="ListBullet"/>
        <w:rPr>
          <w:lang w:bidi="fa-IR"/>
        </w:rPr>
      </w:pPr>
      <w:r>
        <w:rPr>
          <w:lang w:bidi="fa-IR"/>
        </w:rPr>
        <w:t>Door and cabinet handles</w:t>
      </w:r>
    </w:p>
    <w:p w14:paraId="3D921678" w14:textId="77777777" w:rsidR="001E45D0" w:rsidRPr="00C66898" w:rsidRDefault="002201BE" w:rsidP="001E45D0">
      <w:pPr>
        <w:pStyle w:val="BodyText"/>
        <w:rPr>
          <w:lang w:bidi="fa-IR"/>
        </w:rPr>
      </w:pPr>
      <w:r w:rsidRPr="00C66898">
        <w:rPr>
          <w:lang w:bidi="fa-IR"/>
        </w:rPr>
        <w:t>One</w:t>
      </w:r>
      <w:r w:rsidR="00B70DB5" w:rsidRPr="00C66898">
        <w:rPr>
          <w:lang w:bidi="fa-IR"/>
        </w:rPr>
        <w:t xml:space="preserve"> submission</w:t>
      </w:r>
      <w:r w:rsidR="001E45D0" w:rsidRPr="00C66898">
        <w:rPr>
          <w:lang w:bidi="fa-IR"/>
        </w:rPr>
        <w:t xml:space="preserve"> cited a survey of older home owners, which found around a third (34 per cent) had made modifications to their house to make it safer or easier to use, with the most common modifications being grab rails, modified bathrooms or stairs (Judd et al. 2010).</w:t>
      </w:r>
    </w:p>
    <w:p w14:paraId="2874C7BF" w14:textId="77777777" w:rsidR="001E45D0" w:rsidRDefault="001E45D0" w:rsidP="001E45D0">
      <w:pPr>
        <w:pStyle w:val="BodyText"/>
        <w:rPr>
          <w:lang w:bidi="fa-IR"/>
        </w:rPr>
      </w:pPr>
      <w:r w:rsidRPr="00C66898">
        <w:rPr>
          <w:lang w:bidi="fa-IR"/>
        </w:rPr>
        <w:t xml:space="preserve">The </w:t>
      </w:r>
      <w:r>
        <w:rPr>
          <w:lang w:bidi="fa-IR"/>
        </w:rPr>
        <w:t>Alexandrina Council</w:t>
      </w:r>
      <w:r w:rsidR="00B70DB5">
        <w:rPr>
          <w:rStyle w:val="FootnoteReference"/>
          <w:lang w:bidi="fa-IR"/>
        </w:rPr>
        <w:footnoteReference w:id="287"/>
      </w:r>
      <w:r>
        <w:rPr>
          <w:lang w:bidi="fa-IR"/>
        </w:rPr>
        <w:t xml:space="preserve"> </w:t>
      </w:r>
      <w:r w:rsidR="009814EE">
        <w:rPr>
          <w:lang w:bidi="fa-IR"/>
        </w:rPr>
        <w:t>survey also</w:t>
      </w:r>
      <w:r>
        <w:rPr>
          <w:lang w:bidi="fa-IR"/>
        </w:rPr>
        <w:t xml:space="preserve"> found that the majority of respondents felt that it would be easy to modify their home if needed (59 per cent) or reported that their home was already modified to their needs (16 per cent).</w:t>
      </w:r>
    </w:p>
    <w:p w14:paraId="231FAF2C" w14:textId="77777777" w:rsidR="001E45D0" w:rsidRDefault="002201BE" w:rsidP="001E45D0">
      <w:pPr>
        <w:pStyle w:val="BodyText"/>
        <w:rPr>
          <w:lang w:bidi="fa-IR"/>
        </w:rPr>
      </w:pPr>
      <w:r>
        <w:rPr>
          <w:lang w:bidi="fa-IR"/>
        </w:rPr>
        <w:t>One</w:t>
      </w:r>
      <w:r w:rsidR="00131D1E">
        <w:rPr>
          <w:lang w:bidi="fa-IR"/>
        </w:rPr>
        <w:t xml:space="preserve"> submission</w:t>
      </w:r>
      <w:r w:rsidR="00DE4AC4">
        <w:rPr>
          <w:rStyle w:val="FootnoteReference"/>
          <w:lang w:bidi="fa-IR"/>
        </w:rPr>
        <w:footnoteReference w:id="288"/>
      </w:r>
      <w:r w:rsidR="001E45D0">
        <w:rPr>
          <w:lang w:bidi="fa-IR"/>
        </w:rPr>
        <w:t xml:space="preserve"> noted that some of these modifications are not obvious access modifications</w:t>
      </w:r>
      <w:r>
        <w:rPr>
          <w:lang w:bidi="fa-IR"/>
        </w:rPr>
        <w:t>,</w:t>
      </w:r>
      <w:r w:rsidR="001E45D0">
        <w:rPr>
          <w:lang w:bidi="fa-IR"/>
        </w:rPr>
        <w:t xml:space="preserve"> but </w:t>
      </w:r>
      <w:r>
        <w:rPr>
          <w:lang w:bidi="fa-IR"/>
        </w:rPr>
        <w:t xml:space="preserve">that </w:t>
      </w:r>
      <w:r w:rsidR="001E45D0">
        <w:rPr>
          <w:lang w:bidi="fa-IR"/>
        </w:rPr>
        <w:t>they all play a part in daily tasks for people with disability.</w:t>
      </w:r>
    </w:p>
    <w:p w14:paraId="118FFB16" w14:textId="77777777" w:rsidR="001E45D0" w:rsidRDefault="002201BE" w:rsidP="001E45D0">
      <w:pPr>
        <w:pStyle w:val="BodyText"/>
        <w:rPr>
          <w:lang w:bidi="fa-IR"/>
        </w:rPr>
      </w:pPr>
      <w:r>
        <w:rPr>
          <w:lang w:bidi="fa-IR"/>
        </w:rPr>
        <w:t>Some submissions</w:t>
      </w:r>
      <w:r w:rsidR="001E45D0">
        <w:rPr>
          <w:lang w:bidi="fa-IR"/>
        </w:rPr>
        <w:t xml:space="preserve"> noted that some modifications are impractical. For example, as mentioned in </w:t>
      </w:r>
      <w:r w:rsidR="002A679F">
        <w:rPr>
          <w:lang w:bidi="fa-IR"/>
        </w:rPr>
        <w:t xml:space="preserve">the </w:t>
      </w:r>
      <w:r w:rsidR="001E45D0">
        <w:rPr>
          <w:lang w:bidi="fa-IR"/>
        </w:rPr>
        <w:t xml:space="preserve">submission </w:t>
      </w:r>
      <w:r w:rsidR="002A679F">
        <w:rPr>
          <w:lang w:bidi="fa-IR"/>
        </w:rPr>
        <w:t>by</w:t>
      </w:r>
      <w:r w:rsidR="001E45D0">
        <w:rPr>
          <w:lang w:bidi="fa-IR"/>
        </w:rPr>
        <w:t xml:space="preserve"> </w:t>
      </w:r>
      <w:r w:rsidR="001E45D0" w:rsidRPr="000558DA">
        <w:rPr>
          <w:lang w:bidi="fa-IR"/>
        </w:rPr>
        <w:t>Andrew Ferris Drafting and Design</w:t>
      </w:r>
      <w:r w:rsidR="002A679F">
        <w:rPr>
          <w:rStyle w:val="FootnoteReference"/>
          <w:lang w:bidi="fa-IR"/>
        </w:rPr>
        <w:footnoteReference w:id="289"/>
      </w:r>
      <w:r w:rsidR="001E45D0">
        <w:rPr>
          <w:lang w:bidi="fa-IR"/>
        </w:rPr>
        <w:t>, a bathroom upgrade involving removing a corner shower was impractical in itself.</w:t>
      </w:r>
    </w:p>
    <w:p w14:paraId="5BA03523" w14:textId="77777777" w:rsidR="001E45D0" w:rsidRPr="004B79EC" w:rsidRDefault="001E45D0" w:rsidP="004B79EC">
      <w:pPr>
        <w:pStyle w:val="Heading4-Appendix"/>
      </w:pPr>
      <w:r w:rsidRPr="004B79EC">
        <w:lastRenderedPageBreak/>
        <w:t>Home modification costs</w:t>
      </w:r>
    </w:p>
    <w:p w14:paraId="2C2357C2" w14:textId="77777777" w:rsidR="001E45D0" w:rsidRPr="00745DA9" w:rsidRDefault="001E45D0" w:rsidP="001E45D0">
      <w:pPr>
        <w:pStyle w:val="BodyText"/>
        <w:rPr>
          <w:lang w:bidi="fa-IR"/>
        </w:rPr>
      </w:pPr>
      <w:r>
        <w:rPr>
          <w:lang w:bidi="fa-IR"/>
        </w:rPr>
        <w:t>The community survey conducted by Alexandrina Council</w:t>
      </w:r>
      <w:r w:rsidR="00217AAC">
        <w:rPr>
          <w:rStyle w:val="FootnoteReference"/>
          <w:lang w:bidi="fa-IR"/>
        </w:rPr>
        <w:footnoteReference w:id="290"/>
      </w:r>
      <w:r>
        <w:rPr>
          <w:lang w:bidi="fa-IR"/>
        </w:rPr>
        <w:t xml:space="preserve"> in 2016 found that 16 per cent of respondents felt that it would not be easy to modify their home if needed, and the most common reason cited was the need for major/high cost home renovation. </w:t>
      </w:r>
    </w:p>
    <w:p w14:paraId="62EA715C" w14:textId="77777777" w:rsidR="001E45D0" w:rsidRDefault="001E45D0" w:rsidP="001E45D0">
      <w:pPr>
        <w:pStyle w:val="BodyText"/>
        <w:rPr>
          <w:lang w:bidi="fa-IR"/>
        </w:rPr>
      </w:pPr>
      <w:r>
        <w:rPr>
          <w:lang w:bidi="fa-IR"/>
        </w:rPr>
        <w:t xml:space="preserve">Some submissions suggested that the modification costs would be substantial or significant. </w:t>
      </w:r>
      <w:r w:rsidR="00440A06">
        <w:rPr>
          <w:lang w:bidi="fa-IR"/>
        </w:rPr>
        <w:t>In contrast</w:t>
      </w:r>
      <w:r>
        <w:rPr>
          <w:lang w:bidi="fa-IR"/>
        </w:rPr>
        <w:t>, a couple of submissions suggested that the modification costs would be compara</w:t>
      </w:r>
      <w:r w:rsidR="007841AC">
        <w:rPr>
          <w:lang w:bidi="fa-IR"/>
        </w:rPr>
        <w:t>ble</w:t>
      </w:r>
      <w:r>
        <w:rPr>
          <w:lang w:bidi="fa-IR"/>
        </w:rPr>
        <w:t xml:space="preserve"> to good quality alterations.</w:t>
      </w:r>
      <w:r w:rsidR="005C00F7">
        <w:rPr>
          <w:rStyle w:val="FootnoteReference"/>
          <w:lang w:bidi="fa-IR"/>
        </w:rPr>
        <w:footnoteReference w:id="291"/>
      </w:r>
    </w:p>
    <w:p w14:paraId="570BC5FD" w14:textId="77777777" w:rsidR="001E45D0" w:rsidRPr="00C05F29" w:rsidRDefault="001E45D0" w:rsidP="001E45D0">
      <w:pPr>
        <w:pStyle w:val="BodyText"/>
        <w:rPr>
          <w:lang w:bidi="fa-IR"/>
        </w:rPr>
      </w:pPr>
      <w:r>
        <w:rPr>
          <w:lang w:bidi="fa-IR"/>
        </w:rPr>
        <w:t>Home Modification Information Clearing</w:t>
      </w:r>
      <w:r w:rsidR="003C61E5">
        <w:rPr>
          <w:lang w:bidi="fa-IR"/>
        </w:rPr>
        <w:t>h</w:t>
      </w:r>
      <w:r>
        <w:rPr>
          <w:lang w:bidi="fa-IR"/>
        </w:rPr>
        <w:t>ouse</w:t>
      </w:r>
      <w:r w:rsidR="00B91CD4">
        <w:rPr>
          <w:rStyle w:val="FootnoteReference"/>
          <w:lang w:bidi="fa-IR"/>
        </w:rPr>
        <w:footnoteReference w:id="292"/>
      </w:r>
      <w:r>
        <w:rPr>
          <w:lang w:bidi="fa-IR"/>
        </w:rPr>
        <w:t xml:space="preserve"> noted that the five most common modifications are under $1</w:t>
      </w:r>
      <w:r w:rsidR="003C61E5">
        <w:rPr>
          <w:lang w:bidi="fa-IR"/>
        </w:rPr>
        <w:t xml:space="preserve"> </w:t>
      </w:r>
      <w:r>
        <w:rPr>
          <w:lang w:bidi="fa-IR"/>
        </w:rPr>
        <w:t xml:space="preserve">000 and can be done without the need for licensed tradesmen i.e. installation of grabrails and handrails. However, it also noted that most existing Australian housing cannot be modified to comply with the </w:t>
      </w:r>
      <w:r w:rsidR="003D7E25">
        <w:rPr>
          <w:lang w:bidi="fa-IR"/>
        </w:rPr>
        <w:t xml:space="preserve">LHDG </w:t>
      </w:r>
      <w:r>
        <w:rPr>
          <w:lang w:bidi="fa-IR"/>
        </w:rPr>
        <w:t>Silver</w:t>
      </w:r>
      <w:r w:rsidR="003D7E25">
        <w:rPr>
          <w:lang w:bidi="fa-IR"/>
        </w:rPr>
        <w:t xml:space="preserve"> level</w:t>
      </w:r>
      <w:r w:rsidR="003D7E25">
        <w:rPr>
          <w:rStyle w:val="FootnoteReference"/>
          <w:lang w:bidi="fa-IR"/>
        </w:rPr>
        <w:t xml:space="preserve"> </w:t>
      </w:r>
      <w:r>
        <w:rPr>
          <w:rStyle w:val="FootnoteReference"/>
          <w:lang w:bidi="fa-IR"/>
        </w:rPr>
        <w:footnoteReference w:id="293"/>
      </w:r>
      <w:r>
        <w:rPr>
          <w:lang w:bidi="fa-IR"/>
        </w:rPr>
        <w:t xml:space="preserve"> which means that substantial costs could be incurred in retrofitting modifications to kitchens and laundries but mostly these can be done using modular furnishing for approximately $20</w:t>
      </w:r>
      <w:r w:rsidR="003C61E5">
        <w:rPr>
          <w:lang w:bidi="fa-IR"/>
        </w:rPr>
        <w:t xml:space="preserve"> </w:t>
      </w:r>
      <w:r>
        <w:rPr>
          <w:lang w:bidi="fa-IR"/>
        </w:rPr>
        <w:t>000 to $40</w:t>
      </w:r>
      <w:r w:rsidR="003C61E5">
        <w:rPr>
          <w:lang w:bidi="fa-IR"/>
        </w:rPr>
        <w:t xml:space="preserve"> </w:t>
      </w:r>
      <w:r>
        <w:rPr>
          <w:lang w:bidi="fa-IR"/>
        </w:rPr>
        <w:t>000 if required.</w:t>
      </w:r>
    </w:p>
    <w:p w14:paraId="79B76681" w14:textId="77777777" w:rsidR="001E45D0" w:rsidRPr="007A7F32" w:rsidRDefault="001E45D0" w:rsidP="001E45D0">
      <w:pPr>
        <w:pStyle w:val="BodyText"/>
        <w:rPr>
          <w:lang w:bidi="fa-IR"/>
        </w:rPr>
      </w:pPr>
      <w:r>
        <w:rPr>
          <w:lang w:bidi="fa-IR"/>
        </w:rPr>
        <w:t>Some submissions referred to the Victorian Government RIS on visitable and adaptable features in housing,</w:t>
      </w:r>
      <w:r>
        <w:rPr>
          <w:rStyle w:val="FootnoteReference"/>
          <w:lang w:bidi="fa-IR"/>
        </w:rPr>
        <w:footnoteReference w:id="294"/>
      </w:r>
      <w:r>
        <w:rPr>
          <w:lang w:bidi="fa-IR"/>
        </w:rPr>
        <w:t xml:space="preserve"> stating that modification costs 14 to 20 times more than building them at the beginning.</w:t>
      </w:r>
    </w:p>
    <w:p w14:paraId="0BE45CC6" w14:textId="77777777" w:rsidR="001E45D0" w:rsidRDefault="001E45D0" w:rsidP="001E45D0">
      <w:pPr>
        <w:pStyle w:val="BodyText"/>
        <w:rPr>
          <w:lang w:bidi="fa-IR"/>
        </w:rPr>
      </w:pPr>
      <w:r>
        <w:rPr>
          <w:lang w:bidi="fa-IR"/>
        </w:rPr>
        <w:t>Many home modifications have been done through government programs.</w:t>
      </w:r>
    </w:p>
    <w:p w14:paraId="52C7DFC9" w14:textId="77777777" w:rsidR="001E45D0" w:rsidRDefault="001E45D0" w:rsidP="001E45D0">
      <w:pPr>
        <w:pStyle w:val="BodyText"/>
        <w:rPr>
          <w:lang w:bidi="fa-IR"/>
        </w:rPr>
      </w:pPr>
      <w:r>
        <w:rPr>
          <w:lang w:bidi="fa-IR"/>
        </w:rPr>
        <w:t xml:space="preserve">WA </w:t>
      </w:r>
      <w:r w:rsidRPr="002F3EE9">
        <w:rPr>
          <w:lang w:bidi="fa-IR"/>
        </w:rPr>
        <w:t>Department of Communities Housing Advisory Unit</w:t>
      </w:r>
      <w:r w:rsidR="000E7039">
        <w:rPr>
          <w:rStyle w:val="FootnoteReference"/>
          <w:lang w:bidi="fa-IR"/>
        </w:rPr>
        <w:footnoteReference w:id="295"/>
      </w:r>
      <w:r w:rsidRPr="002F3EE9">
        <w:rPr>
          <w:lang w:bidi="fa-IR"/>
        </w:rPr>
        <w:t xml:space="preserve"> </w:t>
      </w:r>
      <w:r>
        <w:rPr>
          <w:lang w:bidi="fa-IR"/>
        </w:rPr>
        <w:t xml:space="preserve">advised that available data on </w:t>
      </w:r>
      <w:r w:rsidRPr="002F3EE9">
        <w:rPr>
          <w:lang w:bidi="fa-IR"/>
        </w:rPr>
        <w:t>home modification expenditure for eligible people with disability (those people with substantially reduced functional capacity) shows many are related to inaccessible housing</w:t>
      </w:r>
      <w:r>
        <w:rPr>
          <w:lang w:bidi="fa-IR"/>
        </w:rPr>
        <w:t>:</w:t>
      </w:r>
    </w:p>
    <w:p w14:paraId="58E10346" w14:textId="77777777" w:rsidR="001E45D0" w:rsidRDefault="001E45D0" w:rsidP="001E45D0">
      <w:pPr>
        <w:pStyle w:val="ListBullet"/>
        <w:rPr>
          <w:lang w:bidi="fa-IR"/>
        </w:rPr>
      </w:pPr>
      <w:r w:rsidRPr="002F3EE9">
        <w:rPr>
          <w:lang w:bidi="fa-IR"/>
        </w:rPr>
        <w:t>$2</w:t>
      </w:r>
      <w:r w:rsidR="003C61E5">
        <w:rPr>
          <w:lang w:bidi="fa-IR"/>
        </w:rPr>
        <w:t xml:space="preserve"> </w:t>
      </w:r>
      <w:r>
        <w:rPr>
          <w:lang w:bidi="fa-IR"/>
        </w:rPr>
        <w:t>000</w:t>
      </w:r>
      <w:r w:rsidR="005F06E3">
        <w:rPr>
          <w:lang w:bidi="fa-IR"/>
        </w:rPr>
        <w:t xml:space="preserve"> to </w:t>
      </w:r>
      <w:r>
        <w:rPr>
          <w:lang w:bidi="fa-IR"/>
        </w:rPr>
        <w:t>$</w:t>
      </w:r>
      <w:r w:rsidRPr="002F3EE9">
        <w:rPr>
          <w:lang w:bidi="fa-IR"/>
        </w:rPr>
        <w:t>5</w:t>
      </w:r>
      <w:r w:rsidR="003C61E5">
        <w:rPr>
          <w:lang w:bidi="fa-IR"/>
        </w:rPr>
        <w:t xml:space="preserve"> </w:t>
      </w:r>
      <w:r>
        <w:rPr>
          <w:lang w:bidi="fa-IR"/>
        </w:rPr>
        <w:t>000</w:t>
      </w:r>
      <w:r w:rsidRPr="002F3EE9">
        <w:rPr>
          <w:lang w:bidi="fa-IR"/>
        </w:rPr>
        <w:t xml:space="preserve"> for shower hob removal</w:t>
      </w:r>
      <w:r w:rsidR="00CD1DA9">
        <w:rPr>
          <w:lang w:bidi="fa-IR"/>
        </w:rPr>
        <w:t>,</w:t>
      </w:r>
      <w:r w:rsidRPr="002F3EE9">
        <w:rPr>
          <w:lang w:bidi="fa-IR"/>
        </w:rPr>
        <w:t xml:space="preserve"> </w:t>
      </w:r>
      <w:r>
        <w:rPr>
          <w:lang w:bidi="fa-IR"/>
        </w:rPr>
        <w:t xml:space="preserve">and </w:t>
      </w:r>
    </w:p>
    <w:p w14:paraId="4B478BCA" w14:textId="77777777" w:rsidR="001E45D0" w:rsidRDefault="001E45D0" w:rsidP="001E45D0">
      <w:pPr>
        <w:pStyle w:val="ListBullet"/>
        <w:rPr>
          <w:lang w:bidi="fa-IR"/>
        </w:rPr>
      </w:pPr>
      <w:r w:rsidRPr="002F3EE9">
        <w:rPr>
          <w:lang w:bidi="fa-IR"/>
        </w:rPr>
        <w:t>$15</w:t>
      </w:r>
      <w:r w:rsidR="003C61E5">
        <w:rPr>
          <w:lang w:bidi="fa-IR"/>
        </w:rPr>
        <w:t xml:space="preserve"> </w:t>
      </w:r>
      <w:r>
        <w:rPr>
          <w:lang w:bidi="fa-IR"/>
        </w:rPr>
        <w:t>000</w:t>
      </w:r>
      <w:r w:rsidR="005F06E3">
        <w:rPr>
          <w:lang w:bidi="fa-IR"/>
        </w:rPr>
        <w:t xml:space="preserve"> to </w:t>
      </w:r>
      <w:r>
        <w:rPr>
          <w:lang w:bidi="fa-IR"/>
        </w:rPr>
        <w:t>$</w:t>
      </w:r>
      <w:r w:rsidRPr="002F3EE9">
        <w:rPr>
          <w:lang w:bidi="fa-IR"/>
        </w:rPr>
        <w:t>20</w:t>
      </w:r>
      <w:r w:rsidR="003C61E5">
        <w:rPr>
          <w:lang w:bidi="fa-IR"/>
        </w:rPr>
        <w:t xml:space="preserve"> </w:t>
      </w:r>
      <w:r>
        <w:rPr>
          <w:lang w:bidi="fa-IR"/>
        </w:rPr>
        <w:t>000</w:t>
      </w:r>
      <w:r w:rsidRPr="002F3EE9">
        <w:rPr>
          <w:lang w:bidi="fa-IR"/>
        </w:rPr>
        <w:t xml:space="preserve"> per room (for laundry, bathroom, bedroom, kitchen modifications to LHDG Silver level)</w:t>
      </w:r>
      <w:r>
        <w:rPr>
          <w:lang w:bidi="fa-IR"/>
        </w:rPr>
        <w:t>.</w:t>
      </w:r>
    </w:p>
    <w:p w14:paraId="12CAABC9" w14:textId="77777777" w:rsidR="001E45D0" w:rsidRDefault="00727360" w:rsidP="001E45D0">
      <w:pPr>
        <w:pStyle w:val="BodyText"/>
        <w:rPr>
          <w:lang w:bidi="fa-IR"/>
        </w:rPr>
      </w:pPr>
      <w:r>
        <w:rPr>
          <w:lang w:bidi="fa-IR"/>
        </w:rPr>
        <w:t>According to ANUHD</w:t>
      </w:r>
      <w:r>
        <w:rPr>
          <w:rStyle w:val="FootnoteReference"/>
          <w:lang w:bidi="fa-IR"/>
        </w:rPr>
        <w:footnoteReference w:id="296"/>
      </w:r>
      <w:r>
        <w:rPr>
          <w:lang w:bidi="fa-IR"/>
        </w:rPr>
        <w:t>, it</w:t>
      </w:r>
      <w:r w:rsidR="001E45D0">
        <w:rPr>
          <w:lang w:bidi="fa-IR"/>
        </w:rPr>
        <w:t xml:space="preserve"> costs about $30</w:t>
      </w:r>
      <w:r w:rsidR="003C61E5">
        <w:rPr>
          <w:lang w:bidi="fa-IR"/>
        </w:rPr>
        <w:t xml:space="preserve"> </w:t>
      </w:r>
      <w:r w:rsidR="001E45D0">
        <w:rPr>
          <w:lang w:bidi="fa-IR"/>
        </w:rPr>
        <w:t xml:space="preserve">000 for </w:t>
      </w:r>
      <w:r w:rsidR="00526A47">
        <w:rPr>
          <w:lang w:bidi="fa-IR"/>
        </w:rPr>
        <w:t xml:space="preserve">the </w:t>
      </w:r>
      <w:r w:rsidR="001E45D0">
        <w:rPr>
          <w:lang w:bidi="fa-IR"/>
        </w:rPr>
        <w:t xml:space="preserve">NDIS </w:t>
      </w:r>
      <w:r w:rsidR="00526A47">
        <w:rPr>
          <w:lang w:bidi="fa-IR"/>
        </w:rPr>
        <w:t>funded</w:t>
      </w:r>
      <w:r w:rsidR="001E45D0">
        <w:rPr>
          <w:lang w:bidi="fa-IR"/>
        </w:rPr>
        <w:t xml:space="preserve"> retrofi</w:t>
      </w:r>
      <w:r w:rsidR="00526A47">
        <w:rPr>
          <w:lang w:bidi="fa-IR"/>
        </w:rPr>
        <w:t>t</w:t>
      </w:r>
      <w:r w:rsidR="001E45D0">
        <w:rPr>
          <w:lang w:bidi="fa-IR"/>
        </w:rPr>
        <w:t>t</w:t>
      </w:r>
      <w:r w:rsidR="00526A47">
        <w:rPr>
          <w:lang w:bidi="fa-IR"/>
        </w:rPr>
        <w:t>ing of</w:t>
      </w:r>
      <w:r w:rsidR="001E45D0">
        <w:rPr>
          <w:lang w:bidi="fa-IR"/>
        </w:rPr>
        <w:t xml:space="preserve"> the following features:</w:t>
      </w:r>
    </w:p>
    <w:p w14:paraId="042D0AFA" w14:textId="77777777" w:rsidR="001E45D0" w:rsidRDefault="001E45D0" w:rsidP="001E45D0">
      <w:pPr>
        <w:pStyle w:val="ListBullet"/>
        <w:rPr>
          <w:lang w:bidi="fa-IR"/>
        </w:rPr>
      </w:pPr>
      <w:r>
        <w:rPr>
          <w:lang w:bidi="fa-IR"/>
        </w:rPr>
        <w:t>provision of step-free showers</w:t>
      </w:r>
    </w:p>
    <w:p w14:paraId="4F0ABAD6" w14:textId="77777777" w:rsidR="001E45D0" w:rsidRDefault="001E45D0" w:rsidP="001E45D0">
      <w:pPr>
        <w:pStyle w:val="ListBullet"/>
        <w:rPr>
          <w:lang w:bidi="fa-IR"/>
        </w:rPr>
      </w:pPr>
      <w:r>
        <w:rPr>
          <w:lang w:bidi="fa-IR"/>
        </w:rPr>
        <w:lastRenderedPageBreak/>
        <w:t>wider access doors</w:t>
      </w:r>
      <w:r w:rsidR="00CD1DA9">
        <w:rPr>
          <w:lang w:bidi="fa-IR"/>
        </w:rPr>
        <w:t>,</w:t>
      </w:r>
      <w:r>
        <w:rPr>
          <w:lang w:bidi="fa-IR"/>
        </w:rPr>
        <w:t xml:space="preserve"> and</w:t>
      </w:r>
    </w:p>
    <w:p w14:paraId="69AE8F69" w14:textId="77777777" w:rsidR="001E45D0" w:rsidRDefault="001E45D0" w:rsidP="001E45D0">
      <w:pPr>
        <w:pStyle w:val="ListBullet"/>
        <w:rPr>
          <w:lang w:bidi="fa-IR"/>
        </w:rPr>
      </w:pPr>
      <w:r>
        <w:rPr>
          <w:lang w:bidi="fa-IR"/>
        </w:rPr>
        <w:t>reinforcement of walls to support grab rails.</w:t>
      </w:r>
    </w:p>
    <w:p w14:paraId="68C0B005" w14:textId="77777777" w:rsidR="00C70BA2" w:rsidRDefault="003D7E25" w:rsidP="001E45D0">
      <w:pPr>
        <w:pStyle w:val="BodyText"/>
        <w:rPr>
          <w:lang w:bidi="fa-IR"/>
        </w:rPr>
      </w:pPr>
      <w:r>
        <w:rPr>
          <w:lang w:bidi="fa-IR"/>
        </w:rPr>
        <w:t>The s</w:t>
      </w:r>
      <w:r w:rsidR="00532456">
        <w:rPr>
          <w:lang w:bidi="fa-IR"/>
        </w:rPr>
        <w:t>ubmission by the ACT Disability, Aged and Carer Advocacy Service (ADACAS)</w:t>
      </w:r>
      <w:r w:rsidR="00532456">
        <w:rPr>
          <w:rStyle w:val="FootnoteReference"/>
          <w:lang w:bidi="fa-IR"/>
        </w:rPr>
        <w:footnoteReference w:id="297"/>
      </w:r>
      <w:r w:rsidR="00532456">
        <w:rPr>
          <w:lang w:bidi="fa-IR"/>
        </w:rPr>
        <w:t xml:space="preserve"> noted that </w:t>
      </w:r>
      <w:r w:rsidR="001E45D0">
        <w:rPr>
          <w:lang w:bidi="fa-IR"/>
        </w:rPr>
        <w:t>Home and Community Care (</w:t>
      </w:r>
      <w:r w:rsidR="001E45D0" w:rsidRPr="00C05F29">
        <w:rPr>
          <w:lang w:bidi="fa-IR"/>
        </w:rPr>
        <w:t>HACC</w:t>
      </w:r>
      <w:r w:rsidR="001E45D0">
        <w:rPr>
          <w:lang w:bidi="fa-IR"/>
        </w:rPr>
        <w:t>) allocated</w:t>
      </w:r>
      <w:r w:rsidR="001E45D0" w:rsidRPr="00C05F29">
        <w:rPr>
          <w:lang w:bidi="fa-IR"/>
        </w:rPr>
        <w:t xml:space="preserve"> approximately 75</w:t>
      </w:r>
      <w:r w:rsidR="001E45D0">
        <w:rPr>
          <w:lang w:bidi="fa-IR"/>
        </w:rPr>
        <w:t xml:space="preserve"> per cent</w:t>
      </w:r>
      <w:r w:rsidR="001E45D0" w:rsidRPr="00C05F29">
        <w:rPr>
          <w:lang w:bidi="fa-IR"/>
        </w:rPr>
        <w:t xml:space="preserve"> of funds </w:t>
      </w:r>
      <w:r w:rsidR="004D6B33">
        <w:rPr>
          <w:lang w:bidi="fa-IR"/>
        </w:rPr>
        <w:t>to</w:t>
      </w:r>
      <w:r w:rsidR="001E45D0" w:rsidRPr="00C05F29">
        <w:rPr>
          <w:lang w:bidi="fa-IR"/>
        </w:rPr>
        <w:t xml:space="preserve"> services for older people, and the remainder on people with disability under the age of 65 in NSW</w:t>
      </w:r>
      <w:r w:rsidR="001E45D0">
        <w:rPr>
          <w:lang w:bidi="fa-IR"/>
        </w:rPr>
        <w:t xml:space="preserve"> between 2000 and 2011.</w:t>
      </w:r>
    </w:p>
    <w:p w14:paraId="432D99D7" w14:textId="77777777" w:rsidR="001E45D0" w:rsidRDefault="001E45D0" w:rsidP="001E45D0">
      <w:pPr>
        <w:pStyle w:val="BodyText"/>
        <w:rPr>
          <w:lang w:bidi="fa-IR"/>
        </w:rPr>
      </w:pPr>
      <w:r>
        <w:rPr>
          <w:lang w:bidi="fa-IR"/>
        </w:rPr>
        <w:t>T</w:t>
      </w:r>
      <w:r w:rsidRPr="00C05F29">
        <w:rPr>
          <w:lang w:bidi="fa-IR"/>
        </w:rPr>
        <w:t xml:space="preserve">here were three tiers of funding for home modifications, allocated to providers and allocated on priority. Level 2 modifications were above </w:t>
      </w:r>
      <w:r w:rsidR="004D6B33" w:rsidRPr="00C05F29">
        <w:rPr>
          <w:lang w:bidi="fa-IR"/>
        </w:rPr>
        <w:t>$10</w:t>
      </w:r>
      <w:r w:rsidR="004D6B33">
        <w:rPr>
          <w:lang w:bidi="fa-IR"/>
        </w:rPr>
        <w:t xml:space="preserve"> </w:t>
      </w:r>
      <w:r w:rsidR="004D6B33" w:rsidRPr="00C05F29">
        <w:rPr>
          <w:lang w:bidi="fa-IR"/>
        </w:rPr>
        <w:t>000,</w:t>
      </w:r>
      <w:r w:rsidRPr="00C05F29">
        <w:rPr>
          <w:lang w:bidi="fa-IR"/>
        </w:rPr>
        <w:t xml:space="preserve"> and Level 3 were above $25</w:t>
      </w:r>
      <w:r w:rsidR="004D6B33">
        <w:rPr>
          <w:lang w:bidi="fa-IR"/>
        </w:rPr>
        <w:t xml:space="preserve"> </w:t>
      </w:r>
      <w:r w:rsidRPr="00C05F29">
        <w:rPr>
          <w:lang w:bidi="fa-IR"/>
        </w:rPr>
        <w:t xml:space="preserve">000. </w:t>
      </w:r>
      <w:r>
        <w:rPr>
          <w:lang w:bidi="fa-IR"/>
        </w:rPr>
        <w:t>I</w:t>
      </w:r>
      <w:r w:rsidRPr="00C05F29">
        <w:rPr>
          <w:lang w:bidi="fa-IR"/>
        </w:rPr>
        <w:t>n 2009-2010 in NSW there were 260 home modifications jobs done under Level 2, at an average cost (then) of $16</w:t>
      </w:r>
      <w:r w:rsidR="004D6B33">
        <w:rPr>
          <w:lang w:bidi="fa-IR"/>
        </w:rPr>
        <w:t xml:space="preserve"> </w:t>
      </w:r>
      <w:r w:rsidRPr="00C05F29">
        <w:rPr>
          <w:lang w:bidi="fa-IR"/>
        </w:rPr>
        <w:t xml:space="preserve">013, and 50 jobs completed under Level 3, at an average </w:t>
      </w:r>
      <w:r w:rsidR="00C70BA2">
        <w:rPr>
          <w:lang w:bidi="fa-IR"/>
        </w:rPr>
        <w:t xml:space="preserve">cost </w:t>
      </w:r>
      <w:r w:rsidRPr="00C05F29">
        <w:rPr>
          <w:lang w:bidi="fa-IR"/>
        </w:rPr>
        <w:t>of $36</w:t>
      </w:r>
      <w:r w:rsidR="004D6B33">
        <w:rPr>
          <w:lang w:bidi="fa-IR"/>
        </w:rPr>
        <w:t xml:space="preserve"> </w:t>
      </w:r>
      <w:r w:rsidRPr="00C05F29">
        <w:rPr>
          <w:lang w:bidi="fa-IR"/>
        </w:rPr>
        <w:t>045.</w:t>
      </w:r>
    </w:p>
    <w:p w14:paraId="4773A7C5" w14:textId="77777777" w:rsidR="001E45D0" w:rsidRDefault="001E45D0" w:rsidP="001E45D0">
      <w:pPr>
        <w:pStyle w:val="BodyText"/>
        <w:rPr>
          <w:lang w:bidi="fa-IR"/>
        </w:rPr>
      </w:pPr>
      <w:r>
        <w:rPr>
          <w:lang w:bidi="fa-IR"/>
        </w:rPr>
        <w:t>Some other submissions provided more specific estimates of costs of home modification to achieve accessibility. For example,</w:t>
      </w:r>
    </w:p>
    <w:p w14:paraId="3AF8022A" w14:textId="77777777" w:rsidR="001E45D0" w:rsidRDefault="001E45D0" w:rsidP="001E45D0">
      <w:pPr>
        <w:pStyle w:val="ListBullet"/>
        <w:rPr>
          <w:lang w:bidi="fa-IR"/>
        </w:rPr>
      </w:pPr>
      <w:r>
        <w:rPr>
          <w:lang w:bidi="fa-IR"/>
        </w:rPr>
        <w:t xml:space="preserve">An accessible toilet costs 3 times that </w:t>
      </w:r>
      <w:r w:rsidR="00287441">
        <w:rPr>
          <w:lang w:bidi="fa-IR"/>
        </w:rPr>
        <w:t xml:space="preserve">of </w:t>
      </w:r>
      <w:r>
        <w:rPr>
          <w:lang w:bidi="fa-IR"/>
        </w:rPr>
        <w:t>a normal toile</w:t>
      </w:r>
      <w:r w:rsidR="00287441">
        <w:rPr>
          <w:lang w:bidi="fa-IR"/>
        </w:rPr>
        <w:t>t</w:t>
      </w:r>
      <w:r w:rsidR="00C631A2">
        <w:rPr>
          <w:lang w:bidi="fa-IR"/>
        </w:rPr>
        <w:t>.</w:t>
      </w:r>
      <w:r w:rsidR="00CD2B8A">
        <w:rPr>
          <w:lang w:bidi="fa-IR"/>
        </w:rPr>
        <w:t xml:space="preserve"> </w:t>
      </w:r>
      <w:r w:rsidR="00D665FD">
        <w:rPr>
          <w:rStyle w:val="FootnoteReference"/>
          <w:lang w:bidi="fa-IR"/>
        </w:rPr>
        <w:footnoteReference w:id="298"/>
      </w:r>
    </w:p>
    <w:p w14:paraId="5777D7AE" w14:textId="77777777" w:rsidR="001E45D0" w:rsidRDefault="001E45D0" w:rsidP="001E45D0">
      <w:pPr>
        <w:pStyle w:val="ListBullet"/>
        <w:rPr>
          <w:lang w:bidi="fa-IR"/>
        </w:rPr>
      </w:pPr>
      <w:r>
        <w:rPr>
          <w:lang w:bidi="fa-IR"/>
        </w:rPr>
        <w:t>Wheelchair ramp</w:t>
      </w:r>
      <w:r w:rsidR="00FC307F">
        <w:rPr>
          <w:lang w:bidi="fa-IR"/>
        </w:rPr>
        <w:t>s</w:t>
      </w:r>
      <w:r>
        <w:rPr>
          <w:lang w:bidi="fa-IR"/>
        </w:rPr>
        <w:t xml:space="preserve"> cost $6</w:t>
      </w:r>
      <w:r w:rsidR="00C422BF">
        <w:rPr>
          <w:lang w:bidi="fa-IR"/>
        </w:rPr>
        <w:t> </w:t>
      </w:r>
      <w:r>
        <w:rPr>
          <w:lang w:bidi="fa-IR"/>
        </w:rPr>
        <w:t>000, while Gold standard wheelchair accessibility involving knocking down walls cost $18</w:t>
      </w:r>
      <w:r w:rsidR="00C422BF">
        <w:rPr>
          <w:lang w:bidi="fa-IR"/>
        </w:rPr>
        <w:t> </w:t>
      </w:r>
      <w:r>
        <w:rPr>
          <w:lang w:bidi="fa-IR"/>
        </w:rPr>
        <w:t>000</w:t>
      </w:r>
      <w:r w:rsidR="00C631A2">
        <w:rPr>
          <w:lang w:bidi="fa-IR"/>
        </w:rPr>
        <w:t>.</w:t>
      </w:r>
      <w:r w:rsidR="003C201D">
        <w:rPr>
          <w:lang w:bidi="fa-IR"/>
        </w:rPr>
        <w:t xml:space="preserve"> </w:t>
      </w:r>
      <w:r w:rsidR="00CD2B8A">
        <w:rPr>
          <w:rStyle w:val="FootnoteReference"/>
          <w:lang w:bidi="fa-IR"/>
        </w:rPr>
        <w:footnoteReference w:id="299"/>
      </w:r>
    </w:p>
    <w:p w14:paraId="2B9A008F" w14:textId="77777777" w:rsidR="001E45D0" w:rsidRDefault="001E45D0" w:rsidP="001E45D0">
      <w:pPr>
        <w:pStyle w:val="ListBullet"/>
        <w:rPr>
          <w:lang w:bidi="fa-IR"/>
        </w:rPr>
      </w:pPr>
      <w:r>
        <w:rPr>
          <w:lang w:bidi="fa-IR"/>
        </w:rPr>
        <w:t xml:space="preserve">Converting </w:t>
      </w:r>
      <w:r w:rsidR="00C43283">
        <w:rPr>
          <w:lang w:bidi="fa-IR"/>
        </w:rPr>
        <w:t>a</w:t>
      </w:r>
      <w:r>
        <w:rPr>
          <w:lang w:bidi="fa-IR"/>
        </w:rPr>
        <w:t xml:space="preserve"> unit to Platinum standard</w:t>
      </w:r>
      <w:r w:rsidR="00300876">
        <w:rPr>
          <w:lang w:bidi="fa-IR"/>
        </w:rPr>
        <w:t xml:space="preserve"> costs </w:t>
      </w:r>
      <w:r>
        <w:rPr>
          <w:lang w:bidi="fa-IR"/>
        </w:rPr>
        <w:t>$115</w:t>
      </w:r>
      <w:r w:rsidR="00300876">
        <w:rPr>
          <w:lang w:bidi="fa-IR"/>
        </w:rPr>
        <w:t> </w:t>
      </w:r>
      <w:r>
        <w:rPr>
          <w:lang w:bidi="fa-IR"/>
        </w:rPr>
        <w:t>000</w:t>
      </w:r>
      <w:r w:rsidR="00300876">
        <w:rPr>
          <w:lang w:bidi="fa-IR"/>
        </w:rPr>
        <w:t>.</w:t>
      </w:r>
      <w:r w:rsidR="003C201D">
        <w:rPr>
          <w:lang w:bidi="fa-IR"/>
        </w:rPr>
        <w:t xml:space="preserve"> </w:t>
      </w:r>
      <w:r w:rsidR="003C201D">
        <w:rPr>
          <w:rStyle w:val="FootnoteReference"/>
          <w:lang w:bidi="fa-IR"/>
        </w:rPr>
        <w:footnoteReference w:id="300"/>
      </w:r>
    </w:p>
    <w:p w14:paraId="4E143954" w14:textId="77777777" w:rsidR="001E45D0" w:rsidRDefault="00E03323" w:rsidP="001E45D0">
      <w:pPr>
        <w:pStyle w:val="ListBullet"/>
        <w:rPr>
          <w:lang w:bidi="fa-IR"/>
        </w:rPr>
      </w:pPr>
      <w:r>
        <w:rPr>
          <w:lang w:bidi="fa-IR"/>
        </w:rPr>
        <w:t>A</w:t>
      </w:r>
      <w:r w:rsidR="001E45D0">
        <w:rPr>
          <w:lang w:bidi="fa-IR"/>
        </w:rPr>
        <w:t xml:space="preserve"> personal story</w:t>
      </w:r>
      <w:r>
        <w:rPr>
          <w:lang w:bidi="fa-IR"/>
        </w:rPr>
        <w:t xml:space="preserve"> suggests that</w:t>
      </w:r>
      <w:r w:rsidR="001E45D0">
        <w:rPr>
          <w:lang w:bidi="fa-IR"/>
        </w:rPr>
        <w:t xml:space="preserve"> it cost $900 to include battens for grab bars and the grab bars themselves (the shower rail is a grab bar as are all towel rails) in new builds and would cost $19</w:t>
      </w:r>
      <w:r w:rsidR="00C422BF">
        <w:rPr>
          <w:lang w:bidi="fa-IR"/>
        </w:rPr>
        <w:t> </w:t>
      </w:r>
      <w:r w:rsidR="001E45D0">
        <w:rPr>
          <w:lang w:bidi="fa-IR"/>
        </w:rPr>
        <w:t xml:space="preserve">000 to retrofit them </w:t>
      </w:r>
      <w:r w:rsidR="00FC307F">
        <w:rPr>
          <w:lang w:bidi="fa-IR"/>
        </w:rPr>
        <w:t xml:space="preserve">as </w:t>
      </w:r>
      <w:r w:rsidR="001E45D0">
        <w:rPr>
          <w:lang w:bidi="fa-IR"/>
        </w:rPr>
        <w:t>informed by the builder.</w:t>
      </w:r>
      <w:r w:rsidR="00C631A2">
        <w:rPr>
          <w:rStyle w:val="FootnoteReference"/>
          <w:lang w:bidi="fa-IR"/>
        </w:rPr>
        <w:footnoteReference w:id="301"/>
      </w:r>
    </w:p>
    <w:p w14:paraId="78E81B03" w14:textId="77777777" w:rsidR="001E45D0" w:rsidRDefault="004265C2" w:rsidP="001E45D0">
      <w:pPr>
        <w:pStyle w:val="ListBullet"/>
        <w:rPr>
          <w:lang w:bidi="fa-IR"/>
        </w:rPr>
      </w:pPr>
      <w:r>
        <w:rPr>
          <w:lang w:bidi="fa-IR"/>
        </w:rPr>
        <w:t>A respondent</w:t>
      </w:r>
      <w:r w:rsidR="001E45D0">
        <w:rPr>
          <w:lang w:bidi="fa-IR"/>
        </w:rPr>
        <w:t xml:space="preserve">, who has cerebral palsy, notes her modification costs: around $42 000 for the kitchen, $50 000 for bathroom, $67 000 for structural changes (including raising the level of a floor) and $35 000 for other changes (including extending the </w:t>
      </w:r>
      <w:r w:rsidR="00FC307F">
        <w:rPr>
          <w:lang w:bidi="fa-IR"/>
        </w:rPr>
        <w:t>p</w:t>
      </w:r>
      <w:r w:rsidR="001E45D0">
        <w:rPr>
          <w:lang w:bidi="fa-IR"/>
        </w:rPr>
        <w:t>ergola).</w:t>
      </w:r>
      <w:r w:rsidR="00C422BF">
        <w:rPr>
          <w:rStyle w:val="FootnoteReference"/>
          <w:lang w:bidi="fa-IR"/>
        </w:rPr>
        <w:footnoteReference w:id="302"/>
      </w:r>
    </w:p>
    <w:p w14:paraId="7B613793" w14:textId="77777777" w:rsidR="001E45D0" w:rsidRPr="00745DA9" w:rsidRDefault="001E45D0" w:rsidP="001E45D0">
      <w:pPr>
        <w:pStyle w:val="BodyText"/>
        <w:rPr>
          <w:lang w:bidi="fa-IR"/>
        </w:rPr>
      </w:pPr>
      <w:r>
        <w:rPr>
          <w:lang w:bidi="fa-IR"/>
        </w:rPr>
        <w:lastRenderedPageBreak/>
        <w:t>Some submissions emphasised that m</w:t>
      </w:r>
      <w:r w:rsidRPr="00745DA9">
        <w:rPr>
          <w:lang w:bidi="fa-IR"/>
        </w:rPr>
        <w:t>odification costs may be an underestimate of the problem as in some cases modifications are not sufficient to meet accessib</w:t>
      </w:r>
      <w:r w:rsidR="00FC307F">
        <w:rPr>
          <w:lang w:bidi="fa-IR"/>
        </w:rPr>
        <w:t>ility</w:t>
      </w:r>
      <w:r w:rsidRPr="00745DA9">
        <w:rPr>
          <w:lang w:bidi="fa-IR"/>
        </w:rPr>
        <w:t xml:space="preserve"> needs. </w:t>
      </w:r>
    </w:p>
    <w:p w14:paraId="5B9DFB69" w14:textId="77777777" w:rsidR="001E45D0" w:rsidRDefault="003D7E25" w:rsidP="001E45D0">
      <w:pPr>
        <w:pStyle w:val="BodyText"/>
        <w:rPr>
          <w:lang w:bidi="fa-IR"/>
        </w:rPr>
      </w:pPr>
      <w:r>
        <w:rPr>
          <w:lang w:bidi="fa-IR"/>
        </w:rPr>
        <w:t>It was also suggested that t</w:t>
      </w:r>
      <w:r w:rsidR="001E45D0" w:rsidRPr="005A3D51">
        <w:rPr>
          <w:lang w:bidi="fa-IR"/>
        </w:rPr>
        <w:t>ime cost</w:t>
      </w:r>
      <w:r w:rsidR="001E45D0" w:rsidRPr="00745DA9">
        <w:rPr>
          <w:lang w:bidi="fa-IR"/>
        </w:rPr>
        <w:t xml:space="preserve"> of modifications (that is waiting for the modification </w:t>
      </w:r>
      <w:r w:rsidR="00FC307F">
        <w:rPr>
          <w:lang w:bidi="fa-IR"/>
        </w:rPr>
        <w:t>to be</w:t>
      </w:r>
      <w:r w:rsidR="001E45D0" w:rsidRPr="00745DA9">
        <w:rPr>
          <w:lang w:bidi="fa-IR"/>
        </w:rPr>
        <w:t xml:space="preserve"> completed)</w:t>
      </w:r>
      <w:r w:rsidR="001E45D0">
        <w:rPr>
          <w:lang w:bidi="fa-IR"/>
        </w:rPr>
        <w:t xml:space="preserve"> should be considered.</w:t>
      </w:r>
    </w:p>
    <w:p w14:paraId="56C2D278" w14:textId="77777777" w:rsidR="001E45D0" w:rsidRPr="004B79EC" w:rsidRDefault="001E45D0" w:rsidP="004B79EC">
      <w:pPr>
        <w:pStyle w:val="Heading4-Appendix"/>
      </w:pPr>
      <w:r w:rsidRPr="004B79EC">
        <w:t>Further information</w:t>
      </w:r>
    </w:p>
    <w:p w14:paraId="0B1131F2" w14:textId="77777777" w:rsidR="001E45D0" w:rsidRDefault="001E45D0" w:rsidP="001E45D0">
      <w:pPr>
        <w:pStyle w:val="BodyText"/>
        <w:rPr>
          <w:lang w:bidi="fa-IR"/>
        </w:rPr>
      </w:pPr>
      <w:r>
        <w:rPr>
          <w:lang w:bidi="fa-IR"/>
        </w:rPr>
        <w:t>Some further information sources were suggested by submissions. They include:</w:t>
      </w:r>
    </w:p>
    <w:p w14:paraId="2DB5B70E" w14:textId="77777777" w:rsidR="001E45D0" w:rsidRDefault="001E45D0" w:rsidP="001E45D0">
      <w:pPr>
        <w:pStyle w:val="ListBullet"/>
        <w:rPr>
          <w:lang w:bidi="fa-IR"/>
        </w:rPr>
      </w:pPr>
      <w:r>
        <w:rPr>
          <w:lang w:bidi="fa-IR"/>
        </w:rPr>
        <w:t>Home Modification Information Clearinghouse</w:t>
      </w:r>
      <w:r w:rsidR="00C43283">
        <w:rPr>
          <w:rStyle w:val="FootnoteReference"/>
          <w:lang w:bidi="fa-IR"/>
        </w:rPr>
        <w:footnoteReference w:id="303"/>
      </w:r>
    </w:p>
    <w:p w14:paraId="2F3C5905" w14:textId="77777777" w:rsidR="001E45D0" w:rsidRDefault="001E45D0" w:rsidP="001E45D0">
      <w:pPr>
        <w:pStyle w:val="ListBullet"/>
        <w:rPr>
          <w:lang w:bidi="fa-IR"/>
        </w:rPr>
      </w:pPr>
      <w:r>
        <w:rPr>
          <w:lang w:bidi="fa-IR"/>
        </w:rPr>
        <w:t>NDIS providers</w:t>
      </w:r>
    </w:p>
    <w:p w14:paraId="392FF2DA" w14:textId="77777777" w:rsidR="001E45D0" w:rsidRDefault="001E45D0" w:rsidP="001E45D0">
      <w:pPr>
        <w:pStyle w:val="ListBullet"/>
        <w:rPr>
          <w:lang w:bidi="fa-IR"/>
        </w:rPr>
      </w:pPr>
      <w:r>
        <w:rPr>
          <w:lang w:bidi="fa-IR"/>
        </w:rPr>
        <w:t>Government compensable insurance schemes, e.g. Transport Accident Commission (TAC) in Victoria</w:t>
      </w:r>
    </w:p>
    <w:p w14:paraId="7F846D75" w14:textId="77777777" w:rsidR="001E45D0" w:rsidRDefault="001E45D0" w:rsidP="001E45D0">
      <w:pPr>
        <w:pStyle w:val="ListBullet"/>
        <w:rPr>
          <w:lang w:bidi="fa-IR"/>
        </w:rPr>
      </w:pPr>
      <w:r>
        <w:rPr>
          <w:lang w:bidi="fa-IR"/>
        </w:rPr>
        <w:t>Councils, e.g. permit information relating to retrofitting existing structure</w:t>
      </w:r>
    </w:p>
    <w:p w14:paraId="166820A9" w14:textId="77777777" w:rsidR="001E45D0" w:rsidRDefault="001E45D0" w:rsidP="001E45D0">
      <w:pPr>
        <w:pStyle w:val="ListBullet"/>
        <w:rPr>
          <w:lang w:bidi="fa-IR"/>
        </w:rPr>
      </w:pPr>
      <w:r>
        <w:rPr>
          <w:lang w:bidi="fa-IR"/>
        </w:rPr>
        <w:t xml:space="preserve">Public housing authorities, e.g. SA Housing Authority; </w:t>
      </w:r>
      <w:r w:rsidRPr="005800AD">
        <w:rPr>
          <w:lang w:bidi="fa-IR"/>
        </w:rPr>
        <w:t>Queensland Department of Housing and Public Works</w:t>
      </w:r>
    </w:p>
    <w:p w14:paraId="33B9B050" w14:textId="77777777" w:rsidR="001E45D0" w:rsidRDefault="001E45D0" w:rsidP="001E45D0">
      <w:pPr>
        <w:pStyle w:val="ListBullet"/>
        <w:rPr>
          <w:lang w:bidi="fa-IR"/>
        </w:rPr>
      </w:pPr>
      <w:r>
        <w:rPr>
          <w:lang w:bidi="fa-IR"/>
        </w:rPr>
        <w:t>Hospitals</w:t>
      </w:r>
      <w:r w:rsidR="00CD1DA9">
        <w:rPr>
          <w:lang w:bidi="fa-IR"/>
        </w:rPr>
        <w:t>,</w:t>
      </w:r>
      <w:r>
        <w:rPr>
          <w:lang w:bidi="fa-IR"/>
        </w:rPr>
        <w:t xml:space="preserve"> and</w:t>
      </w:r>
    </w:p>
    <w:p w14:paraId="75ADBA63" w14:textId="77777777" w:rsidR="001E45D0" w:rsidRDefault="001E45D0" w:rsidP="001E45D0">
      <w:pPr>
        <w:pStyle w:val="ListBullet"/>
        <w:rPr>
          <w:lang w:bidi="fa-IR"/>
        </w:rPr>
      </w:pPr>
      <w:r>
        <w:rPr>
          <w:lang w:bidi="fa-IR"/>
        </w:rPr>
        <w:t>Aged care</w:t>
      </w:r>
      <w:r w:rsidR="00FC307F">
        <w:rPr>
          <w:lang w:bidi="fa-IR"/>
        </w:rPr>
        <w:t>.</w:t>
      </w:r>
    </w:p>
    <w:p w14:paraId="24D45330" w14:textId="77777777" w:rsidR="001E45D0" w:rsidRPr="00F4477B" w:rsidRDefault="001E45D0" w:rsidP="00F4477B">
      <w:pPr>
        <w:pStyle w:val="Heading3-Appendix"/>
      </w:pPr>
      <w:r w:rsidRPr="00F4477B">
        <w:t>Costs of prolonged hospital stay</w:t>
      </w:r>
    </w:p>
    <w:p w14:paraId="00882F95" w14:textId="77777777" w:rsidR="001E45D0" w:rsidRDefault="001E45D0" w:rsidP="001E45D0">
      <w:pPr>
        <w:pStyle w:val="BodyText"/>
        <w:rPr>
          <w:lang w:bidi="fa-IR"/>
        </w:rPr>
      </w:pPr>
      <w:r>
        <w:rPr>
          <w:lang w:bidi="fa-IR"/>
        </w:rPr>
        <w:t xml:space="preserve">A couple of submissions </w:t>
      </w:r>
      <w:r w:rsidR="003D7E25">
        <w:rPr>
          <w:lang w:bidi="fa-IR"/>
        </w:rPr>
        <w:t>suggeste</w:t>
      </w:r>
      <w:r>
        <w:rPr>
          <w:lang w:bidi="fa-IR"/>
        </w:rPr>
        <w:t xml:space="preserve">d that avoided costs of longer stays in hospitals </w:t>
      </w:r>
      <w:r w:rsidR="003D7E25">
        <w:rPr>
          <w:lang w:bidi="fa-IR"/>
        </w:rPr>
        <w:t>we</w:t>
      </w:r>
      <w:r>
        <w:rPr>
          <w:lang w:bidi="fa-IR"/>
        </w:rPr>
        <w:t xml:space="preserve">re understated. Prolonged hospital stay would result in higher risk of infection and higher risk of dependence, which in turn increases risk of readmission. These impacts </w:t>
      </w:r>
      <w:r w:rsidR="00AE1102">
        <w:rPr>
          <w:lang w:bidi="fa-IR"/>
        </w:rPr>
        <w:t>should</w:t>
      </w:r>
      <w:r>
        <w:rPr>
          <w:lang w:bidi="fa-IR"/>
        </w:rPr>
        <w:t xml:space="preserve"> be considered in the size of the problem.</w:t>
      </w:r>
    </w:p>
    <w:p w14:paraId="03962420" w14:textId="77777777" w:rsidR="001E45D0" w:rsidRPr="00F4477B" w:rsidRDefault="001E45D0" w:rsidP="00F4477B">
      <w:pPr>
        <w:pStyle w:val="Heading3-Appendix"/>
      </w:pPr>
      <w:r w:rsidRPr="00F4477B">
        <w:t>Search cost</w:t>
      </w:r>
    </w:p>
    <w:p w14:paraId="31F48D8F" w14:textId="77777777" w:rsidR="001E45D0" w:rsidRDefault="001E45D0" w:rsidP="001E45D0">
      <w:pPr>
        <w:pStyle w:val="BodyText"/>
        <w:rPr>
          <w:lang w:bidi="fa-IR"/>
        </w:rPr>
      </w:pPr>
      <w:r w:rsidRPr="000708AB">
        <w:rPr>
          <w:lang w:bidi="fa-IR"/>
        </w:rPr>
        <w:t>S</w:t>
      </w:r>
      <w:r w:rsidR="003D7E25">
        <w:rPr>
          <w:lang w:bidi="fa-IR"/>
        </w:rPr>
        <w:t>ubmissions suggested s</w:t>
      </w:r>
      <w:r w:rsidRPr="000708AB">
        <w:rPr>
          <w:lang w:bidi="fa-IR"/>
        </w:rPr>
        <w:t xml:space="preserve">earch costs </w:t>
      </w:r>
      <w:r>
        <w:rPr>
          <w:lang w:bidi="fa-IR"/>
        </w:rPr>
        <w:t xml:space="preserve">should be included in the size of the problem as a result of the lack of accessible housing in the market. </w:t>
      </w:r>
      <w:r w:rsidR="003D7E25">
        <w:rPr>
          <w:lang w:bidi="fa-IR"/>
        </w:rPr>
        <w:t>These costs w</w:t>
      </w:r>
      <w:r w:rsidR="00FC307F">
        <w:rPr>
          <w:lang w:bidi="fa-IR"/>
        </w:rPr>
        <w:t>ould</w:t>
      </w:r>
      <w:r>
        <w:rPr>
          <w:lang w:bidi="fa-IR"/>
        </w:rPr>
        <w:t xml:space="preserve"> </w:t>
      </w:r>
      <w:r w:rsidRPr="000708AB">
        <w:rPr>
          <w:lang w:bidi="fa-IR"/>
        </w:rPr>
        <w:t>reduce</w:t>
      </w:r>
      <w:r>
        <w:rPr>
          <w:lang w:bidi="fa-IR"/>
        </w:rPr>
        <w:t xml:space="preserve"> if more houses are accessible.</w:t>
      </w:r>
      <w:r w:rsidR="00F55E4E">
        <w:rPr>
          <w:lang w:bidi="fa-IR"/>
        </w:rPr>
        <w:t xml:space="preserve"> </w:t>
      </w:r>
      <w:r>
        <w:rPr>
          <w:lang w:bidi="fa-IR"/>
        </w:rPr>
        <w:t>The creation of a substantial number of accessible homes would offer people more choices and thus reduce the search cost.</w:t>
      </w:r>
    </w:p>
    <w:p w14:paraId="0DE77330" w14:textId="77777777" w:rsidR="001E45D0" w:rsidRPr="00F4477B" w:rsidRDefault="001E45D0" w:rsidP="00F4477B">
      <w:pPr>
        <w:pStyle w:val="Heading3-Appendix"/>
      </w:pPr>
      <w:r w:rsidRPr="00F4477B">
        <w:t>Cost to industry</w:t>
      </w:r>
    </w:p>
    <w:p w14:paraId="033AB086" w14:textId="77777777" w:rsidR="001E45D0" w:rsidRDefault="001E45D0" w:rsidP="001E45D0">
      <w:pPr>
        <w:pStyle w:val="BodyText"/>
        <w:rPr>
          <w:lang w:bidi="fa-IR"/>
        </w:rPr>
      </w:pPr>
      <w:r>
        <w:rPr>
          <w:lang w:bidi="fa-IR"/>
        </w:rPr>
        <w:t>One submission mentioned that there are costs to the building industry due to the lack of accessible housing and the lack of harmonised standards</w:t>
      </w:r>
      <w:r w:rsidR="00C57D1D">
        <w:rPr>
          <w:lang w:bidi="fa-IR"/>
        </w:rPr>
        <w:t>:</w:t>
      </w:r>
    </w:p>
    <w:p w14:paraId="7D92C9B9" w14:textId="77777777" w:rsidR="001E45D0" w:rsidRPr="009845B2" w:rsidRDefault="001E45D0" w:rsidP="00F11742">
      <w:pPr>
        <w:pStyle w:val="Quote"/>
        <w:rPr>
          <w:lang w:bidi="fa-IR"/>
        </w:rPr>
      </w:pPr>
      <w:r w:rsidRPr="009845B2">
        <w:rPr>
          <w:lang w:bidi="fa-IR"/>
        </w:rPr>
        <w:t>The lack of accessible housing provisions represents a significant cost to industry.</w:t>
      </w:r>
      <w:r>
        <w:rPr>
          <w:lang w:bidi="fa-IR"/>
        </w:rPr>
        <w:t xml:space="preserve"> </w:t>
      </w:r>
      <w:r w:rsidRPr="009845B2">
        <w:rPr>
          <w:lang w:bidi="fa-IR"/>
        </w:rPr>
        <w:t>This is predominantly for provision of Class 2 dwellings, where there are multiple</w:t>
      </w:r>
      <w:r>
        <w:rPr>
          <w:lang w:bidi="fa-IR"/>
        </w:rPr>
        <w:t xml:space="preserve"> </w:t>
      </w:r>
      <w:r w:rsidRPr="009845B2">
        <w:rPr>
          <w:lang w:bidi="fa-IR"/>
        </w:rPr>
        <w:t>different planning policies requiring different designs to differing proportions of</w:t>
      </w:r>
      <w:r>
        <w:rPr>
          <w:lang w:bidi="fa-IR"/>
        </w:rPr>
        <w:t xml:space="preserve"> </w:t>
      </w:r>
      <w:r w:rsidRPr="009845B2">
        <w:rPr>
          <w:lang w:bidi="fa-IR"/>
        </w:rPr>
        <w:t>dwellings. For example, some planning requirements will seek 20</w:t>
      </w:r>
      <w:r>
        <w:rPr>
          <w:lang w:bidi="fa-IR"/>
        </w:rPr>
        <w:t xml:space="preserve"> per cent</w:t>
      </w:r>
      <w:r w:rsidRPr="009845B2">
        <w:rPr>
          <w:lang w:bidi="fa-IR"/>
        </w:rPr>
        <w:t xml:space="preserve"> of all dwellings</w:t>
      </w:r>
      <w:r>
        <w:rPr>
          <w:lang w:bidi="fa-IR"/>
        </w:rPr>
        <w:t xml:space="preserve"> </w:t>
      </w:r>
      <w:r w:rsidRPr="009845B2">
        <w:rPr>
          <w:lang w:bidi="fa-IR"/>
        </w:rPr>
        <w:t>to AS4299 Class C and 10</w:t>
      </w:r>
      <w:r>
        <w:rPr>
          <w:lang w:bidi="fa-IR"/>
        </w:rPr>
        <w:t xml:space="preserve"> per cent</w:t>
      </w:r>
      <w:r w:rsidRPr="009845B2">
        <w:rPr>
          <w:lang w:bidi="fa-IR"/>
        </w:rPr>
        <w:t xml:space="preserve"> to LHA Silver. The amount of time in design is</w:t>
      </w:r>
      <w:r>
        <w:rPr>
          <w:lang w:bidi="fa-IR"/>
        </w:rPr>
        <w:t xml:space="preserve"> </w:t>
      </w:r>
      <w:r w:rsidRPr="009845B2">
        <w:rPr>
          <w:lang w:bidi="fa-IR"/>
        </w:rPr>
        <w:t xml:space="preserve">extensive as designers grapple with the nuances </w:t>
      </w:r>
      <w:r w:rsidRPr="009845B2">
        <w:rPr>
          <w:lang w:bidi="fa-IR"/>
        </w:rPr>
        <w:lastRenderedPageBreak/>
        <w:t>between different standards and</w:t>
      </w:r>
      <w:r>
        <w:rPr>
          <w:lang w:bidi="fa-IR"/>
        </w:rPr>
        <w:t xml:space="preserve"> </w:t>
      </w:r>
      <w:r w:rsidRPr="009845B2">
        <w:rPr>
          <w:lang w:bidi="fa-IR"/>
        </w:rPr>
        <w:t>builders incur rework costs as they get confused building to multiple requirements.</w:t>
      </w:r>
    </w:p>
    <w:p w14:paraId="0351B9E2" w14:textId="77777777" w:rsidR="001E45D0" w:rsidRPr="001C5016" w:rsidRDefault="001E45D0" w:rsidP="00F11742">
      <w:pPr>
        <w:pStyle w:val="Quote"/>
        <w:rPr>
          <w:lang w:bidi="fa-IR"/>
        </w:rPr>
      </w:pPr>
      <w:r w:rsidRPr="009845B2">
        <w:rPr>
          <w:lang w:bidi="fa-IR"/>
        </w:rPr>
        <w:t>This also affects Class 1 where multiple dwellings are being built and planning</w:t>
      </w:r>
      <w:r>
        <w:rPr>
          <w:lang w:bidi="fa-IR"/>
        </w:rPr>
        <w:t xml:space="preserve"> </w:t>
      </w:r>
      <w:r w:rsidRPr="009845B2">
        <w:rPr>
          <w:lang w:bidi="fa-IR"/>
        </w:rPr>
        <w:t>requirements are similarly triggered.</w:t>
      </w:r>
    </w:p>
    <w:p w14:paraId="7154C2AE" w14:textId="77777777" w:rsidR="001E45D0" w:rsidRPr="00F4477B" w:rsidRDefault="001E45D0" w:rsidP="00F4477B">
      <w:pPr>
        <w:pStyle w:val="Heading3-Appendix"/>
      </w:pPr>
      <w:r w:rsidRPr="00F4477B">
        <w:t>Value of statistical life (VSL)</w:t>
      </w:r>
    </w:p>
    <w:p w14:paraId="5BBD742A" w14:textId="77777777" w:rsidR="001E45D0" w:rsidRDefault="001E45D0" w:rsidP="001E45D0">
      <w:pPr>
        <w:pStyle w:val="BodyText"/>
        <w:rPr>
          <w:lang w:bidi="fa-IR"/>
        </w:rPr>
      </w:pPr>
      <w:r>
        <w:rPr>
          <w:lang w:bidi="fa-IR"/>
        </w:rPr>
        <w:t xml:space="preserve">The </w:t>
      </w:r>
      <w:r w:rsidR="00995B0F">
        <w:rPr>
          <w:lang w:bidi="fa-IR"/>
        </w:rPr>
        <w:t xml:space="preserve">Consultation </w:t>
      </w:r>
      <w:r>
        <w:rPr>
          <w:lang w:bidi="fa-IR"/>
        </w:rPr>
        <w:t>RIS used value of statistical life (</w:t>
      </w:r>
      <w:r w:rsidRPr="00E22B24">
        <w:rPr>
          <w:lang w:bidi="fa-IR"/>
        </w:rPr>
        <w:t>VSL) (box A.5 and table A.6</w:t>
      </w:r>
      <w:r w:rsidR="00E22B24" w:rsidRPr="00E22B24">
        <w:rPr>
          <w:lang w:bidi="fa-IR"/>
        </w:rPr>
        <w:t xml:space="preserve"> in the Consultation RIS</w:t>
      </w:r>
      <w:r w:rsidRPr="00E22B24">
        <w:rPr>
          <w:lang w:bidi="fa-IR"/>
        </w:rPr>
        <w:t>) as suggested by the OBPR guidelines. The</w:t>
      </w:r>
      <w:r>
        <w:rPr>
          <w:lang w:bidi="fa-IR"/>
        </w:rPr>
        <w:t xml:space="preserve"> VSL for the 25-34 years old cohort </w:t>
      </w:r>
      <w:r w:rsidR="003D7E25">
        <w:rPr>
          <w:lang w:bidi="fa-IR"/>
        </w:rPr>
        <w:t>in the Consultation RIS wa</w:t>
      </w:r>
      <w:r>
        <w:rPr>
          <w:lang w:bidi="fa-IR"/>
        </w:rPr>
        <w:t>s $5.4 million.</w:t>
      </w:r>
    </w:p>
    <w:p w14:paraId="0E1E4FD8" w14:textId="77777777" w:rsidR="001E45D0" w:rsidRPr="00877C79" w:rsidRDefault="001E45D0" w:rsidP="001E45D0">
      <w:pPr>
        <w:pStyle w:val="BodyText"/>
        <w:rPr>
          <w:lang w:bidi="fa-IR"/>
        </w:rPr>
      </w:pPr>
      <w:r>
        <w:rPr>
          <w:lang w:bidi="fa-IR"/>
        </w:rPr>
        <w:t>Dalton and Carter (2020</w:t>
      </w:r>
      <w:r w:rsidR="001D2A32">
        <w:rPr>
          <w:lang w:bidi="fa-IR"/>
        </w:rPr>
        <w:t>a</w:t>
      </w:r>
      <w:r>
        <w:rPr>
          <w:lang w:bidi="fa-IR"/>
        </w:rPr>
        <w:t>) suggested that the VSL should be higher – ranging from $4.5 million to $7.9 million with an average value of $7 million.</w:t>
      </w:r>
    </w:p>
    <w:p w14:paraId="3BE9CA1D" w14:textId="77777777" w:rsidR="001E45D0" w:rsidRPr="00F4477B" w:rsidRDefault="001E45D0" w:rsidP="00F4477B">
      <w:pPr>
        <w:pStyle w:val="Heading3-Appendix"/>
      </w:pPr>
      <w:r w:rsidRPr="00F4477B">
        <w:t>Social justice</w:t>
      </w:r>
    </w:p>
    <w:p w14:paraId="12FBA0AA" w14:textId="77777777" w:rsidR="001E45D0" w:rsidRDefault="001E45D0" w:rsidP="001E45D0">
      <w:pPr>
        <w:pStyle w:val="BodyText"/>
        <w:rPr>
          <w:lang w:bidi="fa-IR"/>
        </w:rPr>
      </w:pPr>
      <w:r>
        <w:rPr>
          <w:lang w:bidi="fa-IR"/>
        </w:rPr>
        <w:t>Dalton and Carter (2020</w:t>
      </w:r>
      <w:r w:rsidR="00EE4FF4">
        <w:rPr>
          <w:lang w:bidi="fa-IR"/>
        </w:rPr>
        <w:t>a</w:t>
      </w:r>
      <w:r>
        <w:rPr>
          <w:lang w:bidi="fa-IR"/>
        </w:rPr>
        <w:t>) discuss</w:t>
      </w:r>
      <w:r w:rsidR="003D7E25">
        <w:rPr>
          <w:lang w:bidi="fa-IR"/>
        </w:rPr>
        <w:t>ed</w:t>
      </w:r>
      <w:r>
        <w:rPr>
          <w:lang w:bidi="fa-IR"/>
        </w:rPr>
        <w:t xml:space="preserve"> social justice as a reason for government intervention, links this to the principle of solidarity, and points to the need for social justice in housing in the human rights frameworks and in other government reports (section 2.2, p.14 and section 2.3.1, p. 15). Some other submissions also share this view.</w:t>
      </w:r>
    </w:p>
    <w:p w14:paraId="5A4F6356" w14:textId="77777777" w:rsidR="001E45D0" w:rsidRDefault="001E45D0" w:rsidP="001E45D0">
      <w:pPr>
        <w:pStyle w:val="BodyText"/>
        <w:rPr>
          <w:lang w:bidi="fa-IR"/>
        </w:rPr>
      </w:pPr>
      <w:r>
        <w:rPr>
          <w:lang w:bidi="fa-IR"/>
        </w:rPr>
        <w:t>Ensuring minimum accessibility standards in the NCC is consistent with Australia’s human rights obligations, according to QLD Human Rights Commission.</w:t>
      </w:r>
      <w:r w:rsidR="000A5563">
        <w:rPr>
          <w:rStyle w:val="FootnoteReference"/>
          <w:lang w:bidi="fa-IR"/>
        </w:rPr>
        <w:footnoteReference w:id="304"/>
      </w:r>
      <w:r>
        <w:rPr>
          <w:lang w:bidi="fa-IR"/>
        </w:rPr>
        <w:t xml:space="preserve"> Physical Disability Council of NSW argued that international and domestic reputational gains should be included as a benefit.</w:t>
      </w:r>
      <w:r w:rsidR="000A5563">
        <w:rPr>
          <w:rStyle w:val="FootnoteReference"/>
          <w:lang w:bidi="fa-IR"/>
        </w:rPr>
        <w:footnoteReference w:id="305"/>
      </w:r>
    </w:p>
    <w:p w14:paraId="32A2C252" w14:textId="77777777" w:rsidR="001E45D0" w:rsidRPr="00F4477B" w:rsidRDefault="001E45D0" w:rsidP="00F4477B">
      <w:pPr>
        <w:pStyle w:val="Heading3-Appendix"/>
      </w:pPr>
      <w:r w:rsidRPr="00F4477B">
        <w:t>Intangible morbidity impacts and quality of life</w:t>
      </w:r>
    </w:p>
    <w:p w14:paraId="290582BB" w14:textId="77777777" w:rsidR="001E45D0" w:rsidRPr="00492C4B" w:rsidRDefault="001E45D0" w:rsidP="001E45D0">
      <w:pPr>
        <w:pStyle w:val="BodyText"/>
        <w:rPr>
          <w:lang w:bidi="fa-IR"/>
        </w:rPr>
      </w:pPr>
      <w:r>
        <w:rPr>
          <w:lang w:bidi="fa-IR"/>
        </w:rPr>
        <w:t>A number of submissions, some through person</w:t>
      </w:r>
      <w:r w:rsidR="00391DFD">
        <w:rPr>
          <w:lang w:bidi="fa-IR"/>
        </w:rPr>
        <w:t>al</w:t>
      </w:r>
      <w:r>
        <w:rPr>
          <w:lang w:bidi="fa-IR"/>
        </w:rPr>
        <w:t xml:space="preserve"> stories, pointed out the </w:t>
      </w:r>
      <w:r w:rsidR="0068423F">
        <w:rPr>
          <w:lang w:bidi="fa-IR"/>
        </w:rPr>
        <w:t xml:space="preserve">negative </w:t>
      </w:r>
      <w:r>
        <w:rPr>
          <w:lang w:bidi="fa-IR"/>
        </w:rPr>
        <w:t>impacts of inaccessible housing on mental health and daily life.</w:t>
      </w:r>
    </w:p>
    <w:p w14:paraId="53750996" w14:textId="77777777" w:rsidR="001E45D0" w:rsidRDefault="003D7E25" w:rsidP="001E45D0">
      <w:pPr>
        <w:pStyle w:val="BodyText"/>
        <w:rPr>
          <w:lang w:bidi="fa-IR"/>
        </w:rPr>
      </w:pPr>
      <w:r>
        <w:rPr>
          <w:lang w:bidi="fa-IR"/>
        </w:rPr>
        <w:t>It was suggested that t</w:t>
      </w:r>
      <w:r w:rsidR="001E45D0" w:rsidRPr="008A52A1">
        <w:rPr>
          <w:lang w:bidi="fa-IR"/>
        </w:rPr>
        <w:t>he additional cost of the mental health impact on someone living under the stress of inappropriate housing or the pressure of having to find accessible housing in a pressured market</w:t>
      </w:r>
      <w:r w:rsidR="001E45D0">
        <w:rPr>
          <w:lang w:bidi="fa-IR"/>
        </w:rPr>
        <w:t xml:space="preserve"> </w:t>
      </w:r>
      <w:r w:rsidR="00DF7E1F">
        <w:rPr>
          <w:lang w:bidi="fa-IR"/>
        </w:rPr>
        <w:t>should</w:t>
      </w:r>
      <w:r w:rsidR="001E45D0">
        <w:rPr>
          <w:lang w:bidi="fa-IR"/>
        </w:rPr>
        <w:t xml:space="preserve"> be considered</w:t>
      </w:r>
      <w:r w:rsidR="001E45D0" w:rsidRPr="008A52A1">
        <w:rPr>
          <w:lang w:bidi="fa-IR"/>
        </w:rPr>
        <w:t>.</w:t>
      </w:r>
      <w:r w:rsidR="00FE1B12">
        <w:rPr>
          <w:rStyle w:val="FootnoteReference"/>
          <w:lang w:bidi="fa-IR"/>
        </w:rPr>
        <w:footnoteReference w:id="306"/>
      </w:r>
      <w:r w:rsidR="001E45D0">
        <w:rPr>
          <w:lang w:bidi="fa-IR"/>
        </w:rPr>
        <w:t xml:space="preserve"> </w:t>
      </w:r>
    </w:p>
    <w:p w14:paraId="4BFDAE89" w14:textId="77777777" w:rsidR="001E45D0" w:rsidRDefault="001E45D0" w:rsidP="001E45D0">
      <w:pPr>
        <w:pStyle w:val="BodyText"/>
        <w:rPr>
          <w:lang w:bidi="fa-IR"/>
        </w:rPr>
      </w:pPr>
      <w:r>
        <w:rPr>
          <w:lang w:bidi="fa-IR"/>
        </w:rPr>
        <w:t>Dalton and Carter (2020</w:t>
      </w:r>
      <w:r w:rsidR="00F55051">
        <w:rPr>
          <w:lang w:bidi="fa-IR"/>
        </w:rPr>
        <w:t>a</w:t>
      </w:r>
      <w:r>
        <w:rPr>
          <w:lang w:bidi="fa-IR"/>
        </w:rPr>
        <w:t xml:space="preserve">) </w:t>
      </w:r>
      <w:r w:rsidR="003D7E25">
        <w:rPr>
          <w:lang w:bidi="fa-IR"/>
        </w:rPr>
        <w:t>suggest</w:t>
      </w:r>
      <w:r>
        <w:rPr>
          <w:lang w:bidi="fa-IR"/>
        </w:rPr>
        <w:t xml:space="preserve">ed that ‘pain and anxiety’ were not considered in the </w:t>
      </w:r>
      <w:r w:rsidR="00995B0F">
        <w:rPr>
          <w:lang w:bidi="fa-IR"/>
        </w:rPr>
        <w:t xml:space="preserve">Consultation </w:t>
      </w:r>
      <w:r>
        <w:rPr>
          <w:lang w:bidi="fa-IR"/>
        </w:rPr>
        <w:t xml:space="preserve">RIS in the cost-reduction approach, or at least not explicitly in the case of WTP analysis. They acknowledged that placing a dollar value to such intangibles is not straightforward or uncontested. They suggested that such health status considerations could be measured through quality of life measurement using a technique called cost-utility analysis (CUA), with results presented as a ‘cost per quality adjusted life year </w:t>
      </w:r>
      <w:r>
        <w:rPr>
          <w:lang w:bidi="fa-IR"/>
        </w:rPr>
        <w:lastRenderedPageBreak/>
        <w:t>(QALY)’. Sometimes analysts convert QALYs to dollar values by applying the decision threshold on what constitutes value-for-money in CUA.</w:t>
      </w:r>
    </w:p>
    <w:p w14:paraId="5E1D9EF3" w14:textId="77777777" w:rsidR="001E45D0" w:rsidRDefault="00391DFD" w:rsidP="001E45D0">
      <w:pPr>
        <w:pStyle w:val="BodyText"/>
        <w:rPr>
          <w:lang w:bidi="fa-IR"/>
        </w:rPr>
      </w:pPr>
      <w:r>
        <w:rPr>
          <w:lang w:bidi="fa-IR"/>
        </w:rPr>
        <w:t xml:space="preserve">The survey by Dr Wiesel included in the </w:t>
      </w:r>
      <w:r w:rsidR="001E45D0">
        <w:rPr>
          <w:lang w:bidi="fa-IR"/>
        </w:rPr>
        <w:t>MDI and Summer Foundation su</w:t>
      </w:r>
      <w:r w:rsidR="00B43CCB">
        <w:rPr>
          <w:lang w:bidi="fa-IR"/>
        </w:rPr>
        <w:t>bmission</w:t>
      </w:r>
      <w:r w:rsidR="001E45D0">
        <w:rPr>
          <w:lang w:bidi="fa-IR"/>
        </w:rPr>
        <w:t xml:space="preserve"> of people with disability and senior people found that </w:t>
      </w:r>
      <w:r w:rsidR="001E45D0" w:rsidRPr="00F37FAF">
        <w:rPr>
          <w:lang w:bidi="fa-IR"/>
        </w:rPr>
        <w:t>60 per cent of people with both low and high support needs living in accessible housing reported improved self-reported mental health and wellbeing, thanks to the accessibility of their home. In contrast, 71.7 per cent of people with high support needs, and 50.0 per cent of people with low support needs, living in inaccessible housing reported worsened mental health and wellbeing</w:t>
      </w:r>
      <w:r w:rsidR="001E45D0" w:rsidRPr="00665AAB">
        <w:rPr>
          <w:lang w:bidi="fa-IR"/>
        </w:rPr>
        <w:t>.</w:t>
      </w:r>
      <w:r w:rsidR="001E45D0">
        <w:rPr>
          <w:rStyle w:val="FootnoteReference"/>
          <w:lang w:bidi="fa-IR"/>
        </w:rPr>
        <w:footnoteReference w:id="307"/>
      </w:r>
    </w:p>
    <w:p w14:paraId="3167C0AC" w14:textId="77777777" w:rsidR="00582D98" w:rsidRDefault="003D7E25" w:rsidP="001E45D0">
      <w:pPr>
        <w:pStyle w:val="BodyText"/>
        <w:rPr>
          <w:lang w:bidi="fa-IR"/>
        </w:rPr>
      </w:pPr>
      <w:r>
        <w:rPr>
          <w:lang w:bidi="fa-IR"/>
        </w:rPr>
        <w:t>It was suggested a</w:t>
      </w:r>
      <w:r w:rsidR="001E45D0" w:rsidRPr="00492C4B">
        <w:rPr>
          <w:lang w:bidi="fa-IR"/>
        </w:rPr>
        <w:t>voided costs of loneliness and exclusion</w:t>
      </w:r>
      <w:r w:rsidR="001E45D0">
        <w:rPr>
          <w:lang w:bidi="fa-IR"/>
        </w:rPr>
        <w:t xml:space="preserve"> should be considered too.</w:t>
      </w:r>
      <w:r w:rsidR="001E45D0" w:rsidRPr="00492C4B">
        <w:rPr>
          <w:lang w:bidi="fa-IR"/>
        </w:rPr>
        <w:t xml:space="preserve"> </w:t>
      </w:r>
      <w:r w:rsidR="001E45D0">
        <w:rPr>
          <w:lang w:bidi="fa-IR"/>
        </w:rPr>
        <w:t xml:space="preserve">For example, </w:t>
      </w:r>
      <w:r w:rsidR="001E45D0" w:rsidRPr="00492C4B">
        <w:rPr>
          <w:lang w:bidi="fa-IR"/>
        </w:rPr>
        <w:t>Summer Foundation note</w:t>
      </w:r>
      <w:r w:rsidR="001E45D0">
        <w:rPr>
          <w:lang w:bidi="fa-IR"/>
        </w:rPr>
        <w:t>d</w:t>
      </w:r>
      <w:r w:rsidR="001E45D0" w:rsidRPr="00492C4B">
        <w:rPr>
          <w:lang w:bidi="fa-IR"/>
        </w:rPr>
        <w:t xml:space="preserve"> that</w:t>
      </w:r>
      <w:r w:rsidR="00582D98">
        <w:rPr>
          <w:lang w:bidi="fa-IR"/>
        </w:rPr>
        <w:t>:</w:t>
      </w:r>
    </w:p>
    <w:p w14:paraId="74574BA4" w14:textId="77777777" w:rsidR="001E45D0" w:rsidRDefault="001E45D0" w:rsidP="00582D98">
      <w:pPr>
        <w:pStyle w:val="ListBullet"/>
        <w:rPr>
          <w:lang w:bidi="fa-IR"/>
        </w:rPr>
      </w:pPr>
      <w:r w:rsidRPr="00492C4B">
        <w:rPr>
          <w:lang w:bidi="fa-IR"/>
        </w:rPr>
        <w:t>53 per cent of young people living in residential care receive a visit from a friend less than once a year</w:t>
      </w:r>
      <w:r w:rsidR="00CD1DA9">
        <w:rPr>
          <w:lang w:bidi="fa-IR"/>
        </w:rPr>
        <w:t>,</w:t>
      </w:r>
      <w:r w:rsidRPr="00492C4B">
        <w:rPr>
          <w:lang w:bidi="fa-IR"/>
        </w:rPr>
        <w:t xml:space="preserve"> and </w:t>
      </w:r>
    </w:p>
    <w:p w14:paraId="53FDC584" w14:textId="77777777" w:rsidR="0053022E" w:rsidRDefault="0053022E" w:rsidP="00582D98">
      <w:pPr>
        <w:pStyle w:val="ListBullet"/>
        <w:rPr>
          <w:lang w:bidi="fa-IR"/>
        </w:rPr>
      </w:pPr>
      <w:r w:rsidRPr="00492C4B">
        <w:rPr>
          <w:lang w:bidi="fa-IR"/>
        </w:rPr>
        <w:t>45 per cent</w:t>
      </w:r>
      <w:r w:rsidRPr="0053022E">
        <w:rPr>
          <w:lang w:bidi="fa-IR"/>
        </w:rPr>
        <w:t xml:space="preserve"> </w:t>
      </w:r>
      <w:r w:rsidRPr="00492C4B">
        <w:rPr>
          <w:lang w:bidi="fa-IR"/>
        </w:rPr>
        <w:t>never participate in leisure activities in the community.</w:t>
      </w:r>
    </w:p>
    <w:p w14:paraId="498F4B5E" w14:textId="77777777" w:rsidR="001E45D0" w:rsidRPr="004B79EC" w:rsidRDefault="001E45D0" w:rsidP="004B79EC">
      <w:pPr>
        <w:pStyle w:val="Heading2-Appendix"/>
      </w:pPr>
      <w:bookmarkStart w:id="550" w:name="_Toc52383056"/>
      <w:r w:rsidRPr="004B79EC">
        <w:t>Causes of the problem</w:t>
      </w:r>
      <w:bookmarkEnd w:id="550"/>
    </w:p>
    <w:p w14:paraId="194B3D00" w14:textId="77777777" w:rsidR="001E45D0" w:rsidRDefault="001E45D0" w:rsidP="001E45D0">
      <w:pPr>
        <w:pStyle w:val="BodyText"/>
        <w:rPr>
          <w:lang w:bidi="fa-IR"/>
        </w:rPr>
      </w:pPr>
      <w:r>
        <w:rPr>
          <w:lang w:bidi="fa-IR"/>
        </w:rPr>
        <w:t>Question 14 ask</w:t>
      </w:r>
      <w:r w:rsidR="00713E56">
        <w:rPr>
          <w:lang w:bidi="fa-IR"/>
        </w:rPr>
        <w:t>ed responders to consider</w:t>
      </w:r>
      <w:r>
        <w:rPr>
          <w:lang w:bidi="fa-IR"/>
        </w:rPr>
        <w:t xml:space="preserve"> the main contributor to a lack of uptake of universal design principles in new dwellings. The question offered </w:t>
      </w:r>
      <w:r w:rsidR="00713E56">
        <w:rPr>
          <w:lang w:bidi="fa-IR"/>
        </w:rPr>
        <w:t xml:space="preserve">the </w:t>
      </w:r>
      <w:r>
        <w:rPr>
          <w:lang w:bidi="fa-IR"/>
        </w:rPr>
        <w:t>following two factors along with other reasons for respondents to specify:</w:t>
      </w:r>
    </w:p>
    <w:p w14:paraId="766FF965" w14:textId="77777777" w:rsidR="001E45D0" w:rsidRDefault="001E45D0" w:rsidP="001E45D0">
      <w:pPr>
        <w:pStyle w:val="ListBullet"/>
        <w:rPr>
          <w:lang w:bidi="fa-IR"/>
        </w:rPr>
      </w:pPr>
      <w:r>
        <w:rPr>
          <w:lang w:bidi="fa-IR"/>
        </w:rPr>
        <w:t>Buyers failing to think about their future accessibility needs</w:t>
      </w:r>
      <w:r w:rsidR="00CD1DA9">
        <w:rPr>
          <w:lang w:bidi="fa-IR"/>
        </w:rPr>
        <w:t>,</w:t>
      </w:r>
      <w:r>
        <w:rPr>
          <w:lang w:bidi="fa-IR"/>
        </w:rPr>
        <w:t xml:space="preserve"> and</w:t>
      </w:r>
    </w:p>
    <w:p w14:paraId="40BF9413" w14:textId="77777777" w:rsidR="001E45D0" w:rsidRDefault="001E45D0" w:rsidP="001E45D0">
      <w:pPr>
        <w:pStyle w:val="ListBullet"/>
        <w:rPr>
          <w:lang w:bidi="fa-IR"/>
        </w:rPr>
      </w:pPr>
      <w:r>
        <w:rPr>
          <w:lang w:bidi="fa-IR"/>
        </w:rPr>
        <w:t>Volume builders being reluctant to deviate from standard plans.</w:t>
      </w:r>
    </w:p>
    <w:p w14:paraId="10A06476" w14:textId="6C084DFD" w:rsidR="001E45D0" w:rsidRDefault="001E45D0" w:rsidP="001E45D0">
      <w:pPr>
        <w:pStyle w:val="BodyText"/>
        <w:rPr>
          <w:lang w:bidi="fa-IR"/>
        </w:rPr>
      </w:pPr>
      <w:r>
        <w:rPr>
          <w:lang w:bidi="fa-IR"/>
        </w:rPr>
        <w:t xml:space="preserve">Chart </w:t>
      </w:r>
      <w:r w:rsidR="00DD5C35">
        <w:rPr>
          <w:lang w:bidi="fa-IR"/>
        </w:rPr>
        <w:t xml:space="preserve">A.2 </w:t>
      </w:r>
      <w:r>
        <w:rPr>
          <w:lang w:bidi="fa-IR"/>
        </w:rPr>
        <w:t xml:space="preserve">summarises the responses to this question. </w:t>
      </w:r>
    </w:p>
    <w:p w14:paraId="743AC83F" w14:textId="77777777" w:rsidR="001E45D0" w:rsidRPr="00F4477B" w:rsidRDefault="001E45D0" w:rsidP="00F4477B">
      <w:pPr>
        <w:pStyle w:val="Heading3-Appendix"/>
      </w:pPr>
      <w:r w:rsidRPr="00F4477B">
        <w:t>Buyers failing to think about their future accessibility needs</w:t>
      </w:r>
    </w:p>
    <w:p w14:paraId="0E2120BC" w14:textId="77777777" w:rsidR="001E45D0" w:rsidRDefault="001E45D0" w:rsidP="001E45D0">
      <w:pPr>
        <w:pStyle w:val="BodyText"/>
        <w:rPr>
          <w:lang w:bidi="fa-IR"/>
        </w:rPr>
      </w:pPr>
      <w:r>
        <w:rPr>
          <w:lang w:bidi="fa-IR"/>
        </w:rPr>
        <w:t>Among those submitting their answers to the Consultation Hub, 46 submissions consider</w:t>
      </w:r>
      <w:r w:rsidR="00713E56">
        <w:rPr>
          <w:lang w:bidi="fa-IR"/>
        </w:rPr>
        <w:t>ed</w:t>
      </w:r>
      <w:r>
        <w:rPr>
          <w:lang w:bidi="fa-IR"/>
        </w:rPr>
        <w:t xml:space="preserve"> buyers failing to think about their future accessibility needs as the main contributor to a lack of uptake of universal design principles in new dwellings.</w:t>
      </w:r>
    </w:p>
    <w:p w14:paraId="27F18BEA" w14:textId="77777777" w:rsidR="001E45D0" w:rsidRDefault="001E45D0" w:rsidP="001E45D0">
      <w:pPr>
        <w:pStyle w:val="BodyText"/>
        <w:rPr>
          <w:lang w:bidi="fa-IR"/>
        </w:rPr>
      </w:pPr>
      <w:r>
        <w:rPr>
          <w:lang w:bidi="fa-IR"/>
        </w:rPr>
        <w:t>There are other underlying factors leading to this barrier, for example, different needs and failing to foresee future accessibility demand, which will be discussed below.</w:t>
      </w:r>
    </w:p>
    <w:p w14:paraId="78914BA6" w14:textId="77777777" w:rsidR="001E45D0" w:rsidRPr="00F4477B" w:rsidRDefault="001E45D0" w:rsidP="00F4477B">
      <w:pPr>
        <w:pStyle w:val="Heading3-Appendix"/>
      </w:pPr>
      <w:r w:rsidRPr="00F4477B">
        <w:t>Volume builders being re</w:t>
      </w:r>
      <w:r w:rsidR="00287441" w:rsidRPr="00F4477B">
        <w:t>l</w:t>
      </w:r>
      <w:r w:rsidRPr="00F4477B">
        <w:t>uctant to deviate from standard plans</w:t>
      </w:r>
    </w:p>
    <w:p w14:paraId="79100F9E" w14:textId="77777777" w:rsidR="001E45D0" w:rsidRPr="00CC5A97" w:rsidRDefault="00F55051" w:rsidP="001E45D0">
      <w:pPr>
        <w:pStyle w:val="BodyText"/>
        <w:rPr>
          <w:lang w:bidi="fa-IR"/>
        </w:rPr>
      </w:pPr>
      <w:r>
        <w:rPr>
          <w:lang w:bidi="fa-IR"/>
        </w:rPr>
        <w:t>Forty six</w:t>
      </w:r>
      <w:r w:rsidR="001E45D0">
        <w:rPr>
          <w:lang w:bidi="fa-IR"/>
        </w:rPr>
        <w:t xml:space="preserve"> submissions </w:t>
      </w:r>
      <w:r>
        <w:rPr>
          <w:lang w:bidi="fa-IR"/>
        </w:rPr>
        <w:t xml:space="preserve">also </w:t>
      </w:r>
      <w:r w:rsidR="001E45D0">
        <w:rPr>
          <w:lang w:bidi="fa-IR"/>
        </w:rPr>
        <w:t>consider</w:t>
      </w:r>
      <w:r w:rsidR="00713E56">
        <w:rPr>
          <w:lang w:bidi="fa-IR"/>
        </w:rPr>
        <w:t>ed</w:t>
      </w:r>
      <w:r w:rsidR="001E45D0">
        <w:rPr>
          <w:lang w:bidi="fa-IR"/>
        </w:rPr>
        <w:t xml:space="preserve"> </w:t>
      </w:r>
      <w:r>
        <w:rPr>
          <w:lang w:bidi="fa-IR"/>
        </w:rPr>
        <w:t xml:space="preserve">reluctance of </w:t>
      </w:r>
      <w:r w:rsidR="001E45D0">
        <w:rPr>
          <w:lang w:bidi="fa-IR"/>
        </w:rPr>
        <w:t>volume builders to deviate from standard plans as the main contributor to a lack of uptake of universal design principles in new dwellings.</w:t>
      </w:r>
    </w:p>
    <w:p w14:paraId="78342B63" w14:textId="5F9BA942" w:rsidR="001E45D0" w:rsidRDefault="00BD17F9" w:rsidP="00943316">
      <w:pPr>
        <w:pStyle w:val="Caption"/>
        <w:ind w:left="568" w:hanging="568"/>
      </w:pPr>
      <w:bookmarkStart w:id="551" w:name="_Toc50453230"/>
      <w:bookmarkStart w:id="552" w:name="_Toc52383062"/>
      <w:bookmarkStart w:id="553" w:name="_Toc57643651"/>
      <w:bookmarkStart w:id="554" w:name="_Toc70505597"/>
      <w:r>
        <w:lastRenderedPageBreak/>
        <w:t>A.2</w:t>
      </w:r>
      <w:r w:rsidR="001E45D0" w:rsidRPr="00695C93">
        <w:tab/>
      </w:r>
      <w:r w:rsidR="001E45D0">
        <w:t>Main contributor to a lack of uptake of universal design principles in new dwellings</w:t>
      </w:r>
      <w:bookmarkEnd w:id="551"/>
      <w:bookmarkEnd w:id="552"/>
      <w:bookmarkEnd w:id="553"/>
      <w:bookmarkEnd w:id="554"/>
    </w:p>
    <w:p w14:paraId="04717313" w14:textId="77777777" w:rsidR="001E45D0" w:rsidRPr="0056421D" w:rsidRDefault="00943316" w:rsidP="001E45D0">
      <w:pPr>
        <w:pStyle w:val="Note"/>
        <w:rPr>
          <w:iCs/>
        </w:rPr>
      </w:pPr>
      <w:r w:rsidRPr="0099231B">
        <w:rPr>
          <w:noProof/>
          <w:lang w:eastAsia="en-AU"/>
        </w:rPr>
        <w:drawing>
          <wp:inline distT="0" distB="0" distL="0" distR="0" wp14:anchorId="371E0E74" wp14:editId="171D43F9">
            <wp:extent cx="5013960" cy="2499360"/>
            <wp:effectExtent l="57150" t="57150" r="53340" b="53340"/>
            <wp:docPr id="12" name="Picture 12" descr="This graph shows the results of Question 14 in the consultation questionnaire. Many respondents did not answer this question. The main specified reasons given for the lack of uptake of universal design principles in new dwellings were buyers failing to think about their future accessibility needs and, equally, volume builders being reluctant to deviate from standard plans." title="Chart A.2: Main contributor to a lack of uptake of universal design principles in new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3960" cy="2499360"/>
                    </a:xfrm>
                    <a:prstGeom prst="rect">
                      <a:avLst/>
                    </a:prstGeom>
                    <a:noFill/>
                    <a:ln w="57150">
                      <a:solidFill>
                        <a:schemeClr val="bg2"/>
                      </a:solidFill>
                    </a:ln>
                  </pic:spPr>
                </pic:pic>
              </a:graphicData>
            </a:graphic>
          </wp:inline>
        </w:drawing>
      </w:r>
      <w:r w:rsidR="001E45D0" w:rsidRPr="0056421D">
        <w:rPr>
          <w:iCs/>
        </w:rPr>
        <w:t>Note: answer to Question 14</w:t>
      </w:r>
      <w:r w:rsidR="00CD1DA9">
        <w:rPr>
          <w:iCs/>
        </w:rPr>
        <w:t>.</w:t>
      </w:r>
    </w:p>
    <w:p w14:paraId="0F5847FE" w14:textId="77777777" w:rsidR="001E45D0" w:rsidRPr="0056421D" w:rsidRDefault="001E45D0" w:rsidP="001E45D0">
      <w:pPr>
        <w:pStyle w:val="Source"/>
        <w:rPr>
          <w:iCs/>
        </w:rPr>
      </w:pPr>
      <w:r w:rsidRPr="0056421D">
        <w:rPr>
          <w:iCs/>
        </w:rPr>
        <w:t>Data source: Consultation Hub</w:t>
      </w:r>
      <w:r w:rsidR="00CD1DA9">
        <w:rPr>
          <w:iCs/>
        </w:rPr>
        <w:t>.</w:t>
      </w:r>
    </w:p>
    <w:p w14:paraId="48CE9591" w14:textId="77777777" w:rsidR="001E45D0" w:rsidRPr="00F4477B" w:rsidRDefault="001E45D0" w:rsidP="00F4477B">
      <w:pPr>
        <w:pStyle w:val="Heading3-Appendix"/>
      </w:pPr>
      <w:r w:rsidRPr="00F4477B">
        <w:t>Other factors in general</w:t>
      </w:r>
    </w:p>
    <w:p w14:paraId="384CC1A7" w14:textId="6F621A1A" w:rsidR="001E45D0" w:rsidRDefault="001E45D0" w:rsidP="001E45D0">
      <w:pPr>
        <w:pStyle w:val="BodyText"/>
        <w:rPr>
          <w:lang w:bidi="fa-IR"/>
        </w:rPr>
      </w:pPr>
      <w:r>
        <w:rPr>
          <w:lang w:bidi="fa-IR"/>
        </w:rPr>
        <w:t>61 submissions indicated other barriers to the uptake</w:t>
      </w:r>
      <w:r w:rsidR="004427B6">
        <w:rPr>
          <w:lang w:bidi="fa-IR"/>
        </w:rPr>
        <w:t xml:space="preserve"> of universal design principles</w:t>
      </w:r>
      <w:r>
        <w:rPr>
          <w:lang w:bidi="fa-IR"/>
        </w:rPr>
        <w:t xml:space="preserve"> and 77 submissions provided more specific discussions to these barriers. Table </w:t>
      </w:r>
      <w:r w:rsidR="00DD5C35">
        <w:rPr>
          <w:lang w:bidi="fa-IR"/>
        </w:rPr>
        <w:t xml:space="preserve">A.3 </w:t>
      </w:r>
      <w:r>
        <w:rPr>
          <w:lang w:bidi="fa-IR"/>
        </w:rPr>
        <w:t>categorises these other factors.</w:t>
      </w:r>
    </w:p>
    <w:p w14:paraId="73AE05AC" w14:textId="23F9EF70" w:rsidR="001E45D0" w:rsidRDefault="00BD17F9" w:rsidP="00CD1DA9">
      <w:pPr>
        <w:pStyle w:val="Caption"/>
        <w:spacing w:before="240"/>
      </w:pPr>
      <w:bookmarkStart w:id="555" w:name="_Toc52383063"/>
      <w:bookmarkStart w:id="556" w:name="_Toc57643652"/>
      <w:bookmarkStart w:id="557" w:name="_Toc70505598"/>
      <w:r>
        <w:t>A.3</w:t>
      </w:r>
      <w:r w:rsidR="001E45D0" w:rsidRPr="00695C93">
        <w:tab/>
      </w:r>
      <w:r w:rsidR="001E45D0">
        <w:t xml:space="preserve">Other factors contributing to the </w:t>
      </w:r>
      <w:bookmarkEnd w:id="555"/>
      <w:bookmarkEnd w:id="556"/>
      <w:r w:rsidR="007B5078">
        <w:t>lack of accessible housing</w:t>
      </w:r>
      <w:bookmarkEnd w:id="557"/>
    </w:p>
    <w:tbl>
      <w:tblPr>
        <w:tblW w:w="7937" w:type="dxa"/>
        <w:tblLook w:val="04A0" w:firstRow="1" w:lastRow="0" w:firstColumn="1" w:lastColumn="0" w:noHBand="0" w:noVBand="1"/>
        <w:tblCaption w:val="Table A.3: Other factors contributing to the problem"/>
        <w:tblDescription w:val="Table A.3 lists other barriers to to the uptake of universal design principles in new builds. Most common reasons given were additional cost/affordability, government inaction, no demand/different needs, and industry problem."/>
      </w:tblPr>
      <w:tblGrid>
        <w:gridCol w:w="5455"/>
        <w:gridCol w:w="1169"/>
        <w:gridCol w:w="1313"/>
      </w:tblGrid>
      <w:tr w:rsidR="00696C70" w:rsidRPr="00CC5A97" w14:paraId="746490CF" w14:textId="77777777" w:rsidTr="00D13F4A">
        <w:trPr>
          <w:trHeight w:val="252"/>
          <w:tblHeader/>
        </w:trPr>
        <w:tc>
          <w:tcPr>
            <w:tcW w:w="5455" w:type="dxa"/>
            <w:tcBorders>
              <w:bottom w:val="single" w:sz="8" w:space="0" w:color="FFFFFF" w:themeColor="background1"/>
            </w:tcBorders>
            <w:shd w:val="clear" w:color="auto" w:fill="6F6652"/>
            <w:noWrap/>
            <w:tcMar>
              <w:left w:w="57" w:type="dxa"/>
              <w:right w:w="57" w:type="dxa"/>
            </w:tcMar>
            <w:hideMark/>
          </w:tcPr>
          <w:p w14:paraId="761C87CD" w14:textId="77777777" w:rsidR="00696C70" w:rsidRPr="00CC5A97" w:rsidRDefault="00696C70" w:rsidP="001E45D0">
            <w:pPr>
              <w:pStyle w:val="TableDataColumnHeading"/>
              <w:jc w:val="left"/>
            </w:pPr>
            <w:r w:rsidRPr="00CC5A97">
              <w:t>Factors</w:t>
            </w:r>
          </w:p>
        </w:tc>
        <w:tc>
          <w:tcPr>
            <w:tcW w:w="1169" w:type="dxa"/>
            <w:tcBorders>
              <w:bottom w:val="single" w:sz="8" w:space="0" w:color="FFFFFF" w:themeColor="background1"/>
            </w:tcBorders>
            <w:shd w:val="clear" w:color="auto" w:fill="6F6652"/>
            <w:noWrap/>
            <w:tcMar>
              <w:left w:w="57" w:type="dxa"/>
              <w:right w:w="57" w:type="dxa"/>
            </w:tcMar>
            <w:hideMark/>
          </w:tcPr>
          <w:p w14:paraId="3F92A81A" w14:textId="77777777" w:rsidR="00696C70" w:rsidRPr="00CC5A97" w:rsidRDefault="00696C70" w:rsidP="001E45D0">
            <w:pPr>
              <w:pStyle w:val="TableDataColumnHeading"/>
            </w:pPr>
            <w:r w:rsidRPr="00CC5A97">
              <w:t>Count</w:t>
            </w:r>
          </w:p>
        </w:tc>
        <w:tc>
          <w:tcPr>
            <w:tcW w:w="1313" w:type="dxa"/>
            <w:tcBorders>
              <w:bottom w:val="single" w:sz="8" w:space="0" w:color="FFFFFF" w:themeColor="background1"/>
            </w:tcBorders>
            <w:shd w:val="clear" w:color="auto" w:fill="6F6652"/>
            <w:noWrap/>
            <w:tcMar>
              <w:left w:w="57" w:type="dxa"/>
              <w:right w:w="57" w:type="dxa"/>
            </w:tcMar>
            <w:hideMark/>
          </w:tcPr>
          <w:p w14:paraId="7847C52F" w14:textId="77777777" w:rsidR="00696C70" w:rsidRPr="00CC5A97" w:rsidRDefault="00696C70" w:rsidP="001E45D0">
            <w:pPr>
              <w:pStyle w:val="TableDataColumnHeading"/>
            </w:pPr>
            <w:r w:rsidRPr="00CC5A97">
              <w:t>Percentage</w:t>
            </w:r>
          </w:p>
        </w:tc>
      </w:tr>
      <w:tr w:rsidR="001E45D0" w:rsidRPr="00CC5A97" w14:paraId="7476C880"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145567" w14:textId="77777777" w:rsidR="001E45D0" w:rsidRPr="00CC5A97" w:rsidRDefault="001E45D0" w:rsidP="001E45D0">
            <w:pPr>
              <w:pStyle w:val="TableDataEntries"/>
              <w:jc w:val="left"/>
            </w:pPr>
            <w:r w:rsidRPr="00CC5A97">
              <w:t>Additional cost/affordability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1D222B" w14:textId="77777777" w:rsidR="001E45D0" w:rsidRPr="00CC5A97" w:rsidRDefault="001E45D0" w:rsidP="001E45D0">
            <w:pPr>
              <w:pStyle w:val="TableDataEntries"/>
            </w:pPr>
            <w:r w:rsidRPr="00CC5A97">
              <w:t>37</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B4859E" w14:textId="77777777" w:rsidR="001E45D0" w:rsidRPr="00CC5A97" w:rsidRDefault="001E45D0" w:rsidP="001E45D0">
            <w:pPr>
              <w:pStyle w:val="TableDataEntries"/>
            </w:pPr>
            <w:r w:rsidRPr="00CC5A97">
              <w:t>25.9</w:t>
            </w:r>
          </w:p>
        </w:tc>
      </w:tr>
      <w:tr w:rsidR="001E45D0" w:rsidRPr="00CC5A97" w14:paraId="748AB802"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F6C8FE" w14:textId="77777777" w:rsidR="001E45D0" w:rsidRPr="00CC5A97" w:rsidRDefault="001E45D0" w:rsidP="001E45D0">
            <w:pPr>
              <w:pStyle w:val="TableDataEntries"/>
              <w:jc w:val="left"/>
            </w:pPr>
            <w:r w:rsidRPr="00CC5A97">
              <w:t>No demand/different needs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8980BB" w14:textId="77777777" w:rsidR="001E45D0" w:rsidRPr="00CC5A97" w:rsidRDefault="001E45D0" w:rsidP="001E45D0">
            <w:pPr>
              <w:pStyle w:val="TableDataEntries"/>
            </w:pPr>
            <w:r w:rsidRPr="00CC5A97">
              <w:t>17</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1C5236" w14:textId="77777777" w:rsidR="001E45D0" w:rsidRPr="00CC5A97" w:rsidRDefault="001E45D0" w:rsidP="001E45D0">
            <w:pPr>
              <w:pStyle w:val="TableDataEntries"/>
            </w:pPr>
            <w:r w:rsidRPr="00CC5A97">
              <w:t>11.9</w:t>
            </w:r>
          </w:p>
        </w:tc>
      </w:tr>
      <w:tr w:rsidR="00696C70" w:rsidRPr="00CC5A97" w14:paraId="073CB93F"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C20F21" w14:textId="77777777" w:rsidR="00696C70" w:rsidRPr="00CC5A97" w:rsidRDefault="00CF545D" w:rsidP="001E45D0">
            <w:pPr>
              <w:pStyle w:val="TableDataEntries"/>
              <w:jc w:val="left"/>
            </w:pPr>
            <w:r>
              <w:t>Other</w:t>
            </w:r>
            <w:r w:rsidR="00696C70" w:rsidRPr="00CC5A97">
              <w:t xml:space="preserve"> aspiration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CB15C5" w14:textId="77777777" w:rsidR="00696C70" w:rsidRPr="00CC5A97" w:rsidRDefault="00696C70" w:rsidP="001E45D0">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0EE38E" w14:textId="77777777" w:rsidR="00696C70" w:rsidRPr="00CC5A97" w:rsidRDefault="00696C70" w:rsidP="001E45D0">
            <w:pPr>
              <w:pStyle w:val="TableDataEntries"/>
            </w:pPr>
            <w:r w:rsidRPr="00CC5A97">
              <w:t>7.0</w:t>
            </w:r>
          </w:p>
        </w:tc>
      </w:tr>
      <w:tr w:rsidR="001E45D0" w:rsidRPr="00CC5A97" w14:paraId="3D71164F"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9B66A0" w14:textId="77777777" w:rsidR="001E45D0" w:rsidRPr="00CC5A97" w:rsidRDefault="001E45D0" w:rsidP="001E45D0">
            <w:pPr>
              <w:pStyle w:val="TableDataEntries"/>
              <w:jc w:val="left"/>
            </w:pPr>
            <w:r w:rsidRPr="00CC5A97">
              <w:t>Site constraint</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BCDF91" w14:textId="77777777" w:rsidR="001E45D0" w:rsidRPr="00CC5A97" w:rsidRDefault="001E45D0" w:rsidP="001E45D0">
            <w:pPr>
              <w:pStyle w:val="TableDataEntries"/>
            </w:pPr>
            <w:r w:rsidRPr="00CC5A97">
              <w:t>5</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D9968B" w14:textId="77777777" w:rsidR="001E45D0" w:rsidRPr="00CC5A97" w:rsidRDefault="001E45D0" w:rsidP="001E45D0">
            <w:pPr>
              <w:pStyle w:val="TableDataEntries"/>
            </w:pPr>
            <w:r w:rsidRPr="00CC5A97">
              <w:t>3.5</w:t>
            </w:r>
          </w:p>
        </w:tc>
      </w:tr>
      <w:tr w:rsidR="001E45D0" w:rsidRPr="00CC5A97" w14:paraId="7B98C46C"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7196F0" w14:textId="77777777" w:rsidR="001E45D0" w:rsidRPr="00CC5A97" w:rsidRDefault="001E45D0" w:rsidP="001E45D0">
            <w:pPr>
              <w:pStyle w:val="TableDataEntries"/>
              <w:jc w:val="left"/>
            </w:pPr>
            <w:r w:rsidRPr="00CC5A97">
              <w:t>Adverse perceptions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B83E8B" w14:textId="77777777" w:rsidR="001E45D0" w:rsidRPr="00CC5A97" w:rsidRDefault="001E45D0" w:rsidP="001E45D0">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442DAB" w14:textId="77777777" w:rsidR="001E45D0" w:rsidRPr="00CC5A97" w:rsidRDefault="001E45D0" w:rsidP="001E45D0">
            <w:pPr>
              <w:pStyle w:val="TableDataEntries"/>
            </w:pPr>
            <w:r w:rsidRPr="00CC5A97">
              <w:t>2.1</w:t>
            </w:r>
          </w:p>
        </w:tc>
      </w:tr>
      <w:tr w:rsidR="001E45D0" w:rsidRPr="00CC5A97" w14:paraId="68D64DF2"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B45221" w14:textId="77777777" w:rsidR="001E45D0" w:rsidRPr="00CC5A97" w:rsidRDefault="001E45D0" w:rsidP="001E45D0">
            <w:pPr>
              <w:pStyle w:val="TableDataEntries"/>
              <w:jc w:val="left"/>
            </w:pPr>
            <w:r w:rsidRPr="00CC5A97">
              <w:t>Lack of appeal of accessible fixtures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BF8F3C" w14:textId="77777777" w:rsidR="001E45D0" w:rsidRPr="00CC5A97" w:rsidRDefault="001E45D0" w:rsidP="001E45D0">
            <w:pPr>
              <w:pStyle w:val="TableDataEntries"/>
            </w:pPr>
            <w:r w:rsidRPr="00CC5A97">
              <w:t>9</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E6C312" w14:textId="77777777" w:rsidR="001E45D0" w:rsidRPr="00CC5A97" w:rsidRDefault="001E45D0" w:rsidP="001E45D0">
            <w:pPr>
              <w:pStyle w:val="TableDataEntries"/>
            </w:pPr>
            <w:r w:rsidRPr="00CC5A97">
              <w:t>6.3</w:t>
            </w:r>
          </w:p>
        </w:tc>
      </w:tr>
      <w:tr w:rsidR="001E45D0" w:rsidRPr="00CC5A97" w14:paraId="4646E7D2"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7936E7" w14:textId="77777777" w:rsidR="001E45D0" w:rsidRPr="00CC5A97" w:rsidRDefault="001E45D0" w:rsidP="001E45D0">
            <w:pPr>
              <w:pStyle w:val="TableDataEntries"/>
              <w:jc w:val="left"/>
            </w:pPr>
            <w:r w:rsidRPr="00CC5A97">
              <w:t>Government inaction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3BE44E" w14:textId="77777777" w:rsidR="001E45D0" w:rsidRPr="00CC5A97" w:rsidRDefault="001E45D0" w:rsidP="001E45D0">
            <w:pPr>
              <w:pStyle w:val="TableDataEntries"/>
            </w:pPr>
            <w:r w:rsidRPr="00CC5A97">
              <w:t>18</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B25A82" w14:textId="77777777" w:rsidR="001E45D0" w:rsidRPr="00CC5A97" w:rsidRDefault="001E45D0" w:rsidP="001E45D0">
            <w:pPr>
              <w:pStyle w:val="TableDataEntries"/>
            </w:pPr>
            <w:r w:rsidRPr="00CC5A97">
              <w:t>12.6</w:t>
            </w:r>
          </w:p>
        </w:tc>
      </w:tr>
      <w:tr w:rsidR="001E45D0" w:rsidRPr="00CC5A97" w14:paraId="4ACA19C8"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83EC7" w14:textId="77777777" w:rsidR="001E45D0" w:rsidRPr="00CC5A97" w:rsidRDefault="001E45D0" w:rsidP="001E45D0">
            <w:pPr>
              <w:pStyle w:val="TableDataEntries"/>
              <w:jc w:val="left"/>
            </w:pPr>
            <w:r w:rsidRPr="00CC5A97">
              <w:t>Co</w:t>
            </w:r>
            <w:r>
              <w:t>n</w:t>
            </w:r>
            <w:r w:rsidRPr="00CC5A97">
              <w:t>flict with other regulations/requirements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CD29D0" w14:textId="77777777" w:rsidR="001E45D0" w:rsidRPr="00CC5A97" w:rsidRDefault="001E45D0" w:rsidP="001E45D0">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CA0260" w14:textId="77777777" w:rsidR="001E45D0" w:rsidRPr="00CC5A97" w:rsidRDefault="001E45D0" w:rsidP="001E45D0">
            <w:pPr>
              <w:pStyle w:val="TableDataEntries"/>
            </w:pPr>
            <w:r w:rsidRPr="00CC5A97">
              <w:t>2.1</w:t>
            </w:r>
          </w:p>
        </w:tc>
      </w:tr>
      <w:tr w:rsidR="00696C70" w:rsidRPr="00CC5A97" w14:paraId="6D3063FE"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4BDFB4" w14:textId="77777777" w:rsidR="00696C70" w:rsidRPr="00CC5A97" w:rsidRDefault="00696C70" w:rsidP="001E45D0">
            <w:pPr>
              <w:pStyle w:val="TableDataEntries"/>
              <w:jc w:val="left"/>
            </w:pPr>
            <w:r w:rsidRPr="00CC5A97">
              <w:t>Lack of community awareness</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D1D242" w14:textId="77777777" w:rsidR="00696C70" w:rsidRPr="00CC5A97" w:rsidRDefault="00696C70" w:rsidP="001E45D0">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7C0DF5" w14:textId="77777777" w:rsidR="00696C70" w:rsidRPr="00CC5A97" w:rsidRDefault="00696C70" w:rsidP="001E45D0">
            <w:pPr>
              <w:pStyle w:val="TableDataEntries"/>
            </w:pPr>
            <w:r w:rsidRPr="00CC5A97">
              <w:t>7.0</w:t>
            </w:r>
          </w:p>
        </w:tc>
      </w:tr>
      <w:tr w:rsidR="00696C70" w:rsidRPr="00CC5A97" w14:paraId="11056596"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78E801" w14:textId="77777777" w:rsidR="00696C70" w:rsidRPr="00CC5A97" w:rsidRDefault="00696C70" w:rsidP="001E45D0">
            <w:pPr>
              <w:pStyle w:val="TableDataEntries"/>
              <w:jc w:val="left"/>
            </w:pPr>
            <w:r w:rsidRPr="00CC5A97">
              <w:t>Information problem</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695B62" w14:textId="77777777" w:rsidR="00696C70" w:rsidRPr="00CC5A97" w:rsidRDefault="00696C70" w:rsidP="001E45D0">
            <w:pPr>
              <w:pStyle w:val="TableDataEntries"/>
            </w:pPr>
            <w:r w:rsidRPr="00CC5A97">
              <w:t>10</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E3A388" w14:textId="77777777" w:rsidR="00696C70" w:rsidRPr="00CC5A97" w:rsidRDefault="00696C70" w:rsidP="001E45D0">
            <w:pPr>
              <w:pStyle w:val="TableDataEntries"/>
            </w:pPr>
            <w:r w:rsidRPr="00CC5A97">
              <w:t>7.0</w:t>
            </w:r>
          </w:p>
        </w:tc>
      </w:tr>
      <w:tr w:rsidR="001E45D0" w:rsidRPr="00CC5A97" w14:paraId="25EFBFC6" w14:textId="77777777" w:rsidTr="001E45D0">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16E26B" w14:textId="77777777" w:rsidR="001E45D0" w:rsidRPr="00CC5A97" w:rsidRDefault="001E45D0" w:rsidP="001E45D0">
            <w:pPr>
              <w:pStyle w:val="TableDataEntries"/>
              <w:jc w:val="left"/>
            </w:pPr>
            <w:r w:rsidRPr="00CC5A97">
              <w:t>Industry problem</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F8DBD1" w14:textId="77777777" w:rsidR="001E45D0" w:rsidRPr="00CC5A97" w:rsidRDefault="001E45D0" w:rsidP="001E45D0">
            <w:pPr>
              <w:pStyle w:val="TableDataEntries"/>
            </w:pPr>
            <w:r w:rsidRPr="00CC5A97">
              <w:t>14</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15BC90" w14:textId="77777777" w:rsidR="001E45D0" w:rsidRPr="00CC5A97" w:rsidRDefault="001E45D0" w:rsidP="001E45D0">
            <w:pPr>
              <w:pStyle w:val="TableDataEntries"/>
            </w:pPr>
            <w:r w:rsidRPr="00CC5A97">
              <w:t>9.8</w:t>
            </w:r>
          </w:p>
        </w:tc>
      </w:tr>
      <w:tr w:rsidR="00696C70" w:rsidRPr="00CC5A97" w14:paraId="7E701235"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9CD223" w14:textId="77777777" w:rsidR="00696C70" w:rsidRPr="00CC5A97" w:rsidRDefault="00696C70" w:rsidP="001E45D0">
            <w:pPr>
              <w:pStyle w:val="TableDataEntries"/>
              <w:jc w:val="left"/>
            </w:pPr>
            <w:r w:rsidRPr="00CC5A97">
              <w:t>Limited choice</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36864C" w14:textId="77777777" w:rsidR="00696C70" w:rsidRPr="00CC5A97" w:rsidRDefault="00696C70" w:rsidP="001E45D0">
            <w:pPr>
              <w:pStyle w:val="TableDataEntries"/>
            </w:pPr>
            <w:r w:rsidRPr="00CC5A97">
              <w:t>3</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CAD592" w14:textId="77777777" w:rsidR="00696C70" w:rsidRPr="00CC5A97" w:rsidRDefault="00696C70" w:rsidP="001E45D0">
            <w:pPr>
              <w:pStyle w:val="TableDataEntries"/>
            </w:pPr>
            <w:r w:rsidRPr="00CC5A97">
              <w:t>2.1</w:t>
            </w:r>
          </w:p>
        </w:tc>
      </w:tr>
      <w:tr w:rsidR="00696C70" w:rsidRPr="00CC5A97" w14:paraId="10EC7BAF"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778918" w14:textId="77777777" w:rsidR="00696C70" w:rsidRPr="00CC5A97" w:rsidRDefault="00696C70" w:rsidP="001E45D0">
            <w:pPr>
              <w:pStyle w:val="TableDataEntries"/>
              <w:jc w:val="left"/>
            </w:pPr>
            <w:r w:rsidRPr="00CC5A97">
              <w:t>Social connection</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D331B8" w14:textId="77777777" w:rsidR="00696C70" w:rsidRPr="00CC5A97" w:rsidRDefault="00696C70" w:rsidP="001E45D0">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2704B5" w14:textId="77777777" w:rsidR="00696C70" w:rsidRPr="00CC5A97" w:rsidRDefault="00696C70" w:rsidP="001E45D0">
            <w:pPr>
              <w:pStyle w:val="TableDataEntries"/>
            </w:pPr>
            <w:r w:rsidRPr="00CC5A97">
              <w:t>0.7</w:t>
            </w:r>
          </w:p>
        </w:tc>
      </w:tr>
      <w:tr w:rsidR="00696C70" w:rsidRPr="00CC5A97" w14:paraId="272C0830"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51A50A" w14:textId="77777777" w:rsidR="00696C70" w:rsidRPr="00CC5A97" w:rsidRDefault="00696C70" w:rsidP="001E45D0">
            <w:pPr>
              <w:pStyle w:val="TableDataEntries"/>
              <w:jc w:val="left"/>
            </w:pPr>
            <w:r w:rsidRPr="00CC5A97">
              <w:t>Not sufficiently insured</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3560E0" w14:textId="77777777" w:rsidR="00696C70" w:rsidRPr="00CC5A97" w:rsidRDefault="00696C70" w:rsidP="001E45D0">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D24EF6" w14:textId="77777777" w:rsidR="00696C70" w:rsidRPr="00CC5A97" w:rsidRDefault="00696C70" w:rsidP="001E45D0">
            <w:pPr>
              <w:pStyle w:val="TableDataEntries"/>
            </w:pPr>
            <w:r w:rsidRPr="00CC5A97">
              <w:t>0.7</w:t>
            </w:r>
          </w:p>
        </w:tc>
      </w:tr>
      <w:tr w:rsidR="00696C70" w:rsidRPr="00CC5A97" w14:paraId="51A30C3E"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42E497" w14:textId="77777777" w:rsidR="00696C70" w:rsidRPr="00CC5A97" w:rsidRDefault="00696C70" w:rsidP="001E45D0">
            <w:pPr>
              <w:pStyle w:val="TableDataEntries"/>
              <w:jc w:val="left"/>
            </w:pPr>
            <w:r w:rsidRPr="00CC5A97">
              <w:t>Stamp duty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4855D1" w14:textId="77777777" w:rsidR="00696C70" w:rsidRPr="00CC5A97" w:rsidRDefault="00696C70" w:rsidP="001E45D0">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10E80E" w14:textId="77777777" w:rsidR="00696C70" w:rsidRPr="00CC5A97" w:rsidRDefault="00696C70" w:rsidP="001E45D0">
            <w:pPr>
              <w:pStyle w:val="TableDataEntries"/>
            </w:pPr>
            <w:r w:rsidRPr="00CC5A97">
              <w:t>0.7</w:t>
            </w:r>
          </w:p>
        </w:tc>
      </w:tr>
      <w:tr w:rsidR="00696C70" w:rsidRPr="00CC5A97" w14:paraId="5E06660B" w14:textId="77777777" w:rsidTr="00D13F4A">
        <w:trPr>
          <w:trHeight w:val="252"/>
        </w:trPr>
        <w:tc>
          <w:tcPr>
            <w:tcW w:w="5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199856" w14:textId="77777777" w:rsidR="00696C70" w:rsidRPr="00CC5A97" w:rsidRDefault="00696C70" w:rsidP="001E45D0">
            <w:pPr>
              <w:pStyle w:val="TableDataEntries"/>
              <w:jc w:val="left"/>
            </w:pPr>
            <w:r w:rsidRPr="00CC5A97">
              <w:t>Lack of long-term lease security</w:t>
            </w:r>
          </w:p>
        </w:tc>
        <w:tc>
          <w:tcPr>
            <w:tcW w:w="11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61813" w14:textId="77777777" w:rsidR="00696C70" w:rsidRPr="00CC5A97" w:rsidRDefault="00696C70" w:rsidP="001E45D0">
            <w:pPr>
              <w:pStyle w:val="TableDataEntries"/>
            </w:pPr>
            <w:r w:rsidRPr="00CC5A97">
              <w:t>1</w:t>
            </w:r>
          </w:p>
        </w:tc>
        <w:tc>
          <w:tcPr>
            <w:tcW w:w="131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065C0F" w14:textId="77777777" w:rsidR="00696C70" w:rsidRPr="00CC5A97" w:rsidRDefault="00696C70" w:rsidP="001E45D0">
            <w:pPr>
              <w:pStyle w:val="TableDataEntries"/>
            </w:pPr>
            <w:r w:rsidRPr="00CC5A97">
              <w:t>0.7</w:t>
            </w:r>
          </w:p>
        </w:tc>
      </w:tr>
      <w:tr w:rsidR="00696C70" w:rsidRPr="00CC5A97" w14:paraId="7589153D" w14:textId="77777777" w:rsidTr="00D13F4A">
        <w:trPr>
          <w:trHeight w:val="252"/>
        </w:trPr>
        <w:tc>
          <w:tcPr>
            <w:tcW w:w="545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6858F7C" w14:textId="77777777" w:rsidR="00696C70" w:rsidRPr="00CC5A97" w:rsidRDefault="00696C70" w:rsidP="001E45D0">
            <w:pPr>
              <w:pStyle w:val="TableDataEntries"/>
              <w:jc w:val="left"/>
              <w:rPr>
                <w:rFonts w:ascii="Franklin Gothic Demi" w:hAnsi="Franklin Gothic Demi"/>
              </w:rPr>
            </w:pPr>
            <w:r w:rsidRPr="00CC5A97">
              <w:rPr>
                <w:rFonts w:ascii="Franklin Gothic Demi" w:hAnsi="Franklin Gothic Demi"/>
              </w:rPr>
              <w:t>Total</w:t>
            </w:r>
          </w:p>
        </w:tc>
        <w:tc>
          <w:tcPr>
            <w:tcW w:w="116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CDE5992" w14:textId="77777777" w:rsidR="00696C70" w:rsidRPr="00CC5A97" w:rsidRDefault="00696C70" w:rsidP="001E45D0">
            <w:pPr>
              <w:pStyle w:val="TableDataEntries"/>
              <w:rPr>
                <w:rFonts w:ascii="Franklin Gothic Demi" w:hAnsi="Franklin Gothic Demi"/>
              </w:rPr>
            </w:pPr>
            <w:r w:rsidRPr="00CC5A97">
              <w:rPr>
                <w:rFonts w:ascii="Franklin Gothic Demi" w:hAnsi="Franklin Gothic Demi"/>
              </w:rPr>
              <w:t>143</w:t>
            </w:r>
          </w:p>
        </w:tc>
        <w:tc>
          <w:tcPr>
            <w:tcW w:w="131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91F017E" w14:textId="77777777" w:rsidR="00696C70" w:rsidRPr="00CC5A97" w:rsidRDefault="00696C70" w:rsidP="001E45D0">
            <w:pPr>
              <w:pStyle w:val="TableDataEntries"/>
              <w:rPr>
                <w:rFonts w:ascii="Franklin Gothic Demi" w:hAnsi="Franklin Gothic Demi"/>
              </w:rPr>
            </w:pPr>
            <w:r w:rsidRPr="00CC5A97">
              <w:rPr>
                <w:rFonts w:ascii="Franklin Gothic Demi" w:hAnsi="Franklin Gothic Demi"/>
              </w:rPr>
              <w:t>100.0</w:t>
            </w:r>
          </w:p>
        </w:tc>
      </w:tr>
    </w:tbl>
    <w:p w14:paraId="2700B687" w14:textId="77777777" w:rsidR="001E45D0" w:rsidRDefault="001E45D0" w:rsidP="001E45D0">
      <w:pPr>
        <w:pStyle w:val="Source"/>
        <w:rPr>
          <w:lang w:bidi="fa-IR"/>
        </w:rPr>
      </w:pPr>
      <w:r w:rsidRPr="00CC5A97">
        <w:rPr>
          <w:i/>
          <w:lang w:bidi="fa-IR"/>
        </w:rPr>
        <w:t>Source:</w:t>
      </w:r>
      <w:r>
        <w:rPr>
          <w:lang w:bidi="fa-IR"/>
        </w:rPr>
        <w:t xml:space="preserve"> CIE compilation based on submissions</w:t>
      </w:r>
      <w:r w:rsidR="00CD1DA9">
        <w:rPr>
          <w:lang w:bidi="fa-IR"/>
        </w:rPr>
        <w:t>.</w:t>
      </w:r>
    </w:p>
    <w:p w14:paraId="61672C23" w14:textId="77777777" w:rsidR="001E45D0" w:rsidRPr="00F4477B" w:rsidRDefault="001E45D0" w:rsidP="00F4477B">
      <w:pPr>
        <w:pStyle w:val="Heading3-Appendix"/>
      </w:pPr>
      <w:r w:rsidRPr="00F4477B">
        <w:lastRenderedPageBreak/>
        <w:t>Higher cost and affordability</w:t>
      </w:r>
    </w:p>
    <w:p w14:paraId="4E15256A" w14:textId="77777777" w:rsidR="001E45D0" w:rsidRDefault="001E45D0" w:rsidP="001E45D0">
      <w:pPr>
        <w:pStyle w:val="BodyText"/>
        <w:rPr>
          <w:lang w:bidi="fa-IR"/>
        </w:rPr>
      </w:pPr>
      <w:r>
        <w:rPr>
          <w:lang w:bidi="fa-IR"/>
        </w:rPr>
        <w:t xml:space="preserve">High cost </w:t>
      </w:r>
      <w:r w:rsidR="001854BE">
        <w:rPr>
          <w:lang w:bidi="fa-IR"/>
        </w:rPr>
        <w:t xml:space="preserve">of construction </w:t>
      </w:r>
      <w:r>
        <w:rPr>
          <w:lang w:bidi="fa-IR"/>
        </w:rPr>
        <w:t>accounts for one quarter of the other barriers mentioned by submissions.</w:t>
      </w:r>
    </w:p>
    <w:p w14:paraId="1C492029" w14:textId="77777777" w:rsidR="001E45D0" w:rsidRDefault="001E45D0" w:rsidP="001E45D0">
      <w:pPr>
        <w:pStyle w:val="BodyText"/>
        <w:rPr>
          <w:lang w:bidi="fa-IR"/>
        </w:rPr>
      </w:pPr>
      <w:r>
        <w:rPr>
          <w:lang w:bidi="fa-IR"/>
        </w:rPr>
        <w:t>Most people including</w:t>
      </w:r>
      <w:r w:rsidR="001854BE">
        <w:rPr>
          <w:lang w:bidi="fa-IR"/>
        </w:rPr>
        <w:t xml:space="preserve"> home</w:t>
      </w:r>
      <w:r>
        <w:rPr>
          <w:lang w:bidi="fa-IR"/>
        </w:rPr>
        <w:t xml:space="preserve"> buyers and the industry perceive that universal design principles will put severe economic pressure on land and building. </w:t>
      </w:r>
      <w:r w:rsidR="00443896">
        <w:rPr>
          <w:lang w:bidi="fa-IR"/>
        </w:rPr>
        <w:t>As one submission stated</w:t>
      </w:r>
      <w:r w:rsidR="00F41B40">
        <w:rPr>
          <w:lang w:bidi="fa-IR"/>
        </w:rPr>
        <w:t xml:space="preserve">, </w:t>
      </w:r>
      <w:r>
        <w:rPr>
          <w:lang w:bidi="fa-IR"/>
        </w:rPr>
        <w:t>‘</w:t>
      </w:r>
      <w:r w:rsidR="0093625F">
        <w:rPr>
          <w:lang w:bidi="fa-IR"/>
        </w:rPr>
        <w:t>y</w:t>
      </w:r>
      <w:r w:rsidRPr="001E0A0C">
        <w:rPr>
          <w:lang w:bidi="fa-IR"/>
        </w:rPr>
        <w:t>ou get substantially less usable building function in the same space and it costs you more money.</w:t>
      </w:r>
      <w:r>
        <w:rPr>
          <w:lang w:bidi="fa-IR"/>
        </w:rPr>
        <w:t>’</w:t>
      </w:r>
      <w:r w:rsidR="00055392">
        <w:rPr>
          <w:rStyle w:val="FootnoteReference"/>
          <w:lang w:bidi="fa-IR"/>
        </w:rPr>
        <w:footnoteReference w:id="308"/>
      </w:r>
      <w:r>
        <w:rPr>
          <w:lang w:bidi="fa-IR"/>
        </w:rPr>
        <w:t xml:space="preserve"> </w:t>
      </w:r>
    </w:p>
    <w:p w14:paraId="3C6397C4" w14:textId="77777777" w:rsidR="001E45D0" w:rsidRDefault="001E45D0" w:rsidP="001E45D0">
      <w:pPr>
        <w:pStyle w:val="BodyText"/>
        <w:rPr>
          <w:lang w:bidi="fa-IR"/>
        </w:rPr>
      </w:pPr>
      <w:r>
        <w:rPr>
          <w:lang w:bidi="fa-IR"/>
        </w:rPr>
        <w:t>S</w:t>
      </w:r>
      <w:r w:rsidR="00713E56">
        <w:rPr>
          <w:lang w:bidi="fa-IR"/>
        </w:rPr>
        <w:t>ome submissions suggested that s</w:t>
      </w:r>
      <w:r>
        <w:rPr>
          <w:lang w:bidi="fa-IR"/>
        </w:rPr>
        <w:t xml:space="preserve">ome </w:t>
      </w:r>
      <w:r w:rsidR="006508EF">
        <w:rPr>
          <w:lang w:bidi="fa-IR"/>
        </w:rPr>
        <w:t xml:space="preserve">people have the </w:t>
      </w:r>
      <w:r>
        <w:rPr>
          <w:lang w:bidi="fa-IR"/>
        </w:rPr>
        <w:t>perce</w:t>
      </w:r>
      <w:r w:rsidR="006508EF">
        <w:rPr>
          <w:lang w:bidi="fa-IR"/>
        </w:rPr>
        <w:t>ption</w:t>
      </w:r>
      <w:r>
        <w:rPr>
          <w:lang w:bidi="fa-IR"/>
        </w:rPr>
        <w:t xml:space="preserve"> that accessible features of a new dwelling </w:t>
      </w:r>
      <w:r w:rsidR="006508EF">
        <w:rPr>
          <w:lang w:bidi="fa-IR"/>
        </w:rPr>
        <w:t>ar</w:t>
      </w:r>
      <w:r>
        <w:rPr>
          <w:lang w:bidi="fa-IR"/>
        </w:rPr>
        <w:t>e cost prohibitive, and unnecessary at their particular stage of life.</w:t>
      </w:r>
    </w:p>
    <w:p w14:paraId="53C20FFF" w14:textId="77777777" w:rsidR="001E45D0" w:rsidRDefault="006E324D" w:rsidP="001E45D0">
      <w:pPr>
        <w:pStyle w:val="BodyText"/>
        <w:rPr>
          <w:lang w:bidi="fa-IR"/>
        </w:rPr>
      </w:pPr>
      <w:r>
        <w:rPr>
          <w:lang w:bidi="fa-IR"/>
        </w:rPr>
        <w:t>Some submissions noted that p</w:t>
      </w:r>
      <w:r w:rsidR="001E45D0">
        <w:rPr>
          <w:lang w:bidi="fa-IR"/>
        </w:rPr>
        <w:t xml:space="preserve">eople are very conscious of costs. As pointed out by </w:t>
      </w:r>
      <w:r w:rsidR="00707DBC">
        <w:rPr>
          <w:lang w:bidi="fa-IR"/>
        </w:rPr>
        <w:t>Environmental Design</w:t>
      </w:r>
      <w:r w:rsidR="001E45D0">
        <w:rPr>
          <w:lang w:bidi="fa-IR"/>
        </w:rPr>
        <w:t xml:space="preserve"> in answering Question </w:t>
      </w:r>
      <w:r w:rsidR="00AD2EE2">
        <w:rPr>
          <w:lang w:bidi="fa-IR"/>
        </w:rPr>
        <w:t>13</w:t>
      </w:r>
      <w:r w:rsidR="001E45D0">
        <w:rPr>
          <w:lang w:bidi="fa-IR"/>
        </w:rPr>
        <w:t xml:space="preserve"> relating </w:t>
      </w:r>
      <w:r w:rsidR="00713E56">
        <w:rPr>
          <w:lang w:bidi="fa-IR"/>
        </w:rPr>
        <w:t xml:space="preserve">to </w:t>
      </w:r>
      <w:r w:rsidR="001E45D0">
        <w:rPr>
          <w:lang w:bidi="fa-IR"/>
        </w:rPr>
        <w:t>home modification, $500 to $1</w:t>
      </w:r>
      <w:r w:rsidR="00B43CCB">
        <w:rPr>
          <w:lang w:bidi="fa-IR"/>
        </w:rPr>
        <w:t xml:space="preserve"> </w:t>
      </w:r>
      <w:r w:rsidR="001E45D0">
        <w:rPr>
          <w:lang w:bidi="fa-IR"/>
        </w:rPr>
        <w:t xml:space="preserve">000 cost difference could change one’s opinion on the house </w:t>
      </w:r>
      <w:r w:rsidR="00850F28">
        <w:rPr>
          <w:lang w:bidi="fa-IR"/>
        </w:rPr>
        <w:t>choice</w:t>
      </w:r>
      <w:r w:rsidR="001E45D0">
        <w:rPr>
          <w:lang w:bidi="fa-IR"/>
        </w:rPr>
        <w:t>.</w:t>
      </w:r>
      <w:r w:rsidR="00AD2EE2">
        <w:rPr>
          <w:rStyle w:val="FootnoteReference"/>
          <w:lang w:bidi="fa-IR"/>
        </w:rPr>
        <w:footnoteReference w:id="309"/>
      </w:r>
    </w:p>
    <w:p w14:paraId="56EC82A7" w14:textId="77777777" w:rsidR="001E45D0" w:rsidRDefault="00CD31AE" w:rsidP="001E45D0">
      <w:pPr>
        <w:pStyle w:val="BodyText"/>
        <w:rPr>
          <w:lang w:bidi="fa-IR"/>
        </w:rPr>
      </w:pPr>
      <w:r w:rsidRPr="00ED57C3">
        <w:rPr>
          <w:lang w:bidi="fa-IR"/>
        </w:rPr>
        <w:t>One</w:t>
      </w:r>
      <w:r w:rsidR="001E45D0" w:rsidRPr="00ED57C3">
        <w:rPr>
          <w:lang w:bidi="fa-IR"/>
        </w:rPr>
        <w:t xml:space="preserve"> submission cited a survey of older home owners, which found around a third (34 per</w:t>
      </w:r>
      <w:r w:rsidR="001E45D0" w:rsidRPr="00844512">
        <w:rPr>
          <w:lang w:bidi="fa-IR"/>
        </w:rPr>
        <w:t xml:space="preserve"> cent) had made modifications to their house to make it safer or easier to use, with the most common modifications being grab rails, modified bathrooms or stairs. When asked if they would be able to pay for necessary modifications only a little over half indicated they would, 35 per cent were uncertain and 11 per cent said they could not. Ability to pay was even more constrained for lower income groups (Judd et al. 2010).</w:t>
      </w:r>
    </w:p>
    <w:p w14:paraId="4A5D126A" w14:textId="77777777" w:rsidR="001E45D0" w:rsidRDefault="00DA5E37" w:rsidP="001E45D0">
      <w:pPr>
        <w:pStyle w:val="BodyText"/>
        <w:rPr>
          <w:lang w:bidi="fa-IR"/>
        </w:rPr>
      </w:pPr>
      <w:r w:rsidRPr="005E4B2D">
        <w:rPr>
          <w:lang w:bidi="fa-IR"/>
        </w:rPr>
        <w:t>The same submission</w:t>
      </w:r>
      <w:r w:rsidR="001E45D0" w:rsidRPr="005E4B2D">
        <w:rPr>
          <w:lang w:bidi="fa-IR"/>
        </w:rPr>
        <w:t xml:space="preserve"> also suggested that significant sunk costs in their existing accommodation are an important factor preventing people from moving even if their</w:t>
      </w:r>
      <w:r w:rsidR="001E45D0">
        <w:rPr>
          <w:lang w:bidi="fa-IR"/>
        </w:rPr>
        <w:t xml:space="preserve"> present housing is inappropriate. </w:t>
      </w:r>
      <w:r w:rsidR="00D25342" w:rsidRPr="00A060B6">
        <w:rPr>
          <w:lang w:bidi="fa-IR"/>
        </w:rPr>
        <w:t>Citing</w:t>
      </w:r>
      <w:r w:rsidR="000D588B" w:rsidRPr="00A060B6">
        <w:rPr>
          <w:lang w:bidi="fa-IR"/>
        </w:rPr>
        <w:t xml:space="preserve"> a</w:t>
      </w:r>
      <w:r w:rsidR="00D25342" w:rsidRPr="00A060B6">
        <w:rPr>
          <w:lang w:bidi="fa-IR"/>
        </w:rPr>
        <w:t xml:space="preserve"> study by Beer and Faulkner (2009), the submission </w:t>
      </w:r>
      <w:r w:rsidR="00FC25DB" w:rsidRPr="00A060B6">
        <w:rPr>
          <w:lang w:bidi="fa-IR"/>
        </w:rPr>
        <w:t>no</w:t>
      </w:r>
      <w:r w:rsidR="00D25342" w:rsidRPr="00A060B6">
        <w:rPr>
          <w:lang w:bidi="fa-IR"/>
        </w:rPr>
        <w:t xml:space="preserve">ted that </w:t>
      </w:r>
      <w:r w:rsidR="00733EE0">
        <w:rPr>
          <w:lang w:bidi="fa-IR"/>
        </w:rPr>
        <w:t>42 per cent of</w:t>
      </w:r>
      <w:r w:rsidR="001E45D0" w:rsidRPr="00A060B6">
        <w:rPr>
          <w:lang w:bidi="fa-IR"/>
        </w:rPr>
        <w:t xml:space="preserve"> peop</w:t>
      </w:r>
      <w:r w:rsidR="001E45D0" w:rsidRPr="00931729">
        <w:rPr>
          <w:lang w:bidi="fa-IR"/>
        </w:rPr>
        <w:t xml:space="preserve">le with mobility impairments had not moved house for over a decade and a further 29 per cent had only made one move. Despite this, around one fifth felt their present house did not meet their needs, </w:t>
      </w:r>
      <w:r w:rsidR="00EB1FC1">
        <w:rPr>
          <w:lang w:bidi="fa-IR"/>
        </w:rPr>
        <w:t xml:space="preserve">with </w:t>
      </w:r>
      <w:r w:rsidR="001E45D0" w:rsidRPr="00931729">
        <w:rPr>
          <w:lang w:bidi="fa-IR"/>
        </w:rPr>
        <w:t>almost 30 per cent feeling the house would not meet future needs.</w:t>
      </w:r>
    </w:p>
    <w:p w14:paraId="6F984CDD" w14:textId="77777777" w:rsidR="001E45D0" w:rsidRDefault="001E45D0" w:rsidP="001E45D0">
      <w:pPr>
        <w:pStyle w:val="BodyText"/>
        <w:rPr>
          <w:lang w:bidi="fa-IR"/>
        </w:rPr>
      </w:pPr>
      <w:r>
        <w:rPr>
          <w:lang w:bidi="fa-IR"/>
        </w:rPr>
        <w:t xml:space="preserve">It should be noted that some submissions mentioned the cost factor in a totally different way. </w:t>
      </w:r>
    </w:p>
    <w:p w14:paraId="40C9AAC1" w14:textId="77777777" w:rsidR="00C55332" w:rsidRDefault="00D25342" w:rsidP="001E45D0">
      <w:pPr>
        <w:pStyle w:val="BodyText"/>
        <w:rPr>
          <w:lang w:bidi="fa-IR"/>
        </w:rPr>
      </w:pPr>
      <w:r>
        <w:rPr>
          <w:lang w:bidi="fa-IR"/>
        </w:rPr>
        <w:t>One</w:t>
      </w:r>
      <w:r w:rsidR="001E45D0">
        <w:rPr>
          <w:lang w:bidi="fa-IR"/>
        </w:rPr>
        <w:t xml:space="preserve"> submission argued that it is a misunderstanding that universal design costs more – ‘</w:t>
      </w:r>
      <w:r w:rsidR="001E45D0" w:rsidRPr="001E0A0C">
        <w:rPr>
          <w:lang w:bidi="fa-IR"/>
        </w:rPr>
        <w:t>when integrated it needn’t cost more</w:t>
      </w:r>
      <w:r w:rsidR="001E45D0">
        <w:rPr>
          <w:lang w:bidi="fa-IR"/>
        </w:rPr>
        <w:t>’</w:t>
      </w:r>
      <w:r w:rsidR="001E45D0" w:rsidRPr="0033630B">
        <w:rPr>
          <w:lang w:bidi="fa-IR"/>
        </w:rPr>
        <w:t>.</w:t>
      </w:r>
      <w:r w:rsidR="00EB505D">
        <w:rPr>
          <w:rStyle w:val="FootnoteReference"/>
          <w:lang w:bidi="fa-IR"/>
        </w:rPr>
        <w:footnoteReference w:id="310"/>
      </w:r>
    </w:p>
    <w:p w14:paraId="13A87A52" w14:textId="77777777" w:rsidR="001E45D0" w:rsidRDefault="009C1E6B" w:rsidP="001E45D0">
      <w:pPr>
        <w:pStyle w:val="BodyText"/>
        <w:rPr>
          <w:lang w:bidi="fa-IR"/>
        </w:rPr>
      </w:pPr>
      <w:r>
        <w:rPr>
          <w:lang w:bidi="fa-IR"/>
        </w:rPr>
        <w:t xml:space="preserve">The </w:t>
      </w:r>
      <w:r w:rsidR="00AD75DD">
        <w:rPr>
          <w:lang w:bidi="fa-IR"/>
        </w:rPr>
        <w:t>Centre for Universal Design Australia (</w:t>
      </w:r>
      <w:r w:rsidR="001E45D0" w:rsidRPr="0033630B">
        <w:rPr>
          <w:lang w:bidi="fa-IR"/>
        </w:rPr>
        <w:t xml:space="preserve">CUDA) pointed out that costs were often cited as the main reason for not applying universal design features, however, </w:t>
      </w:r>
      <w:r w:rsidR="009529B0">
        <w:rPr>
          <w:lang w:bidi="fa-IR"/>
        </w:rPr>
        <w:t>quantifiable</w:t>
      </w:r>
      <w:r w:rsidR="001E45D0" w:rsidRPr="0033630B">
        <w:rPr>
          <w:lang w:bidi="fa-IR"/>
        </w:rPr>
        <w:t xml:space="preserve"> </w:t>
      </w:r>
      <w:r w:rsidR="001E45D0" w:rsidRPr="0033630B">
        <w:rPr>
          <w:lang w:bidi="fa-IR"/>
        </w:rPr>
        <w:lastRenderedPageBreak/>
        <w:t>calculations were not forthcoming. Some of the features are more expensive because they are not standard.</w:t>
      </w:r>
      <w:r w:rsidR="00174572">
        <w:rPr>
          <w:rStyle w:val="FootnoteReference"/>
          <w:lang w:bidi="fa-IR"/>
        </w:rPr>
        <w:footnoteReference w:id="311"/>
      </w:r>
    </w:p>
    <w:p w14:paraId="416944DA" w14:textId="77777777" w:rsidR="001E45D0" w:rsidRDefault="001E45D0" w:rsidP="001E45D0">
      <w:pPr>
        <w:pStyle w:val="BodyText"/>
        <w:rPr>
          <w:lang w:bidi="fa-IR"/>
        </w:rPr>
      </w:pPr>
      <w:r>
        <w:rPr>
          <w:lang w:bidi="fa-IR"/>
        </w:rPr>
        <w:t>Another submission provided a positive personal experience of her universally accessible home:</w:t>
      </w:r>
      <w:r w:rsidR="00C6660D">
        <w:rPr>
          <w:rStyle w:val="FootnoteReference"/>
          <w:lang w:bidi="fa-IR"/>
        </w:rPr>
        <w:footnoteReference w:id="312"/>
      </w:r>
    </w:p>
    <w:p w14:paraId="7E832759" w14:textId="77777777" w:rsidR="001E45D0" w:rsidRDefault="001E45D0" w:rsidP="001E45D0">
      <w:pPr>
        <w:pStyle w:val="Quote"/>
        <w:rPr>
          <w:lang w:bidi="fa-IR"/>
        </w:rPr>
      </w:pPr>
      <w:r w:rsidRPr="001E0A0C">
        <w:rPr>
          <w:lang w:bidi="fa-IR"/>
        </w:rPr>
        <w:t>My home is universally accessible and it is by far the most stunning home that I have ever been in.</w:t>
      </w:r>
      <w:r>
        <w:rPr>
          <w:lang w:bidi="fa-IR"/>
        </w:rPr>
        <w:t xml:space="preserve"> </w:t>
      </w:r>
      <w:r w:rsidRPr="001E0A0C">
        <w:rPr>
          <w:lang w:bidi="fa-IR"/>
        </w:rPr>
        <w:t>It is no more expensive than the homes of my friends and neighbours</w:t>
      </w:r>
      <w:r>
        <w:rPr>
          <w:lang w:bidi="fa-IR"/>
        </w:rPr>
        <w:t xml:space="preserve"> –</w:t>
      </w:r>
      <w:r w:rsidRPr="001E0A0C">
        <w:rPr>
          <w:lang w:bidi="fa-IR"/>
        </w:rPr>
        <w:t xml:space="preserve"> but</w:t>
      </w:r>
      <w:r>
        <w:rPr>
          <w:lang w:bidi="fa-IR"/>
        </w:rPr>
        <w:t xml:space="preserve"> </w:t>
      </w:r>
      <w:r w:rsidRPr="001E0A0C">
        <w:rPr>
          <w:lang w:bidi="fa-IR"/>
        </w:rPr>
        <w:t>it has a great feel, it is open and it flows.</w:t>
      </w:r>
    </w:p>
    <w:p w14:paraId="08897E77" w14:textId="77777777" w:rsidR="001E45D0" w:rsidRDefault="000D588B" w:rsidP="001E45D0">
      <w:pPr>
        <w:pStyle w:val="BodyText"/>
        <w:rPr>
          <w:lang w:bidi="fa-IR"/>
        </w:rPr>
      </w:pPr>
      <w:r>
        <w:rPr>
          <w:lang w:bidi="fa-IR"/>
        </w:rPr>
        <w:t>Submissions also highlighted a</w:t>
      </w:r>
      <w:r w:rsidR="001E45D0">
        <w:rPr>
          <w:lang w:bidi="fa-IR"/>
        </w:rPr>
        <w:t xml:space="preserve">nother factor related to higher cost </w:t>
      </w:r>
      <w:r>
        <w:rPr>
          <w:lang w:bidi="fa-IR"/>
        </w:rPr>
        <w:t>as</w:t>
      </w:r>
      <w:r w:rsidR="001E45D0">
        <w:rPr>
          <w:lang w:bidi="fa-IR"/>
        </w:rPr>
        <w:t xml:space="preserve"> site and design constraints. For example, topography and lot size will impact on the feasibility and/or costs of building accessible housing.</w:t>
      </w:r>
    </w:p>
    <w:p w14:paraId="1DC55BE5" w14:textId="77777777" w:rsidR="001E45D0" w:rsidRDefault="001E45D0" w:rsidP="001E45D0">
      <w:pPr>
        <w:pStyle w:val="BodyText"/>
        <w:rPr>
          <w:lang w:bidi="fa-IR"/>
        </w:rPr>
      </w:pPr>
      <w:r>
        <w:rPr>
          <w:lang w:bidi="fa-IR"/>
        </w:rPr>
        <w:t>Related to cost factor, stamp duty and lack of government subsidy were also mentioned in submissions as a barrier to the uptake of universal design in the new dwellings.</w:t>
      </w:r>
    </w:p>
    <w:p w14:paraId="376330AA" w14:textId="77777777" w:rsidR="001E45D0" w:rsidRPr="00F4477B" w:rsidRDefault="001E45D0" w:rsidP="00F4477B">
      <w:pPr>
        <w:pStyle w:val="Heading3-Appendix"/>
      </w:pPr>
      <w:r w:rsidRPr="00F4477B">
        <w:t>No demand or different needs</w:t>
      </w:r>
    </w:p>
    <w:p w14:paraId="734EC6BE" w14:textId="77777777" w:rsidR="001E45D0" w:rsidRDefault="001E45D0" w:rsidP="001E45D0">
      <w:pPr>
        <w:pStyle w:val="BodyText"/>
        <w:rPr>
          <w:lang w:bidi="fa-IR"/>
        </w:rPr>
      </w:pPr>
      <w:r>
        <w:rPr>
          <w:lang w:bidi="fa-IR"/>
        </w:rPr>
        <w:t xml:space="preserve">The </w:t>
      </w:r>
      <w:r w:rsidR="00287441">
        <w:rPr>
          <w:lang w:bidi="fa-IR"/>
        </w:rPr>
        <w:t>l</w:t>
      </w:r>
      <w:r>
        <w:rPr>
          <w:lang w:bidi="fa-IR"/>
        </w:rPr>
        <w:t xml:space="preserve">ack of demand or different needs </w:t>
      </w:r>
      <w:r w:rsidR="000D588B">
        <w:rPr>
          <w:lang w:bidi="fa-IR"/>
        </w:rPr>
        <w:t>wa</w:t>
      </w:r>
      <w:r>
        <w:rPr>
          <w:lang w:bidi="fa-IR"/>
        </w:rPr>
        <w:t xml:space="preserve">s also </w:t>
      </w:r>
      <w:r w:rsidR="000D588B">
        <w:rPr>
          <w:lang w:bidi="fa-IR"/>
        </w:rPr>
        <w:t xml:space="preserve">identified in submissions as </w:t>
      </w:r>
      <w:r>
        <w:rPr>
          <w:lang w:bidi="fa-IR"/>
        </w:rPr>
        <w:t xml:space="preserve">an important barrier to uptake of universal design in the new dwellings. The number of people who need accessible houses is a small proportion of the </w:t>
      </w:r>
      <w:r w:rsidR="00993095">
        <w:rPr>
          <w:lang w:bidi="fa-IR"/>
        </w:rPr>
        <w:t xml:space="preserve">housing </w:t>
      </w:r>
      <w:r>
        <w:rPr>
          <w:lang w:bidi="fa-IR"/>
        </w:rPr>
        <w:t xml:space="preserve">market. </w:t>
      </w:r>
      <w:r w:rsidR="007B5078">
        <w:rPr>
          <w:lang w:bidi="fa-IR"/>
        </w:rPr>
        <w:t>F</w:t>
      </w:r>
      <w:r>
        <w:rPr>
          <w:lang w:bidi="fa-IR"/>
        </w:rPr>
        <w:t>or most buyers it is ‘an unnecessary and burdensome cost’</w:t>
      </w:r>
      <w:r w:rsidR="007B5078">
        <w:rPr>
          <w:rStyle w:val="FootnoteReference"/>
          <w:lang w:bidi="fa-IR"/>
        </w:rPr>
        <w:footnoteReference w:id="313"/>
      </w:r>
      <w:r>
        <w:rPr>
          <w:lang w:bidi="fa-IR"/>
        </w:rPr>
        <w:t>.</w:t>
      </w:r>
    </w:p>
    <w:p w14:paraId="302B50D3" w14:textId="77777777" w:rsidR="001E45D0" w:rsidRDefault="00B97ED1" w:rsidP="001E45D0">
      <w:pPr>
        <w:pStyle w:val="BodyText"/>
        <w:rPr>
          <w:lang w:bidi="fa-IR"/>
        </w:rPr>
      </w:pPr>
      <w:r>
        <w:rPr>
          <w:lang w:bidi="fa-IR"/>
        </w:rPr>
        <w:t>One</w:t>
      </w:r>
      <w:r w:rsidR="00FA2E82">
        <w:rPr>
          <w:lang w:bidi="fa-IR"/>
        </w:rPr>
        <w:t xml:space="preserve"> submission</w:t>
      </w:r>
      <w:r w:rsidR="001E45D0">
        <w:rPr>
          <w:lang w:bidi="fa-IR"/>
        </w:rPr>
        <w:t xml:space="preserve"> identified seven </w:t>
      </w:r>
      <w:r w:rsidR="001E45D0" w:rsidRPr="006439E0">
        <w:rPr>
          <w:lang w:bidi="fa-IR"/>
        </w:rPr>
        <w:t xml:space="preserve">different categories of </w:t>
      </w:r>
      <w:r w:rsidR="006439E0" w:rsidRPr="006439E0">
        <w:rPr>
          <w:lang w:bidi="fa-IR"/>
        </w:rPr>
        <w:t>families</w:t>
      </w:r>
      <w:r w:rsidR="001E45D0">
        <w:rPr>
          <w:lang w:bidi="fa-IR"/>
        </w:rPr>
        <w:t xml:space="preserve"> that have different needs for housing, with only two categories being </w:t>
      </w:r>
      <w:r w:rsidR="000D588B">
        <w:rPr>
          <w:lang w:bidi="fa-IR"/>
        </w:rPr>
        <w:t xml:space="preserve">able to </w:t>
      </w:r>
      <w:r w:rsidR="001E45D0">
        <w:rPr>
          <w:lang w:bidi="fa-IR"/>
        </w:rPr>
        <w:t>benefit from accessible design features.</w:t>
      </w:r>
    </w:p>
    <w:p w14:paraId="08C8746A" w14:textId="77777777" w:rsidR="001E45D0" w:rsidRDefault="001E45D0" w:rsidP="001E45D0">
      <w:pPr>
        <w:pStyle w:val="BodyText"/>
        <w:rPr>
          <w:lang w:bidi="fa-IR"/>
        </w:rPr>
      </w:pPr>
      <w:r>
        <w:rPr>
          <w:lang w:bidi="fa-IR"/>
        </w:rPr>
        <w:t>Moreover, MBA pointed out that people move approximately every 7 years, implying that not everyone needs accessible housing at one stage.</w:t>
      </w:r>
      <w:r w:rsidR="00FA2E82">
        <w:rPr>
          <w:rStyle w:val="FootnoteReference"/>
          <w:lang w:bidi="fa-IR"/>
        </w:rPr>
        <w:footnoteReference w:id="314"/>
      </w:r>
    </w:p>
    <w:p w14:paraId="0D26BE1C" w14:textId="77777777" w:rsidR="001E45D0" w:rsidRDefault="001E45D0" w:rsidP="001E45D0">
      <w:pPr>
        <w:pStyle w:val="BodyText"/>
        <w:rPr>
          <w:lang w:bidi="fa-IR"/>
        </w:rPr>
      </w:pPr>
      <w:r>
        <w:rPr>
          <w:lang w:bidi="fa-IR"/>
        </w:rPr>
        <w:t>Some submissions questioned the ‘one size fits all’ approach, arguing that the problem is small and does not warrant a universal solution. ‘</w:t>
      </w:r>
      <w:r w:rsidRPr="006C60EE">
        <w:rPr>
          <w:lang w:bidi="fa-IR"/>
        </w:rPr>
        <w:t xml:space="preserve">People want their own home to be </w:t>
      </w:r>
      <w:r w:rsidRPr="006C60EE">
        <w:rPr>
          <w:lang w:bidi="fa-IR"/>
        </w:rPr>
        <w:lastRenderedPageBreak/>
        <w:t xml:space="preserve">designed for their own ergonomic needs. </w:t>
      </w:r>
      <w:r w:rsidR="005105E5">
        <w:rPr>
          <w:lang w:bidi="fa-IR"/>
        </w:rPr>
        <w:t xml:space="preserve">…… </w:t>
      </w:r>
      <w:r w:rsidRPr="006C60EE">
        <w:rPr>
          <w:lang w:bidi="fa-IR"/>
        </w:rPr>
        <w:t>Why would you impose that on everyone?</w:t>
      </w:r>
      <w:r>
        <w:rPr>
          <w:lang w:bidi="fa-IR"/>
        </w:rPr>
        <w:t>’</w:t>
      </w:r>
      <w:r w:rsidR="005105E5">
        <w:rPr>
          <w:rStyle w:val="FootnoteReference"/>
          <w:lang w:bidi="fa-IR"/>
        </w:rPr>
        <w:footnoteReference w:id="315"/>
      </w:r>
    </w:p>
    <w:p w14:paraId="2257E31C" w14:textId="77777777" w:rsidR="001E45D0" w:rsidRDefault="001E45D0" w:rsidP="001E45D0">
      <w:pPr>
        <w:pStyle w:val="BodyText"/>
        <w:rPr>
          <w:lang w:bidi="fa-IR"/>
        </w:rPr>
      </w:pPr>
      <w:r w:rsidRPr="006C60EE">
        <w:rPr>
          <w:lang w:bidi="fa-IR"/>
        </w:rPr>
        <w:t>I</w:t>
      </w:r>
      <w:r w:rsidR="00037590">
        <w:rPr>
          <w:lang w:bidi="fa-IR"/>
        </w:rPr>
        <w:t>t was claimed that i</w:t>
      </w:r>
      <w:r w:rsidRPr="006C60EE">
        <w:rPr>
          <w:lang w:bidi="fa-IR"/>
        </w:rPr>
        <w:t xml:space="preserve">nvestors in private rental housing generally do not consider people with disability as </w:t>
      </w:r>
      <w:r w:rsidRPr="0018584C">
        <w:rPr>
          <w:lang w:bidi="fa-IR"/>
        </w:rPr>
        <w:t>preferred tenants (Beer and Faulkner 2009</w:t>
      </w:r>
      <w:r w:rsidR="0052706C">
        <w:rPr>
          <w:lang w:bidi="fa-IR"/>
        </w:rPr>
        <w:t xml:space="preserve"> as quoted by an anonymous submission</w:t>
      </w:r>
      <w:r w:rsidR="0052706C">
        <w:rPr>
          <w:rStyle w:val="FootnoteReference"/>
          <w:lang w:bidi="fa-IR"/>
        </w:rPr>
        <w:footnoteReference w:id="316"/>
      </w:r>
      <w:r w:rsidRPr="0018584C">
        <w:rPr>
          <w:lang w:bidi="fa-IR"/>
        </w:rPr>
        <w:t>).</w:t>
      </w:r>
    </w:p>
    <w:p w14:paraId="20B05FB9" w14:textId="77777777" w:rsidR="001E45D0" w:rsidRDefault="001E45D0" w:rsidP="001E45D0">
      <w:pPr>
        <w:pStyle w:val="BodyText"/>
        <w:rPr>
          <w:lang w:bidi="fa-IR"/>
        </w:rPr>
      </w:pPr>
      <w:r>
        <w:rPr>
          <w:lang w:bidi="fa-IR"/>
        </w:rPr>
        <w:t>As an indication of the lack of demand for accessible housing, one submission made the observation from its own business experience: ‘</w:t>
      </w:r>
      <w:r w:rsidRPr="00F96501">
        <w:rPr>
          <w:lang w:bidi="fa-IR"/>
        </w:rPr>
        <w:t>Our business has several Silver and Platinum Level LHA designs available if a client decides that type of product is for them. The uptake from the community on this however is extremely low.</w:t>
      </w:r>
      <w:r>
        <w:rPr>
          <w:lang w:bidi="fa-IR"/>
        </w:rPr>
        <w:t>’</w:t>
      </w:r>
      <w:r w:rsidR="00485BEE">
        <w:rPr>
          <w:rStyle w:val="FootnoteReference"/>
          <w:lang w:bidi="fa-IR"/>
        </w:rPr>
        <w:footnoteReference w:id="317"/>
      </w:r>
    </w:p>
    <w:p w14:paraId="2954F8AD" w14:textId="77777777" w:rsidR="001E45D0" w:rsidRPr="00F4477B" w:rsidRDefault="00B96755" w:rsidP="00F4477B">
      <w:pPr>
        <w:pStyle w:val="Heading3-Appendix"/>
      </w:pPr>
      <w:r w:rsidRPr="00F4477B">
        <w:t xml:space="preserve">Features may not align with </w:t>
      </w:r>
      <w:r w:rsidR="001E45D0" w:rsidRPr="00F4477B">
        <w:t>aspiration</w:t>
      </w:r>
    </w:p>
    <w:p w14:paraId="3BD4CEBA" w14:textId="77777777" w:rsidR="001E45D0" w:rsidRPr="00BA01D8" w:rsidRDefault="001E45D0" w:rsidP="001E45D0">
      <w:pPr>
        <w:pStyle w:val="BodyText"/>
        <w:rPr>
          <w:lang w:bidi="fa-IR"/>
        </w:rPr>
      </w:pPr>
      <w:r>
        <w:rPr>
          <w:lang w:bidi="fa-IR"/>
        </w:rPr>
        <w:t xml:space="preserve">This factor is closely related to the barrier </w:t>
      </w:r>
      <w:r w:rsidR="000D588B">
        <w:rPr>
          <w:lang w:bidi="fa-IR"/>
        </w:rPr>
        <w:t>of</w:t>
      </w:r>
      <w:r>
        <w:rPr>
          <w:lang w:bidi="fa-IR"/>
        </w:rPr>
        <w:t xml:space="preserve"> buyers failing to think about their future accessibility needs as discussed above.</w:t>
      </w:r>
    </w:p>
    <w:p w14:paraId="6E0B9327" w14:textId="77777777" w:rsidR="001E45D0" w:rsidRDefault="000D588B" w:rsidP="001E45D0">
      <w:pPr>
        <w:pStyle w:val="BodyText"/>
        <w:rPr>
          <w:lang w:bidi="fa-IR"/>
        </w:rPr>
      </w:pPr>
      <w:r>
        <w:rPr>
          <w:lang w:bidi="fa-IR"/>
        </w:rPr>
        <w:t>Submissions suggested that h</w:t>
      </w:r>
      <w:r w:rsidR="001E45D0" w:rsidRPr="00BA01D8">
        <w:rPr>
          <w:lang w:bidi="fa-IR"/>
        </w:rPr>
        <w:t xml:space="preserve">ousing is an aspirational purchase or is symbolic of meeting an aspiration in the future. </w:t>
      </w:r>
      <w:r w:rsidR="00EA4503">
        <w:rPr>
          <w:lang w:bidi="fa-IR"/>
        </w:rPr>
        <w:t>Whereas n</w:t>
      </w:r>
      <w:r w:rsidR="001E45D0" w:rsidRPr="00BA01D8">
        <w:rPr>
          <w:lang w:bidi="fa-IR"/>
        </w:rPr>
        <w:t>o-one aspires to have future disability.</w:t>
      </w:r>
    </w:p>
    <w:p w14:paraId="4D193A59" w14:textId="77777777" w:rsidR="001E45D0" w:rsidRDefault="000D588B" w:rsidP="001E45D0">
      <w:pPr>
        <w:pStyle w:val="BodyText"/>
        <w:rPr>
          <w:lang w:bidi="fa-IR"/>
        </w:rPr>
      </w:pPr>
      <w:r>
        <w:rPr>
          <w:lang w:bidi="fa-IR"/>
        </w:rPr>
        <w:t>Submissions sugges</w:t>
      </w:r>
      <w:r w:rsidR="001E45D0">
        <w:rPr>
          <w:lang w:bidi="fa-IR"/>
        </w:rPr>
        <w:t>t</w:t>
      </w:r>
      <w:r>
        <w:rPr>
          <w:lang w:bidi="fa-IR"/>
        </w:rPr>
        <w:t>ed</w:t>
      </w:r>
      <w:r w:rsidR="001E45D0">
        <w:rPr>
          <w:lang w:bidi="fa-IR"/>
        </w:rPr>
        <w:t xml:space="preserve"> people systematically underestimate their need for an accessible home. For example, as quoted in the ANUHD submission, Ozanne (2009) observed that imminent retirees, mostly ‘baby-boomers’, indicate they want to stay in the community, live well and for a long time, yet, are not showing signs of planning for the realities of old age, illness or disability; caring for an ageing or ill partner; or for the costs of home modifications that may be necessary.</w:t>
      </w:r>
      <w:r w:rsidR="00B03C0B">
        <w:rPr>
          <w:rStyle w:val="FootnoteReference"/>
          <w:lang w:bidi="fa-IR"/>
        </w:rPr>
        <w:footnoteReference w:id="318"/>
      </w:r>
    </w:p>
    <w:p w14:paraId="5BE059D9" w14:textId="77777777" w:rsidR="001E45D0" w:rsidRDefault="0031072D" w:rsidP="001E45D0">
      <w:pPr>
        <w:pStyle w:val="BodyText"/>
        <w:rPr>
          <w:lang w:bidi="fa-IR"/>
        </w:rPr>
      </w:pPr>
      <w:r>
        <w:rPr>
          <w:lang w:bidi="fa-IR"/>
        </w:rPr>
        <w:t>One</w:t>
      </w:r>
      <w:r w:rsidR="001E45D0">
        <w:rPr>
          <w:lang w:bidi="fa-IR"/>
        </w:rPr>
        <w:t xml:space="preserve"> submission quoted several studies to suggest that consumers are relatively myopic about the relative importance of accessibility and </w:t>
      </w:r>
      <w:r w:rsidR="000D588B">
        <w:rPr>
          <w:lang w:bidi="fa-IR"/>
        </w:rPr>
        <w:t>are</w:t>
      </w:r>
      <w:r w:rsidR="001E45D0">
        <w:rPr>
          <w:lang w:bidi="fa-IR"/>
        </w:rPr>
        <w:t xml:space="preserve"> willing to trade off these aspects. While they regard accessibility and universal design positively in principle, when making market decisions, it gets prioritised down.</w:t>
      </w:r>
    </w:p>
    <w:p w14:paraId="48E3BACA" w14:textId="77777777" w:rsidR="001E45D0" w:rsidRDefault="001E45D0" w:rsidP="001E45D0">
      <w:pPr>
        <w:pStyle w:val="BodyText"/>
        <w:rPr>
          <w:lang w:bidi="fa-IR"/>
        </w:rPr>
      </w:pPr>
      <w:r>
        <w:rPr>
          <w:lang w:bidi="fa-IR"/>
        </w:rPr>
        <w:t xml:space="preserve">However, </w:t>
      </w:r>
      <w:r w:rsidR="000D588B">
        <w:rPr>
          <w:lang w:bidi="fa-IR"/>
        </w:rPr>
        <w:t>alternative views were also expressed</w:t>
      </w:r>
      <w:r>
        <w:rPr>
          <w:lang w:bidi="fa-IR"/>
        </w:rPr>
        <w:t xml:space="preserve"> in submissions. For example, Building Designers Association of Queensland</w:t>
      </w:r>
      <w:r w:rsidRPr="007C281F">
        <w:rPr>
          <w:lang w:bidi="fa-IR"/>
        </w:rPr>
        <w:t xml:space="preserve"> </w:t>
      </w:r>
      <w:r>
        <w:rPr>
          <w:lang w:bidi="fa-IR"/>
        </w:rPr>
        <w:t>noted, ‘t</w:t>
      </w:r>
      <w:r w:rsidRPr="007C281F">
        <w:rPr>
          <w:lang w:bidi="fa-IR"/>
        </w:rPr>
        <w:t xml:space="preserve">he exception to this is in the retiree market where quite often the new house is likely to be their forever house and as such they are </w:t>
      </w:r>
      <w:r w:rsidRPr="007C281F">
        <w:rPr>
          <w:lang w:bidi="fa-IR"/>
        </w:rPr>
        <w:lastRenderedPageBreak/>
        <w:t>looking ahead to potential mobility issues as they get older and are prepared to pay a little more to have these accom</w:t>
      </w:r>
      <w:r>
        <w:rPr>
          <w:lang w:bidi="fa-IR"/>
        </w:rPr>
        <w:t>m</w:t>
      </w:r>
      <w:r w:rsidRPr="007C281F">
        <w:rPr>
          <w:lang w:bidi="fa-IR"/>
        </w:rPr>
        <w:t>odated for future use.</w:t>
      </w:r>
      <w:r>
        <w:rPr>
          <w:lang w:bidi="fa-IR"/>
        </w:rPr>
        <w:t>’</w:t>
      </w:r>
      <w:r w:rsidR="004F58BC">
        <w:rPr>
          <w:rStyle w:val="FootnoteReference"/>
          <w:lang w:bidi="fa-IR"/>
        </w:rPr>
        <w:footnoteReference w:id="319"/>
      </w:r>
    </w:p>
    <w:p w14:paraId="6381B2DE" w14:textId="77777777" w:rsidR="001E45D0" w:rsidRPr="00F4477B" w:rsidRDefault="001E45D0" w:rsidP="00F4477B">
      <w:pPr>
        <w:pStyle w:val="Heading3-Appendix"/>
      </w:pPr>
      <w:r w:rsidRPr="00F4477B">
        <w:t>Government inaction</w:t>
      </w:r>
    </w:p>
    <w:p w14:paraId="01B7E68A" w14:textId="77777777" w:rsidR="001E45D0" w:rsidRDefault="001E45D0" w:rsidP="001E45D0">
      <w:pPr>
        <w:pStyle w:val="BodyText"/>
        <w:rPr>
          <w:lang w:bidi="fa-IR"/>
        </w:rPr>
      </w:pPr>
      <w:r>
        <w:rPr>
          <w:lang w:bidi="fa-IR"/>
        </w:rPr>
        <w:t xml:space="preserve">Some 18 submissions argued that </w:t>
      </w:r>
      <w:r w:rsidR="000D588B">
        <w:rPr>
          <w:lang w:bidi="fa-IR"/>
        </w:rPr>
        <w:t xml:space="preserve">the </w:t>
      </w:r>
      <w:r>
        <w:rPr>
          <w:lang w:bidi="fa-IR"/>
        </w:rPr>
        <w:t xml:space="preserve">non-mandatory requirement is a factor and blamed the reluctance by governments to apply and enforce accessible standards and to provide subsidies for the lack of uptake of universal design in new dwellings. Failure of the voluntary approach was </w:t>
      </w:r>
      <w:r w:rsidR="000D588B">
        <w:rPr>
          <w:lang w:bidi="fa-IR"/>
        </w:rPr>
        <w:t>presented</w:t>
      </w:r>
      <w:r>
        <w:rPr>
          <w:lang w:bidi="fa-IR"/>
        </w:rPr>
        <w:t xml:space="preserve"> as an argument for government regulation.</w:t>
      </w:r>
    </w:p>
    <w:p w14:paraId="0713E13A" w14:textId="77777777" w:rsidR="001E45D0" w:rsidRDefault="001E45D0" w:rsidP="001E45D0">
      <w:pPr>
        <w:pStyle w:val="BodyText"/>
        <w:rPr>
          <w:lang w:bidi="fa-IR"/>
        </w:rPr>
      </w:pPr>
      <w:r>
        <w:rPr>
          <w:lang w:bidi="fa-IR"/>
        </w:rPr>
        <w:t>Lack of consistent access requirement</w:t>
      </w:r>
      <w:r w:rsidR="00745902">
        <w:rPr>
          <w:lang w:bidi="fa-IR"/>
        </w:rPr>
        <w:t>s</w:t>
      </w:r>
      <w:r>
        <w:rPr>
          <w:lang w:bidi="fa-IR"/>
        </w:rPr>
        <w:t xml:space="preserve"> in legislation was </w:t>
      </w:r>
      <w:r w:rsidR="001B1E46">
        <w:rPr>
          <w:lang w:bidi="fa-IR"/>
        </w:rPr>
        <w:t xml:space="preserve">also </w:t>
      </w:r>
      <w:r>
        <w:rPr>
          <w:lang w:bidi="fa-IR"/>
        </w:rPr>
        <w:t>mentioned as a barrier.</w:t>
      </w:r>
    </w:p>
    <w:p w14:paraId="20B41E2E" w14:textId="77777777" w:rsidR="001E45D0" w:rsidRPr="00F4477B" w:rsidRDefault="001E45D0" w:rsidP="00F4477B">
      <w:pPr>
        <w:pStyle w:val="Heading3-Appendix"/>
      </w:pPr>
      <w:r w:rsidRPr="00F4477B">
        <w:t>Conflict with other regulations and requirements</w:t>
      </w:r>
    </w:p>
    <w:p w14:paraId="38F68658" w14:textId="77777777" w:rsidR="001E45D0" w:rsidRDefault="001E45D0" w:rsidP="001E45D0">
      <w:pPr>
        <w:pStyle w:val="BodyText"/>
        <w:rPr>
          <w:lang w:bidi="fa-IR"/>
        </w:rPr>
      </w:pPr>
      <w:r w:rsidRPr="0037465E">
        <w:rPr>
          <w:lang w:bidi="fa-IR"/>
        </w:rPr>
        <w:t>Conflicts with other regulations and good design objectives</w:t>
      </w:r>
      <w:r>
        <w:rPr>
          <w:lang w:bidi="fa-IR"/>
        </w:rPr>
        <w:t xml:space="preserve"> were mentioned by some submissions as factors contributing to the problem. They</w:t>
      </w:r>
      <w:r w:rsidRPr="0037465E">
        <w:rPr>
          <w:lang w:bidi="fa-IR"/>
        </w:rPr>
        <w:t xml:space="preserve"> includ</w:t>
      </w:r>
      <w:r>
        <w:rPr>
          <w:lang w:bidi="fa-IR"/>
        </w:rPr>
        <w:t>e, for example,</w:t>
      </w:r>
      <w:r w:rsidRPr="0037465E">
        <w:rPr>
          <w:lang w:bidi="fa-IR"/>
        </w:rPr>
        <w:t xml:space="preserve"> </w:t>
      </w:r>
    </w:p>
    <w:p w14:paraId="648CBF09" w14:textId="77777777" w:rsidR="001E45D0" w:rsidRDefault="001E45D0" w:rsidP="001E45D0">
      <w:pPr>
        <w:pStyle w:val="ListBullet"/>
        <w:rPr>
          <w:lang w:bidi="fa-IR"/>
        </w:rPr>
      </w:pPr>
      <w:r w:rsidRPr="0037465E">
        <w:rPr>
          <w:lang w:bidi="fa-IR"/>
        </w:rPr>
        <w:t>stepped entry thresholds for waterproofing</w:t>
      </w:r>
    </w:p>
    <w:p w14:paraId="0689B55C" w14:textId="77777777" w:rsidR="001E45D0" w:rsidRDefault="001E45D0" w:rsidP="001E45D0">
      <w:pPr>
        <w:pStyle w:val="ListBullet"/>
        <w:rPr>
          <w:lang w:bidi="fa-IR"/>
        </w:rPr>
      </w:pPr>
      <w:r w:rsidRPr="0037465E">
        <w:rPr>
          <w:lang w:bidi="fa-IR"/>
        </w:rPr>
        <w:t>subfloor clearances for ventilation and termite inspection</w:t>
      </w:r>
      <w:r w:rsidR="00CD1DA9">
        <w:rPr>
          <w:lang w:bidi="fa-IR"/>
        </w:rPr>
        <w:t>,</w:t>
      </w:r>
      <w:r w:rsidRPr="0037465E">
        <w:rPr>
          <w:lang w:bidi="fa-IR"/>
        </w:rPr>
        <w:t xml:space="preserve"> </w:t>
      </w:r>
      <w:r>
        <w:rPr>
          <w:lang w:bidi="fa-IR"/>
        </w:rPr>
        <w:t>and</w:t>
      </w:r>
    </w:p>
    <w:p w14:paraId="6BFF2BEA" w14:textId="77777777" w:rsidR="001E45D0" w:rsidRPr="009E353A" w:rsidRDefault="001E45D0" w:rsidP="001E45D0">
      <w:pPr>
        <w:pStyle w:val="ListBullet"/>
        <w:rPr>
          <w:lang w:bidi="fa-IR"/>
        </w:rPr>
      </w:pPr>
      <w:r w:rsidRPr="0037465E">
        <w:rPr>
          <w:lang w:bidi="fa-IR"/>
        </w:rPr>
        <w:t xml:space="preserve">raised window sills </w:t>
      </w:r>
      <w:r>
        <w:rPr>
          <w:lang w:bidi="fa-IR"/>
        </w:rPr>
        <w:t>and</w:t>
      </w:r>
      <w:r w:rsidRPr="0037465E">
        <w:rPr>
          <w:lang w:bidi="fa-IR"/>
        </w:rPr>
        <w:t xml:space="preserve"> opening mechanisms for compliance with overlooking and anti-fall regulations.</w:t>
      </w:r>
    </w:p>
    <w:p w14:paraId="37449144" w14:textId="77777777" w:rsidR="001E45D0" w:rsidRPr="00F4477B" w:rsidRDefault="001E45D0" w:rsidP="00F4477B">
      <w:pPr>
        <w:pStyle w:val="Heading3-Appendix"/>
      </w:pPr>
      <w:r w:rsidRPr="00F4477B">
        <w:t>Lack of community awareness</w:t>
      </w:r>
    </w:p>
    <w:p w14:paraId="5C85AED9" w14:textId="77777777" w:rsidR="001E45D0" w:rsidRDefault="00E0345A" w:rsidP="001E45D0">
      <w:pPr>
        <w:pStyle w:val="BodyText"/>
        <w:rPr>
          <w:lang w:bidi="fa-IR"/>
        </w:rPr>
      </w:pPr>
      <w:r>
        <w:rPr>
          <w:lang w:bidi="fa-IR"/>
        </w:rPr>
        <w:t>L</w:t>
      </w:r>
      <w:r w:rsidR="001E45D0">
        <w:rPr>
          <w:lang w:bidi="fa-IR"/>
        </w:rPr>
        <w:t xml:space="preserve">ack of community awareness and </w:t>
      </w:r>
      <w:r w:rsidR="001E45D0" w:rsidRPr="0024168D">
        <w:rPr>
          <w:lang w:bidi="fa-IR"/>
        </w:rPr>
        <w:t>society prejudices towards change</w:t>
      </w:r>
      <w:r w:rsidR="001E45D0">
        <w:rPr>
          <w:lang w:bidi="fa-IR"/>
        </w:rPr>
        <w:t>, especially lack of awareness of the benefits of accessibility to the whole economy</w:t>
      </w:r>
      <w:r w:rsidR="00745902">
        <w:rPr>
          <w:lang w:bidi="fa-IR"/>
        </w:rPr>
        <w:t>,</w:t>
      </w:r>
      <w:r w:rsidR="001E45D0">
        <w:rPr>
          <w:lang w:bidi="fa-IR"/>
        </w:rPr>
        <w:t xml:space="preserve"> were raised by some submissions as </w:t>
      </w:r>
      <w:r w:rsidR="00745902">
        <w:rPr>
          <w:lang w:bidi="fa-IR"/>
        </w:rPr>
        <w:t>a</w:t>
      </w:r>
      <w:r w:rsidR="001E45D0">
        <w:rPr>
          <w:lang w:bidi="fa-IR"/>
        </w:rPr>
        <w:t xml:space="preserve"> barrier.</w:t>
      </w:r>
    </w:p>
    <w:p w14:paraId="0F91B02C" w14:textId="77777777" w:rsidR="001E45D0" w:rsidRPr="005D6ABA" w:rsidRDefault="001E45D0" w:rsidP="001E45D0">
      <w:pPr>
        <w:pStyle w:val="BodyText"/>
        <w:rPr>
          <w:lang w:bidi="fa-IR"/>
        </w:rPr>
      </w:pPr>
      <w:r>
        <w:rPr>
          <w:lang w:bidi="fa-IR"/>
        </w:rPr>
        <w:t>For example, t</w:t>
      </w:r>
      <w:r w:rsidRPr="00120603">
        <w:rPr>
          <w:lang w:bidi="fa-IR"/>
        </w:rPr>
        <w:t>he ACT Disability, Aged and Carer Advocacy Service (ADACAS)</w:t>
      </w:r>
      <w:r>
        <w:rPr>
          <w:lang w:bidi="fa-IR"/>
        </w:rPr>
        <w:t xml:space="preserve"> noted that, the </w:t>
      </w:r>
      <w:r w:rsidRPr="00FF2B85">
        <w:rPr>
          <w:lang w:bidi="fa-IR"/>
        </w:rPr>
        <w:t xml:space="preserve">inclusion of people with </w:t>
      </w:r>
      <w:r w:rsidR="00D870C0" w:rsidRPr="00FF2B85">
        <w:rPr>
          <w:lang w:bidi="fa-IR"/>
        </w:rPr>
        <w:t>disabilit</w:t>
      </w:r>
      <w:r w:rsidR="00D870C0">
        <w:rPr>
          <w:lang w:bidi="fa-IR"/>
        </w:rPr>
        <w:t>y</w:t>
      </w:r>
      <w:r w:rsidR="008C039C">
        <w:rPr>
          <w:lang w:bidi="fa-IR"/>
        </w:rPr>
        <w:t xml:space="preserve"> </w:t>
      </w:r>
      <w:r w:rsidRPr="00FF2B85">
        <w:rPr>
          <w:lang w:bidi="fa-IR"/>
        </w:rPr>
        <w:t>is not normative. It</w:t>
      </w:r>
      <w:r>
        <w:rPr>
          <w:lang w:bidi="fa-IR"/>
        </w:rPr>
        <w:t xml:space="preserve"> i</w:t>
      </w:r>
      <w:r w:rsidRPr="00FF2B85">
        <w:rPr>
          <w:lang w:bidi="fa-IR"/>
        </w:rPr>
        <w:t>s still considered special.</w:t>
      </w:r>
      <w:r>
        <w:rPr>
          <w:lang w:bidi="fa-IR"/>
        </w:rPr>
        <w:t xml:space="preserve"> It </w:t>
      </w:r>
      <w:r w:rsidRPr="00FF2B85">
        <w:rPr>
          <w:lang w:bidi="fa-IR"/>
        </w:rPr>
        <w:t xml:space="preserve">has been characterised as </w:t>
      </w:r>
      <w:r w:rsidR="00745902">
        <w:rPr>
          <w:lang w:bidi="fa-IR"/>
        </w:rPr>
        <w:t xml:space="preserve">a </w:t>
      </w:r>
      <w:r w:rsidRPr="00FF2B85">
        <w:rPr>
          <w:lang w:bidi="fa-IR"/>
        </w:rPr>
        <w:t>minority movement that works only in the interest of those with specialised needs</w:t>
      </w:r>
      <w:r>
        <w:rPr>
          <w:lang w:bidi="fa-IR"/>
        </w:rPr>
        <w:t>.</w:t>
      </w:r>
      <w:r w:rsidR="007246CA">
        <w:rPr>
          <w:rStyle w:val="FootnoteReference"/>
          <w:lang w:bidi="fa-IR"/>
        </w:rPr>
        <w:footnoteReference w:id="320"/>
      </w:r>
      <w:r>
        <w:rPr>
          <w:lang w:bidi="fa-IR"/>
        </w:rPr>
        <w:t xml:space="preserve"> </w:t>
      </w:r>
    </w:p>
    <w:p w14:paraId="63204CB1" w14:textId="77777777" w:rsidR="001E45D0" w:rsidRPr="00F4477B" w:rsidRDefault="001E45D0" w:rsidP="00F4477B">
      <w:pPr>
        <w:pStyle w:val="Heading3-Appendix"/>
      </w:pPr>
      <w:r w:rsidRPr="00F4477B">
        <w:t>Industry lacking leadership</w:t>
      </w:r>
    </w:p>
    <w:p w14:paraId="692B11CB" w14:textId="77777777" w:rsidR="001E45D0" w:rsidRDefault="00E0608A" w:rsidP="001E45D0">
      <w:pPr>
        <w:pStyle w:val="BodyText"/>
        <w:rPr>
          <w:lang w:bidi="fa-IR"/>
        </w:rPr>
      </w:pPr>
      <w:r>
        <w:rPr>
          <w:lang w:bidi="fa-IR"/>
        </w:rPr>
        <w:t>Some submissions noted that i</w:t>
      </w:r>
      <w:r w:rsidR="001E45D0">
        <w:rPr>
          <w:lang w:bidi="fa-IR"/>
        </w:rPr>
        <w:t>nertia in the building industry leads to less uptake of universal design in new dwellings. For example, v</w:t>
      </w:r>
      <w:r w:rsidR="001E45D0" w:rsidRPr="00120603">
        <w:rPr>
          <w:lang w:bidi="fa-IR"/>
        </w:rPr>
        <w:t>olume builders are reluctant to deviate from standard plans</w:t>
      </w:r>
      <w:r w:rsidR="001E45D0">
        <w:rPr>
          <w:lang w:bidi="fa-IR"/>
        </w:rPr>
        <w:t xml:space="preserve">, designers </w:t>
      </w:r>
      <w:r w:rsidR="001E45D0" w:rsidRPr="00120603">
        <w:rPr>
          <w:lang w:bidi="fa-IR"/>
        </w:rPr>
        <w:t>fail to think about future accessibility needs of occupants</w:t>
      </w:r>
      <w:r w:rsidR="00CC118F">
        <w:rPr>
          <w:lang w:bidi="fa-IR"/>
        </w:rPr>
        <w:t>.</w:t>
      </w:r>
      <w:r w:rsidR="001E45D0" w:rsidRPr="00120603">
        <w:rPr>
          <w:lang w:bidi="fa-IR"/>
        </w:rPr>
        <w:t xml:space="preserve"> </w:t>
      </w:r>
      <w:r w:rsidR="00CC118F">
        <w:rPr>
          <w:lang w:bidi="fa-IR"/>
        </w:rPr>
        <w:t>D</w:t>
      </w:r>
      <w:r w:rsidR="001E45D0" w:rsidRPr="00120603">
        <w:rPr>
          <w:lang w:bidi="fa-IR"/>
        </w:rPr>
        <w:t xml:space="preserve">esign trends and </w:t>
      </w:r>
      <w:r w:rsidR="00CC118F">
        <w:rPr>
          <w:lang w:bidi="fa-IR"/>
        </w:rPr>
        <w:t xml:space="preserve">the </w:t>
      </w:r>
      <w:r w:rsidR="001E45D0" w:rsidRPr="00120603">
        <w:rPr>
          <w:lang w:bidi="fa-IR"/>
        </w:rPr>
        <w:t xml:space="preserve">acceptability </w:t>
      </w:r>
      <w:r w:rsidR="00CC118F">
        <w:rPr>
          <w:lang w:bidi="fa-IR"/>
        </w:rPr>
        <w:t xml:space="preserve">to home buyers </w:t>
      </w:r>
      <w:r w:rsidR="001E45D0" w:rsidRPr="00120603">
        <w:rPr>
          <w:lang w:bidi="fa-IR"/>
        </w:rPr>
        <w:t>of certain features</w:t>
      </w:r>
      <w:r w:rsidR="00CC118F">
        <w:rPr>
          <w:lang w:bidi="fa-IR"/>
        </w:rPr>
        <w:t xml:space="preserve"> were also raised as barriers</w:t>
      </w:r>
      <w:r w:rsidR="001E45D0">
        <w:rPr>
          <w:lang w:bidi="fa-IR"/>
        </w:rPr>
        <w:t>.</w:t>
      </w:r>
      <w:r w:rsidR="001E45D0" w:rsidRPr="00120603">
        <w:rPr>
          <w:lang w:bidi="fa-IR"/>
        </w:rPr>
        <w:t xml:space="preserve"> </w:t>
      </w:r>
    </w:p>
    <w:p w14:paraId="34567D60" w14:textId="77777777" w:rsidR="001E45D0" w:rsidRDefault="000D588B" w:rsidP="001E45D0">
      <w:pPr>
        <w:pStyle w:val="BodyText"/>
        <w:rPr>
          <w:lang w:bidi="fa-IR"/>
        </w:rPr>
      </w:pPr>
      <w:r>
        <w:rPr>
          <w:lang w:bidi="fa-IR"/>
        </w:rPr>
        <w:lastRenderedPageBreak/>
        <w:t>Submissions suggested c</w:t>
      </w:r>
      <w:r w:rsidR="001E45D0">
        <w:rPr>
          <w:lang w:bidi="fa-IR"/>
        </w:rPr>
        <w:t>onsumers have less influence in the design and construction process. Many homes, especially Class 2 homes, are built ‘on spec’ and design is decided and locked in well before coming on to the market.</w:t>
      </w:r>
    </w:p>
    <w:p w14:paraId="7514A38A" w14:textId="77777777" w:rsidR="001E45D0" w:rsidRPr="00120603" w:rsidRDefault="001E45D0" w:rsidP="001E45D0">
      <w:pPr>
        <w:pStyle w:val="BodyText"/>
        <w:rPr>
          <w:lang w:bidi="fa-IR"/>
        </w:rPr>
      </w:pPr>
      <w:r>
        <w:rPr>
          <w:lang w:bidi="fa-IR"/>
        </w:rPr>
        <w:t>Industry inertia is also linked to the cost consideration, especially for the low-cost volume builders who try to make home</w:t>
      </w:r>
      <w:r w:rsidR="00745902">
        <w:rPr>
          <w:lang w:bidi="fa-IR"/>
        </w:rPr>
        <w:t>s</w:t>
      </w:r>
      <w:r>
        <w:rPr>
          <w:lang w:bidi="fa-IR"/>
        </w:rPr>
        <w:t xml:space="preserve"> as low cost as possible for market competition. Some submissions acknowledged that the costs of incorporating accessibility features would fall on the builder with a limited increase in value to the client.</w:t>
      </w:r>
    </w:p>
    <w:p w14:paraId="33D2D2E7" w14:textId="77777777" w:rsidR="001E45D0" w:rsidRPr="00F4477B" w:rsidRDefault="001E45D0" w:rsidP="00F4477B">
      <w:pPr>
        <w:pStyle w:val="Heading3-Appendix"/>
      </w:pPr>
      <w:r w:rsidRPr="00F4477B">
        <w:t>Information problem</w:t>
      </w:r>
    </w:p>
    <w:p w14:paraId="39F1C5CE" w14:textId="77777777" w:rsidR="001E45D0" w:rsidRDefault="001E45D0" w:rsidP="001E45D0">
      <w:pPr>
        <w:pStyle w:val="BodyText"/>
        <w:rPr>
          <w:lang w:bidi="fa-IR"/>
        </w:rPr>
      </w:pPr>
      <w:r>
        <w:rPr>
          <w:lang w:bidi="fa-IR"/>
        </w:rPr>
        <w:t>Some submissions mentioned there are different understanding</w:t>
      </w:r>
      <w:r w:rsidR="00287441">
        <w:rPr>
          <w:lang w:bidi="fa-IR"/>
        </w:rPr>
        <w:t>s</w:t>
      </w:r>
      <w:r>
        <w:rPr>
          <w:lang w:bidi="fa-IR"/>
        </w:rPr>
        <w:t xml:space="preserve"> of what universal design is. </w:t>
      </w:r>
      <w:r w:rsidR="009359F4">
        <w:rPr>
          <w:lang w:bidi="fa-IR"/>
        </w:rPr>
        <w:t>Most t</w:t>
      </w:r>
      <w:r>
        <w:rPr>
          <w:lang w:bidi="fa-IR"/>
        </w:rPr>
        <w:t xml:space="preserve">rade personnel are not familiar with the </w:t>
      </w:r>
      <w:r w:rsidR="003F60C5">
        <w:rPr>
          <w:lang w:bidi="fa-IR"/>
        </w:rPr>
        <w:t>LHDG</w:t>
      </w:r>
      <w:r w:rsidR="00B674F0">
        <w:rPr>
          <w:lang w:bidi="fa-IR"/>
        </w:rPr>
        <w:t>.</w:t>
      </w:r>
    </w:p>
    <w:p w14:paraId="0B3E3A2B" w14:textId="77777777" w:rsidR="001E45D0" w:rsidRDefault="00E0608A" w:rsidP="001E45D0">
      <w:pPr>
        <w:pStyle w:val="BodyText"/>
        <w:rPr>
          <w:lang w:bidi="fa-IR"/>
        </w:rPr>
      </w:pPr>
      <w:r>
        <w:rPr>
          <w:lang w:bidi="fa-IR"/>
        </w:rPr>
        <w:t>In addition, one submission noted that</w:t>
      </w:r>
      <w:r w:rsidR="001E45D0">
        <w:rPr>
          <w:lang w:bidi="fa-IR"/>
        </w:rPr>
        <w:t xml:space="preserve"> the ambiguity of </w:t>
      </w:r>
      <w:r w:rsidR="00B674F0">
        <w:rPr>
          <w:lang w:bidi="fa-IR"/>
        </w:rPr>
        <w:t xml:space="preserve">the </w:t>
      </w:r>
      <w:r w:rsidR="001E45D0">
        <w:rPr>
          <w:lang w:bidi="fa-IR"/>
        </w:rPr>
        <w:t>LHDG creates confusion and contrary opinions which introduces liability.</w:t>
      </w:r>
      <w:r w:rsidR="00664D6F">
        <w:rPr>
          <w:rStyle w:val="FootnoteReference"/>
          <w:lang w:bidi="fa-IR"/>
        </w:rPr>
        <w:footnoteReference w:id="321"/>
      </w:r>
    </w:p>
    <w:p w14:paraId="6D4A3E4A" w14:textId="77777777" w:rsidR="001E45D0" w:rsidRDefault="00E0608A" w:rsidP="001E45D0">
      <w:pPr>
        <w:pStyle w:val="BodyText"/>
        <w:rPr>
          <w:lang w:bidi="fa-IR"/>
        </w:rPr>
      </w:pPr>
      <w:r>
        <w:rPr>
          <w:lang w:bidi="fa-IR"/>
        </w:rPr>
        <w:t>Submissions also note</w:t>
      </w:r>
      <w:r w:rsidR="000D588B">
        <w:rPr>
          <w:lang w:bidi="fa-IR"/>
        </w:rPr>
        <w:t>d</w:t>
      </w:r>
      <w:r>
        <w:rPr>
          <w:lang w:bidi="fa-IR"/>
        </w:rPr>
        <w:t xml:space="preserve"> t</w:t>
      </w:r>
      <w:r w:rsidR="001E45D0">
        <w:rPr>
          <w:lang w:bidi="fa-IR"/>
        </w:rPr>
        <w:t xml:space="preserve">here is </w:t>
      </w:r>
      <w:r w:rsidR="000D588B">
        <w:rPr>
          <w:lang w:bidi="fa-IR"/>
        </w:rPr>
        <w:t>often an</w:t>
      </w:r>
      <w:r w:rsidR="001E45D0">
        <w:rPr>
          <w:lang w:bidi="fa-IR"/>
        </w:rPr>
        <w:t xml:space="preserve"> information imbalance between builders and buyers. For example, consumers are persuaded that their accessible needs are not allowed in the building code or that the local council will not allow them.</w:t>
      </w:r>
      <w:r w:rsidR="00816AC7">
        <w:rPr>
          <w:lang w:bidi="fa-IR"/>
        </w:rPr>
        <w:t xml:space="preserve"> </w:t>
      </w:r>
      <w:r w:rsidR="001E45D0">
        <w:rPr>
          <w:lang w:bidi="fa-IR"/>
        </w:rPr>
        <w:t xml:space="preserve">These are probably due to the lack of </w:t>
      </w:r>
      <w:r w:rsidR="001E45D0" w:rsidRPr="00E0608A">
        <w:rPr>
          <w:lang w:bidi="fa-IR"/>
        </w:rPr>
        <w:t>education</w:t>
      </w:r>
      <w:r w:rsidR="003F60C5">
        <w:rPr>
          <w:lang w:bidi="fa-IR"/>
        </w:rPr>
        <w:t xml:space="preserve"> </w:t>
      </w:r>
      <w:r w:rsidR="00C1499E">
        <w:rPr>
          <w:lang w:bidi="fa-IR"/>
        </w:rPr>
        <w:t>available</w:t>
      </w:r>
      <w:r w:rsidR="001E45D0">
        <w:rPr>
          <w:lang w:bidi="fa-IR"/>
        </w:rPr>
        <w:t xml:space="preserve"> to builders and consumers. It is also difficult to educate people as to what design features are needed to make a home accessible.</w:t>
      </w:r>
    </w:p>
    <w:p w14:paraId="54447F56" w14:textId="77777777" w:rsidR="001E45D0" w:rsidRPr="00F4477B" w:rsidRDefault="001E45D0" w:rsidP="00F4477B">
      <w:pPr>
        <w:pStyle w:val="Heading3-Appendix"/>
      </w:pPr>
      <w:r w:rsidRPr="00F4477B">
        <w:t>Lack of appeal of accessible features</w:t>
      </w:r>
    </w:p>
    <w:p w14:paraId="62D5FA28" w14:textId="77777777" w:rsidR="001E45D0" w:rsidRDefault="001E45D0" w:rsidP="001E45D0">
      <w:pPr>
        <w:pStyle w:val="BodyText"/>
        <w:rPr>
          <w:lang w:bidi="fa-IR"/>
        </w:rPr>
      </w:pPr>
      <w:r w:rsidRPr="00AD3980">
        <w:rPr>
          <w:lang w:bidi="fa-IR"/>
        </w:rPr>
        <w:t>The lack of appeal of accessible fixtures, such as ambulatory grabrails</w:t>
      </w:r>
      <w:r w:rsidRPr="00F927C0">
        <w:rPr>
          <w:lang w:bidi="fa-IR"/>
        </w:rPr>
        <w:t>/D</w:t>
      </w:r>
      <w:r w:rsidR="00F927C0" w:rsidRPr="00F927C0">
        <w:rPr>
          <w:lang w:bidi="fa-IR"/>
        </w:rPr>
        <w:t xml:space="preserve">isability Discrimination </w:t>
      </w:r>
      <w:r w:rsidRPr="00F927C0">
        <w:rPr>
          <w:lang w:bidi="fa-IR"/>
        </w:rPr>
        <w:t>A</w:t>
      </w:r>
      <w:r w:rsidR="00F927C0" w:rsidRPr="00F927C0">
        <w:rPr>
          <w:lang w:bidi="fa-IR"/>
        </w:rPr>
        <w:t>ct (DDA) compliant</w:t>
      </w:r>
      <w:r w:rsidRPr="00F927C0">
        <w:rPr>
          <w:lang w:bidi="fa-IR"/>
        </w:rPr>
        <w:t xml:space="preserve"> toilets which </w:t>
      </w:r>
      <w:r w:rsidR="009C6C95">
        <w:rPr>
          <w:lang w:bidi="fa-IR"/>
        </w:rPr>
        <w:t>aren’t appealing</w:t>
      </w:r>
      <w:r w:rsidRPr="00F927C0">
        <w:rPr>
          <w:lang w:bidi="fa-IR"/>
        </w:rPr>
        <w:t>, often cos</w:t>
      </w:r>
      <w:r w:rsidRPr="00AD3980">
        <w:rPr>
          <w:lang w:bidi="fa-IR"/>
        </w:rPr>
        <w:t>tly and incredibly limited in design options</w:t>
      </w:r>
      <w:r>
        <w:rPr>
          <w:lang w:bidi="fa-IR"/>
        </w:rPr>
        <w:t>, was raised by some submissions as the barrier</w:t>
      </w:r>
      <w:r w:rsidRPr="00AD3980">
        <w:rPr>
          <w:lang w:bidi="fa-IR"/>
        </w:rPr>
        <w:t>.</w:t>
      </w:r>
      <w:r>
        <w:rPr>
          <w:lang w:bidi="fa-IR"/>
        </w:rPr>
        <w:t xml:space="preserve"> </w:t>
      </w:r>
      <w:r w:rsidR="008C2537">
        <w:rPr>
          <w:lang w:bidi="fa-IR"/>
        </w:rPr>
        <w:t>Submissions suggested a</w:t>
      </w:r>
      <w:r w:rsidRPr="00F96501">
        <w:rPr>
          <w:lang w:bidi="fa-IR"/>
        </w:rPr>
        <w:t>ccessible compliant dwellings often look very nursing home or hospital like</w:t>
      </w:r>
      <w:r>
        <w:rPr>
          <w:lang w:bidi="fa-IR"/>
        </w:rPr>
        <w:t>, impacting visual attractiveness.</w:t>
      </w:r>
    </w:p>
    <w:p w14:paraId="45EAAA4C" w14:textId="77777777" w:rsidR="001E45D0" w:rsidRDefault="00C8783A" w:rsidP="001E45D0">
      <w:pPr>
        <w:pStyle w:val="BodyText"/>
        <w:rPr>
          <w:lang w:bidi="fa-IR"/>
        </w:rPr>
      </w:pPr>
      <w:r>
        <w:rPr>
          <w:lang w:bidi="fa-IR"/>
        </w:rPr>
        <w:t>In addition</w:t>
      </w:r>
      <w:r w:rsidR="001E45D0">
        <w:rPr>
          <w:lang w:bidi="fa-IR"/>
        </w:rPr>
        <w:t>,</w:t>
      </w:r>
      <w:r>
        <w:rPr>
          <w:lang w:bidi="fa-IR"/>
        </w:rPr>
        <w:t xml:space="preserve"> some submissions noted that</w:t>
      </w:r>
      <w:r w:rsidR="001E45D0">
        <w:rPr>
          <w:lang w:bidi="fa-IR"/>
        </w:rPr>
        <w:t xml:space="preserve"> h</w:t>
      </w:r>
      <w:r w:rsidR="001E45D0" w:rsidRPr="00B23C38">
        <w:rPr>
          <w:lang w:bidi="fa-IR"/>
        </w:rPr>
        <w:t xml:space="preserve">ouses </w:t>
      </w:r>
      <w:r w:rsidR="00780D3E">
        <w:rPr>
          <w:lang w:bidi="fa-IR"/>
        </w:rPr>
        <w:t>may be</w:t>
      </w:r>
      <w:r w:rsidR="001E45D0" w:rsidRPr="00B23C38">
        <w:rPr>
          <w:lang w:bidi="fa-IR"/>
        </w:rPr>
        <w:t xml:space="preserve"> devalued by the look of grab rails in bathrooms, disabled toilets and shower curtains.</w:t>
      </w:r>
    </w:p>
    <w:p w14:paraId="5693F050" w14:textId="77777777" w:rsidR="001E45D0" w:rsidRDefault="00B266FD" w:rsidP="001E45D0">
      <w:pPr>
        <w:pStyle w:val="BodyText"/>
        <w:rPr>
          <w:lang w:bidi="fa-IR"/>
        </w:rPr>
      </w:pPr>
      <w:r>
        <w:rPr>
          <w:lang w:bidi="fa-IR"/>
        </w:rPr>
        <w:t>Some submissions</w:t>
      </w:r>
      <w:r w:rsidR="001E45D0">
        <w:rPr>
          <w:lang w:bidi="fa-IR"/>
        </w:rPr>
        <w:t xml:space="preserve"> note</w:t>
      </w:r>
      <w:r>
        <w:rPr>
          <w:lang w:bidi="fa-IR"/>
        </w:rPr>
        <w:t>d</w:t>
      </w:r>
      <w:r w:rsidR="001E45D0">
        <w:rPr>
          <w:lang w:bidi="fa-IR"/>
        </w:rPr>
        <w:t xml:space="preserve"> that accessible features are removed in some cases. As noted in the answer to Question 13 regarding home modification by </w:t>
      </w:r>
      <w:r w:rsidR="001E45D0" w:rsidRPr="001F7AD3">
        <w:rPr>
          <w:lang w:bidi="fa-IR"/>
        </w:rPr>
        <w:t>SDA Alliance</w:t>
      </w:r>
      <w:r w:rsidR="001E45D0">
        <w:rPr>
          <w:lang w:bidi="fa-IR"/>
        </w:rPr>
        <w:t>, ‘[i]</w:t>
      </w:r>
      <w:r w:rsidR="001E45D0" w:rsidRPr="001F7AD3">
        <w:rPr>
          <w:lang w:bidi="fa-IR"/>
        </w:rPr>
        <w:t>f a participant of these schemes chooses to relocate and leave the modified home, more than often the home is purchased by a person who doesn’t immediately require the modifications and the modification is reverted to an inaccessible configuration.</w:t>
      </w:r>
      <w:r w:rsidR="001E45D0">
        <w:rPr>
          <w:lang w:bidi="fa-IR"/>
        </w:rPr>
        <w:t>’</w:t>
      </w:r>
      <w:r w:rsidR="00C0043F">
        <w:rPr>
          <w:rStyle w:val="FootnoteReference"/>
          <w:lang w:bidi="fa-IR"/>
        </w:rPr>
        <w:footnoteReference w:id="322"/>
      </w:r>
    </w:p>
    <w:p w14:paraId="04770A94" w14:textId="77777777" w:rsidR="001E45D0" w:rsidRDefault="001E45D0" w:rsidP="001E45D0">
      <w:pPr>
        <w:pStyle w:val="BodyText"/>
        <w:rPr>
          <w:lang w:bidi="fa-IR"/>
        </w:rPr>
      </w:pPr>
      <w:r>
        <w:rPr>
          <w:lang w:bidi="fa-IR"/>
        </w:rPr>
        <w:lastRenderedPageBreak/>
        <w:t>As mentioned above, one submission provided positive experience of her accessible home’s appearance: ‘</w:t>
      </w:r>
      <w:r w:rsidRPr="001E0A0C">
        <w:rPr>
          <w:lang w:bidi="fa-IR"/>
        </w:rPr>
        <w:t>My home is universally accessible and it is by far the most stunning home that I have ever been in.</w:t>
      </w:r>
      <w:r>
        <w:rPr>
          <w:lang w:bidi="fa-IR"/>
        </w:rPr>
        <w:t xml:space="preserve"> … </w:t>
      </w:r>
      <w:r w:rsidRPr="001E0A0C">
        <w:rPr>
          <w:lang w:bidi="fa-IR"/>
        </w:rPr>
        <w:t>it has a great feel, it is open and it flows.</w:t>
      </w:r>
      <w:r>
        <w:rPr>
          <w:lang w:bidi="fa-IR"/>
        </w:rPr>
        <w:t>’</w:t>
      </w:r>
      <w:r w:rsidR="00E2386C">
        <w:rPr>
          <w:rStyle w:val="FootnoteReference"/>
          <w:lang w:bidi="fa-IR"/>
        </w:rPr>
        <w:footnoteReference w:id="323"/>
      </w:r>
    </w:p>
    <w:p w14:paraId="65DD7740" w14:textId="77777777" w:rsidR="001E45D0" w:rsidRPr="00F4477B" w:rsidRDefault="001E45D0" w:rsidP="00F4477B">
      <w:pPr>
        <w:pStyle w:val="Heading3-Appendix"/>
      </w:pPr>
      <w:r w:rsidRPr="00F4477B">
        <w:t>Limited choices</w:t>
      </w:r>
    </w:p>
    <w:p w14:paraId="7C34C7E2" w14:textId="77777777" w:rsidR="001E45D0" w:rsidRPr="000B08C4" w:rsidRDefault="00B266FD" w:rsidP="001E45D0">
      <w:pPr>
        <w:pStyle w:val="BodyText"/>
        <w:rPr>
          <w:lang w:bidi="fa-IR"/>
        </w:rPr>
      </w:pPr>
      <w:r>
        <w:rPr>
          <w:color w:val="000000"/>
        </w:rPr>
        <w:t>Some submissions noted that t</w:t>
      </w:r>
      <w:r w:rsidR="00287441" w:rsidRPr="00F11AF4">
        <w:rPr>
          <w:color w:val="000000"/>
        </w:rPr>
        <w:t xml:space="preserve">here are a limited number of accessible houses and/or accessible designs in the market, making </w:t>
      </w:r>
      <w:r w:rsidR="00287441">
        <w:rPr>
          <w:color w:val="000000"/>
        </w:rPr>
        <w:t>it</w:t>
      </w:r>
      <w:r w:rsidR="00287441" w:rsidRPr="00F11AF4">
        <w:rPr>
          <w:color w:val="000000"/>
        </w:rPr>
        <w:t xml:space="preserve"> difficult to find or to build</w:t>
      </w:r>
      <w:r w:rsidR="00287441">
        <w:rPr>
          <w:color w:val="000000"/>
        </w:rPr>
        <w:t xml:space="preserve"> an accessible dwelling</w:t>
      </w:r>
      <w:r w:rsidR="001E45D0">
        <w:rPr>
          <w:lang w:bidi="fa-IR"/>
        </w:rPr>
        <w:t xml:space="preserve">. The inaccessible salesrooms and display homes also add </w:t>
      </w:r>
      <w:r>
        <w:rPr>
          <w:lang w:bidi="fa-IR"/>
        </w:rPr>
        <w:t xml:space="preserve">to </w:t>
      </w:r>
      <w:r w:rsidR="001E45D0">
        <w:rPr>
          <w:lang w:bidi="fa-IR"/>
        </w:rPr>
        <w:t>the difficulty of buying new accessible housing.</w:t>
      </w:r>
    </w:p>
    <w:p w14:paraId="0FE5300D" w14:textId="77777777" w:rsidR="001E45D0" w:rsidRDefault="001E45D0" w:rsidP="001E45D0">
      <w:pPr>
        <w:pStyle w:val="BodyText"/>
        <w:rPr>
          <w:lang w:bidi="fa-IR"/>
        </w:rPr>
      </w:pPr>
      <w:r>
        <w:rPr>
          <w:lang w:bidi="fa-IR"/>
        </w:rPr>
        <w:t xml:space="preserve">Lack of long-term lease security is another factor </w:t>
      </w:r>
      <w:r w:rsidR="000D588B">
        <w:rPr>
          <w:lang w:bidi="fa-IR"/>
        </w:rPr>
        <w:t xml:space="preserve">which </w:t>
      </w:r>
      <w:r>
        <w:rPr>
          <w:lang w:bidi="fa-IR"/>
        </w:rPr>
        <w:t>disinclines renters to invest in their rental property, according to ANUHD. The problem is aggravated by renters being legally obliged to reinstate the home at the end of the lease.</w:t>
      </w:r>
      <w:r w:rsidR="006E6764">
        <w:rPr>
          <w:rStyle w:val="FootnoteReference"/>
          <w:lang w:bidi="fa-IR"/>
        </w:rPr>
        <w:footnoteReference w:id="324"/>
      </w:r>
    </w:p>
    <w:p w14:paraId="66711B71" w14:textId="77777777" w:rsidR="001E45D0" w:rsidRPr="004B79EC" w:rsidRDefault="001E45D0" w:rsidP="004B79EC">
      <w:pPr>
        <w:pStyle w:val="Heading2-Appendix"/>
      </w:pPr>
      <w:bookmarkStart w:id="558" w:name="_Toc50453223"/>
      <w:bookmarkStart w:id="559" w:name="_Toc52383057"/>
      <w:r w:rsidRPr="004B79EC">
        <w:t>Views about the options</w:t>
      </w:r>
      <w:bookmarkEnd w:id="558"/>
      <w:bookmarkEnd w:id="559"/>
    </w:p>
    <w:p w14:paraId="1C36AB26" w14:textId="77777777" w:rsidR="001E45D0" w:rsidRDefault="001E45D0" w:rsidP="001E45D0">
      <w:pPr>
        <w:pStyle w:val="BodyText"/>
        <w:rPr>
          <w:lang w:bidi="fa-IR"/>
        </w:rPr>
      </w:pPr>
      <w:r>
        <w:rPr>
          <w:lang w:bidi="fa-IR"/>
        </w:rPr>
        <w:t xml:space="preserve">Views </w:t>
      </w:r>
      <w:r w:rsidR="00390B6E">
        <w:rPr>
          <w:lang w:bidi="fa-IR"/>
        </w:rPr>
        <w:t>were</w:t>
      </w:r>
      <w:r>
        <w:rPr>
          <w:lang w:bidi="fa-IR"/>
        </w:rPr>
        <w:t xml:space="preserve"> sought for the following options in relation to the proposed accessibility requirement in the NCC:</w:t>
      </w:r>
    </w:p>
    <w:p w14:paraId="78509643" w14:textId="77777777" w:rsidR="001E45D0" w:rsidRDefault="001E45D0" w:rsidP="001E45D0">
      <w:pPr>
        <w:pStyle w:val="ListBullet"/>
        <w:rPr>
          <w:lang w:bidi="fa-IR"/>
        </w:rPr>
      </w:pPr>
      <w:r w:rsidRPr="00FF4762">
        <w:rPr>
          <w:b/>
          <w:bCs/>
          <w:lang w:bidi="fa-IR"/>
        </w:rPr>
        <w:t>Status quo</w:t>
      </w:r>
      <w:r>
        <w:rPr>
          <w:lang w:bidi="fa-IR"/>
        </w:rPr>
        <w:t>: No changes to existing policy settings</w:t>
      </w:r>
    </w:p>
    <w:p w14:paraId="46A170CA" w14:textId="77777777" w:rsidR="001E45D0" w:rsidRDefault="001E45D0" w:rsidP="001E45D0">
      <w:pPr>
        <w:pStyle w:val="ListBullet"/>
        <w:rPr>
          <w:lang w:bidi="fa-IR"/>
        </w:rPr>
      </w:pPr>
      <w:r w:rsidRPr="00FF4762">
        <w:rPr>
          <w:b/>
          <w:bCs/>
          <w:lang w:bidi="fa-IR"/>
        </w:rPr>
        <w:t>Option 1</w:t>
      </w:r>
      <w:r w:rsidR="004C6640">
        <w:rPr>
          <w:b/>
          <w:bCs/>
          <w:lang w:bidi="fa-IR"/>
        </w:rPr>
        <w:t xml:space="preserve"> (Silver)</w:t>
      </w:r>
      <w:r>
        <w:rPr>
          <w:lang w:bidi="fa-IR"/>
        </w:rPr>
        <w:t xml:space="preserve">: Accessibility standard, broadly reflecting LHDG </w:t>
      </w:r>
      <w:r w:rsidR="00106726">
        <w:rPr>
          <w:lang w:bidi="fa-IR"/>
        </w:rPr>
        <w:t>S</w:t>
      </w:r>
      <w:r>
        <w:rPr>
          <w:lang w:bidi="fa-IR"/>
        </w:rPr>
        <w:t xml:space="preserve">ilver standard, in the NCC applying to all new Class 1a </w:t>
      </w:r>
      <w:r w:rsidR="00344AC0">
        <w:rPr>
          <w:lang w:bidi="fa-IR"/>
        </w:rPr>
        <w:t xml:space="preserve">(houses) </w:t>
      </w:r>
      <w:r>
        <w:rPr>
          <w:lang w:bidi="fa-IR"/>
        </w:rPr>
        <w:t xml:space="preserve">and Class 2 </w:t>
      </w:r>
      <w:r w:rsidR="00344AC0">
        <w:rPr>
          <w:lang w:bidi="fa-IR"/>
        </w:rPr>
        <w:t xml:space="preserve">(apartments) </w:t>
      </w:r>
      <w:r>
        <w:rPr>
          <w:lang w:bidi="fa-IR"/>
        </w:rPr>
        <w:t>buildings</w:t>
      </w:r>
    </w:p>
    <w:p w14:paraId="3A70D751" w14:textId="77777777" w:rsidR="001E45D0" w:rsidRDefault="001E45D0" w:rsidP="001E45D0">
      <w:pPr>
        <w:pStyle w:val="ListBullet"/>
        <w:rPr>
          <w:lang w:bidi="fa-IR"/>
        </w:rPr>
      </w:pPr>
      <w:r w:rsidRPr="00FF4762">
        <w:rPr>
          <w:b/>
          <w:bCs/>
          <w:lang w:bidi="fa-IR"/>
        </w:rPr>
        <w:t>Option 2</w:t>
      </w:r>
      <w:r w:rsidR="004C6640">
        <w:rPr>
          <w:b/>
          <w:bCs/>
          <w:lang w:bidi="fa-IR"/>
        </w:rPr>
        <w:t xml:space="preserve"> (Gold)</w:t>
      </w:r>
      <w:r>
        <w:rPr>
          <w:lang w:bidi="fa-IR"/>
        </w:rPr>
        <w:t xml:space="preserve">: Accessibility standard, broadly reflecting LHDG </w:t>
      </w:r>
      <w:r w:rsidR="00106726">
        <w:rPr>
          <w:lang w:bidi="fa-IR"/>
        </w:rPr>
        <w:t>G</w:t>
      </w:r>
      <w:r>
        <w:rPr>
          <w:lang w:bidi="fa-IR"/>
        </w:rPr>
        <w:t>old standard, in the NCC applying to all new Class 1a</w:t>
      </w:r>
      <w:r w:rsidR="00344AC0">
        <w:rPr>
          <w:lang w:bidi="fa-IR"/>
        </w:rPr>
        <w:t xml:space="preserve"> (houses)</w:t>
      </w:r>
      <w:r>
        <w:rPr>
          <w:lang w:bidi="fa-IR"/>
        </w:rPr>
        <w:t xml:space="preserve"> and Class 2</w:t>
      </w:r>
      <w:r w:rsidR="00344AC0">
        <w:rPr>
          <w:lang w:bidi="fa-IR"/>
        </w:rPr>
        <w:t xml:space="preserve"> (</w:t>
      </w:r>
      <w:r w:rsidR="007B5078">
        <w:rPr>
          <w:lang w:bidi="fa-IR"/>
        </w:rPr>
        <w:t>apartments</w:t>
      </w:r>
      <w:r w:rsidR="00344AC0">
        <w:rPr>
          <w:lang w:bidi="fa-IR"/>
        </w:rPr>
        <w:t>)</w:t>
      </w:r>
      <w:r>
        <w:rPr>
          <w:lang w:bidi="fa-IR"/>
        </w:rPr>
        <w:t xml:space="preserve"> buildings</w:t>
      </w:r>
    </w:p>
    <w:p w14:paraId="1601016A" w14:textId="77777777" w:rsidR="001E45D0" w:rsidRPr="004828CF" w:rsidRDefault="001E45D0" w:rsidP="001E45D0">
      <w:pPr>
        <w:pStyle w:val="ListBullet"/>
        <w:rPr>
          <w:lang w:bidi="fa-IR"/>
        </w:rPr>
      </w:pPr>
      <w:r w:rsidRPr="00FF4762">
        <w:rPr>
          <w:b/>
          <w:bCs/>
          <w:lang w:bidi="fa-IR"/>
        </w:rPr>
        <w:t xml:space="preserve">Option </w:t>
      </w:r>
      <w:r>
        <w:rPr>
          <w:b/>
          <w:bCs/>
          <w:lang w:bidi="fa-IR"/>
        </w:rPr>
        <w:t>3</w:t>
      </w:r>
      <w:r w:rsidR="004C6640">
        <w:rPr>
          <w:b/>
          <w:bCs/>
          <w:lang w:bidi="fa-IR"/>
        </w:rPr>
        <w:t xml:space="preserve"> (Gold +)</w:t>
      </w:r>
      <w:r>
        <w:rPr>
          <w:lang w:bidi="fa-IR"/>
        </w:rPr>
        <w:t xml:space="preserve">: Accessibility standard, broadly reflecting LHDG </w:t>
      </w:r>
      <w:r w:rsidR="00106726">
        <w:rPr>
          <w:lang w:bidi="fa-IR"/>
        </w:rPr>
        <w:t>G</w:t>
      </w:r>
      <w:r>
        <w:rPr>
          <w:lang w:bidi="fa-IR"/>
        </w:rPr>
        <w:t xml:space="preserve">old standard (with some platinum features), in the NCC applying to all new Class 1a </w:t>
      </w:r>
      <w:r w:rsidR="00344AC0">
        <w:rPr>
          <w:lang w:bidi="fa-IR"/>
        </w:rPr>
        <w:t xml:space="preserve">(houses) </w:t>
      </w:r>
      <w:r>
        <w:rPr>
          <w:lang w:bidi="fa-IR"/>
        </w:rPr>
        <w:t xml:space="preserve">and Class 2 </w:t>
      </w:r>
      <w:r w:rsidR="00344AC0">
        <w:rPr>
          <w:lang w:bidi="fa-IR"/>
        </w:rPr>
        <w:t>(apartment</w:t>
      </w:r>
      <w:r w:rsidR="007B5078">
        <w:rPr>
          <w:lang w:bidi="fa-IR"/>
        </w:rPr>
        <w:t>s</w:t>
      </w:r>
      <w:r w:rsidR="00344AC0">
        <w:rPr>
          <w:lang w:bidi="fa-IR"/>
        </w:rPr>
        <w:t xml:space="preserve">) </w:t>
      </w:r>
      <w:r>
        <w:rPr>
          <w:lang w:bidi="fa-IR"/>
        </w:rPr>
        <w:t>buildings</w:t>
      </w:r>
    </w:p>
    <w:p w14:paraId="3FA001D2" w14:textId="77777777" w:rsidR="001E45D0" w:rsidRPr="004828CF" w:rsidRDefault="001E45D0" w:rsidP="001E45D0">
      <w:pPr>
        <w:pStyle w:val="ListBullet"/>
        <w:rPr>
          <w:lang w:bidi="fa-IR"/>
        </w:rPr>
      </w:pPr>
      <w:r w:rsidRPr="00FF4762">
        <w:rPr>
          <w:b/>
          <w:bCs/>
          <w:lang w:bidi="fa-IR"/>
        </w:rPr>
        <w:t xml:space="preserve">Option </w:t>
      </w:r>
      <w:r>
        <w:rPr>
          <w:b/>
          <w:bCs/>
          <w:lang w:bidi="fa-IR"/>
        </w:rPr>
        <w:t>4</w:t>
      </w:r>
      <w:r w:rsidR="004C6640">
        <w:rPr>
          <w:b/>
          <w:bCs/>
          <w:lang w:bidi="fa-IR"/>
        </w:rPr>
        <w:t xml:space="preserve"> (Gold in apartments)</w:t>
      </w:r>
      <w:r>
        <w:rPr>
          <w:lang w:bidi="fa-IR"/>
        </w:rPr>
        <w:t xml:space="preserve">: Accessibility standard, broadly reflecting LHDG </w:t>
      </w:r>
      <w:r w:rsidR="00106726">
        <w:rPr>
          <w:lang w:bidi="fa-IR"/>
        </w:rPr>
        <w:t>G</w:t>
      </w:r>
      <w:r>
        <w:rPr>
          <w:lang w:bidi="fa-IR"/>
        </w:rPr>
        <w:t xml:space="preserve">old standard, in the NCC applying to all Class 2 </w:t>
      </w:r>
      <w:r w:rsidR="00344AC0">
        <w:rPr>
          <w:lang w:bidi="fa-IR"/>
        </w:rPr>
        <w:t>(apartment</w:t>
      </w:r>
      <w:r w:rsidR="007B5078">
        <w:rPr>
          <w:lang w:bidi="fa-IR"/>
        </w:rPr>
        <w:t>s</w:t>
      </w:r>
      <w:r w:rsidR="00344AC0">
        <w:rPr>
          <w:lang w:bidi="fa-IR"/>
        </w:rPr>
        <w:t xml:space="preserve">) </w:t>
      </w:r>
      <w:r>
        <w:rPr>
          <w:lang w:bidi="fa-IR"/>
        </w:rPr>
        <w:t>buildings</w:t>
      </w:r>
    </w:p>
    <w:p w14:paraId="7872A59C" w14:textId="77777777" w:rsidR="001E45D0" w:rsidRPr="004828CF" w:rsidRDefault="001E45D0" w:rsidP="001E45D0">
      <w:pPr>
        <w:pStyle w:val="ListBullet"/>
        <w:rPr>
          <w:lang w:bidi="fa-IR"/>
        </w:rPr>
      </w:pPr>
      <w:r w:rsidRPr="00FF4762">
        <w:rPr>
          <w:b/>
          <w:bCs/>
          <w:lang w:bidi="fa-IR"/>
        </w:rPr>
        <w:t xml:space="preserve">Option </w:t>
      </w:r>
      <w:r>
        <w:rPr>
          <w:b/>
          <w:bCs/>
          <w:lang w:bidi="fa-IR"/>
        </w:rPr>
        <w:t>5</w:t>
      </w:r>
      <w:r>
        <w:rPr>
          <w:lang w:bidi="fa-IR"/>
        </w:rPr>
        <w:t>: A subsidy program to encourage additional availability of accessible rental properties</w:t>
      </w:r>
      <w:r w:rsidR="00CD1DA9">
        <w:rPr>
          <w:lang w:bidi="fa-IR"/>
        </w:rPr>
        <w:t>,</w:t>
      </w:r>
      <w:r>
        <w:rPr>
          <w:lang w:bidi="fa-IR"/>
        </w:rPr>
        <w:t xml:space="preserve"> and</w:t>
      </w:r>
    </w:p>
    <w:p w14:paraId="61484715" w14:textId="77777777" w:rsidR="001E45D0" w:rsidRDefault="001E45D0" w:rsidP="001E45D0">
      <w:pPr>
        <w:pStyle w:val="ListBullet"/>
        <w:rPr>
          <w:lang w:bidi="fa-IR"/>
        </w:rPr>
      </w:pPr>
      <w:r w:rsidRPr="00FF4762">
        <w:rPr>
          <w:b/>
          <w:bCs/>
          <w:lang w:bidi="fa-IR"/>
        </w:rPr>
        <w:t xml:space="preserve">Option </w:t>
      </w:r>
      <w:r>
        <w:rPr>
          <w:b/>
          <w:bCs/>
          <w:lang w:bidi="fa-IR"/>
        </w:rPr>
        <w:t>6</w:t>
      </w:r>
      <w:r>
        <w:rPr>
          <w:lang w:bidi="fa-IR"/>
        </w:rPr>
        <w:t>: An enhanced approach to voluntary guidance, which includes turning the current proposals into a non-regulatory ABCB handbook and other measures to encourage additional uptake of universal design principles, including: a search engine for dwellings certified as complying with the LHDGs and provision of information at the point of sale.</w:t>
      </w:r>
    </w:p>
    <w:p w14:paraId="2CDBE2BF" w14:textId="77777777" w:rsidR="001E45D0" w:rsidRDefault="001E45D0" w:rsidP="001E45D0">
      <w:pPr>
        <w:pStyle w:val="BodyText"/>
        <w:rPr>
          <w:lang w:bidi="fa-IR"/>
        </w:rPr>
      </w:pPr>
      <w:r>
        <w:rPr>
          <w:lang w:bidi="fa-IR"/>
        </w:rPr>
        <w:t>Options 1 through 4 may be classified as regulatory options while Status quo and Options 5 and 6 non-regulatory options.</w:t>
      </w:r>
    </w:p>
    <w:p w14:paraId="0A96855E" w14:textId="77777777" w:rsidR="001E45D0" w:rsidRPr="00F4477B" w:rsidRDefault="001E45D0" w:rsidP="00F4477B">
      <w:pPr>
        <w:pStyle w:val="Heading3-Appendix"/>
      </w:pPr>
      <w:r w:rsidRPr="00F4477B">
        <w:lastRenderedPageBreak/>
        <w:t>Proposal versus LHDG</w:t>
      </w:r>
    </w:p>
    <w:p w14:paraId="4B8721AB" w14:textId="77777777" w:rsidR="001E45D0" w:rsidRDefault="001E45D0" w:rsidP="001E45D0">
      <w:pPr>
        <w:pStyle w:val="BodyText"/>
        <w:rPr>
          <w:lang w:bidi="fa-IR"/>
        </w:rPr>
      </w:pPr>
      <w:r>
        <w:rPr>
          <w:lang w:bidi="fa-IR"/>
        </w:rPr>
        <w:t>A number of submissions pointed out the difference between accessible, liveable and universal designs.</w:t>
      </w:r>
    </w:p>
    <w:p w14:paraId="1A2371A5" w14:textId="77777777" w:rsidR="001E45D0" w:rsidRPr="00587482" w:rsidRDefault="001E45D0" w:rsidP="001E45D0">
      <w:pPr>
        <w:pStyle w:val="BodyText"/>
        <w:rPr>
          <w:lang w:bidi="fa-IR"/>
        </w:rPr>
      </w:pPr>
      <w:r>
        <w:rPr>
          <w:lang w:bidi="fa-IR"/>
        </w:rPr>
        <w:t xml:space="preserve">Some submissions distinguished the Silver and Gold/Gold </w:t>
      </w:r>
      <w:r w:rsidR="002B291D">
        <w:rPr>
          <w:lang w:bidi="fa-IR"/>
        </w:rPr>
        <w:t>+</w:t>
      </w:r>
      <w:r>
        <w:rPr>
          <w:lang w:bidi="fa-IR"/>
        </w:rPr>
        <w:t xml:space="preserve"> standards. Silver is mainly about visitability while Gold/Gold </w:t>
      </w:r>
      <w:r w:rsidR="002B291D">
        <w:rPr>
          <w:lang w:bidi="fa-IR"/>
        </w:rPr>
        <w:t>+</w:t>
      </w:r>
      <w:r>
        <w:rPr>
          <w:lang w:bidi="fa-IR"/>
        </w:rPr>
        <w:t xml:space="preserve"> </w:t>
      </w:r>
      <w:r w:rsidR="002B291D">
        <w:rPr>
          <w:lang w:bidi="fa-IR"/>
        </w:rPr>
        <w:t xml:space="preserve">is </w:t>
      </w:r>
      <w:r>
        <w:rPr>
          <w:lang w:bidi="fa-IR"/>
        </w:rPr>
        <w:t>about accessibility (that is for someone to live in).</w:t>
      </w:r>
    </w:p>
    <w:p w14:paraId="5CCB7638" w14:textId="77777777" w:rsidR="001E45D0" w:rsidRPr="00587482" w:rsidRDefault="001E45D0" w:rsidP="001E45D0">
      <w:pPr>
        <w:pStyle w:val="BodyText"/>
        <w:rPr>
          <w:lang w:bidi="fa-IR"/>
        </w:rPr>
      </w:pPr>
      <w:r>
        <w:rPr>
          <w:lang w:bidi="fa-IR"/>
        </w:rPr>
        <w:t xml:space="preserve">A number of submissions </w:t>
      </w:r>
      <w:r w:rsidR="000D588B">
        <w:rPr>
          <w:lang w:bidi="fa-IR"/>
        </w:rPr>
        <w:t>suggest</w:t>
      </w:r>
      <w:r>
        <w:rPr>
          <w:lang w:bidi="fa-IR"/>
        </w:rPr>
        <w:t>ed that the current proposal in the NCC is a ‘diluted’ version of the LHDG and will not achieve accessibility. ANUHD pointed out a number of items in the proposal that deviate from the LHDG that ANUHD does not support.</w:t>
      </w:r>
      <w:r w:rsidR="004836D8">
        <w:rPr>
          <w:rStyle w:val="FootnoteReference"/>
          <w:lang w:bidi="fa-IR"/>
        </w:rPr>
        <w:footnoteReference w:id="325"/>
      </w:r>
    </w:p>
    <w:p w14:paraId="048333CA" w14:textId="77777777" w:rsidR="001E45D0" w:rsidRPr="00F4477B" w:rsidRDefault="001E45D0" w:rsidP="00F4477B">
      <w:pPr>
        <w:pStyle w:val="Heading3-Appendix"/>
      </w:pPr>
      <w:r w:rsidRPr="00F4477B">
        <w:t>Feasible options</w:t>
      </w:r>
    </w:p>
    <w:p w14:paraId="38668002" w14:textId="57A412C8" w:rsidR="001E45D0" w:rsidRDefault="001E45D0" w:rsidP="001E45D0">
      <w:pPr>
        <w:pStyle w:val="BodyText"/>
        <w:rPr>
          <w:lang w:bidi="fa-IR"/>
        </w:rPr>
      </w:pPr>
      <w:r>
        <w:rPr>
          <w:lang w:bidi="fa-IR"/>
        </w:rPr>
        <w:t xml:space="preserve">Among the </w:t>
      </w:r>
      <w:r w:rsidR="003F2D85">
        <w:rPr>
          <w:lang w:bidi="fa-IR"/>
        </w:rPr>
        <w:t xml:space="preserve">98 </w:t>
      </w:r>
      <w:r w:rsidR="00D3080F">
        <w:rPr>
          <w:lang w:bidi="fa-IR"/>
        </w:rPr>
        <w:t>respondents to the Consultation Hub questionnaire</w:t>
      </w:r>
      <w:r>
        <w:rPr>
          <w:lang w:bidi="fa-IR"/>
        </w:rPr>
        <w:t>, some 83 respondents provided answers to the feasible options question (Question 15). Most respondents (63 out of 83) suggested more than one feasible option (chart</w:t>
      </w:r>
      <w:r w:rsidR="00DD5C35">
        <w:rPr>
          <w:lang w:bidi="fa-IR"/>
        </w:rPr>
        <w:t xml:space="preserve"> A.4</w:t>
      </w:r>
      <w:r>
        <w:rPr>
          <w:lang w:bidi="fa-IR"/>
        </w:rPr>
        <w:t>).</w:t>
      </w:r>
    </w:p>
    <w:p w14:paraId="4F49AC56" w14:textId="2E497165" w:rsidR="001E45D0" w:rsidRDefault="00BD17F9" w:rsidP="001E45D0">
      <w:pPr>
        <w:pStyle w:val="Caption"/>
      </w:pPr>
      <w:bookmarkStart w:id="560" w:name="_Toc50453231"/>
      <w:bookmarkStart w:id="561" w:name="_Toc52383064"/>
      <w:bookmarkStart w:id="562" w:name="_Toc57643653"/>
      <w:bookmarkStart w:id="563" w:name="_Toc70505599"/>
      <w:r>
        <w:t>A.4</w:t>
      </w:r>
      <w:r w:rsidR="001E45D0" w:rsidRPr="00695C93">
        <w:tab/>
      </w:r>
      <w:r w:rsidR="001E45D0">
        <w:t>Responses by number of feasible options</w:t>
      </w:r>
      <w:bookmarkEnd w:id="560"/>
      <w:bookmarkEnd w:id="561"/>
      <w:bookmarkEnd w:id="562"/>
      <w:bookmarkEnd w:id="563"/>
    </w:p>
    <w:p w14:paraId="58653063" w14:textId="77777777" w:rsidR="00943316" w:rsidRPr="00943316" w:rsidRDefault="00943316" w:rsidP="00943316">
      <w:pPr>
        <w:pStyle w:val="Subtitlebox"/>
      </w:pPr>
      <w:r w:rsidRPr="007D2AB7">
        <w:rPr>
          <w:noProof/>
        </w:rPr>
        <w:drawing>
          <wp:inline distT="0" distB="0" distL="0" distR="0" wp14:anchorId="58C5540A" wp14:editId="2535E065">
            <wp:extent cx="5016500" cy="2508250"/>
            <wp:effectExtent l="57150" t="57150" r="50800" b="63500"/>
            <wp:docPr id="26" name="Picture 26" descr="Among the 98 respondents to the Consultation Hub questionnaire, some 83 respondents provided answers to the feasible options question (Question 15). Most respondents (63 out of 83) suggested more than one feasible option." title="Chart A.4: Responses by number of feasi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6500" cy="2508250"/>
                    </a:xfrm>
                    <a:prstGeom prst="rect">
                      <a:avLst/>
                    </a:prstGeom>
                    <a:noFill/>
                    <a:ln w="57150">
                      <a:solidFill>
                        <a:schemeClr val="bg2"/>
                      </a:solidFill>
                    </a:ln>
                  </pic:spPr>
                </pic:pic>
              </a:graphicData>
            </a:graphic>
          </wp:inline>
        </w:drawing>
      </w:r>
    </w:p>
    <w:p w14:paraId="3CFE3B4E" w14:textId="77777777" w:rsidR="001E45D0" w:rsidRPr="00A97BEC" w:rsidRDefault="001E45D0" w:rsidP="001E45D0">
      <w:pPr>
        <w:pStyle w:val="Note"/>
      </w:pPr>
      <w:r w:rsidRPr="00A97BEC">
        <w:rPr>
          <w:i/>
        </w:rPr>
        <w:t>Note:</w:t>
      </w:r>
      <w:r>
        <w:rPr>
          <w:i/>
        </w:rPr>
        <w:t xml:space="preserve"> </w:t>
      </w:r>
      <w:r w:rsidRPr="00CD1DA9">
        <w:rPr>
          <w:iCs/>
        </w:rPr>
        <w:t>answers to Question 15</w:t>
      </w:r>
      <w:r w:rsidR="00CD1DA9">
        <w:rPr>
          <w:iCs/>
        </w:rPr>
        <w:t>.</w:t>
      </w:r>
      <w:r w:rsidRPr="00A97BEC">
        <w:rPr>
          <w:i/>
        </w:rPr>
        <w:t xml:space="preserve"> </w:t>
      </w:r>
    </w:p>
    <w:p w14:paraId="0035E40D" w14:textId="77777777" w:rsidR="001E45D0" w:rsidRDefault="001E45D0" w:rsidP="001E45D0">
      <w:pPr>
        <w:pStyle w:val="Source"/>
      </w:pPr>
      <w:r>
        <w:rPr>
          <w:i/>
        </w:rPr>
        <w:t>Data source</w:t>
      </w:r>
      <w:r w:rsidRPr="00A67576">
        <w:rPr>
          <w:i/>
        </w:rPr>
        <w:t>:</w:t>
      </w:r>
      <w:r>
        <w:t xml:space="preserve"> Consultation Hub</w:t>
      </w:r>
      <w:r w:rsidR="00CD1DA9">
        <w:t>.</w:t>
      </w:r>
    </w:p>
    <w:p w14:paraId="2E7A697E" w14:textId="39B47DF3" w:rsidR="001E45D0" w:rsidRDefault="001E45D0" w:rsidP="001E45D0">
      <w:pPr>
        <w:pStyle w:val="BodyText"/>
        <w:rPr>
          <w:lang w:bidi="fa-IR"/>
        </w:rPr>
      </w:pPr>
      <w:r>
        <w:rPr>
          <w:lang w:bidi="fa-IR"/>
        </w:rPr>
        <w:t xml:space="preserve">Chart </w:t>
      </w:r>
      <w:r w:rsidR="00DD5C35">
        <w:rPr>
          <w:lang w:bidi="fa-IR"/>
        </w:rPr>
        <w:t xml:space="preserve">A.5 </w:t>
      </w:r>
      <w:r>
        <w:rPr>
          <w:lang w:bidi="fa-IR"/>
        </w:rPr>
        <w:t xml:space="preserve">reports the count of feasible options provided by respondents. Option 5 has the highest count – </w:t>
      </w:r>
      <w:r w:rsidR="003F2D85">
        <w:rPr>
          <w:lang w:bidi="fa-IR"/>
        </w:rPr>
        <w:t xml:space="preserve">46 </w:t>
      </w:r>
      <w:r>
        <w:rPr>
          <w:lang w:bidi="fa-IR"/>
        </w:rPr>
        <w:t>respondents indicated it is feasible. It is followed by Option 6 (42 counts), Option 1 (36 counts), and Option 3 (30 counts).</w:t>
      </w:r>
    </w:p>
    <w:p w14:paraId="292DC50B" w14:textId="5951EF64" w:rsidR="001E45D0" w:rsidRDefault="00BD17F9" w:rsidP="001E45D0">
      <w:pPr>
        <w:pStyle w:val="Caption"/>
      </w:pPr>
      <w:bookmarkStart w:id="564" w:name="_Toc50453232"/>
      <w:bookmarkStart w:id="565" w:name="_Toc52383065"/>
      <w:bookmarkStart w:id="566" w:name="_Toc57643654"/>
      <w:bookmarkStart w:id="567" w:name="_Toc70505600"/>
      <w:r>
        <w:lastRenderedPageBreak/>
        <w:t>A.5</w:t>
      </w:r>
      <w:r w:rsidR="001E45D0" w:rsidRPr="00695C93">
        <w:tab/>
      </w:r>
      <w:r w:rsidR="001E45D0">
        <w:t>Feasible option counts</w:t>
      </w:r>
      <w:bookmarkEnd w:id="564"/>
      <w:bookmarkEnd w:id="565"/>
      <w:bookmarkEnd w:id="566"/>
      <w:bookmarkEnd w:id="567"/>
    </w:p>
    <w:p w14:paraId="5BECF6AF" w14:textId="77777777" w:rsidR="001E45D0" w:rsidRPr="0056421D" w:rsidRDefault="00943316" w:rsidP="001E45D0">
      <w:pPr>
        <w:pStyle w:val="Note"/>
        <w:rPr>
          <w:iCs/>
        </w:rPr>
      </w:pPr>
      <w:r w:rsidRPr="003F2D85">
        <w:rPr>
          <w:noProof/>
          <w:lang w:eastAsia="en-AU"/>
        </w:rPr>
        <w:drawing>
          <wp:inline distT="0" distB="0" distL="0" distR="0" wp14:anchorId="1EEE5796" wp14:editId="38A2E79D">
            <wp:extent cx="5039995" cy="2540950"/>
            <wp:effectExtent l="57150" t="57150" r="65405" b="50165"/>
            <wp:docPr id="233" name="Picture 233" descr="Chart A.5 reports the count of feasible options provided by respondents. Option 5 has the highest count – 46 respondents indicated it is feasible. It is followed by Option 6 (42 counts), Option 1 (36 counts), and Option 3 (30 counts)." title="Chart A.5: Feasible option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2540950"/>
                    </a:xfrm>
                    <a:prstGeom prst="rect">
                      <a:avLst/>
                    </a:prstGeom>
                    <a:noFill/>
                    <a:ln w="57150">
                      <a:solidFill>
                        <a:schemeClr val="bg2"/>
                      </a:solidFill>
                    </a:ln>
                  </pic:spPr>
                </pic:pic>
              </a:graphicData>
            </a:graphic>
          </wp:inline>
        </w:drawing>
      </w:r>
      <w:r w:rsidR="001E45D0" w:rsidRPr="0056421D">
        <w:rPr>
          <w:iCs/>
        </w:rPr>
        <w:t>Note: Answers to Question 15</w:t>
      </w:r>
      <w:r w:rsidR="00CD1DA9">
        <w:rPr>
          <w:iCs/>
        </w:rPr>
        <w:t>.</w:t>
      </w:r>
      <w:r w:rsidR="001E45D0" w:rsidRPr="0056421D">
        <w:rPr>
          <w:iCs/>
        </w:rPr>
        <w:t xml:space="preserve"> </w:t>
      </w:r>
    </w:p>
    <w:p w14:paraId="2CC0808D" w14:textId="77777777" w:rsidR="001E45D0" w:rsidRPr="0056421D" w:rsidRDefault="001E45D0" w:rsidP="001E45D0">
      <w:pPr>
        <w:pStyle w:val="Source"/>
        <w:rPr>
          <w:iCs/>
        </w:rPr>
      </w:pPr>
      <w:r w:rsidRPr="0056421D">
        <w:rPr>
          <w:iCs/>
        </w:rPr>
        <w:t>Data source: Consultation Hub</w:t>
      </w:r>
      <w:r w:rsidR="00CD1DA9">
        <w:rPr>
          <w:iCs/>
        </w:rPr>
        <w:t>.</w:t>
      </w:r>
    </w:p>
    <w:p w14:paraId="7010670E" w14:textId="77777777" w:rsidR="001E45D0" w:rsidRDefault="001E45D0" w:rsidP="001E45D0">
      <w:pPr>
        <w:pStyle w:val="BodyText"/>
        <w:rPr>
          <w:lang w:bidi="fa-IR"/>
        </w:rPr>
      </w:pPr>
      <w:r>
        <w:rPr>
          <w:lang w:bidi="fa-IR"/>
        </w:rPr>
        <w:t xml:space="preserve">It should be noted that these numbers are indicative only because more than half of respondents did not provide an answer. Moreover, some 15 respondents did not include their preferred option </w:t>
      </w:r>
      <w:r w:rsidR="00D3080F">
        <w:rPr>
          <w:lang w:bidi="fa-IR"/>
        </w:rPr>
        <w:t>a</w:t>
      </w:r>
      <w:r>
        <w:rPr>
          <w:lang w:bidi="fa-IR"/>
        </w:rPr>
        <w:t xml:space="preserve">s one of </w:t>
      </w:r>
      <w:r w:rsidR="00390B6E">
        <w:rPr>
          <w:lang w:bidi="fa-IR"/>
        </w:rPr>
        <w:t xml:space="preserve">the </w:t>
      </w:r>
      <w:r>
        <w:rPr>
          <w:lang w:bidi="fa-IR"/>
        </w:rPr>
        <w:t xml:space="preserve">feasible options in answering </w:t>
      </w:r>
      <w:r w:rsidR="00D3080F">
        <w:rPr>
          <w:lang w:bidi="fa-IR"/>
        </w:rPr>
        <w:t>Question 19 (discussed below)</w:t>
      </w:r>
      <w:r>
        <w:rPr>
          <w:lang w:bidi="fa-IR"/>
        </w:rPr>
        <w:t>.</w:t>
      </w:r>
    </w:p>
    <w:p w14:paraId="404E6904" w14:textId="3B33C9D4" w:rsidR="001E45D0" w:rsidRDefault="001E45D0" w:rsidP="001E45D0">
      <w:pPr>
        <w:pStyle w:val="BodyText"/>
        <w:rPr>
          <w:lang w:bidi="fa-IR"/>
        </w:rPr>
      </w:pPr>
      <w:r>
        <w:rPr>
          <w:lang w:bidi="fa-IR"/>
        </w:rPr>
        <w:t xml:space="preserve">Some respondents believe that applying the accessibility standards to a part of the building or adopting </w:t>
      </w:r>
      <w:r w:rsidR="00D3080F">
        <w:rPr>
          <w:lang w:bidi="fa-IR"/>
        </w:rPr>
        <w:t xml:space="preserve">a </w:t>
      </w:r>
      <w:r>
        <w:rPr>
          <w:lang w:bidi="fa-IR"/>
        </w:rPr>
        <w:t>different combination or a subset of LHDG elements in the NCC are feasible (chart</w:t>
      </w:r>
      <w:r w:rsidR="00DD5C35">
        <w:rPr>
          <w:lang w:bidi="fa-IR"/>
        </w:rPr>
        <w:t xml:space="preserve"> A.6</w:t>
      </w:r>
      <w:r>
        <w:rPr>
          <w:lang w:bidi="fa-IR"/>
        </w:rPr>
        <w:t xml:space="preserve">). </w:t>
      </w:r>
    </w:p>
    <w:p w14:paraId="1B1F8BB5" w14:textId="009E52DD" w:rsidR="001E45D0" w:rsidRDefault="00BD17F9" w:rsidP="001E45D0">
      <w:pPr>
        <w:pStyle w:val="Caption"/>
      </w:pPr>
      <w:bookmarkStart w:id="568" w:name="_Toc50453233"/>
      <w:bookmarkStart w:id="569" w:name="_Toc52383066"/>
      <w:bookmarkStart w:id="570" w:name="_Toc57643655"/>
      <w:bookmarkStart w:id="571" w:name="_Toc70505601"/>
      <w:r>
        <w:t>A.6</w:t>
      </w:r>
      <w:r w:rsidR="001E45D0" w:rsidRPr="00695C93">
        <w:tab/>
      </w:r>
      <w:r w:rsidR="001E45D0">
        <w:t>Other feasible options</w:t>
      </w:r>
      <w:bookmarkEnd w:id="568"/>
      <w:bookmarkEnd w:id="569"/>
      <w:bookmarkEnd w:id="570"/>
      <w:bookmarkEnd w:id="571"/>
    </w:p>
    <w:p w14:paraId="243F5CA6" w14:textId="77777777" w:rsidR="00943316" w:rsidRPr="00943316" w:rsidRDefault="00943316" w:rsidP="00943316">
      <w:pPr>
        <w:pStyle w:val="Subtitlebox"/>
      </w:pPr>
      <w:r w:rsidRPr="007619DC">
        <w:rPr>
          <w:noProof/>
        </w:rPr>
        <w:drawing>
          <wp:inline distT="0" distB="0" distL="0" distR="0" wp14:anchorId="5C9C4EDF" wp14:editId="738A9CDF">
            <wp:extent cx="5022850" cy="2508250"/>
            <wp:effectExtent l="57150" t="57150" r="63500" b="63500"/>
            <wp:docPr id="27" name="Picture 27" descr="This graph shows answers to Question 16 of the questionnaire, and the other options considered feasible by respondents. The most popular options were 'A proportion of Classes 1a and 2' and 'A subset of LHDG elements.'" title="Chart A.6: Other feasi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2850" cy="2508250"/>
                    </a:xfrm>
                    <a:prstGeom prst="rect">
                      <a:avLst/>
                    </a:prstGeom>
                    <a:noFill/>
                    <a:ln w="57150">
                      <a:solidFill>
                        <a:schemeClr val="bg2"/>
                      </a:solidFill>
                    </a:ln>
                  </pic:spPr>
                </pic:pic>
              </a:graphicData>
            </a:graphic>
          </wp:inline>
        </w:drawing>
      </w:r>
    </w:p>
    <w:p w14:paraId="2DD20121" w14:textId="77777777" w:rsidR="00B266FD" w:rsidRPr="00A97BEC" w:rsidRDefault="00B266FD" w:rsidP="00B266FD">
      <w:pPr>
        <w:pStyle w:val="Note"/>
      </w:pPr>
      <w:r w:rsidRPr="00A97BEC">
        <w:rPr>
          <w:i/>
        </w:rPr>
        <w:t xml:space="preserve">Note: </w:t>
      </w:r>
      <w:r w:rsidRPr="00CD1DA9">
        <w:rPr>
          <w:iCs/>
        </w:rPr>
        <w:t>Answers to Question 16</w:t>
      </w:r>
      <w:r w:rsidR="00CD1DA9">
        <w:rPr>
          <w:iCs/>
        </w:rPr>
        <w:t>.</w:t>
      </w:r>
    </w:p>
    <w:p w14:paraId="6C822AFF" w14:textId="77777777" w:rsidR="00B266FD" w:rsidRDefault="00B266FD" w:rsidP="00B266FD">
      <w:pPr>
        <w:pStyle w:val="Source"/>
      </w:pPr>
      <w:r>
        <w:rPr>
          <w:i/>
        </w:rPr>
        <w:t>Data source</w:t>
      </w:r>
      <w:r w:rsidRPr="00A67576">
        <w:rPr>
          <w:i/>
        </w:rPr>
        <w:t>:</w:t>
      </w:r>
      <w:r>
        <w:t xml:space="preserve"> Consultation Hub</w:t>
      </w:r>
      <w:r w:rsidR="00CD1DA9">
        <w:t>.</w:t>
      </w:r>
    </w:p>
    <w:p w14:paraId="58B87AF0" w14:textId="77777777" w:rsidR="00B266FD" w:rsidRDefault="00B266FD" w:rsidP="00B266FD">
      <w:pPr>
        <w:pStyle w:val="BodyText"/>
        <w:rPr>
          <w:lang w:bidi="fa-IR"/>
        </w:rPr>
      </w:pPr>
      <w:r>
        <w:rPr>
          <w:lang w:bidi="fa-IR"/>
        </w:rPr>
        <w:t>Other more specific suggestions</w:t>
      </w:r>
      <w:r w:rsidR="00D3080F">
        <w:rPr>
          <w:lang w:bidi="fa-IR"/>
        </w:rPr>
        <w:t xml:space="preserve"> in the submissions</w:t>
      </w:r>
      <w:r>
        <w:rPr>
          <w:lang w:bidi="fa-IR"/>
        </w:rPr>
        <w:t xml:space="preserve"> include</w:t>
      </w:r>
      <w:r w:rsidR="00D3080F">
        <w:rPr>
          <w:lang w:bidi="fa-IR"/>
        </w:rPr>
        <w:t>d</w:t>
      </w:r>
      <w:r>
        <w:rPr>
          <w:lang w:bidi="fa-IR"/>
        </w:rPr>
        <w:t>:</w:t>
      </w:r>
    </w:p>
    <w:p w14:paraId="38511E3B" w14:textId="77777777" w:rsidR="00B266FD" w:rsidRDefault="00B266FD" w:rsidP="00B266FD">
      <w:pPr>
        <w:pStyle w:val="ListBullet"/>
      </w:pPr>
      <w:r>
        <w:lastRenderedPageBreak/>
        <w:t>Use planning regulations such that changes only apply to a certain percentage of dwellings built because one-size-fits-all is difficult and should not apply to all dwellings (MBA),</w:t>
      </w:r>
      <w:r>
        <w:rPr>
          <w:rStyle w:val="FootnoteReference"/>
        </w:rPr>
        <w:footnoteReference w:id="326"/>
      </w:r>
      <w:r>
        <w:t xml:space="preserve"> and the share should align with </w:t>
      </w:r>
      <w:r w:rsidR="00390B6E">
        <w:t xml:space="preserve">the </w:t>
      </w:r>
      <w:r w:rsidR="007B5078">
        <w:t>local demographics</w:t>
      </w:r>
      <w:r>
        <w:t>.</w:t>
      </w:r>
      <w:r>
        <w:rPr>
          <w:rStyle w:val="FootnoteReference"/>
        </w:rPr>
        <w:footnoteReference w:id="327"/>
      </w:r>
    </w:p>
    <w:p w14:paraId="1B019D7F" w14:textId="77777777" w:rsidR="00B266FD" w:rsidRDefault="00B266FD" w:rsidP="00B266FD">
      <w:pPr>
        <w:pStyle w:val="ListBullet"/>
      </w:pPr>
      <w:r>
        <w:t>Introduce wider/more exemptions in addition to the current 1:14 slope exemption so that compliance is not required where it is impossible or unreasonably costly due to topography, gradients, flood risk and so on (Property Council of Australia).</w:t>
      </w:r>
      <w:r>
        <w:rPr>
          <w:rStyle w:val="FootnoteReference"/>
        </w:rPr>
        <w:footnoteReference w:id="328"/>
      </w:r>
      <w:r>
        <w:t xml:space="preserve"> The reason for this suggestion is that not all sites are suitable to develop to LHDG </w:t>
      </w:r>
      <w:r w:rsidR="00BC1C84">
        <w:t>s</w:t>
      </w:r>
      <w:r>
        <w:t>tandards at low or minimal cost (PowerHousing Australia</w:t>
      </w:r>
      <w:r>
        <w:rPr>
          <w:rStyle w:val="FootnoteReference"/>
        </w:rPr>
        <w:footnoteReference w:id="329"/>
      </w:r>
      <w:r>
        <w:t xml:space="preserve">), for example AusBuild noted around 32 per cent of lots created in </w:t>
      </w:r>
      <w:r w:rsidR="00D3080F">
        <w:t xml:space="preserve">the </w:t>
      </w:r>
      <w:r>
        <w:t xml:space="preserve">last two years in Queensland are suitable for accessible </w:t>
      </w:r>
      <w:r w:rsidR="00D3080F">
        <w:t>h</w:t>
      </w:r>
      <w:r>
        <w:t>ousing,</w:t>
      </w:r>
      <w:r>
        <w:rPr>
          <w:rStyle w:val="FootnoteReference"/>
        </w:rPr>
        <w:footnoteReference w:id="330"/>
      </w:r>
      <w:r>
        <w:t xml:space="preserve"> and </w:t>
      </w:r>
      <w:r w:rsidR="00D33106">
        <w:t>one</w:t>
      </w:r>
      <w:r>
        <w:t xml:space="preserve"> submission argued that the proposed changes are not feasible for lots less than 350 m</w:t>
      </w:r>
      <w:r>
        <w:rPr>
          <w:vertAlign w:val="superscript"/>
        </w:rPr>
        <w:t>2</w:t>
      </w:r>
      <w:r>
        <w:t>.</w:t>
      </w:r>
    </w:p>
    <w:p w14:paraId="2803BF5F" w14:textId="77777777" w:rsidR="00B266FD" w:rsidRDefault="00B266FD" w:rsidP="00B266FD">
      <w:pPr>
        <w:pStyle w:val="ListBullet"/>
      </w:pPr>
      <w:r>
        <w:t>Align voluntary options with existing planning policy</w:t>
      </w:r>
    </w:p>
    <w:p w14:paraId="32D155C3" w14:textId="77777777" w:rsidR="001E45D0" w:rsidRDefault="001E45D0" w:rsidP="001E45D0">
      <w:pPr>
        <w:pStyle w:val="ListBullet"/>
      </w:pPr>
      <w:r>
        <w:t xml:space="preserve">Increase funding to LHA </w:t>
      </w:r>
      <w:r w:rsidR="00102A2B">
        <w:t>to expand its education systems</w:t>
      </w:r>
    </w:p>
    <w:p w14:paraId="23D3E0CD" w14:textId="77777777" w:rsidR="001E45D0" w:rsidRDefault="001E45D0" w:rsidP="001E45D0">
      <w:pPr>
        <w:pStyle w:val="ListBullet"/>
      </w:pPr>
      <w:r>
        <w:t>Increase information available, for example,</w:t>
      </w:r>
    </w:p>
    <w:p w14:paraId="1263CC7A" w14:textId="77777777" w:rsidR="001E45D0" w:rsidRDefault="001E45D0" w:rsidP="001E45D0">
      <w:pPr>
        <w:pStyle w:val="ListBullet2"/>
      </w:pPr>
      <w:r>
        <w:t>voluntary handbook, self-declaration form as to the standard</w:t>
      </w:r>
    </w:p>
    <w:p w14:paraId="19A81A0C" w14:textId="77777777" w:rsidR="001E45D0" w:rsidRDefault="001E45D0" w:rsidP="001E45D0">
      <w:pPr>
        <w:pStyle w:val="ListBullet2"/>
      </w:pPr>
      <w:r>
        <w:t>governments collect data on accessible housing and make them available</w:t>
      </w:r>
      <w:r w:rsidR="00BC1C84">
        <w:t>;</w:t>
      </w:r>
      <w:r>
        <w:t xml:space="preserve"> for example, create a publicly available national register of homes with accessibility features, including a simple process to confirm the validity of the original accessibility certificates (PCA)</w:t>
      </w:r>
      <w:r w:rsidR="008556BF">
        <w:rPr>
          <w:rStyle w:val="FootnoteReference"/>
        </w:rPr>
        <w:footnoteReference w:id="331"/>
      </w:r>
    </w:p>
    <w:p w14:paraId="60FBFAE6" w14:textId="77777777" w:rsidR="001E45D0" w:rsidRDefault="001E45D0" w:rsidP="001E45D0">
      <w:pPr>
        <w:pStyle w:val="ListBullet"/>
      </w:pPr>
      <w:r>
        <w:t>Add matching service to achieve the benefits</w:t>
      </w:r>
    </w:p>
    <w:p w14:paraId="3DD540C4" w14:textId="77777777" w:rsidR="001E45D0" w:rsidRDefault="00AD736F" w:rsidP="001E45D0">
      <w:pPr>
        <w:pStyle w:val="ListBullet2"/>
      </w:pPr>
      <w:r>
        <w:t>For example</w:t>
      </w:r>
      <w:r w:rsidR="00BC1C84">
        <w:t>;</w:t>
      </w:r>
      <w:r>
        <w:t xml:space="preserve"> </w:t>
      </w:r>
      <w:r w:rsidR="001E45D0">
        <w:t>SDA has a matching program</w:t>
      </w:r>
    </w:p>
    <w:p w14:paraId="392278AB" w14:textId="77777777" w:rsidR="001E45D0" w:rsidRDefault="001E45D0" w:rsidP="001E45D0">
      <w:pPr>
        <w:pStyle w:val="ListBullet"/>
      </w:pPr>
      <w:r>
        <w:t>Provide incentives for developers, builders and purchasers</w:t>
      </w:r>
    </w:p>
    <w:p w14:paraId="7A7C0D50" w14:textId="77777777" w:rsidR="001E45D0" w:rsidRDefault="001E45D0" w:rsidP="001E45D0">
      <w:pPr>
        <w:pStyle w:val="ListBullet"/>
      </w:pPr>
      <w:r>
        <w:t>Accreditation program for accessible builders</w:t>
      </w:r>
    </w:p>
    <w:p w14:paraId="0417A410" w14:textId="77777777" w:rsidR="001E45D0" w:rsidRDefault="001E45D0" w:rsidP="001E45D0">
      <w:pPr>
        <w:pStyle w:val="ListBullet"/>
      </w:pPr>
      <w:r>
        <w:t>Lowering transfer duties because the duties lead to low take-up of accessibility features by mobility impaired households (ANUHD)</w:t>
      </w:r>
      <w:r w:rsidR="001D54E9">
        <w:rPr>
          <w:rStyle w:val="FootnoteReference"/>
        </w:rPr>
        <w:footnoteReference w:id="332"/>
      </w:r>
    </w:p>
    <w:p w14:paraId="19FD9FCE" w14:textId="77777777" w:rsidR="001E45D0" w:rsidRDefault="001E45D0" w:rsidP="001E45D0">
      <w:pPr>
        <w:pStyle w:val="ListBullet"/>
      </w:pPr>
      <w:r>
        <w:t>Light-weight, cheap removable threshold ramps are an alternative</w:t>
      </w:r>
    </w:p>
    <w:p w14:paraId="31E858D6" w14:textId="77777777" w:rsidR="001E45D0" w:rsidRDefault="001E45D0" w:rsidP="001E45D0">
      <w:pPr>
        <w:pStyle w:val="ListBullet"/>
      </w:pPr>
      <w:r>
        <w:lastRenderedPageBreak/>
        <w:t>Proposed changes should be expanded to help vision impaired people and mentally impaired people</w:t>
      </w:r>
      <w:r w:rsidR="00BC1C84">
        <w:t>;</w:t>
      </w:r>
      <w:r>
        <w:t xml:space="preserve"> for example, better insulation in Class 2 units to cut down noise transfer which can be stressful</w:t>
      </w:r>
      <w:r w:rsidR="00BC1C84">
        <w:t>.</w:t>
      </w:r>
      <w:r>
        <w:t xml:space="preserve"> </w:t>
      </w:r>
    </w:p>
    <w:p w14:paraId="39A4C9A8" w14:textId="77777777" w:rsidR="001E45D0" w:rsidRPr="00F4477B" w:rsidRDefault="001E45D0" w:rsidP="00F4477B">
      <w:pPr>
        <w:pStyle w:val="Heading3-Appendix"/>
      </w:pPr>
      <w:r w:rsidRPr="00F4477B">
        <w:t>Options to meet the objective</w:t>
      </w:r>
    </w:p>
    <w:p w14:paraId="01D9098D" w14:textId="7A85208B" w:rsidR="001E45D0" w:rsidRDefault="001E45D0" w:rsidP="001E45D0">
      <w:pPr>
        <w:pStyle w:val="BodyText"/>
        <w:rPr>
          <w:lang w:bidi="fa-IR"/>
        </w:rPr>
      </w:pPr>
      <w:r>
        <w:rPr>
          <w:lang w:bidi="fa-IR"/>
        </w:rPr>
        <w:t xml:space="preserve">Question 17 </w:t>
      </w:r>
      <w:r w:rsidR="00D3080F">
        <w:rPr>
          <w:lang w:bidi="fa-IR"/>
        </w:rPr>
        <w:t xml:space="preserve">of the Consultation Hub questionnaire </w:t>
      </w:r>
      <w:r>
        <w:rPr>
          <w:lang w:bidi="fa-IR"/>
        </w:rPr>
        <w:t>ask</w:t>
      </w:r>
      <w:r w:rsidR="00D3080F">
        <w:rPr>
          <w:lang w:bidi="fa-IR"/>
        </w:rPr>
        <w:t xml:space="preserve">ed respondents to consider </w:t>
      </w:r>
      <w:r>
        <w:rPr>
          <w:lang w:bidi="fa-IR"/>
        </w:rPr>
        <w:t xml:space="preserve">which option can meet the objective. Some 80 submissions provided answers to this question through the Consultation Hub. Chart </w:t>
      </w:r>
      <w:r w:rsidR="00DD5C35">
        <w:rPr>
          <w:lang w:bidi="fa-IR"/>
        </w:rPr>
        <w:t xml:space="preserve">A.7 </w:t>
      </w:r>
      <w:r>
        <w:rPr>
          <w:lang w:bidi="fa-IR"/>
        </w:rPr>
        <w:t>compares the answers to the question about feasible options.</w:t>
      </w:r>
    </w:p>
    <w:p w14:paraId="7E501FB0" w14:textId="77777777" w:rsidR="001E45D0" w:rsidRDefault="00404556" w:rsidP="001E45D0">
      <w:pPr>
        <w:pStyle w:val="BodyText"/>
        <w:rPr>
          <w:lang w:bidi="fa-IR"/>
        </w:rPr>
      </w:pPr>
      <w:r>
        <w:rPr>
          <w:lang w:bidi="fa-IR"/>
        </w:rPr>
        <w:t xml:space="preserve">For the regulatory options (Options 1 to 4), </w:t>
      </w:r>
      <w:r w:rsidR="001E45D0">
        <w:rPr>
          <w:lang w:bidi="fa-IR"/>
        </w:rPr>
        <w:t xml:space="preserve">the number of respondents </w:t>
      </w:r>
      <w:r w:rsidR="00BC1C84">
        <w:rPr>
          <w:lang w:bidi="fa-IR"/>
        </w:rPr>
        <w:t xml:space="preserve">who thought </w:t>
      </w:r>
      <w:r w:rsidR="001E45D0">
        <w:rPr>
          <w:lang w:bidi="fa-IR"/>
        </w:rPr>
        <w:t xml:space="preserve">one option </w:t>
      </w:r>
      <w:r w:rsidR="00D3080F">
        <w:rPr>
          <w:lang w:bidi="fa-IR"/>
        </w:rPr>
        <w:t>ha</w:t>
      </w:r>
      <w:r w:rsidR="001E45D0">
        <w:rPr>
          <w:lang w:bidi="fa-IR"/>
        </w:rPr>
        <w:t xml:space="preserve">s the ability to meet the objective </w:t>
      </w:r>
      <w:r w:rsidR="00D3080F">
        <w:rPr>
          <w:lang w:bidi="fa-IR"/>
        </w:rPr>
        <w:t>wa</w:t>
      </w:r>
      <w:r w:rsidR="001E45D0">
        <w:rPr>
          <w:lang w:bidi="fa-IR"/>
        </w:rPr>
        <w:t>s slightly less than the number of respondents who thought the option is feasible</w:t>
      </w:r>
      <w:r>
        <w:rPr>
          <w:lang w:bidi="fa-IR"/>
        </w:rPr>
        <w:t>. F</w:t>
      </w:r>
      <w:r w:rsidR="001E45D0">
        <w:rPr>
          <w:lang w:bidi="fa-IR"/>
        </w:rPr>
        <w:t>or the non-regulatory options (Options 5 and 6)</w:t>
      </w:r>
      <w:r>
        <w:rPr>
          <w:lang w:bidi="fa-IR"/>
        </w:rPr>
        <w:t>, the gap is wider</w:t>
      </w:r>
      <w:r w:rsidR="001E45D0">
        <w:rPr>
          <w:lang w:bidi="fa-IR"/>
        </w:rPr>
        <w:t xml:space="preserve">. </w:t>
      </w:r>
    </w:p>
    <w:p w14:paraId="62DCAF5B" w14:textId="77777777" w:rsidR="001E45D0" w:rsidRDefault="001E7283" w:rsidP="001E45D0">
      <w:pPr>
        <w:pStyle w:val="BodyText"/>
        <w:rPr>
          <w:lang w:bidi="fa-IR"/>
        </w:rPr>
      </w:pPr>
      <w:r>
        <w:rPr>
          <w:lang w:bidi="fa-IR"/>
        </w:rPr>
        <w:t>M</w:t>
      </w:r>
      <w:r w:rsidR="001E45D0">
        <w:rPr>
          <w:lang w:bidi="fa-IR"/>
        </w:rPr>
        <w:t xml:space="preserve">ore respondents thought that the Silver standard (Option 1) could meet the objective than the Gold (Option 2) and Gold Plus (Option 3), although the difference is not </w:t>
      </w:r>
      <w:r w:rsidR="00D3080F">
        <w:rPr>
          <w:lang w:bidi="fa-IR"/>
        </w:rPr>
        <w:t>large</w:t>
      </w:r>
      <w:r w:rsidR="001E45D0">
        <w:rPr>
          <w:lang w:bidi="fa-IR"/>
        </w:rPr>
        <w:t>.</w:t>
      </w:r>
    </w:p>
    <w:p w14:paraId="47400FBF" w14:textId="77777777" w:rsidR="001E45D0" w:rsidRDefault="001E45D0" w:rsidP="001E45D0">
      <w:pPr>
        <w:pStyle w:val="BodyText"/>
        <w:rPr>
          <w:lang w:bidi="fa-IR"/>
        </w:rPr>
      </w:pPr>
      <w:r>
        <w:rPr>
          <w:lang w:bidi="fa-IR"/>
        </w:rPr>
        <w:t xml:space="preserve">There </w:t>
      </w:r>
      <w:r w:rsidR="00D3080F">
        <w:rPr>
          <w:lang w:bidi="fa-IR"/>
        </w:rPr>
        <w:t>wa</w:t>
      </w:r>
      <w:r w:rsidR="00847CEB">
        <w:rPr>
          <w:lang w:bidi="fa-IR"/>
        </w:rPr>
        <w:t>s a</w:t>
      </w:r>
      <w:r>
        <w:rPr>
          <w:lang w:bidi="fa-IR"/>
        </w:rPr>
        <w:t xml:space="preserve"> similar number of respondents</w:t>
      </w:r>
      <w:r w:rsidR="00847CEB">
        <w:rPr>
          <w:lang w:bidi="fa-IR"/>
        </w:rPr>
        <w:t xml:space="preserve"> who consider</w:t>
      </w:r>
      <w:r>
        <w:rPr>
          <w:lang w:bidi="fa-IR"/>
        </w:rPr>
        <w:t xml:space="preserve"> that an enhanced approach to voluntary guidance (Option 6) and the Gold Plus (Option 3) can meet the objective.</w:t>
      </w:r>
    </w:p>
    <w:p w14:paraId="7FA8FC7B" w14:textId="1724D99C" w:rsidR="001E45D0" w:rsidRDefault="00BD17F9" w:rsidP="001E45D0">
      <w:pPr>
        <w:pStyle w:val="Caption"/>
      </w:pPr>
      <w:bookmarkStart w:id="572" w:name="_Toc52383067"/>
      <w:bookmarkStart w:id="573" w:name="_Toc57643656"/>
      <w:bookmarkStart w:id="574" w:name="_Toc70505602"/>
      <w:r>
        <w:t>A.7</w:t>
      </w:r>
      <w:r w:rsidR="001E45D0" w:rsidRPr="00695C93">
        <w:tab/>
      </w:r>
      <w:r w:rsidR="001E45D0">
        <w:t>Feasible options versus options meeting the objective</w:t>
      </w:r>
      <w:bookmarkEnd w:id="572"/>
      <w:bookmarkEnd w:id="573"/>
      <w:bookmarkEnd w:id="574"/>
    </w:p>
    <w:p w14:paraId="10EB02AF" w14:textId="77777777" w:rsidR="001E45D0" w:rsidRPr="00E94313" w:rsidRDefault="00943316" w:rsidP="001E45D0">
      <w:pPr>
        <w:pStyle w:val="Note"/>
        <w:rPr>
          <w:iCs/>
        </w:rPr>
      </w:pPr>
      <w:r w:rsidRPr="003F2D85">
        <w:rPr>
          <w:noProof/>
          <w:lang w:eastAsia="en-AU"/>
        </w:rPr>
        <w:drawing>
          <wp:inline distT="0" distB="0" distL="0" distR="0" wp14:anchorId="27B10B61" wp14:editId="4E0E3F29">
            <wp:extent cx="5039995" cy="2535871"/>
            <wp:effectExtent l="57150" t="57150" r="65405" b="55245"/>
            <wp:docPr id="234" name="Picture 234" descr="Question 17 of the Consultation Hub questionnaire asked respondents to consider which option can meet the objective. Some 80 submissions provided answers to this question through the Consultation Hub. Chart A.7 compares the answers to the question about feasible options. For the regulatory options (Options 1 to 4), the number of respondents who thought one option has the ability to meet the objective was slightly less than the number of respondents who thought the option is feasible. For the non-regulatory options (Options 5 and 6), the gap is wider. &#10;More respondents thought that the Silver standard (Option 1) could meet the objective than the Gold (Option 2) and Gold Plus (Option 3), although the difference is not large.&#10;There was a similar number of respondents who consider that an enhanced approach to voluntary guidance (Option 6) and the Gold Plus (Option 3) can meet the objective." title="Chart A.7: Feasible options versus options meeting the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2535871"/>
                    </a:xfrm>
                    <a:prstGeom prst="rect">
                      <a:avLst/>
                    </a:prstGeom>
                    <a:noFill/>
                    <a:ln w="57150">
                      <a:solidFill>
                        <a:schemeClr val="bg2"/>
                      </a:solidFill>
                    </a:ln>
                  </pic:spPr>
                </pic:pic>
              </a:graphicData>
            </a:graphic>
          </wp:inline>
        </w:drawing>
      </w:r>
      <w:r w:rsidR="001E45D0" w:rsidRPr="00E94313">
        <w:rPr>
          <w:iCs/>
        </w:rPr>
        <w:t>Note: Structured answers to Questions 15 and 17</w:t>
      </w:r>
      <w:r w:rsidR="00CD1DA9">
        <w:rPr>
          <w:iCs/>
        </w:rPr>
        <w:t>.</w:t>
      </w:r>
    </w:p>
    <w:p w14:paraId="22D29AC4" w14:textId="77777777" w:rsidR="001E45D0" w:rsidRPr="00E94313" w:rsidRDefault="001E45D0" w:rsidP="001E45D0">
      <w:pPr>
        <w:pStyle w:val="Source"/>
        <w:rPr>
          <w:iCs/>
        </w:rPr>
      </w:pPr>
      <w:r w:rsidRPr="00E94313">
        <w:rPr>
          <w:iCs/>
        </w:rPr>
        <w:t>Data source: Consultation Hub</w:t>
      </w:r>
      <w:r w:rsidR="00CD1DA9">
        <w:rPr>
          <w:iCs/>
        </w:rPr>
        <w:t>.</w:t>
      </w:r>
    </w:p>
    <w:p w14:paraId="0488049C" w14:textId="77777777" w:rsidR="001E45D0" w:rsidRPr="00F4477B" w:rsidRDefault="001E45D0" w:rsidP="00F4477B">
      <w:pPr>
        <w:pStyle w:val="Heading3-Appendix"/>
      </w:pPr>
      <w:r w:rsidRPr="00F4477B">
        <w:t>Effectiveness of voluntary approach</w:t>
      </w:r>
    </w:p>
    <w:p w14:paraId="71257902" w14:textId="77777777" w:rsidR="001E45D0" w:rsidRDefault="001E45D0" w:rsidP="001E45D0">
      <w:pPr>
        <w:pStyle w:val="BodyText"/>
        <w:rPr>
          <w:lang w:eastAsia="en-US"/>
        </w:rPr>
      </w:pPr>
      <w:r>
        <w:rPr>
          <w:lang w:eastAsia="en-US"/>
        </w:rPr>
        <w:t>Questions 32 ask</w:t>
      </w:r>
      <w:r w:rsidR="00D3080F">
        <w:rPr>
          <w:lang w:eastAsia="en-US"/>
        </w:rPr>
        <w:t>ed about</w:t>
      </w:r>
      <w:r>
        <w:rPr>
          <w:lang w:eastAsia="en-US"/>
        </w:rPr>
        <w:t xml:space="preserve"> effective</w:t>
      </w:r>
      <w:r w:rsidR="00D3080F">
        <w:rPr>
          <w:lang w:eastAsia="en-US"/>
        </w:rPr>
        <w:t>ness of</w:t>
      </w:r>
      <w:r>
        <w:rPr>
          <w:lang w:eastAsia="en-US"/>
        </w:rPr>
        <w:t xml:space="preserve"> </w:t>
      </w:r>
      <w:r w:rsidR="00573AB9">
        <w:rPr>
          <w:lang w:eastAsia="en-US"/>
        </w:rPr>
        <w:t xml:space="preserve">providing </w:t>
      </w:r>
      <w:r>
        <w:rPr>
          <w:lang w:eastAsia="en-US"/>
        </w:rPr>
        <w:t>better information and promotion of an enhanced non-regulatory approach (Option 6) to encourage the voluntary uptake of universal design principles in new dwellings.</w:t>
      </w:r>
    </w:p>
    <w:p w14:paraId="45A0459A" w14:textId="56BBF295" w:rsidR="001E45D0" w:rsidRDefault="001E45D0" w:rsidP="001E45D0">
      <w:pPr>
        <w:pStyle w:val="BodyText"/>
        <w:rPr>
          <w:lang w:eastAsia="en-US"/>
        </w:rPr>
      </w:pPr>
      <w:r>
        <w:rPr>
          <w:lang w:eastAsia="en-US"/>
        </w:rPr>
        <w:lastRenderedPageBreak/>
        <w:t xml:space="preserve">Chart </w:t>
      </w:r>
      <w:r w:rsidR="00DD5C35">
        <w:rPr>
          <w:lang w:eastAsia="en-US"/>
        </w:rPr>
        <w:t xml:space="preserve">A.8 </w:t>
      </w:r>
      <w:r>
        <w:rPr>
          <w:lang w:eastAsia="en-US"/>
        </w:rPr>
        <w:t xml:space="preserve">summarises the responses to this question. </w:t>
      </w:r>
      <w:r w:rsidR="00BC1C84">
        <w:rPr>
          <w:lang w:eastAsia="en-US"/>
        </w:rPr>
        <w:t>As</w:t>
      </w:r>
      <w:r>
        <w:rPr>
          <w:lang w:eastAsia="en-US"/>
        </w:rPr>
        <w:t xml:space="preserve"> can be seen from the chart, there are about </w:t>
      </w:r>
      <w:r w:rsidR="00BC1C84">
        <w:rPr>
          <w:lang w:eastAsia="en-US"/>
        </w:rPr>
        <w:t xml:space="preserve">an </w:t>
      </w:r>
      <w:r>
        <w:rPr>
          <w:lang w:eastAsia="en-US"/>
        </w:rPr>
        <w:t>equal number of responses thinking it is at least somewhat effective (39 responses or 19 per cent) or not effective (36 responses or 18 per cent).</w:t>
      </w:r>
    </w:p>
    <w:p w14:paraId="309AF2CC" w14:textId="28B202F0" w:rsidR="001E45D0" w:rsidRDefault="00BD17F9" w:rsidP="001E45D0">
      <w:pPr>
        <w:pStyle w:val="Caption"/>
      </w:pPr>
      <w:bookmarkStart w:id="575" w:name="_Toc52383068"/>
      <w:bookmarkStart w:id="576" w:name="_Toc57643657"/>
      <w:bookmarkStart w:id="577" w:name="_Toc70505603"/>
      <w:r>
        <w:t>A.8</w:t>
      </w:r>
      <w:r>
        <w:tab/>
      </w:r>
      <w:r w:rsidR="001E45D0">
        <w:t>Effectiveness of non-regulatory option</w:t>
      </w:r>
      <w:bookmarkEnd w:id="575"/>
      <w:bookmarkEnd w:id="576"/>
      <w:bookmarkEnd w:id="577"/>
    </w:p>
    <w:p w14:paraId="43614B62" w14:textId="77777777" w:rsidR="001E45D0" w:rsidRPr="00E94313" w:rsidRDefault="00943316" w:rsidP="001E45D0">
      <w:pPr>
        <w:pStyle w:val="Note"/>
        <w:rPr>
          <w:iCs/>
        </w:rPr>
      </w:pPr>
      <w:r w:rsidRPr="00625478">
        <w:rPr>
          <w:noProof/>
          <w:lang w:eastAsia="en-AU"/>
        </w:rPr>
        <w:drawing>
          <wp:inline distT="0" distB="0" distL="0" distR="0" wp14:anchorId="1399E735" wp14:editId="12479188">
            <wp:extent cx="4886325" cy="2133600"/>
            <wp:effectExtent l="57150" t="57150" r="66675" b="57150"/>
            <wp:docPr id="13" name="Picture 13" descr="Questions 32 asked about effectiveness of better information provision and promotion of an enhanced non-regulatory approach (Option 6) to encourage the voluntary uptake of universal design principles in new dwellings.&#10;Chart A.8 summarises the responses to this question. The majority of respondents did not answer this questions. 18% of respondents said that a non-regulatory approach is not effective." title="Chart A.8: Effectiveness of non-regulator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6460" t="6859" r="-3913" b="7774"/>
                    <a:stretch/>
                  </pic:blipFill>
                  <pic:spPr bwMode="auto">
                    <a:xfrm>
                      <a:off x="0" y="0"/>
                      <a:ext cx="4886325" cy="2133600"/>
                    </a:xfrm>
                    <a:prstGeom prst="rect">
                      <a:avLst/>
                    </a:prstGeom>
                    <a:noFill/>
                    <a:ln w="57150" cap="flat" cmpd="sng" algn="ctr">
                      <a:solidFill>
                        <a:srgbClr val="E9E8E5"/>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E45D0" w:rsidRPr="00E94313">
        <w:rPr>
          <w:iCs/>
        </w:rPr>
        <w:t>Note: Structured answers to Question 32</w:t>
      </w:r>
      <w:r w:rsidR="00CD1DA9">
        <w:rPr>
          <w:iCs/>
        </w:rPr>
        <w:t>.</w:t>
      </w:r>
    </w:p>
    <w:p w14:paraId="0695CF30" w14:textId="77777777" w:rsidR="001E45D0" w:rsidRPr="00E94313" w:rsidRDefault="001E45D0" w:rsidP="001E45D0">
      <w:pPr>
        <w:pStyle w:val="Source"/>
        <w:rPr>
          <w:iCs/>
        </w:rPr>
      </w:pPr>
      <w:r w:rsidRPr="00E94313">
        <w:rPr>
          <w:iCs/>
        </w:rPr>
        <w:t>Data source: Consultation Hub</w:t>
      </w:r>
      <w:r w:rsidR="00CD1DA9">
        <w:rPr>
          <w:iCs/>
        </w:rPr>
        <w:t>.</w:t>
      </w:r>
    </w:p>
    <w:p w14:paraId="3C3A1D15" w14:textId="77777777" w:rsidR="001E45D0" w:rsidRPr="00C31435" w:rsidRDefault="001E45D0" w:rsidP="001E45D0">
      <w:pPr>
        <w:pStyle w:val="BodyText"/>
        <w:rPr>
          <w:lang w:bidi="fa-IR"/>
        </w:rPr>
      </w:pPr>
      <w:r>
        <w:rPr>
          <w:lang w:bidi="fa-IR"/>
        </w:rPr>
        <w:t xml:space="preserve">Aged and Community Services Australia (ACSA) requested government consider whether accessible housing outcomes can be achieved adequately through non-regulatory approaches, including guidance documents, and </w:t>
      </w:r>
      <w:r w:rsidRPr="00C31435">
        <w:rPr>
          <w:lang w:bidi="fa-IR"/>
        </w:rPr>
        <w:t>other mechanisms such as providing incentives</w:t>
      </w:r>
      <w:r w:rsidR="00BC1C84">
        <w:rPr>
          <w:lang w:bidi="fa-IR"/>
        </w:rPr>
        <w:t>,</w:t>
      </w:r>
      <w:r w:rsidRPr="00C31435">
        <w:rPr>
          <w:lang w:bidi="fa-IR"/>
        </w:rPr>
        <w:t xml:space="preserve"> including subsidies designed to address affordability of incorporating ‘accessibility’ into new buildings</w:t>
      </w:r>
      <w:r>
        <w:rPr>
          <w:lang w:bidi="fa-IR"/>
        </w:rPr>
        <w:t xml:space="preserve">. It emphasised </w:t>
      </w:r>
      <w:r w:rsidR="004F1A4A">
        <w:rPr>
          <w:lang w:bidi="fa-IR"/>
        </w:rPr>
        <w:t xml:space="preserve">that </w:t>
      </w:r>
      <w:r>
        <w:rPr>
          <w:lang w:bidi="fa-IR"/>
        </w:rPr>
        <w:t>governments</w:t>
      </w:r>
      <w:r w:rsidR="004F1A4A">
        <w:rPr>
          <w:lang w:bidi="fa-IR"/>
        </w:rPr>
        <w:t xml:space="preserve"> should continue</w:t>
      </w:r>
      <w:r>
        <w:rPr>
          <w:lang w:bidi="fa-IR"/>
        </w:rPr>
        <w:t xml:space="preserve"> ‘to</w:t>
      </w:r>
      <w:r w:rsidRPr="00C31435">
        <w:rPr>
          <w:lang w:bidi="fa-IR"/>
        </w:rPr>
        <w:t xml:space="preserve"> provide subsidised home modification services through the Commonwealth Home Support Program enabling older Australians to remain living in their current homes in the community they know</w:t>
      </w:r>
      <w:r>
        <w:rPr>
          <w:lang w:bidi="fa-IR"/>
        </w:rPr>
        <w:t>.’</w:t>
      </w:r>
      <w:r w:rsidR="00BC37A2">
        <w:rPr>
          <w:rStyle w:val="FootnoteReference"/>
          <w:lang w:bidi="fa-IR"/>
        </w:rPr>
        <w:footnoteReference w:id="333"/>
      </w:r>
      <w:r w:rsidRPr="00C31435">
        <w:rPr>
          <w:lang w:bidi="fa-IR"/>
        </w:rPr>
        <w:t xml:space="preserve"> </w:t>
      </w:r>
    </w:p>
    <w:p w14:paraId="1C7A94C2" w14:textId="77777777" w:rsidR="001E45D0" w:rsidRDefault="009F3295" w:rsidP="001E45D0">
      <w:pPr>
        <w:pStyle w:val="BodyText"/>
        <w:rPr>
          <w:lang w:bidi="fa-IR"/>
        </w:rPr>
      </w:pPr>
      <w:r>
        <w:rPr>
          <w:lang w:bidi="fa-IR"/>
        </w:rPr>
        <w:t>One</w:t>
      </w:r>
      <w:r w:rsidR="00BC37A2">
        <w:rPr>
          <w:lang w:bidi="fa-IR"/>
        </w:rPr>
        <w:t xml:space="preserve"> submission</w:t>
      </w:r>
      <w:r w:rsidR="001E45D0">
        <w:rPr>
          <w:lang w:bidi="fa-IR"/>
        </w:rPr>
        <w:t xml:space="preserve"> noted that o</w:t>
      </w:r>
      <w:r w:rsidR="001E45D0" w:rsidRPr="005F5527">
        <w:rPr>
          <w:lang w:bidi="fa-IR"/>
        </w:rPr>
        <w:t>nly a small percentage of home occupiers require accessible features in their houses</w:t>
      </w:r>
      <w:r w:rsidR="001E45D0">
        <w:rPr>
          <w:lang w:bidi="fa-IR"/>
        </w:rPr>
        <w:t>, and</w:t>
      </w:r>
      <w:r w:rsidR="001E45D0" w:rsidRPr="00097A94">
        <w:t xml:space="preserve"> </w:t>
      </w:r>
      <w:r w:rsidR="001E45D0">
        <w:rPr>
          <w:lang w:bidi="fa-IR"/>
        </w:rPr>
        <w:t>m</w:t>
      </w:r>
      <w:r w:rsidR="001E45D0" w:rsidRPr="00097A94">
        <w:rPr>
          <w:lang w:bidi="fa-IR"/>
        </w:rPr>
        <w:t>andating that all new houses include accessible features may compromise housing affordability within the private housing market</w:t>
      </w:r>
      <w:r w:rsidR="001E45D0">
        <w:rPr>
          <w:lang w:bidi="fa-IR"/>
        </w:rPr>
        <w:t xml:space="preserve"> and </w:t>
      </w:r>
      <w:r w:rsidR="001E45D0" w:rsidRPr="00097A94">
        <w:rPr>
          <w:lang w:bidi="fa-IR"/>
        </w:rPr>
        <w:t>may also increase the costs of providing public and social housing.</w:t>
      </w:r>
      <w:r w:rsidR="001E45D0">
        <w:rPr>
          <w:lang w:bidi="fa-IR"/>
        </w:rPr>
        <w:t xml:space="preserve"> </w:t>
      </w:r>
      <w:r w:rsidR="005258A2">
        <w:rPr>
          <w:lang w:bidi="fa-IR"/>
        </w:rPr>
        <w:t>T</w:t>
      </w:r>
      <w:r w:rsidR="001E45D0">
        <w:rPr>
          <w:lang w:bidi="fa-IR"/>
        </w:rPr>
        <w:t>hey argued that t</w:t>
      </w:r>
      <w:r w:rsidR="001E45D0" w:rsidRPr="005F5527">
        <w:rPr>
          <w:lang w:bidi="fa-IR"/>
        </w:rPr>
        <w:t>he costs associated with mandating accessible features for new houses may be better spent on targeted community-based incentive schemes.</w:t>
      </w:r>
    </w:p>
    <w:p w14:paraId="25A9A00F" w14:textId="77777777" w:rsidR="001E45D0" w:rsidRDefault="001E45D0" w:rsidP="001E45D0">
      <w:pPr>
        <w:pStyle w:val="BodyText"/>
        <w:rPr>
          <w:lang w:bidi="fa-IR"/>
        </w:rPr>
      </w:pPr>
      <w:r>
        <w:rPr>
          <w:lang w:bidi="fa-IR"/>
        </w:rPr>
        <w:lastRenderedPageBreak/>
        <w:t>Some submissions</w:t>
      </w:r>
      <w:r w:rsidR="00BC37A2">
        <w:rPr>
          <w:rStyle w:val="FootnoteReference"/>
          <w:lang w:bidi="fa-IR"/>
        </w:rPr>
        <w:footnoteReference w:id="334"/>
      </w:r>
      <w:r w:rsidR="001B6CEA">
        <w:rPr>
          <w:vertAlign w:val="superscript"/>
          <w:lang w:bidi="fa-IR"/>
        </w:rPr>
        <w:t>,</w:t>
      </w:r>
      <w:r w:rsidR="00BC37A2">
        <w:rPr>
          <w:rStyle w:val="FootnoteReference"/>
          <w:lang w:bidi="fa-IR"/>
        </w:rPr>
        <w:footnoteReference w:id="335"/>
      </w:r>
      <w:r>
        <w:rPr>
          <w:lang w:bidi="fa-IR"/>
        </w:rPr>
        <w:t xml:space="preserve"> suggested that voluntary approaches may be more effective if </w:t>
      </w:r>
      <w:r w:rsidR="00A81539">
        <w:rPr>
          <w:lang w:bidi="fa-IR"/>
        </w:rPr>
        <w:t xml:space="preserve">they </w:t>
      </w:r>
      <w:r>
        <w:rPr>
          <w:lang w:bidi="fa-IR"/>
        </w:rPr>
        <w:t>focus</w:t>
      </w:r>
      <w:r w:rsidR="009C7EDC">
        <w:rPr>
          <w:lang w:bidi="fa-IR"/>
        </w:rPr>
        <w:t>ed</w:t>
      </w:r>
      <w:r>
        <w:rPr>
          <w:lang w:bidi="fa-IR"/>
        </w:rPr>
        <w:t xml:space="preserve"> on consumers, that is pursuing a demand-driven approach, as opposed to a supply-driven approach.</w:t>
      </w:r>
    </w:p>
    <w:p w14:paraId="776E2129" w14:textId="77777777" w:rsidR="001E45D0" w:rsidRDefault="001E45D0" w:rsidP="001E45D0">
      <w:pPr>
        <w:pStyle w:val="BodyText"/>
        <w:rPr>
          <w:lang w:eastAsia="en-US"/>
        </w:rPr>
      </w:pPr>
      <w:r w:rsidRPr="007B206F">
        <w:rPr>
          <w:lang w:eastAsia="en-US"/>
        </w:rPr>
        <w:t xml:space="preserve">In its advocacy for voluntary adoption of the LHDG, </w:t>
      </w:r>
      <w:r w:rsidR="009F3295" w:rsidRPr="007B206F">
        <w:rPr>
          <w:lang w:eastAsia="en-US"/>
        </w:rPr>
        <w:t>one</w:t>
      </w:r>
      <w:r w:rsidR="00874890" w:rsidRPr="007B206F">
        <w:rPr>
          <w:lang w:eastAsia="en-US"/>
        </w:rPr>
        <w:t xml:space="preserve"> submission </w:t>
      </w:r>
      <w:r w:rsidR="007B206F" w:rsidRPr="007B206F">
        <w:rPr>
          <w:lang w:eastAsia="en-US"/>
        </w:rPr>
        <w:t>noted</w:t>
      </w:r>
      <w:r w:rsidRPr="007B206F">
        <w:rPr>
          <w:lang w:eastAsia="en-US"/>
        </w:rPr>
        <w:t xml:space="preserve"> that not all sites are suitable to meet all the requirements of the LHDG and thus the RIS shouldn’t consider every dwelling - hence </w:t>
      </w:r>
      <w:r w:rsidRPr="007B206F">
        <w:t>the principle of voluntary adoption</w:t>
      </w:r>
      <w:r w:rsidRPr="007B206F">
        <w:rPr>
          <w:lang w:eastAsia="en-US"/>
        </w:rPr>
        <w:t xml:space="preserve"> providing </w:t>
      </w:r>
      <w:r w:rsidR="003361F9">
        <w:rPr>
          <w:lang w:eastAsia="en-US"/>
        </w:rPr>
        <w:t xml:space="preserve">market </w:t>
      </w:r>
      <w:r w:rsidRPr="007B206F">
        <w:rPr>
          <w:lang w:eastAsia="en-US"/>
        </w:rPr>
        <w:t xml:space="preserve">flexibility. </w:t>
      </w:r>
      <w:r w:rsidR="00D3080F" w:rsidRPr="007B206F">
        <w:rPr>
          <w:lang w:eastAsia="en-US"/>
        </w:rPr>
        <w:t>It was suggested t</w:t>
      </w:r>
      <w:r w:rsidRPr="007B206F">
        <w:rPr>
          <w:lang w:eastAsia="en-US"/>
        </w:rPr>
        <w:t xml:space="preserve">he greater flexibility provided through utilisation of non-mandatory options </w:t>
      </w:r>
      <w:r w:rsidR="003361F9">
        <w:rPr>
          <w:lang w:eastAsia="en-US"/>
        </w:rPr>
        <w:t>will</w:t>
      </w:r>
      <w:r w:rsidRPr="007B206F">
        <w:rPr>
          <w:lang w:eastAsia="en-US"/>
        </w:rPr>
        <w:t xml:space="preserve"> result in </w:t>
      </w:r>
      <w:r w:rsidR="00DF3E08" w:rsidRPr="007B206F">
        <w:rPr>
          <w:lang w:eastAsia="en-US"/>
        </w:rPr>
        <w:t xml:space="preserve">the </w:t>
      </w:r>
      <w:r w:rsidRPr="007B206F">
        <w:rPr>
          <w:lang w:eastAsia="en-US"/>
        </w:rPr>
        <w:t>LHDG being implemented more efficiently, aligning with accessibility requirements of the community and site suitability.</w:t>
      </w:r>
    </w:p>
    <w:p w14:paraId="56FB0732" w14:textId="77777777" w:rsidR="001E45D0" w:rsidRDefault="001E45D0" w:rsidP="001E45D0">
      <w:pPr>
        <w:pStyle w:val="BodyText"/>
        <w:rPr>
          <w:lang w:eastAsia="en-US"/>
        </w:rPr>
      </w:pPr>
      <w:r>
        <w:rPr>
          <w:lang w:eastAsia="en-US"/>
        </w:rPr>
        <w:t>A number of submissions questioned the effectiveness of voluntary approaches, arguing p</w:t>
      </w:r>
      <w:r w:rsidRPr="00E004A8">
        <w:rPr>
          <w:lang w:eastAsia="en-US"/>
        </w:rPr>
        <w:t xml:space="preserve">revious attempts at voluntary or enhanced nonregulatory approaches have failed </w:t>
      </w:r>
      <w:r>
        <w:rPr>
          <w:lang w:eastAsia="en-US"/>
        </w:rPr>
        <w:t xml:space="preserve">in </w:t>
      </w:r>
      <w:r w:rsidRPr="00E004A8">
        <w:rPr>
          <w:lang w:eastAsia="en-US"/>
        </w:rPr>
        <w:t>Australia and overseas</w:t>
      </w:r>
      <w:r>
        <w:rPr>
          <w:lang w:eastAsia="en-US"/>
        </w:rPr>
        <w:t>.</w:t>
      </w:r>
    </w:p>
    <w:p w14:paraId="774FF92E" w14:textId="77777777" w:rsidR="001E45D0" w:rsidRDefault="001E45D0" w:rsidP="001E45D0">
      <w:pPr>
        <w:pStyle w:val="BodyText"/>
        <w:rPr>
          <w:lang w:eastAsia="en-US"/>
        </w:rPr>
      </w:pPr>
      <w:r>
        <w:rPr>
          <w:lang w:eastAsia="en-US"/>
        </w:rPr>
        <w:t xml:space="preserve">Some </w:t>
      </w:r>
      <w:r w:rsidR="006408CD">
        <w:rPr>
          <w:lang w:eastAsia="en-US"/>
        </w:rPr>
        <w:t xml:space="preserve">submissions </w:t>
      </w:r>
      <w:r>
        <w:rPr>
          <w:lang w:eastAsia="en-US"/>
        </w:rPr>
        <w:t>cite higher costs to industry and consumers as a reason why voluntary approaches would not be effective in encouraging uptake of universal designs in new dwellings.</w:t>
      </w:r>
    </w:p>
    <w:p w14:paraId="521748C1" w14:textId="77777777" w:rsidR="001E45D0" w:rsidRPr="00F4477B" w:rsidRDefault="001E45D0" w:rsidP="00F4477B">
      <w:pPr>
        <w:pStyle w:val="Heading3-Appendix"/>
      </w:pPr>
      <w:r w:rsidRPr="00F4477B">
        <w:t>Unintended consequences</w:t>
      </w:r>
    </w:p>
    <w:p w14:paraId="624EF572" w14:textId="77777777" w:rsidR="001E45D0" w:rsidRDefault="001E45D0" w:rsidP="001E45D0">
      <w:pPr>
        <w:pStyle w:val="BodyText"/>
        <w:rPr>
          <w:lang w:bidi="fa-IR"/>
        </w:rPr>
      </w:pPr>
      <w:r>
        <w:rPr>
          <w:lang w:bidi="fa-IR"/>
        </w:rPr>
        <w:t>Question 18 ask</w:t>
      </w:r>
      <w:r w:rsidR="00D3080F">
        <w:rPr>
          <w:lang w:bidi="fa-IR"/>
        </w:rPr>
        <w:t>ed</w:t>
      </w:r>
      <w:r>
        <w:rPr>
          <w:lang w:bidi="fa-IR"/>
        </w:rPr>
        <w:t xml:space="preserve"> respondents to </w:t>
      </w:r>
      <w:r w:rsidR="00D3080F">
        <w:rPr>
          <w:lang w:bidi="fa-IR"/>
        </w:rPr>
        <w:t>identify</w:t>
      </w:r>
      <w:r>
        <w:rPr>
          <w:lang w:bidi="fa-IR"/>
        </w:rPr>
        <w:t xml:space="preserve"> less intuitive or unintended consequences of the proposed changes.</w:t>
      </w:r>
    </w:p>
    <w:p w14:paraId="0A2AEE62" w14:textId="77777777" w:rsidR="001E45D0" w:rsidRDefault="001E45D0" w:rsidP="001E45D0">
      <w:pPr>
        <w:pStyle w:val="BodyText"/>
        <w:rPr>
          <w:lang w:bidi="fa-IR"/>
        </w:rPr>
      </w:pPr>
      <w:r>
        <w:rPr>
          <w:lang w:bidi="fa-IR"/>
        </w:rPr>
        <w:t>ACSA suggested that a</w:t>
      </w:r>
      <w:r w:rsidRPr="00B4615C">
        <w:rPr>
          <w:lang w:bidi="fa-IR"/>
        </w:rPr>
        <w:t xml:space="preserve">ssessment of unintended consequences should be undertaken to understand flow-on effects for the building sector and for homeowners and renters, including impact on business models for village operators should refurbishments require accessibility </w:t>
      </w:r>
      <w:r w:rsidR="00F4040F">
        <w:rPr>
          <w:lang w:bidi="fa-IR"/>
        </w:rPr>
        <w:t xml:space="preserve">to be </w:t>
      </w:r>
      <w:r w:rsidRPr="00B4615C">
        <w:rPr>
          <w:lang w:bidi="fa-IR"/>
        </w:rPr>
        <w:t>built in</w:t>
      </w:r>
      <w:r>
        <w:rPr>
          <w:lang w:bidi="fa-IR"/>
        </w:rPr>
        <w:t>.</w:t>
      </w:r>
      <w:r w:rsidR="00C33515">
        <w:rPr>
          <w:rStyle w:val="FootnoteReference"/>
          <w:lang w:bidi="fa-IR"/>
        </w:rPr>
        <w:footnoteReference w:id="336"/>
      </w:r>
    </w:p>
    <w:p w14:paraId="2C07E285" w14:textId="77777777" w:rsidR="001E45D0" w:rsidRPr="004B79EC" w:rsidRDefault="001E45D0" w:rsidP="004B79EC">
      <w:pPr>
        <w:pStyle w:val="Heading4-Appendix"/>
      </w:pPr>
      <w:r w:rsidRPr="004B79EC">
        <w:t>Mis-alignment with state driven policies</w:t>
      </w:r>
    </w:p>
    <w:p w14:paraId="4589D5A4" w14:textId="77777777" w:rsidR="001E45D0" w:rsidRDefault="00567718" w:rsidP="001E45D0">
      <w:pPr>
        <w:pStyle w:val="BodyText"/>
        <w:rPr>
          <w:lang w:bidi="fa-IR"/>
        </w:rPr>
      </w:pPr>
      <w:r>
        <w:rPr>
          <w:lang w:bidi="fa-IR"/>
        </w:rPr>
        <w:t>One</w:t>
      </w:r>
      <w:r w:rsidR="00E67C4F">
        <w:rPr>
          <w:lang w:bidi="fa-IR"/>
        </w:rPr>
        <w:t xml:space="preserve"> submission</w:t>
      </w:r>
      <w:r w:rsidR="001E45D0">
        <w:rPr>
          <w:lang w:bidi="fa-IR"/>
        </w:rPr>
        <w:t xml:space="preserve"> noted that the proposal would likely hinder design and housing product choice if adopted across all new homes and residential apartments. This </w:t>
      </w:r>
      <w:r w:rsidR="00673A2C">
        <w:rPr>
          <w:lang w:bidi="fa-IR"/>
        </w:rPr>
        <w:t>submission suggests</w:t>
      </w:r>
      <w:r w:rsidR="00896FDA">
        <w:rPr>
          <w:lang w:bidi="fa-IR"/>
        </w:rPr>
        <w:t xml:space="preserve"> that this approach </w:t>
      </w:r>
      <w:r w:rsidR="001E45D0" w:rsidRPr="00430377">
        <w:rPr>
          <w:lang w:bidi="fa-IR"/>
        </w:rPr>
        <w:t>does not align with state driven housing policies, such as NSW ‘missing middle’ which advocates for multi-level terrace style housing, smaller lot sizes, urban living and so forth</w:t>
      </w:r>
      <w:r w:rsidR="00FB5B40">
        <w:rPr>
          <w:lang w:bidi="fa-IR"/>
        </w:rPr>
        <w:t>, or the trend towards</w:t>
      </w:r>
      <w:r w:rsidR="001E45D0" w:rsidRPr="00430377">
        <w:rPr>
          <w:lang w:bidi="fa-IR"/>
        </w:rPr>
        <w:t xml:space="preserve"> inner city lots become smaller to accommodate housing affordability constraints.</w:t>
      </w:r>
    </w:p>
    <w:p w14:paraId="53D5DFCD" w14:textId="77777777" w:rsidR="001E45D0" w:rsidRDefault="001E45D0" w:rsidP="001E45D0">
      <w:pPr>
        <w:pStyle w:val="BodyText"/>
        <w:rPr>
          <w:lang w:bidi="fa-IR"/>
        </w:rPr>
      </w:pPr>
      <w:r>
        <w:rPr>
          <w:lang w:bidi="fa-IR"/>
        </w:rPr>
        <w:lastRenderedPageBreak/>
        <w:t xml:space="preserve">PCA argued that </w:t>
      </w:r>
      <w:r w:rsidRPr="00BD02DA">
        <w:rPr>
          <w:lang w:bidi="fa-IR"/>
        </w:rPr>
        <w:t>there is a risk of regulatory overlap</w:t>
      </w:r>
      <w:r>
        <w:rPr>
          <w:lang w:bidi="fa-IR"/>
        </w:rPr>
        <w:t xml:space="preserve"> g</w:t>
      </w:r>
      <w:r w:rsidRPr="00BD02DA">
        <w:rPr>
          <w:lang w:bidi="fa-IR"/>
        </w:rPr>
        <w:t>iven the prevalence and complexity of state, territory and local government regulation.</w:t>
      </w:r>
      <w:r>
        <w:rPr>
          <w:lang w:bidi="fa-IR"/>
        </w:rPr>
        <w:t xml:space="preserve"> It provided a list of </w:t>
      </w:r>
      <w:r w:rsidRPr="00BD02DA">
        <w:rPr>
          <w:lang w:bidi="fa-IR"/>
        </w:rPr>
        <w:t>accessib</w:t>
      </w:r>
      <w:r>
        <w:rPr>
          <w:lang w:bidi="fa-IR"/>
        </w:rPr>
        <w:t>i</w:t>
      </w:r>
      <w:r w:rsidRPr="00BD02DA">
        <w:rPr>
          <w:lang w:bidi="fa-IR"/>
        </w:rPr>
        <w:t>lity requirements in state and territory and local government areas</w:t>
      </w:r>
      <w:r>
        <w:rPr>
          <w:lang w:bidi="fa-IR"/>
        </w:rPr>
        <w:t>.</w:t>
      </w:r>
      <w:r w:rsidR="000643DA">
        <w:rPr>
          <w:rStyle w:val="FootnoteReference"/>
          <w:lang w:bidi="fa-IR"/>
        </w:rPr>
        <w:footnoteReference w:id="337"/>
      </w:r>
    </w:p>
    <w:p w14:paraId="4EF7928A" w14:textId="77777777" w:rsidR="001E45D0" w:rsidRPr="004B79EC" w:rsidRDefault="001E45D0" w:rsidP="004B79EC">
      <w:pPr>
        <w:pStyle w:val="Heading4-Appendix"/>
      </w:pPr>
      <w:r w:rsidRPr="004B79EC">
        <w:t>Red tape and delays</w:t>
      </w:r>
    </w:p>
    <w:p w14:paraId="0ABD9486" w14:textId="77777777" w:rsidR="001E45D0" w:rsidRDefault="00051265" w:rsidP="001E45D0">
      <w:pPr>
        <w:pStyle w:val="BodyText"/>
        <w:rPr>
          <w:lang w:bidi="fa-IR"/>
        </w:rPr>
      </w:pPr>
      <w:r>
        <w:rPr>
          <w:lang w:bidi="fa-IR"/>
        </w:rPr>
        <w:t>Wilson Homes Tasmania noted that, d</w:t>
      </w:r>
      <w:r w:rsidR="001E45D0">
        <w:rPr>
          <w:lang w:bidi="fa-IR"/>
        </w:rPr>
        <w:t>epending on the certification outcome, the introduction of additional red tape into the design and construction of new dwellings will increase the required time (with cost noted previously) for each respective activity.</w:t>
      </w:r>
      <w:r w:rsidR="00B67052">
        <w:rPr>
          <w:rStyle w:val="FootnoteReference"/>
          <w:lang w:bidi="fa-IR"/>
        </w:rPr>
        <w:footnoteReference w:id="338"/>
      </w:r>
    </w:p>
    <w:p w14:paraId="25F78ABC" w14:textId="77777777" w:rsidR="001E45D0" w:rsidRPr="004B79EC" w:rsidRDefault="001E45D0" w:rsidP="004B79EC">
      <w:pPr>
        <w:pStyle w:val="Heading4-Appendix"/>
      </w:pPr>
      <w:r w:rsidRPr="004B79EC">
        <w:t>Affordability</w:t>
      </w:r>
    </w:p>
    <w:p w14:paraId="24920EAA" w14:textId="77777777" w:rsidR="001E45D0" w:rsidRDefault="001E45D0" w:rsidP="001E45D0">
      <w:pPr>
        <w:pStyle w:val="BodyText"/>
        <w:rPr>
          <w:lang w:bidi="fa-IR"/>
        </w:rPr>
      </w:pPr>
      <w:r>
        <w:rPr>
          <w:lang w:bidi="fa-IR"/>
        </w:rPr>
        <w:t>A number of submissions pointed out the proposed changes would increase the costs and thus impact housing affordability, especially for first home buyers. The higher cost would result in a reduction in new dwelling demand.</w:t>
      </w:r>
    </w:p>
    <w:p w14:paraId="1249445C" w14:textId="77777777" w:rsidR="001E45D0" w:rsidRDefault="001E45D0" w:rsidP="001E45D0">
      <w:pPr>
        <w:pStyle w:val="BodyText"/>
        <w:rPr>
          <w:lang w:bidi="fa-IR"/>
        </w:rPr>
      </w:pPr>
      <w:r>
        <w:rPr>
          <w:lang w:bidi="fa-IR"/>
        </w:rPr>
        <w:t>First home buyers or persons with a limited budget may be excluded from the new housing market due to the increase</w:t>
      </w:r>
      <w:r w:rsidR="00D3080F">
        <w:rPr>
          <w:lang w:bidi="fa-IR"/>
        </w:rPr>
        <w:t>d</w:t>
      </w:r>
      <w:r>
        <w:rPr>
          <w:lang w:bidi="fa-IR"/>
        </w:rPr>
        <w:t xml:space="preserve"> costs which would generally not assist them directly. Affordable housing supply continues to be an increasing issue and introduction of additional measures across all new dwellings will further exacerbate this problem. It will result in an overall reduction in new housing demand</w:t>
      </w:r>
      <w:r w:rsidR="00B966A3">
        <w:rPr>
          <w:lang w:bidi="fa-IR"/>
        </w:rPr>
        <w:t>.</w:t>
      </w:r>
      <w:r w:rsidR="00B966A3" w:rsidRPr="00B966A3">
        <w:rPr>
          <w:rStyle w:val="FootnoteReference"/>
          <w:lang w:bidi="fa-IR"/>
        </w:rPr>
        <w:t xml:space="preserve"> </w:t>
      </w:r>
      <w:r w:rsidR="00B966A3">
        <w:rPr>
          <w:rStyle w:val="FootnoteReference"/>
          <w:lang w:bidi="fa-IR"/>
        </w:rPr>
        <w:footnoteReference w:id="339"/>
      </w:r>
    </w:p>
    <w:p w14:paraId="1FD04488" w14:textId="77777777" w:rsidR="001E45D0" w:rsidRDefault="00AD408C" w:rsidP="001E45D0">
      <w:pPr>
        <w:pStyle w:val="BodyText"/>
        <w:rPr>
          <w:lang w:bidi="fa-IR"/>
        </w:rPr>
      </w:pPr>
      <w:r>
        <w:rPr>
          <w:lang w:bidi="fa-IR"/>
        </w:rPr>
        <w:t>For m</w:t>
      </w:r>
      <w:r w:rsidR="001E45D0">
        <w:rPr>
          <w:lang w:bidi="fa-IR"/>
        </w:rPr>
        <w:t>any people with accessibility needs</w:t>
      </w:r>
      <w:r w:rsidR="00F4040F">
        <w:rPr>
          <w:lang w:bidi="fa-IR"/>
        </w:rPr>
        <w:t xml:space="preserve"> and </w:t>
      </w:r>
      <w:r>
        <w:rPr>
          <w:lang w:bidi="fa-IR"/>
        </w:rPr>
        <w:t>those</w:t>
      </w:r>
      <w:r w:rsidR="001E45D0">
        <w:rPr>
          <w:lang w:bidi="fa-IR"/>
        </w:rPr>
        <w:t xml:space="preserve"> </w:t>
      </w:r>
      <w:r w:rsidR="006A6DBF">
        <w:rPr>
          <w:lang w:bidi="fa-IR"/>
        </w:rPr>
        <w:t>on low incomes</w:t>
      </w:r>
      <w:r w:rsidR="00F4040F">
        <w:rPr>
          <w:lang w:bidi="fa-IR"/>
        </w:rPr>
        <w:t>,</w:t>
      </w:r>
      <w:r w:rsidR="006A6DBF">
        <w:rPr>
          <w:lang w:bidi="fa-IR"/>
        </w:rPr>
        <w:t xml:space="preserve"> </w:t>
      </w:r>
      <w:r w:rsidR="001E45D0">
        <w:rPr>
          <w:lang w:bidi="fa-IR"/>
        </w:rPr>
        <w:t xml:space="preserve">affordability </w:t>
      </w:r>
      <w:r w:rsidR="006A6DBF">
        <w:rPr>
          <w:lang w:bidi="fa-IR"/>
        </w:rPr>
        <w:t>would be a key concern</w:t>
      </w:r>
      <w:r w:rsidR="001E45D0">
        <w:rPr>
          <w:lang w:bidi="fa-IR"/>
        </w:rPr>
        <w:t>.</w:t>
      </w:r>
      <w:r w:rsidR="00DC3F86">
        <w:rPr>
          <w:lang w:bidi="fa-IR"/>
        </w:rPr>
        <w:t xml:space="preserve"> </w:t>
      </w:r>
      <w:r>
        <w:rPr>
          <w:lang w:bidi="fa-IR"/>
        </w:rPr>
        <w:t xml:space="preserve">Reductions in affordability would disadvantage some in the community. </w:t>
      </w:r>
    </w:p>
    <w:p w14:paraId="13E1D759" w14:textId="77777777" w:rsidR="001E45D0" w:rsidRPr="004B79EC" w:rsidRDefault="001E45D0" w:rsidP="004B79EC">
      <w:pPr>
        <w:pStyle w:val="Heading4-Appendix"/>
      </w:pPr>
      <w:r w:rsidRPr="004B79EC">
        <w:t>Questioning ‘one-size-fits-all’ approach</w:t>
      </w:r>
    </w:p>
    <w:p w14:paraId="5A0F1ED0" w14:textId="77777777" w:rsidR="001E45D0" w:rsidRDefault="001E45D0" w:rsidP="001E45D0">
      <w:pPr>
        <w:pStyle w:val="BodyText"/>
        <w:rPr>
          <w:lang w:bidi="fa-IR"/>
        </w:rPr>
      </w:pPr>
      <w:r>
        <w:rPr>
          <w:lang w:bidi="fa-IR"/>
        </w:rPr>
        <w:t xml:space="preserve">A number of submissions questioned the ‘one-size-fits-all’ approach taken in the proposal to the NCC. </w:t>
      </w:r>
    </w:p>
    <w:p w14:paraId="111DF538" w14:textId="77777777" w:rsidR="00DC3F86" w:rsidRDefault="001E45D0" w:rsidP="001E45D0">
      <w:pPr>
        <w:pStyle w:val="BodyText"/>
        <w:rPr>
          <w:lang w:bidi="fa-IR"/>
        </w:rPr>
      </w:pPr>
      <w:r>
        <w:rPr>
          <w:lang w:bidi="fa-IR"/>
        </w:rPr>
        <w:t>Some suggested it may erode the market system.</w:t>
      </w:r>
      <w:r w:rsidR="00127D10">
        <w:rPr>
          <w:rStyle w:val="FootnoteReference"/>
          <w:lang w:bidi="fa-IR"/>
        </w:rPr>
        <w:footnoteReference w:id="340"/>
      </w:r>
      <w:r w:rsidR="00DC3F86">
        <w:rPr>
          <w:lang w:bidi="fa-IR"/>
        </w:rPr>
        <w:t xml:space="preserve"> </w:t>
      </w:r>
    </w:p>
    <w:p w14:paraId="45552F26" w14:textId="77777777" w:rsidR="001E45D0" w:rsidRDefault="001E45D0" w:rsidP="001E45D0">
      <w:pPr>
        <w:pStyle w:val="BodyText"/>
        <w:rPr>
          <w:lang w:bidi="fa-IR"/>
        </w:rPr>
      </w:pPr>
      <w:r>
        <w:rPr>
          <w:lang w:bidi="fa-IR"/>
        </w:rPr>
        <w:t xml:space="preserve">Some </w:t>
      </w:r>
      <w:r w:rsidR="00DC3F86">
        <w:rPr>
          <w:lang w:bidi="fa-IR"/>
        </w:rPr>
        <w:t>suggest</w:t>
      </w:r>
      <w:r>
        <w:rPr>
          <w:lang w:bidi="fa-IR"/>
        </w:rPr>
        <w:t>ed that it is a tax mixed with social policy.</w:t>
      </w:r>
      <w:r w:rsidR="00DC40EF">
        <w:rPr>
          <w:rStyle w:val="FootnoteReference"/>
          <w:lang w:bidi="fa-IR"/>
        </w:rPr>
        <w:footnoteReference w:id="341"/>
      </w:r>
      <w:r>
        <w:rPr>
          <w:lang w:bidi="fa-IR"/>
        </w:rPr>
        <w:t xml:space="preserve"> </w:t>
      </w:r>
    </w:p>
    <w:p w14:paraId="6FFE9B6B" w14:textId="77777777" w:rsidR="001E45D0" w:rsidRPr="004B79EC" w:rsidRDefault="001E45D0" w:rsidP="004B79EC">
      <w:pPr>
        <w:pStyle w:val="Heading4-Appendix"/>
      </w:pPr>
      <w:r w:rsidRPr="004B79EC">
        <w:lastRenderedPageBreak/>
        <w:t>Loss of architecture richness and diversity</w:t>
      </w:r>
    </w:p>
    <w:p w14:paraId="159D572D" w14:textId="77777777" w:rsidR="001E45D0" w:rsidRDefault="001E45D0" w:rsidP="001E45D0">
      <w:pPr>
        <w:pStyle w:val="BodyText"/>
        <w:rPr>
          <w:lang w:bidi="fa-IR"/>
        </w:rPr>
      </w:pPr>
      <w:r>
        <w:rPr>
          <w:lang w:bidi="fa-IR"/>
        </w:rPr>
        <w:t xml:space="preserve">A number of submissions pointed out that some house designs will no longer </w:t>
      </w:r>
      <w:r w:rsidR="00F4040F">
        <w:rPr>
          <w:lang w:bidi="fa-IR"/>
        </w:rPr>
        <w:t xml:space="preserve">be </w:t>
      </w:r>
      <w:r>
        <w:rPr>
          <w:lang w:bidi="fa-IR"/>
        </w:rPr>
        <w:t xml:space="preserve">viable with the introduction of proposed </w:t>
      </w:r>
      <w:r w:rsidR="00C22DF2">
        <w:rPr>
          <w:lang w:bidi="fa-IR"/>
        </w:rPr>
        <w:t>accessibility</w:t>
      </w:r>
      <w:r>
        <w:rPr>
          <w:lang w:bidi="fa-IR"/>
        </w:rPr>
        <w:t xml:space="preserve"> requirement</w:t>
      </w:r>
      <w:r w:rsidR="00626C54">
        <w:rPr>
          <w:lang w:bidi="fa-IR"/>
        </w:rPr>
        <w:t>s</w:t>
      </w:r>
      <w:r>
        <w:rPr>
          <w:lang w:bidi="fa-IR"/>
        </w:rPr>
        <w:t xml:space="preserve"> in the NCC. For example, split level homes, those incorporating mezzanines, pole homes and traditional Queenslanders do not lend themselves to being very accessible by their nature.</w:t>
      </w:r>
    </w:p>
    <w:p w14:paraId="50262433" w14:textId="77777777" w:rsidR="001E45D0" w:rsidRPr="004B79EC" w:rsidRDefault="001E45D0" w:rsidP="004B79EC">
      <w:pPr>
        <w:pStyle w:val="Heading4-Appendix"/>
      </w:pPr>
      <w:r w:rsidRPr="004B79EC">
        <w:t>Other safety concerns</w:t>
      </w:r>
    </w:p>
    <w:p w14:paraId="6247A3F9" w14:textId="77777777" w:rsidR="00DC40EF" w:rsidRPr="00293512" w:rsidRDefault="004E2D7F" w:rsidP="00DC40EF">
      <w:pPr>
        <w:pStyle w:val="BodyText"/>
        <w:rPr>
          <w:lang w:bidi="fa-IR"/>
        </w:rPr>
      </w:pPr>
      <w:r>
        <w:rPr>
          <w:lang w:bidi="fa-IR"/>
        </w:rPr>
        <w:t>Registered Accommodation Association of Victoria (</w:t>
      </w:r>
      <w:r w:rsidR="00DC40EF">
        <w:rPr>
          <w:lang w:bidi="fa-IR"/>
        </w:rPr>
        <w:t>RAAV</w:t>
      </w:r>
      <w:r>
        <w:rPr>
          <w:lang w:bidi="fa-IR"/>
        </w:rPr>
        <w:t>)</w:t>
      </w:r>
      <w:r w:rsidR="00DC40EF">
        <w:rPr>
          <w:lang w:bidi="fa-IR"/>
        </w:rPr>
        <w:t xml:space="preserve"> pointed out a scenario </w:t>
      </w:r>
      <w:r w:rsidR="00DC3F86">
        <w:rPr>
          <w:lang w:bidi="fa-IR"/>
        </w:rPr>
        <w:t xml:space="preserve">as an unintended consequence, </w:t>
      </w:r>
      <w:r w:rsidR="00DC40EF">
        <w:rPr>
          <w:lang w:bidi="fa-IR"/>
        </w:rPr>
        <w:t xml:space="preserve">where a non-wheelchair user uses a wheelchair accessible shower. Because the wheelchair accessible shower has no shower door, excessive water could spray across </w:t>
      </w:r>
      <w:r w:rsidR="00626C54">
        <w:rPr>
          <w:lang w:bidi="fa-IR"/>
        </w:rPr>
        <w:t xml:space="preserve">the </w:t>
      </w:r>
      <w:r w:rsidR="00DC40EF">
        <w:rPr>
          <w:lang w:bidi="fa-IR"/>
        </w:rPr>
        <w:t>floor, increasing the risk of slips and falls.</w:t>
      </w:r>
      <w:r w:rsidR="00DC40EF" w:rsidRPr="00911C1F">
        <w:rPr>
          <w:rStyle w:val="FootnoteReference"/>
          <w:lang w:bidi="fa-IR"/>
        </w:rPr>
        <w:t xml:space="preserve"> </w:t>
      </w:r>
      <w:r w:rsidR="00DC40EF">
        <w:rPr>
          <w:rStyle w:val="FootnoteReference"/>
          <w:lang w:bidi="fa-IR"/>
        </w:rPr>
        <w:footnoteReference w:id="342"/>
      </w:r>
    </w:p>
    <w:p w14:paraId="716A736D" w14:textId="77777777" w:rsidR="001E45D0" w:rsidRPr="00F4477B" w:rsidRDefault="001E45D0" w:rsidP="00F4477B">
      <w:pPr>
        <w:pStyle w:val="Heading3-Appendix"/>
      </w:pPr>
      <w:r w:rsidRPr="00F4477B">
        <w:t>Preferred option</w:t>
      </w:r>
    </w:p>
    <w:p w14:paraId="1BDB12FD" w14:textId="77777777" w:rsidR="001E45D0" w:rsidRPr="002901CB" w:rsidRDefault="001E45D0" w:rsidP="001E45D0">
      <w:pPr>
        <w:pStyle w:val="BodyText"/>
        <w:rPr>
          <w:lang w:bidi="fa-IR"/>
        </w:rPr>
      </w:pPr>
      <w:r>
        <w:rPr>
          <w:lang w:bidi="fa-IR"/>
        </w:rPr>
        <w:t>Question 19 ask</w:t>
      </w:r>
      <w:r w:rsidR="00DC3F86">
        <w:rPr>
          <w:lang w:bidi="fa-IR"/>
        </w:rPr>
        <w:t>ed</w:t>
      </w:r>
      <w:r>
        <w:rPr>
          <w:lang w:bidi="fa-IR"/>
        </w:rPr>
        <w:t xml:space="preserve"> respondents to suggest their preferred option.</w:t>
      </w:r>
    </w:p>
    <w:p w14:paraId="3E742716" w14:textId="5B2A0A9E" w:rsidR="001E45D0" w:rsidRDefault="001E45D0" w:rsidP="001E45D0">
      <w:pPr>
        <w:pStyle w:val="BodyText"/>
        <w:rPr>
          <w:lang w:bidi="fa-IR"/>
        </w:rPr>
      </w:pPr>
      <w:r>
        <w:rPr>
          <w:lang w:bidi="fa-IR"/>
        </w:rPr>
        <w:t xml:space="preserve">Chart </w:t>
      </w:r>
      <w:r w:rsidR="00DD5C35">
        <w:rPr>
          <w:lang w:bidi="fa-IR"/>
        </w:rPr>
        <w:t xml:space="preserve">A.9 </w:t>
      </w:r>
      <w:r>
        <w:rPr>
          <w:lang w:bidi="fa-IR"/>
        </w:rPr>
        <w:t xml:space="preserve">reports the count of </w:t>
      </w:r>
      <w:r w:rsidR="00CD2E35">
        <w:rPr>
          <w:lang w:bidi="fa-IR"/>
        </w:rPr>
        <w:t>98</w:t>
      </w:r>
      <w:r w:rsidR="000C66EB">
        <w:rPr>
          <w:lang w:bidi="fa-IR"/>
        </w:rPr>
        <w:t xml:space="preserve"> </w:t>
      </w:r>
      <w:r>
        <w:rPr>
          <w:lang w:bidi="fa-IR"/>
        </w:rPr>
        <w:t xml:space="preserve">respondents answering their preferred option through the Consultation Hub. Some </w:t>
      </w:r>
      <w:r w:rsidR="00E0211E">
        <w:rPr>
          <w:lang w:bidi="fa-IR"/>
        </w:rPr>
        <w:t xml:space="preserve">42 </w:t>
      </w:r>
      <w:r>
        <w:rPr>
          <w:lang w:bidi="fa-IR"/>
        </w:rPr>
        <w:t xml:space="preserve">respondents prefer a regulatory option with </w:t>
      </w:r>
      <w:r w:rsidR="00E0211E">
        <w:rPr>
          <w:lang w:bidi="fa-IR"/>
        </w:rPr>
        <w:t xml:space="preserve">11 </w:t>
      </w:r>
      <w:r>
        <w:rPr>
          <w:lang w:bidi="fa-IR"/>
        </w:rPr>
        <w:t xml:space="preserve">preferring Option 2 (Gold), while </w:t>
      </w:r>
      <w:r w:rsidR="00E0211E">
        <w:rPr>
          <w:lang w:bidi="fa-IR"/>
        </w:rPr>
        <w:t xml:space="preserve">30 </w:t>
      </w:r>
      <w:r>
        <w:rPr>
          <w:lang w:bidi="fa-IR"/>
        </w:rPr>
        <w:t>respondents prefer a non-regulatory option</w:t>
      </w:r>
      <w:r w:rsidR="000C66EB">
        <w:rPr>
          <w:lang w:bidi="fa-IR"/>
        </w:rPr>
        <w:t xml:space="preserve"> and 13 prefer other options</w:t>
      </w:r>
      <w:r>
        <w:rPr>
          <w:lang w:bidi="fa-IR"/>
        </w:rPr>
        <w:t>.</w:t>
      </w:r>
    </w:p>
    <w:p w14:paraId="090C5328" w14:textId="77777777" w:rsidR="00DA12E8" w:rsidRDefault="00DC3F86" w:rsidP="001E45D0">
      <w:pPr>
        <w:pStyle w:val="BodyText"/>
        <w:rPr>
          <w:lang w:bidi="fa-IR"/>
        </w:rPr>
      </w:pPr>
      <w:r>
        <w:rPr>
          <w:lang w:bidi="fa-IR"/>
        </w:rPr>
        <w:t>In total a</w:t>
      </w:r>
      <w:r w:rsidR="001E45D0">
        <w:rPr>
          <w:lang w:bidi="fa-IR"/>
        </w:rPr>
        <w:t xml:space="preserve">bout </w:t>
      </w:r>
      <w:r w:rsidR="00DA12E8">
        <w:rPr>
          <w:lang w:bidi="fa-IR"/>
        </w:rPr>
        <w:t>118</w:t>
      </w:r>
      <w:r w:rsidR="00E0211E">
        <w:rPr>
          <w:lang w:bidi="fa-IR"/>
        </w:rPr>
        <w:t xml:space="preserve"> </w:t>
      </w:r>
      <w:r w:rsidR="001E45D0">
        <w:rPr>
          <w:lang w:bidi="fa-IR"/>
        </w:rPr>
        <w:t>respondents did not answer the question</w:t>
      </w:r>
      <w:r w:rsidR="00283689">
        <w:rPr>
          <w:lang w:bidi="fa-IR"/>
        </w:rPr>
        <w:t>,</w:t>
      </w:r>
      <w:r w:rsidR="001E45D0">
        <w:rPr>
          <w:lang w:bidi="fa-IR"/>
        </w:rPr>
        <w:t xml:space="preserve"> including those submitting their responses </w:t>
      </w:r>
      <w:r>
        <w:rPr>
          <w:lang w:bidi="fa-IR"/>
        </w:rPr>
        <w:t>outside</w:t>
      </w:r>
      <w:r w:rsidR="001E45D0">
        <w:rPr>
          <w:lang w:bidi="fa-IR"/>
        </w:rPr>
        <w:t xml:space="preserve"> the Consultation Hub. </w:t>
      </w:r>
      <w:r>
        <w:rPr>
          <w:lang w:bidi="fa-IR"/>
        </w:rPr>
        <w:t>By manually analysing the answers/submissions provided outside the Consultation Hub, a further 82 respondents with preferred options were identified.</w:t>
      </w:r>
    </w:p>
    <w:p w14:paraId="38DEE90B" w14:textId="77777777" w:rsidR="00DA12E8" w:rsidRDefault="00DA12E8" w:rsidP="001E45D0">
      <w:pPr>
        <w:pStyle w:val="BodyText"/>
        <w:rPr>
          <w:lang w:bidi="fa-IR"/>
        </w:rPr>
      </w:pPr>
      <w:r>
        <w:rPr>
          <w:lang w:bidi="fa-IR"/>
        </w:rPr>
        <w:t>Chart A.10 reports the simple count of preferred options</w:t>
      </w:r>
      <w:r w:rsidR="00626C54">
        <w:rPr>
          <w:lang w:bidi="fa-IR"/>
        </w:rPr>
        <w:t>,</w:t>
      </w:r>
      <w:r>
        <w:rPr>
          <w:lang w:bidi="fa-IR"/>
        </w:rPr>
        <w:t xml:space="preserve"> including </w:t>
      </w:r>
      <w:r w:rsidR="00DC3F86">
        <w:rPr>
          <w:lang w:bidi="fa-IR"/>
        </w:rPr>
        <w:t>those submitted in response to the Consultation Hub questionnaire and those providing direct submissions</w:t>
      </w:r>
      <w:r>
        <w:rPr>
          <w:lang w:bidi="fa-IR"/>
        </w:rPr>
        <w:t xml:space="preserve">. It should be noted that many </w:t>
      </w:r>
      <w:r w:rsidR="00DC3F86">
        <w:rPr>
          <w:lang w:bidi="fa-IR"/>
        </w:rPr>
        <w:t>written submission</w:t>
      </w:r>
      <w:r w:rsidR="00283689">
        <w:rPr>
          <w:lang w:bidi="fa-IR"/>
        </w:rPr>
        <w:t>-</w:t>
      </w:r>
      <w:r w:rsidR="00DC3F86">
        <w:rPr>
          <w:lang w:bidi="fa-IR"/>
        </w:rPr>
        <w:t xml:space="preserve">based </w:t>
      </w:r>
      <w:r>
        <w:rPr>
          <w:lang w:bidi="fa-IR"/>
        </w:rPr>
        <w:t>responses provided multiple choices as their preferred options. This is why the total count in the chart is more than the number of responses. The chart shows that Options 2 and 6 are the most preferred options – 55 and 50 counts respectively.</w:t>
      </w:r>
    </w:p>
    <w:p w14:paraId="5A9F17B9" w14:textId="77777777" w:rsidR="00DA12E8" w:rsidRDefault="00DA12E8" w:rsidP="001E45D0">
      <w:pPr>
        <w:pStyle w:val="BodyText"/>
        <w:rPr>
          <w:lang w:bidi="fa-IR"/>
        </w:rPr>
      </w:pPr>
      <w:r>
        <w:rPr>
          <w:lang w:bidi="fa-IR"/>
        </w:rPr>
        <w:t xml:space="preserve">To resolve the multiple choices </w:t>
      </w:r>
      <w:r w:rsidR="00DC3F86">
        <w:rPr>
          <w:lang w:bidi="fa-IR"/>
        </w:rPr>
        <w:t>provided in the written submissions</w:t>
      </w:r>
      <w:r>
        <w:rPr>
          <w:lang w:bidi="fa-IR"/>
        </w:rPr>
        <w:t xml:space="preserve">, an option with the most stringent requirement </w:t>
      </w:r>
      <w:r w:rsidR="00770017">
        <w:rPr>
          <w:lang w:bidi="fa-IR"/>
        </w:rPr>
        <w:t>wa</w:t>
      </w:r>
      <w:r>
        <w:rPr>
          <w:lang w:bidi="fa-IR"/>
        </w:rPr>
        <w:t xml:space="preserve">s selected </w:t>
      </w:r>
      <w:r w:rsidR="00770017">
        <w:rPr>
          <w:lang w:bidi="fa-IR"/>
        </w:rPr>
        <w:t xml:space="preserve">by CIE </w:t>
      </w:r>
      <w:r>
        <w:rPr>
          <w:lang w:bidi="fa-IR"/>
        </w:rPr>
        <w:t xml:space="preserve">for the response which favours several regulatory options, </w:t>
      </w:r>
      <w:r w:rsidR="00AD0C27">
        <w:rPr>
          <w:lang w:bidi="fa-IR"/>
        </w:rPr>
        <w:t>and if</w:t>
      </w:r>
      <w:r>
        <w:rPr>
          <w:lang w:bidi="fa-IR"/>
        </w:rPr>
        <w:t xml:space="preserve"> </w:t>
      </w:r>
      <w:r w:rsidR="00AD0C27">
        <w:rPr>
          <w:lang w:bidi="fa-IR"/>
        </w:rPr>
        <w:t xml:space="preserve">multiple </w:t>
      </w:r>
      <w:r>
        <w:rPr>
          <w:lang w:bidi="fa-IR"/>
        </w:rPr>
        <w:t xml:space="preserve">non-regulatory options were </w:t>
      </w:r>
      <w:r w:rsidR="00AD0C27">
        <w:rPr>
          <w:lang w:bidi="fa-IR"/>
        </w:rPr>
        <w:t xml:space="preserve">preferred by one response, the least stringent option </w:t>
      </w:r>
      <w:r w:rsidR="00770017">
        <w:rPr>
          <w:lang w:bidi="fa-IR"/>
        </w:rPr>
        <w:t>wa</w:t>
      </w:r>
      <w:r w:rsidR="00AD0C27">
        <w:rPr>
          <w:lang w:bidi="fa-IR"/>
        </w:rPr>
        <w:t xml:space="preserve">s selected. The results are presented in chart </w:t>
      </w:r>
      <w:r w:rsidR="0020150C">
        <w:rPr>
          <w:lang w:bidi="fa-IR"/>
        </w:rPr>
        <w:t>A.11</w:t>
      </w:r>
      <w:r w:rsidR="00AD0C27">
        <w:rPr>
          <w:lang w:bidi="fa-IR"/>
        </w:rPr>
        <w:t>.</w:t>
      </w:r>
    </w:p>
    <w:p w14:paraId="245DEE0C" w14:textId="77777777" w:rsidR="001E45D0" w:rsidRDefault="001E45D0" w:rsidP="001E45D0">
      <w:pPr>
        <w:pStyle w:val="BodyText"/>
        <w:rPr>
          <w:lang w:bidi="fa-IR"/>
        </w:rPr>
      </w:pPr>
      <w:r>
        <w:rPr>
          <w:lang w:bidi="fa-IR"/>
        </w:rPr>
        <w:t>As shown in chart</w:t>
      </w:r>
      <w:r w:rsidR="00F44D8B">
        <w:rPr>
          <w:lang w:bidi="fa-IR"/>
        </w:rPr>
        <w:t> </w:t>
      </w:r>
      <w:r w:rsidR="0020150C">
        <w:rPr>
          <w:lang w:bidi="fa-IR"/>
        </w:rPr>
        <w:t>A.11</w:t>
      </w:r>
      <w:r>
        <w:rPr>
          <w:lang w:bidi="fa-IR"/>
        </w:rPr>
        <w:t xml:space="preserve">, </w:t>
      </w:r>
      <w:r w:rsidR="00D061A1">
        <w:rPr>
          <w:lang w:bidi="fa-IR"/>
        </w:rPr>
        <w:t xml:space="preserve">93 </w:t>
      </w:r>
      <w:r>
        <w:rPr>
          <w:lang w:bidi="fa-IR"/>
        </w:rPr>
        <w:t>respondents prefer a regulatory option</w:t>
      </w:r>
      <w:r w:rsidR="000C66EB">
        <w:rPr>
          <w:lang w:bidi="fa-IR"/>
        </w:rPr>
        <w:t xml:space="preserve"> with </w:t>
      </w:r>
      <w:r w:rsidR="00D061A1">
        <w:rPr>
          <w:lang w:bidi="fa-IR"/>
        </w:rPr>
        <w:t xml:space="preserve">54 </w:t>
      </w:r>
      <w:r w:rsidR="000C66EB">
        <w:rPr>
          <w:lang w:bidi="fa-IR"/>
        </w:rPr>
        <w:t>preferring Option 2</w:t>
      </w:r>
      <w:r>
        <w:rPr>
          <w:lang w:bidi="fa-IR"/>
        </w:rPr>
        <w:t xml:space="preserve">, while </w:t>
      </w:r>
      <w:r w:rsidR="00D061A1">
        <w:rPr>
          <w:lang w:bidi="fa-IR"/>
        </w:rPr>
        <w:t xml:space="preserve">58 </w:t>
      </w:r>
      <w:r>
        <w:rPr>
          <w:lang w:bidi="fa-IR"/>
        </w:rPr>
        <w:t xml:space="preserve">respondents prefer </w:t>
      </w:r>
      <w:r w:rsidR="00626C54">
        <w:rPr>
          <w:lang w:bidi="fa-IR"/>
        </w:rPr>
        <w:t xml:space="preserve">a </w:t>
      </w:r>
      <w:r>
        <w:rPr>
          <w:lang w:bidi="fa-IR"/>
        </w:rPr>
        <w:t>non-regulatory option</w:t>
      </w:r>
      <w:r w:rsidR="000C66EB">
        <w:rPr>
          <w:lang w:bidi="fa-IR"/>
        </w:rPr>
        <w:t xml:space="preserve"> with </w:t>
      </w:r>
      <w:r w:rsidR="007F493C">
        <w:rPr>
          <w:lang w:bidi="fa-IR"/>
        </w:rPr>
        <w:t xml:space="preserve">49 </w:t>
      </w:r>
      <w:r w:rsidR="000C66EB">
        <w:rPr>
          <w:lang w:bidi="fa-IR"/>
        </w:rPr>
        <w:t>preferring Option 6</w:t>
      </w:r>
      <w:r>
        <w:rPr>
          <w:lang w:bidi="fa-IR"/>
        </w:rPr>
        <w:t xml:space="preserve">. There are </w:t>
      </w:r>
      <w:r w:rsidR="007F493C">
        <w:rPr>
          <w:lang w:bidi="fa-IR"/>
        </w:rPr>
        <w:t>1</w:t>
      </w:r>
      <w:r w:rsidR="000C66EB">
        <w:rPr>
          <w:lang w:bidi="fa-IR"/>
        </w:rPr>
        <w:t>6</w:t>
      </w:r>
      <w:r w:rsidR="00E0211E">
        <w:rPr>
          <w:lang w:bidi="fa-IR"/>
        </w:rPr>
        <w:t xml:space="preserve"> </w:t>
      </w:r>
      <w:r>
        <w:rPr>
          <w:lang w:bidi="fa-IR"/>
        </w:rPr>
        <w:t xml:space="preserve">respondents who </w:t>
      </w:r>
      <w:r w:rsidR="000C66EB">
        <w:rPr>
          <w:lang w:bidi="fa-IR"/>
        </w:rPr>
        <w:t xml:space="preserve">prefer </w:t>
      </w:r>
      <w:r>
        <w:rPr>
          <w:lang w:bidi="fa-IR"/>
        </w:rPr>
        <w:t>other option</w:t>
      </w:r>
      <w:r w:rsidR="000C66EB">
        <w:rPr>
          <w:lang w:bidi="fa-IR"/>
        </w:rPr>
        <w:t>s</w:t>
      </w:r>
      <w:r>
        <w:rPr>
          <w:lang w:bidi="fa-IR"/>
        </w:rPr>
        <w:t xml:space="preserve">. </w:t>
      </w:r>
    </w:p>
    <w:p w14:paraId="42821408" w14:textId="506E25C7" w:rsidR="001E45D0" w:rsidRDefault="00BD17F9" w:rsidP="00943316">
      <w:pPr>
        <w:pStyle w:val="Caption"/>
        <w:spacing w:before="240"/>
      </w:pPr>
      <w:bookmarkStart w:id="578" w:name="_Toc50453234"/>
      <w:bookmarkStart w:id="579" w:name="_Toc52383069"/>
      <w:bookmarkStart w:id="580" w:name="_Toc57643658"/>
      <w:bookmarkStart w:id="581" w:name="_Toc70505604"/>
      <w:r>
        <w:lastRenderedPageBreak/>
        <w:t>A.9</w:t>
      </w:r>
      <w:r w:rsidR="001E45D0" w:rsidRPr="00695C93">
        <w:tab/>
      </w:r>
      <w:r w:rsidR="001E45D0">
        <w:t xml:space="preserve">Preferred option </w:t>
      </w:r>
      <w:r w:rsidR="00106A4C">
        <w:t xml:space="preserve">(feedback </w:t>
      </w:r>
      <w:r w:rsidR="001E45D0">
        <w:t>through Consultation Hub</w:t>
      </w:r>
      <w:bookmarkEnd w:id="578"/>
      <w:bookmarkEnd w:id="579"/>
      <w:bookmarkEnd w:id="580"/>
      <w:r w:rsidR="00106A4C">
        <w:t>)</w:t>
      </w:r>
      <w:bookmarkEnd w:id="581"/>
    </w:p>
    <w:p w14:paraId="1347504C" w14:textId="77777777" w:rsidR="001E45D0" w:rsidRPr="00E94313" w:rsidRDefault="00943316" w:rsidP="001E45D0">
      <w:pPr>
        <w:pStyle w:val="Note"/>
        <w:rPr>
          <w:iCs/>
        </w:rPr>
      </w:pPr>
      <w:r w:rsidRPr="00CD2E35">
        <w:rPr>
          <w:noProof/>
          <w:lang w:eastAsia="en-AU"/>
        </w:rPr>
        <w:drawing>
          <wp:inline distT="0" distB="0" distL="0" distR="0" wp14:anchorId="5EA6C780" wp14:editId="3F406313">
            <wp:extent cx="5039995" cy="2540315"/>
            <wp:effectExtent l="57150" t="57150" r="65405" b="50800"/>
            <wp:docPr id="229" name="Picture 229" descr="Chart A.9 reports the count of 98 respondents answering their preferred option through the Consultation Hub. Some 42 respondents prefer a regulatory option with 11 preferring Option 2 (Gold), while 30 respondents prefer a non-regulatory option and 13 prefer other options." title="Chart A.9: Preferred option (feedback through Consultation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9995" cy="2540315"/>
                    </a:xfrm>
                    <a:prstGeom prst="rect">
                      <a:avLst/>
                    </a:prstGeom>
                    <a:noFill/>
                    <a:ln w="57150">
                      <a:solidFill>
                        <a:schemeClr val="bg2"/>
                      </a:solidFill>
                    </a:ln>
                  </pic:spPr>
                </pic:pic>
              </a:graphicData>
            </a:graphic>
          </wp:inline>
        </w:drawing>
      </w:r>
      <w:r w:rsidR="001E45D0" w:rsidRPr="00E94313">
        <w:rPr>
          <w:iCs/>
        </w:rPr>
        <w:t>Note: Structured answer to Question 19 through the Consultation Hub</w:t>
      </w:r>
      <w:r w:rsidR="00CD1DA9">
        <w:rPr>
          <w:iCs/>
        </w:rPr>
        <w:t>.</w:t>
      </w:r>
    </w:p>
    <w:p w14:paraId="31E041D6" w14:textId="77777777" w:rsidR="001E45D0" w:rsidRPr="00E94313" w:rsidRDefault="001E45D0" w:rsidP="001E45D0">
      <w:pPr>
        <w:pStyle w:val="Source"/>
        <w:rPr>
          <w:iCs/>
        </w:rPr>
      </w:pPr>
      <w:r w:rsidRPr="00E94313">
        <w:rPr>
          <w:iCs/>
        </w:rPr>
        <w:t>Data source: Consultation Hub</w:t>
      </w:r>
      <w:r w:rsidR="00CD1DA9">
        <w:rPr>
          <w:iCs/>
        </w:rPr>
        <w:t>.</w:t>
      </w:r>
    </w:p>
    <w:p w14:paraId="034A7A80" w14:textId="0299FE9E" w:rsidR="001E45D0" w:rsidRDefault="00BD17F9" w:rsidP="00943316">
      <w:pPr>
        <w:pStyle w:val="Caption"/>
        <w:spacing w:before="240"/>
      </w:pPr>
      <w:bookmarkStart w:id="582" w:name="_Toc50453235"/>
      <w:bookmarkStart w:id="583" w:name="_Toc52383070"/>
      <w:bookmarkStart w:id="584" w:name="_Toc70505605"/>
      <w:r>
        <w:t>A.10</w:t>
      </w:r>
      <w:r w:rsidR="001E45D0" w:rsidRPr="00695C93">
        <w:tab/>
      </w:r>
      <w:r w:rsidR="001E45D0">
        <w:t xml:space="preserve">Preferred </w:t>
      </w:r>
      <w:r w:rsidR="00DA12E8">
        <w:t>option</w:t>
      </w:r>
      <w:bookmarkEnd w:id="582"/>
      <w:bookmarkEnd w:id="583"/>
      <w:r w:rsidR="000C66EB">
        <w:t xml:space="preserve"> in all submissions</w:t>
      </w:r>
      <w:r w:rsidR="00DA12E8">
        <w:t xml:space="preserve"> including multiple choices</w:t>
      </w:r>
      <w:bookmarkEnd w:id="584"/>
    </w:p>
    <w:p w14:paraId="5B4A261D" w14:textId="77777777" w:rsidR="00DA12E8" w:rsidRPr="00E94313" w:rsidRDefault="00943316" w:rsidP="00DA12E8">
      <w:pPr>
        <w:pStyle w:val="Note"/>
        <w:rPr>
          <w:iCs/>
        </w:rPr>
      </w:pPr>
      <w:r w:rsidRPr="00DA12E8">
        <w:rPr>
          <w:noProof/>
          <w:lang w:eastAsia="en-AU"/>
        </w:rPr>
        <w:drawing>
          <wp:inline distT="0" distB="0" distL="0" distR="0" wp14:anchorId="2425A71F" wp14:editId="53891439">
            <wp:extent cx="5021580" cy="2499360"/>
            <wp:effectExtent l="57150" t="57150" r="64770" b="53340"/>
            <wp:docPr id="239" name="Picture 239" descr="Chart A.10 reports the simple count of preferred options including those submitted in response to the Consultation Hub questionnaire and those providing direct submissions. It should be noted that many written submission-based responses provided multiple choices as their preferred options. This is why the total count in the chart is more than the number of responses. The chart shows that Options 2 and 6 are the most preferred options – 55 and 50 counts respectively." title="Chart A.10: Preferred option in all submissions including multipl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1580" cy="2499360"/>
                    </a:xfrm>
                    <a:prstGeom prst="rect">
                      <a:avLst/>
                    </a:prstGeom>
                    <a:noFill/>
                    <a:ln w="57150">
                      <a:solidFill>
                        <a:schemeClr val="bg2"/>
                      </a:solidFill>
                    </a:ln>
                  </pic:spPr>
                </pic:pic>
              </a:graphicData>
            </a:graphic>
          </wp:inline>
        </w:drawing>
      </w:r>
      <w:r w:rsidR="00DA12E8" w:rsidRPr="00E94313">
        <w:rPr>
          <w:iCs/>
        </w:rPr>
        <w:t>Note: Structured answer to Question 19 through the Consultation Hub</w:t>
      </w:r>
      <w:r w:rsidR="00CD1DA9">
        <w:rPr>
          <w:iCs/>
        </w:rPr>
        <w:t>.</w:t>
      </w:r>
    </w:p>
    <w:p w14:paraId="46A5076B" w14:textId="77777777" w:rsidR="00DA12E8" w:rsidRPr="00E94313" w:rsidRDefault="00DA12E8" w:rsidP="00DA12E8">
      <w:pPr>
        <w:pStyle w:val="Source"/>
        <w:rPr>
          <w:iCs/>
        </w:rPr>
      </w:pPr>
      <w:r w:rsidRPr="00E94313">
        <w:rPr>
          <w:iCs/>
        </w:rPr>
        <w:t>Data source: Consultation Hub</w:t>
      </w:r>
      <w:r w:rsidR="00CD1DA9">
        <w:rPr>
          <w:iCs/>
        </w:rPr>
        <w:t>.</w:t>
      </w:r>
    </w:p>
    <w:p w14:paraId="441A7F65" w14:textId="3F5420EA" w:rsidR="001E45D0" w:rsidRDefault="00BD17F9" w:rsidP="001E45D0">
      <w:pPr>
        <w:pStyle w:val="Caption"/>
      </w:pPr>
      <w:bookmarkStart w:id="585" w:name="_Toc57643659"/>
      <w:bookmarkStart w:id="586" w:name="_Toc70505606"/>
      <w:r>
        <w:lastRenderedPageBreak/>
        <w:t>A.11</w:t>
      </w:r>
      <w:r w:rsidR="001E45D0" w:rsidRPr="00695C93">
        <w:tab/>
      </w:r>
      <w:r w:rsidR="001E45D0">
        <w:t>Preferred options</w:t>
      </w:r>
      <w:r w:rsidR="000C66EB">
        <w:t xml:space="preserve"> in all submissions</w:t>
      </w:r>
      <w:bookmarkEnd w:id="585"/>
      <w:bookmarkEnd w:id="586"/>
    </w:p>
    <w:p w14:paraId="47961245" w14:textId="77777777" w:rsidR="00943316" w:rsidRPr="00943316" w:rsidRDefault="00943316" w:rsidP="00943316">
      <w:pPr>
        <w:pStyle w:val="Subtitlebox"/>
      </w:pPr>
      <w:r w:rsidRPr="00D061A1">
        <w:rPr>
          <w:noProof/>
        </w:rPr>
        <w:drawing>
          <wp:inline distT="0" distB="0" distL="0" distR="0" wp14:anchorId="4CD99EE1" wp14:editId="53B10537">
            <wp:extent cx="5021580" cy="2400300"/>
            <wp:effectExtent l="57150" t="57150" r="64770" b="57150"/>
            <wp:docPr id="241" name="Picture 241" descr="As shown in chart A.11, 93 respondents prefer a regulatory option with 54 preferring Option 2, while 58 respondents prefer a non-regulatory option with 49 preferring Option 6. There are 16 respondents who prefer other options. " title="Chart A.11: Preferred options in all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3963"/>
                    <a:stretch/>
                  </pic:blipFill>
                  <pic:spPr bwMode="auto">
                    <a:xfrm>
                      <a:off x="0" y="0"/>
                      <a:ext cx="5021580" cy="240030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6347ACF8" w14:textId="77777777" w:rsidR="001E45D0" w:rsidRPr="00E94313" w:rsidRDefault="001E45D0" w:rsidP="001E45D0">
      <w:pPr>
        <w:pStyle w:val="Note"/>
        <w:rPr>
          <w:iCs/>
        </w:rPr>
      </w:pPr>
      <w:r w:rsidRPr="00E94313">
        <w:rPr>
          <w:iCs/>
        </w:rPr>
        <w:t>Note: Answer to Question 19 through the Consultation Hub and other submissions</w:t>
      </w:r>
      <w:r w:rsidR="00CD1DA9">
        <w:rPr>
          <w:iCs/>
        </w:rPr>
        <w:t>.</w:t>
      </w:r>
    </w:p>
    <w:p w14:paraId="4FC38002" w14:textId="77777777" w:rsidR="001E45D0" w:rsidRPr="00E94313" w:rsidRDefault="001E45D0" w:rsidP="001E45D0">
      <w:pPr>
        <w:pStyle w:val="Source"/>
        <w:rPr>
          <w:iCs/>
        </w:rPr>
      </w:pPr>
      <w:r w:rsidRPr="00E94313">
        <w:rPr>
          <w:iCs/>
        </w:rPr>
        <w:t>Data source: CIE based on Consultation Hub</w:t>
      </w:r>
      <w:r w:rsidR="00CD1DA9">
        <w:rPr>
          <w:iCs/>
        </w:rPr>
        <w:t>.</w:t>
      </w:r>
    </w:p>
    <w:p w14:paraId="1A12A55F" w14:textId="77777777" w:rsidR="001E45D0" w:rsidRPr="00F4477B" w:rsidRDefault="001E45D0" w:rsidP="00F4477B">
      <w:pPr>
        <w:pStyle w:val="Heading3-Appendix"/>
      </w:pPr>
      <w:r w:rsidRPr="00F4477B">
        <w:t>Other options</w:t>
      </w:r>
    </w:p>
    <w:p w14:paraId="585EDC6A" w14:textId="77777777" w:rsidR="001E45D0" w:rsidRPr="007B4202" w:rsidRDefault="001E45D0" w:rsidP="001E45D0">
      <w:pPr>
        <w:pStyle w:val="BodyText"/>
        <w:rPr>
          <w:lang w:eastAsia="en-US"/>
        </w:rPr>
      </w:pPr>
      <w:r>
        <w:rPr>
          <w:lang w:eastAsia="en-US"/>
        </w:rPr>
        <w:t xml:space="preserve">Respondents </w:t>
      </w:r>
      <w:r w:rsidR="00106A4C">
        <w:rPr>
          <w:lang w:eastAsia="en-US"/>
        </w:rPr>
        <w:t>we</w:t>
      </w:r>
      <w:r>
        <w:rPr>
          <w:lang w:eastAsia="en-US"/>
        </w:rPr>
        <w:t xml:space="preserve">re </w:t>
      </w:r>
      <w:r w:rsidR="00106A4C">
        <w:rPr>
          <w:lang w:eastAsia="en-US"/>
        </w:rPr>
        <w:t xml:space="preserve">also </w:t>
      </w:r>
      <w:r>
        <w:rPr>
          <w:lang w:eastAsia="en-US"/>
        </w:rPr>
        <w:t xml:space="preserve">asked to </w:t>
      </w:r>
      <w:r w:rsidR="00106A4C">
        <w:rPr>
          <w:lang w:eastAsia="en-US"/>
        </w:rPr>
        <w:t xml:space="preserve">identify any </w:t>
      </w:r>
      <w:r>
        <w:rPr>
          <w:lang w:eastAsia="en-US"/>
        </w:rPr>
        <w:t>alternative options to solve the identified problem.</w:t>
      </w:r>
    </w:p>
    <w:p w14:paraId="4A3AC378" w14:textId="77777777" w:rsidR="001E45D0" w:rsidRDefault="001E45D0" w:rsidP="001E45D0">
      <w:pPr>
        <w:pStyle w:val="BodyText"/>
        <w:rPr>
          <w:lang w:eastAsia="en-US"/>
        </w:rPr>
      </w:pPr>
      <w:r>
        <w:rPr>
          <w:lang w:eastAsia="en-US"/>
        </w:rPr>
        <w:t xml:space="preserve">Some submissions suggested that </w:t>
      </w:r>
      <w:r w:rsidRPr="001B4CFC">
        <w:rPr>
          <w:lang w:eastAsia="en-US"/>
        </w:rPr>
        <w:t>a broader range of options</w:t>
      </w:r>
      <w:r>
        <w:rPr>
          <w:lang w:eastAsia="en-US"/>
        </w:rPr>
        <w:t xml:space="preserve"> should be considered, including those beyond changes to the NCC. For example, </w:t>
      </w:r>
      <w:r w:rsidR="009B1C38">
        <w:rPr>
          <w:lang w:eastAsia="en-US"/>
        </w:rPr>
        <w:t xml:space="preserve">one </w:t>
      </w:r>
      <w:r w:rsidR="00C662E5">
        <w:rPr>
          <w:lang w:eastAsia="en-US"/>
        </w:rPr>
        <w:t xml:space="preserve">submission </w:t>
      </w:r>
      <w:r>
        <w:rPr>
          <w:lang w:bidi="fa-IR"/>
        </w:rPr>
        <w:t>provided in-principle support for ongoing progression of the RIS process and its findings, and suggested</w:t>
      </w:r>
      <w:r>
        <w:rPr>
          <w:lang w:eastAsia="en-US"/>
        </w:rPr>
        <w:t xml:space="preserve"> </w:t>
      </w:r>
      <w:r w:rsidRPr="00097A94">
        <w:rPr>
          <w:lang w:eastAsia="en-US"/>
        </w:rPr>
        <w:t xml:space="preserve">considering </w:t>
      </w:r>
      <w:r w:rsidRPr="007B4202">
        <w:rPr>
          <w:lang w:eastAsia="en-US"/>
        </w:rPr>
        <w:t>a broader range of options</w:t>
      </w:r>
      <w:r w:rsidRPr="00097A94">
        <w:rPr>
          <w:lang w:eastAsia="en-US"/>
        </w:rPr>
        <w:t>, including beyond changes to the NCC, that might be considered to support the delivery of the appropriate level of accessibility in new houses</w:t>
      </w:r>
      <w:r>
        <w:rPr>
          <w:lang w:eastAsia="en-US"/>
        </w:rPr>
        <w:t>.</w:t>
      </w:r>
    </w:p>
    <w:p w14:paraId="4B69C130" w14:textId="77777777" w:rsidR="001E45D0" w:rsidRDefault="001E45D0" w:rsidP="001E45D0">
      <w:pPr>
        <w:pStyle w:val="BodyText"/>
        <w:rPr>
          <w:lang w:eastAsia="en-US"/>
        </w:rPr>
      </w:pPr>
      <w:r>
        <w:rPr>
          <w:lang w:eastAsia="en-US"/>
        </w:rPr>
        <w:t xml:space="preserve">Some of the other options </w:t>
      </w:r>
      <w:r w:rsidR="009B1C38">
        <w:rPr>
          <w:lang w:eastAsia="en-US"/>
        </w:rPr>
        <w:t xml:space="preserve">most cited </w:t>
      </w:r>
      <w:r>
        <w:rPr>
          <w:lang w:eastAsia="en-US"/>
        </w:rPr>
        <w:t>are presented below.</w:t>
      </w:r>
    </w:p>
    <w:p w14:paraId="33252C2D" w14:textId="77777777" w:rsidR="001E45D0" w:rsidRPr="004B79EC" w:rsidRDefault="001E45D0" w:rsidP="004B79EC">
      <w:pPr>
        <w:pStyle w:val="Heading4-Appendix"/>
      </w:pPr>
      <w:r w:rsidRPr="004B79EC">
        <w:t>Incentives provided to new accessible housing supply</w:t>
      </w:r>
    </w:p>
    <w:p w14:paraId="341C76BE" w14:textId="77777777" w:rsidR="001E45D0" w:rsidRPr="00097A94" w:rsidRDefault="00F45C89" w:rsidP="001E45D0">
      <w:pPr>
        <w:pStyle w:val="BodyText"/>
        <w:rPr>
          <w:lang w:eastAsia="en-US"/>
        </w:rPr>
      </w:pPr>
      <w:r>
        <w:rPr>
          <w:lang w:eastAsia="en-US"/>
        </w:rPr>
        <w:t>One submission</w:t>
      </w:r>
      <w:r w:rsidR="001E45D0" w:rsidRPr="004B6504">
        <w:rPr>
          <w:lang w:eastAsia="en-US"/>
        </w:rPr>
        <w:t xml:space="preserve"> welcome</w:t>
      </w:r>
      <w:r w:rsidR="00106A4C">
        <w:rPr>
          <w:lang w:eastAsia="en-US"/>
        </w:rPr>
        <w:t>d</w:t>
      </w:r>
      <w:r w:rsidR="001E45D0" w:rsidRPr="004B6504">
        <w:rPr>
          <w:lang w:eastAsia="en-US"/>
        </w:rPr>
        <w:t xml:space="preserve"> and support</w:t>
      </w:r>
      <w:r w:rsidR="00106A4C">
        <w:rPr>
          <w:lang w:eastAsia="en-US"/>
        </w:rPr>
        <w:t>ed</w:t>
      </w:r>
      <w:r w:rsidR="001E45D0" w:rsidRPr="004B6504">
        <w:rPr>
          <w:lang w:eastAsia="en-US"/>
        </w:rPr>
        <w:t xml:space="preserve"> </w:t>
      </w:r>
      <w:r w:rsidR="001E45D0" w:rsidRPr="009B1C38">
        <w:rPr>
          <w:lang w:eastAsia="en-US"/>
        </w:rPr>
        <w:t>both subsidy and enhancement options, complemented by a certification and registration process</w:t>
      </w:r>
      <w:r w:rsidR="001E45D0" w:rsidRPr="004B6504">
        <w:rPr>
          <w:lang w:eastAsia="en-US"/>
        </w:rPr>
        <w:t xml:space="preserve"> for quality assurance and to provide information on complying dwellings</w:t>
      </w:r>
      <w:r w:rsidR="001E45D0">
        <w:rPr>
          <w:lang w:eastAsia="en-US"/>
        </w:rPr>
        <w:t xml:space="preserve"> citing the Universal Housing Design Incentive introduced by Brisbane City Council (BCC) in June 2019</w:t>
      </w:r>
      <w:r w:rsidR="00626C54">
        <w:rPr>
          <w:lang w:eastAsia="en-US"/>
        </w:rPr>
        <w:t>.</w:t>
      </w:r>
    </w:p>
    <w:p w14:paraId="430419EF" w14:textId="77777777" w:rsidR="001E45D0" w:rsidRDefault="001E45D0" w:rsidP="001E45D0">
      <w:pPr>
        <w:pStyle w:val="BodyText"/>
        <w:rPr>
          <w:lang w:bidi="fa-IR"/>
        </w:rPr>
      </w:pPr>
      <w:r>
        <w:rPr>
          <w:lang w:bidi="fa-IR"/>
        </w:rPr>
        <w:t>Some other incentive measures raised by submissions include:</w:t>
      </w:r>
    </w:p>
    <w:p w14:paraId="0F63C789" w14:textId="77777777" w:rsidR="001E45D0" w:rsidRDefault="001E45D0" w:rsidP="001E45D0">
      <w:pPr>
        <w:pStyle w:val="ListBullet"/>
        <w:rPr>
          <w:lang w:bidi="fa-IR"/>
        </w:rPr>
      </w:pPr>
      <w:r w:rsidRPr="009B1C38">
        <w:rPr>
          <w:lang w:bidi="fa-IR"/>
        </w:rPr>
        <w:t>Stamp duty holidays or reductions</w:t>
      </w:r>
      <w:r w:rsidRPr="00E55189">
        <w:rPr>
          <w:lang w:bidi="fa-IR"/>
        </w:rPr>
        <w:t xml:space="preserve"> or other incentives to assist older Australians to downsize to new</w:t>
      </w:r>
      <w:r w:rsidR="00626C54">
        <w:rPr>
          <w:lang w:bidi="fa-IR"/>
        </w:rPr>
        <w:t>,</w:t>
      </w:r>
      <w:r w:rsidRPr="00E55189">
        <w:rPr>
          <w:lang w:bidi="fa-IR"/>
        </w:rPr>
        <w:t xml:space="preserve"> more accessible housing</w:t>
      </w:r>
    </w:p>
    <w:p w14:paraId="01EA80DB" w14:textId="77777777" w:rsidR="001E45D0" w:rsidRDefault="001E45D0" w:rsidP="001E45D0">
      <w:pPr>
        <w:pStyle w:val="ListBullet"/>
        <w:rPr>
          <w:lang w:bidi="fa-IR"/>
        </w:rPr>
      </w:pPr>
      <w:r w:rsidRPr="00E55189">
        <w:rPr>
          <w:lang w:bidi="fa-IR"/>
        </w:rPr>
        <w:t xml:space="preserve">Development of </w:t>
      </w:r>
      <w:r w:rsidRPr="009B1C38">
        <w:rPr>
          <w:lang w:bidi="fa-IR"/>
        </w:rPr>
        <w:t>additional social housing</w:t>
      </w:r>
    </w:p>
    <w:p w14:paraId="1C5DF9DF" w14:textId="77777777" w:rsidR="001E45D0" w:rsidRDefault="001E45D0" w:rsidP="001E45D0">
      <w:pPr>
        <w:pStyle w:val="ListBullet"/>
        <w:rPr>
          <w:lang w:bidi="fa-IR"/>
        </w:rPr>
      </w:pPr>
      <w:r w:rsidRPr="00E55189">
        <w:rPr>
          <w:lang w:bidi="fa-IR"/>
        </w:rPr>
        <w:t xml:space="preserve">Support for </w:t>
      </w:r>
      <w:r w:rsidRPr="009B1C38">
        <w:rPr>
          <w:lang w:bidi="fa-IR"/>
        </w:rPr>
        <w:t>housing incentive schemes</w:t>
      </w:r>
      <w:r w:rsidRPr="00E55189">
        <w:rPr>
          <w:lang w:bidi="fa-IR"/>
        </w:rPr>
        <w:t xml:space="preserve"> which spread the cost burden of increased accessibility across a broader cross spectrum of the community in line with the whole-of-community responsibility for improving quality of life for Australians with disabilities.</w:t>
      </w:r>
    </w:p>
    <w:p w14:paraId="5C47AF36" w14:textId="77777777" w:rsidR="001E45D0" w:rsidRPr="004B79EC" w:rsidRDefault="001E45D0" w:rsidP="004B79EC">
      <w:pPr>
        <w:pStyle w:val="Heading4-Appendix"/>
      </w:pPr>
      <w:r w:rsidRPr="004B79EC">
        <w:lastRenderedPageBreak/>
        <w:t>Education</w:t>
      </w:r>
    </w:p>
    <w:p w14:paraId="45199B3C" w14:textId="77777777" w:rsidR="001E45D0" w:rsidRDefault="00106A4C" w:rsidP="001E45D0">
      <w:pPr>
        <w:pStyle w:val="BodyText"/>
        <w:rPr>
          <w:lang w:bidi="fa-IR"/>
        </w:rPr>
      </w:pPr>
      <w:r>
        <w:rPr>
          <w:lang w:bidi="fa-IR"/>
        </w:rPr>
        <w:t>S</w:t>
      </w:r>
      <w:r w:rsidR="001E45D0">
        <w:rPr>
          <w:lang w:bidi="fa-IR"/>
        </w:rPr>
        <w:t>ome submissions suggested that</w:t>
      </w:r>
      <w:r w:rsidR="001E45D0" w:rsidRPr="004A7599">
        <w:rPr>
          <w:lang w:bidi="fa-IR"/>
        </w:rPr>
        <w:t xml:space="preserve"> </w:t>
      </w:r>
      <w:r w:rsidRPr="004A7599">
        <w:rPr>
          <w:lang w:bidi="fa-IR"/>
        </w:rPr>
        <w:t>Options 5 and 6</w:t>
      </w:r>
      <w:r>
        <w:rPr>
          <w:lang w:bidi="fa-IR"/>
        </w:rPr>
        <w:t xml:space="preserve"> </w:t>
      </w:r>
      <w:r w:rsidR="001E45D0" w:rsidRPr="004A7599">
        <w:rPr>
          <w:lang w:bidi="fa-IR"/>
        </w:rPr>
        <w:t xml:space="preserve">will increase supply organically through </w:t>
      </w:r>
      <w:r w:rsidR="001E45D0" w:rsidRPr="004301E2">
        <w:rPr>
          <w:lang w:bidi="fa-IR"/>
        </w:rPr>
        <w:t>education</w:t>
      </w:r>
      <w:r w:rsidR="001E45D0" w:rsidRPr="004A7599">
        <w:rPr>
          <w:lang w:bidi="fa-IR"/>
        </w:rPr>
        <w:t xml:space="preserve"> of the wider community. Demand will be created and will more accurately address supply issues without imposing unnecessary requirements on 100</w:t>
      </w:r>
      <w:r w:rsidR="00C22DF2">
        <w:rPr>
          <w:lang w:bidi="fa-IR"/>
        </w:rPr>
        <w:t> </w:t>
      </w:r>
      <w:r w:rsidR="001E45D0">
        <w:rPr>
          <w:lang w:bidi="fa-IR"/>
        </w:rPr>
        <w:t>per</w:t>
      </w:r>
      <w:r w:rsidR="00626C54">
        <w:rPr>
          <w:lang w:bidi="fa-IR"/>
        </w:rPr>
        <w:t> </w:t>
      </w:r>
      <w:r w:rsidR="001E45D0">
        <w:rPr>
          <w:lang w:bidi="fa-IR"/>
        </w:rPr>
        <w:t>cent</w:t>
      </w:r>
      <w:r w:rsidR="001E45D0" w:rsidRPr="004A7599">
        <w:rPr>
          <w:lang w:bidi="fa-IR"/>
        </w:rPr>
        <w:t xml:space="preserve"> of </w:t>
      </w:r>
      <w:r w:rsidR="001E45D0">
        <w:rPr>
          <w:lang w:bidi="fa-IR"/>
        </w:rPr>
        <w:t xml:space="preserve">new </w:t>
      </w:r>
      <w:r w:rsidR="001E45D0" w:rsidRPr="004A7599">
        <w:rPr>
          <w:lang w:bidi="fa-IR"/>
        </w:rPr>
        <w:t>housing supply</w:t>
      </w:r>
      <w:r w:rsidR="001E45D0">
        <w:rPr>
          <w:lang w:bidi="fa-IR"/>
        </w:rPr>
        <w:t>.</w:t>
      </w:r>
      <w:r w:rsidR="008C01E7">
        <w:rPr>
          <w:rStyle w:val="FootnoteReference"/>
          <w:lang w:bidi="fa-IR"/>
        </w:rPr>
        <w:footnoteReference w:id="343"/>
      </w:r>
    </w:p>
    <w:p w14:paraId="026526DD" w14:textId="77777777" w:rsidR="001E45D0" w:rsidRDefault="006D2FD5" w:rsidP="001E45D0">
      <w:pPr>
        <w:pStyle w:val="BodyText"/>
        <w:rPr>
          <w:lang w:bidi="fa-IR"/>
        </w:rPr>
      </w:pPr>
      <w:r>
        <w:rPr>
          <w:lang w:bidi="fa-IR"/>
        </w:rPr>
        <w:t xml:space="preserve">One submission </w:t>
      </w:r>
      <w:r w:rsidR="00106A4C">
        <w:rPr>
          <w:lang w:bidi="fa-IR"/>
        </w:rPr>
        <w:t xml:space="preserve">suggested it would be </w:t>
      </w:r>
      <w:r w:rsidR="001E45D0" w:rsidRPr="004A7599">
        <w:rPr>
          <w:lang w:bidi="fa-IR"/>
        </w:rPr>
        <w:t xml:space="preserve">sensible </w:t>
      </w:r>
      <w:r w:rsidR="00106A4C">
        <w:rPr>
          <w:lang w:bidi="fa-IR"/>
        </w:rPr>
        <w:t xml:space="preserve">to develop </w:t>
      </w:r>
      <w:r w:rsidR="001E45D0" w:rsidRPr="004A7599">
        <w:rPr>
          <w:lang w:bidi="fa-IR"/>
        </w:rPr>
        <w:t>the LHDG into a precise and accurate document to remove ambiguity and enable it to become a standard (not a guideline) in its own right.</w:t>
      </w:r>
      <w:r w:rsidR="00E20BF2">
        <w:rPr>
          <w:rStyle w:val="FootnoteReference"/>
          <w:lang w:bidi="fa-IR"/>
        </w:rPr>
        <w:footnoteReference w:id="344"/>
      </w:r>
      <w:r w:rsidR="001E45D0">
        <w:rPr>
          <w:lang w:bidi="fa-IR"/>
        </w:rPr>
        <w:t xml:space="preserve"> </w:t>
      </w:r>
    </w:p>
    <w:p w14:paraId="7D90AC7F" w14:textId="77777777" w:rsidR="001E45D0" w:rsidRDefault="001E45D0" w:rsidP="001E45D0">
      <w:pPr>
        <w:pStyle w:val="BodyText"/>
        <w:rPr>
          <w:lang w:bidi="fa-IR"/>
        </w:rPr>
      </w:pPr>
      <w:r w:rsidRPr="004A7599">
        <w:rPr>
          <w:lang w:bidi="fa-IR"/>
        </w:rPr>
        <w:t>Education</w:t>
      </w:r>
      <w:r>
        <w:rPr>
          <w:lang w:bidi="fa-IR"/>
        </w:rPr>
        <w:t xml:space="preserve"> could be provided to members of the community through various mediums along with research into demand which could be both location and needs specific. </w:t>
      </w:r>
      <w:r w:rsidRPr="00E673BA">
        <w:rPr>
          <w:lang w:bidi="fa-IR"/>
        </w:rPr>
        <w:t>Financial incentive</w:t>
      </w:r>
      <w:r w:rsidR="00626C54">
        <w:rPr>
          <w:lang w:bidi="fa-IR"/>
        </w:rPr>
        <w:t>s</w:t>
      </w:r>
      <w:r w:rsidRPr="00E673BA">
        <w:rPr>
          <w:lang w:bidi="fa-IR"/>
        </w:rPr>
        <w:t xml:space="preserve"> or stimulus</w:t>
      </w:r>
      <w:r>
        <w:rPr>
          <w:lang w:bidi="fa-IR"/>
        </w:rPr>
        <w:t xml:space="preserve"> could be targeted to specific areas of need </w:t>
      </w:r>
      <w:r w:rsidRPr="00E673BA">
        <w:rPr>
          <w:lang w:bidi="fa-IR"/>
        </w:rPr>
        <w:t xml:space="preserve">to cater for the time lapse </w:t>
      </w:r>
      <w:r>
        <w:rPr>
          <w:lang w:bidi="fa-IR"/>
        </w:rPr>
        <w:t>between education and the growth in market demand.</w:t>
      </w:r>
      <w:r w:rsidR="00E20BF2">
        <w:rPr>
          <w:rStyle w:val="FootnoteReference"/>
          <w:lang w:bidi="fa-IR"/>
        </w:rPr>
        <w:footnoteReference w:id="345"/>
      </w:r>
    </w:p>
    <w:p w14:paraId="32367788" w14:textId="77777777" w:rsidR="001E45D0" w:rsidRPr="00EC7782" w:rsidRDefault="00D60F58" w:rsidP="001E45D0">
      <w:pPr>
        <w:pStyle w:val="BodyText"/>
        <w:rPr>
          <w:lang w:bidi="fa-IR"/>
        </w:rPr>
      </w:pPr>
      <w:r>
        <w:rPr>
          <w:lang w:bidi="fa-IR"/>
        </w:rPr>
        <w:t>It was argued that t</w:t>
      </w:r>
      <w:r w:rsidR="001E45D0">
        <w:rPr>
          <w:lang w:bidi="fa-IR"/>
        </w:rPr>
        <w:t>his approach would result in the provision of targeted, fit for purpose housing, in the correct volume and in the correct location. Should uptake in the private sector not eventuate the evidence gained through this time would direct the result, with potential amendments completed accordingly.</w:t>
      </w:r>
      <w:r w:rsidR="00E20BF2" w:rsidRPr="00E20BF2">
        <w:rPr>
          <w:rStyle w:val="FootnoteReference"/>
          <w:lang w:bidi="fa-IR"/>
        </w:rPr>
        <w:t xml:space="preserve"> </w:t>
      </w:r>
      <w:r w:rsidR="00E20BF2">
        <w:rPr>
          <w:rStyle w:val="FootnoteReference"/>
          <w:lang w:bidi="fa-IR"/>
        </w:rPr>
        <w:footnoteReference w:id="346"/>
      </w:r>
    </w:p>
    <w:p w14:paraId="6E945C78" w14:textId="77777777" w:rsidR="001E45D0" w:rsidRPr="004B79EC" w:rsidRDefault="001E45D0" w:rsidP="004B79EC">
      <w:pPr>
        <w:pStyle w:val="Heading4-Appendix"/>
      </w:pPr>
      <w:r w:rsidRPr="004B79EC">
        <w:t>Applied to only defined sites and areas</w:t>
      </w:r>
    </w:p>
    <w:p w14:paraId="4CAC4D0C" w14:textId="77777777" w:rsidR="001E45D0" w:rsidRPr="00B4615C" w:rsidRDefault="00FA037D" w:rsidP="001E45D0">
      <w:pPr>
        <w:pStyle w:val="BodyText"/>
        <w:rPr>
          <w:lang w:bidi="fa-IR"/>
        </w:rPr>
      </w:pPr>
      <w:r>
        <w:rPr>
          <w:lang w:bidi="fa-IR"/>
        </w:rPr>
        <w:t xml:space="preserve">One </w:t>
      </w:r>
      <w:r w:rsidR="009B1DFD">
        <w:rPr>
          <w:lang w:bidi="fa-IR"/>
        </w:rPr>
        <w:t>submission</w:t>
      </w:r>
      <w:r w:rsidR="001E45D0">
        <w:rPr>
          <w:lang w:bidi="fa-IR"/>
        </w:rPr>
        <w:t xml:space="preserve"> s</w:t>
      </w:r>
      <w:r w:rsidR="00106A4C">
        <w:rPr>
          <w:lang w:bidi="fa-IR"/>
        </w:rPr>
        <w:t>uggested</w:t>
      </w:r>
      <w:r w:rsidR="001E45D0">
        <w:rPr>
          <w:lang w:bidi="fa-IR"/>
        </w:rPr>
        <w:t xml:space="preserve"> </w:t>
      </w:r>
      <w:r w:rsidR="001E45D0" w:rsidRPr="00B07325">
        <w:rPr>
          <w:lang w:bidi="fa-IR"/>
        </w:rPr>
        <w:t xml:space="preserve">there is a key role for state and local governments in </w:t>
      </w:r>
      <w:r w:rsidR="001E45D0" w:rsidRPr="006D2FD5">
        <w:rPr>
          <w:lang w:bidi="fa-IR"/>
        </w:rPr>
        <w:t>identifying sites</w:t>
      </w:r>
      <w:r w:rsidR="001E45D0" w:rsidRPr="00B07325">
        <w:rPr>
          <w:lang w:bidi="fa-IR"/>
        </w:rPr>
        <w:t xml:space="preserve"> that are suitable for LHA certified dwellings</w:t>
      </w:r>
      <w:r w:rsidR="00106A4C">
        <w:rPr>
          <w:lang w:bidi="fa-IR"/>
        </w:rPr>
        <w:t xml:space="preserve"> through</w:t>
      </w:r>
      <w:r w:rsidR="001E45D0" w:rsidRPr="00AB70AF">
        <w:rPr>
          <w:lang w:bidi="fa-IR"/>
        </w:rPr>
        <w:t xml:space="preserve"> incentives to encourage voluntary adoption of</w:t>
      </w:r>
      <w:r w:rsidR="00D927D2">
        <w:rPr>
          <w:lang w:bidi="fa-IR"/>
        </w:rPr>
        <w:t xml:space="preserve"> the</w:t>
      </w:r>
      <w:r w:rsidR="001E45D0" w:rsidRPr="00AB70AF">
        <w:rPr>
          <w:lang w:bidi="fa-IR"/>
        </w:rPr>
        <w:t xml:space="preserve"> LHDG compliant housing options</w:t>
      </w:r>
      <w:r w:rsidR="00C4775A">
        <w:rPr>
          <w:lang w:bidi="fa-IR"/>
        </w:rPr>
        <w:t>. O</w:t>
      </w:r>
      <w:r w:rsidR="001E45D0" w:rsidRPr="00AB70AF">
        <w:rPr>
          <w:lang w:bidi="fa-IR"/>
        </w:rPr>
        <w:t xml:space="preserve">ffsetting impacts on net usable area of a dwelling should also be considered. This would have positive impacts for educating the market about the benefits of </w:t>
      </w:r>
      <w:r w:rsidR="00EF38B8">
        <w:rPr>
          <w:lang w:bidi="fa-IR"/>
        </w:rPr>
        <w:t xml:space="preserve">the </w:t>
      </w:r>
      <w:r w:rsidR="001E45D0" w:rsidRPr="00AB70AF">
        <w:rPr>
          <w:lang w:bidi="fa-IR"/>
        </w:rPr>
        <w:t>LHDG and further enhance the market’s perceived value and willingness to pay for liveability.</w:t>
      </w:r>
    </w:p>
    <w:p w14:paraId="09149D1B" w14:textId="77777777" w:rsidR="001E45D0" w:rsidRPr="00B4615C" w:rsidRDefault="001E45D0" w:rsidP="001E45D0">
      <w:pPr>
        <w:pStyle w:val="BodyText"/>
        <w:rPr>
          <w:lang w:bidi="fa-IR"/>
        </w:rPr>
      </w:pPr>
      <w:r>
        <w:rPr>
          <w:lang w:bidi="fa-IR"/>
        </w:rPr>
        <w:t xml:space="preserve">ACSA suggested </w:t>
      </w:r>
      <w:r w:rsidRPr="00B4615C">
        <w:rPr>
          <w:lang w:bidi="fa-IR"/>
        </w:rPr>
        <w:t xml:space="preserve">accessibility criteria </w:t>
      </w:r>
      <w:r w:rsidR="00C4775A">
        <w:rPr>
          <w:lang w:bidi="fa-IR"/>
        </w:rPr>
        <w:t>could</w:t>
      </w:r>
      <w:r w:rsidRPr="00B4615C">
        <w:rPr>
          <w:lang w:bidi="fa-IR"/>
        </w:rPr>
        <w:t xml:space="preserve"> apply to only defined areas in new buildings e.g. entrance, hallways, kitchen/dining/lounge, main bathroom</w:t>
      </w:r>
      <w:r w:rsidR="00F17783">
        <w:rPr>
          <w:lang w:bidi="fa-IR"/>
        </w:rPr>
        <w:t xml:space="preserve"> </w:t>
      </w:r>
      <w:r w:rsidRPr="00B4615C">
        <w:rPr>
          <w:lang w:bidi="fa-IR"/>
        </w:rPr>
        <w:t xml:space="preserve">and bedroom (and not subsequent </w:t>
      </w:r>
      <w:r w:rsidR="00F17783">
        <w:rPr>
          <w:lang w:bidi="fa-IR"/>
        </w:rPr>
        <w:t xml:space="preserve">bathrooms and </w:t>
      </w:r>
      <w:r w:rsidRPr="00B4615C">
        <w:rPr>
          <w:lang w:bidi="fa-IR"/>
        </w:rPr>
        <w:t>bedrooms)</w:t>
      </w:r>
      <w:r>
        <w:rPr>
          <w:lang w:bidi="fa-IR"/>
        </w:rPr>
        <w:t>.</w:t>
      </w:r>
      <w:r w:rsidR="0094321E">
        <w:rPr>
          <w:rStyle w:val="FootnoteReference"/>
          <w:lang w:bidi="fa-IR"/>
        </w:rPr>
        <w:footnoteReference w:id="347"/>
      </w:r>
      <w:r w:rsidRPr="00B4615C">
        <w:rPr>
          <w:lang w:bidi="fa-IR"/>
        </w:rPr>
        <w:t xml:space="preserve"> </w:t>
      </w:r>
    </w:p>
    <w:p w14:paraId="76DBBCD1" w14:textId="77777777" w:rsidR="001E45D0" w:rsidRPr="004B79EC" w:rsidRDefault="001E45D0" w:rsidP="004B79EC">
      <w:pPr>
        <w:pStyle w:val="Heading4-Appendix"/>
      </w:pPr>
      <w:r w:rsidRPr="004B79EC">
        <w:t>Proportional to suburban demographics</w:t>
      </w:r>
    </w:p>
    <w:p w14:paraId="66E79DFA" w14:textId="77777777" w:rsidR="001E45D0" w:rsidRDefault="00E25E7D" w:rsidP="001E45D0">
      <w:pPr>
        <w:pStyle w:val="BodyText"/>
        <w:rPr>
          <w:lang w:bidi="fa-IR"/>
        </w:rPr>
      </w:pPr>
      <w:r>
        <w:rPr>
          <w:lang w:bidi="fa-IR"/>
        </w:rPr>
        <w:t>One</w:t>
      </w:r>
      <w:r w:rsidR="00AE52AE">
        <w:rPr>
          <w:lang w:bidi="fa-IR"/>
        </w:rPr>
        <w:t xml:space="preserve"> submission</w:t>
      </w:r>
      <w:r w:rsidR="001E45D0">
        <w:rPr>
          <w:lang w:bidi="fa-IR"/>
        </w:rPr>
        <w:t xml:space="preserve"> suggested </w:t>
      </w:r>
      <w:r w:rsidR="001E45D0" w:rsidRPr="0010470E">
        <w:rPr>
          <w:lang w:bidi="fa-IR"/>
        </w:rPr>
        <w:t xml:space="preserve">the creation of new housing stock (Class 1 </w:t>
      </w:r>
      <w:r w:rsidR="001E45D0">
        <w:rPr>
          <w:lang w:bidi="fa-IR"/>
        </w:rPr>
        <w:t>and</w:t>
      </w:r>
      <w:r w:rsidR="001E45D0" w:rsidRPr="0010470E">
        <w:rPr>
          <w:lang w:bidi="fa-IR"/>
        </w:rPr>
        <w:t xml:space="preserve"> Class 2) </w:t>
      </w:r>
      <w:r w:rsidR="001E45D0">
        <w:rPr>
          <w:lang w:bidi="fa-IR"/>
        </w:rPr>
        <w:t xml:space="preserve">be </w:t>
      </w:r>
      <w:r w:rsidR="001E45D0" w:rsidRPr="0010470E">
        <w:rPr>
          <w:lang w:bidi="fa-IR"/>
        </w:rPr>
        <w:t>appropriate to the demographics of each suburb, rather than a broad-brush national mandate.</w:t>
      </w:r>
    </w:p>
    <w:p w14:paraId="5EA469FE" w14:textId="77777777" w:rsidR="001E45D0" w:rsidRPr="004B79EC" w:rsidRDefault="001E45D0" w:rsidP="004B79EC">
      <w:pPr>
        <w:pStyle w:val="Heading4-Appendix"/>
      </w:pPr>
      <w:r w:rsidRPr="004B79EC">
        <w:lastRenderedPageBreak/>
        <w:t>Exemption</w:t>
      </w:r>
    </w:p>
    <w:p w14:paraId="64831DDF" w14:textId="77777777" w:rsidR="005C66CA" w:rsidRDefault="001E45D0" w:rsidP="001E45D0">
      <w:pPr>
        <w:pStyle w:val="BodyText"/>
        <w:rPr>
          <w:lang w:bidi="fa-IR"/>
        </w:rPr>
      </w:pPr>
      <w:r>
        <w:rPr>
          <w:lang w:bidi="fa-IR"/>
        </w:rPr>
        <w:t>A number of submissions suggested that exemptions to accessib</w:t>
      </w:r>
      <w:r w:rsidR="00BF71D9">
        <w:rPr>
          <w:lang w:bidi="fa-IR"/>
        </w:rPr>
        <w:t>ility</w:t>
      </w:r>
      <w:r>
        <w:rPr>
          <w:lang w:bidi="fa-IR"/>
        </w:rPr>
        <w:t xml:space="preserve"> requirement should be clearly defined and included in the NCC. For example, ACSA suggested i</w:t>
      </w:r>
      <w:r w:rsidRPr="00B4615C">
        <w:rPr>
          <w:lang w:bidi="fa-IR"/>
        </w:rPr>
        <w:t>ncorporating an exemptions process to accessibility criteria where local circumstances would render accessible housing financially unviable</w:t>
      </w:r>
      <w:r w:rsidR="00F17783">
        <w:rPr>
          <w:lang w:bidi="fa-IR"/>
        </w:rPr>
        <w:t>. C</w:t>
      </w:r>
      <w:r w:rsidRPr="00B4615C">
        <w:rPr>
          <w:lang w:bidi="fa-IR"/>
        </w:rPr>
        <w:t>riteria for exemptions could</w:t>
      </w:r>
      <w:r w:rsidR="00BF71D9">
        <w:rPr>
          <w:lang w:bidi="fa-IR"/>
        </w:rPr>
        <w:t>,</w:t>
      </w:r>
      <w:r w:rsidRPr="00B4615C">
        <w:rPr>
          <w:lang w:bidi="fa-IR"/>
        </w:rPr>
        <w:t xml:space="preserve"> for example</w:t>
      </w:r>
      <w:r w:rsidR="00BF71D9">
        <w:rPr>
          <w:lang w:bidi="fa-IR"/>
        </w:rPr>
        <w:t>,</w:t>
      </w:r>
      <w:r w:rsidRPr="00B4615C">
        <w:rPr>
          <w:lang w:bidi="fa-IR"/>
        </w:rPr>
        <w:t xml:space="preserve"> include</w:t>
      </w:r>
      <w:r w:rsidR="005C66CA">
        <w:rPr>
          <w:lang w:bidi="fa-IR"/>
        </w:rPr>
        <w:t>:</w:t>
      </w:r>
    </w:p>
    <w:p w14:paraId="151DE3BC" w14:textId="77777777" w:rsidR="004A7714" w:rsidRDefault="001E45D0" w:rsidP="005C66CA">
      <w:pPr>
        <w:pStyle w:val="ListBullet"/>
        <w:rPr>
          <w:lang w:bidi="fa-IR"/>
        </w:rPr>
      </w:pPr>
      <w:r w:rsidRPr="00B4615C">
        <w:rPr>
          <w:lang w:bidi="fa-IR"/>
        </w:rPr>
        <w:t>site issues (slope/ramping requirements, step free entrances)</w:t>
      </w:r>
    </w:p>
    <w:p w14:paraId="36B6501B" w14:textId="77777777" w:rsidR="004A7714" w:rsidRDefault="001E45D0" w:rsidP="005C66CA">
      <w:pPr>
        <w:pStyle w:val="ListBullet"/>
        <w:rPr>
          <w:lang w:bidi="fa-IR"/>
        </w:rPr>
      </w:pPr>
      <w:r w:rsidRPr="00B4615C">
        <w:rPr>
          <w:lang w:bidi="fa-IR"/>
        </w:rPr>
        <w:t xml:space="preserve">yield, and </w:t>
      </w:r>
    </w:p>
    <w:p w14:paraId="0B2BE71D" w14:textId="77777777" w:rsidR="001E45D0" w:rsidRDefault="001E45D0" w:rsidP="005C66CA">
      <w:pPr>
        <w:pStyle w:val="ListBullet"/>
        <w:rPr>
          <w:lang w:bidi="fa-IR"/>
        </w:rPr>
      </w:pPr>
      <w:r w:rsidRPr="00B4615C">
        <w:rPr>
          <w:lang w:bidi="fa-IR"/>
        </w:rPr>
        <w:t>car parking costs (particularly for class 2 buildings)</w:t>
      </w:r>
      <w:r>
        <w:rPr>
          <w:lang w:bidi="fa-IR"/>
        </w:rPr>
        <w:t>.</w:t>
      </w:r>
      <w:r w:rsidR="00AE52AE">
        <w:rPr>
          <w:rStyle w:val="FootnoteReference"/>
          <w:lang w:bidi="fa-IR"/>
        </w:rPr>
        <w:footnoteReference w:id="348"/>
      </w:r>
      <w:r w:rsidRPr="00B4615C">
        <w:rPr>
          <w:lang w:bidi="fa-IR"/>
        </w:rPr>
        <w:t xml:space="preserve"> </w:t>
      </w:r>
    </w:p>
    <w:p w14:paraId="2E4E0C11" w14:textId="77777777" w:rsidR="001E45D0" w:rsidRDefault="009C63C0" w:rsidP="001E45D0">
      <w:pPr>
        <w:pStyle w:val="BodyText"/>
        <w:rPr>
          <w:lang w:bidi="fa-IR"/>
        </w:rPr>
      </w:pPr>
      <w:r>
        <w:rPr>
          <w:lang w:bidi="fa-IR"/>
        </w:rPr>
        <w:t xml:space="preserve">One </w:t>
      </w:r>
      <w:r w:rsidR="001E45D0">
        <w:rPr>
          <w:lang w:bidi="fa-IR"/>
        </w:rPr>
        <w:t xml:space="preserve">example, </w:t>
      </w:r>
      <w:r>
        <w:rPr>
          <w:lang w:bidi="fa-IR"/>
        </w:rPr>
        <w:t xml:space="preserve">provided in a submission, considered an </w:t>
      </w:r>
      <w:r w:rsidR="001E45D0">
        <w:rPr>
          <w:lang w:bidi="fa-IR"/>
        </w:rPr>
        <w:t xml:space="preserve">exemption </w:t>
      </w:r>
      <w:r>
        <w:rPr>
          <w:lang w:bidi="fa-IR"/>
        </w:rPr>
        <w:t>could</w:t>
      </w:r>
      <w:r w:rsidR="001E45D0">
        <w:rPr>
          <w:lang w:bidi="fa-IR"/>
        </w:rPr>
        <w:t xml:space="preserve"> be granted if the cost of providing ramp exceeds 15 per cent of the build cost</w:t>
      </w:r>
      <w:r w:rsidR="002006A2">
        <w:rPr>
          <w:lang w:bidi="fa-IR"/>
        </w:rPr>
        <w:t>.</w:t>
      </w:r>
      <w:r w:rsidR="002A407F">
        <w:rPr>
          <w:rStyle w:val="FootnoteReference"/>
          <w:lang w:bidi="fa-IR"/>
        </w:rPr>
        <w:footnoteReference w:id="349"/>
      </w:r>
    </w:p>
    <w:p w14:paraId="0331BB6D" w14:textId="77777777" w:rsidR="001E45D0" w:rsidRPr="00B4615C" w:rsidRDefault="001E45D0" w:rsidP="001E45D0">
      <w:pPr>
        <w:pStyle w:val="BodyText"/>
        <w:rPr>
          <w:lang w:bidi="fa-IR"/>
        </w:rPr>
      </w:pPr>
      <w:r>
        <w:rPr>
          <w:lang w:bidi="fa-IR"/>
        </w:rPr>
        <w:t>One submission suggested that, i</w:t>
      </w:r>
      <w:r w:rsidRPr="004067E7">
        <w:rPr>
          <w:lang w:bidi="fa-IR"/>
        </w:rPr>
        <w:t>f there are to be mandatory provisions they should only apply to a percentage of new dwellings and a broad range of housing types should be completely exempt from the provisions</w:t>
      </w:r>
      <w:r>
        <w:rPr>
          <w:lang w:bidi="fa-IR"/>
        </w:rPr>
        <w:t>.</w:t>
      </w:r>
    </w:p>
    <w:p w14:paraId="25EFF082" w14:textId="77777777" w:rsidR="001E45D0" w:rsidRPr="00B07325" w:rsidRDefault="001E45D0" w:rsidP="001E45D0">
      <w:pPr>
        <w:pStyle w:val="BodyText"/>
        <w:rPr>
          <w:lang w:bidi="fa-IR"/>
        </w:rPr>
      </w:pPr>
      <w:r>
        <w:rPr>
          <w:lang w:bidi="fa-IR"/>
        </w:rPr>
        <w:t xml:space="preserve">Mornington Peninsula Shire Council suggested </w:t>
      </w:r>
      <w:r w:rsidRPr="00B07325">
        <w:rPr>
          <w:lang w:bidi="fa-IR"/>
        </w:rPr>
        <w:t>regular reporting and auditing to ensure that there is no overuse of exemptions. This should include an operational general review of the effectiveness of any new provisions after 12 months</w:t>
      </w:r>
      <w:r w:rsidR="00CA43BF">
        <w:rPr>
          <w:lang w:bidi="fa-IR"/>
        </w:rPr>
        <w:t xml:space="preserve"> of</w:t>
      </w:r>
      <w:r w:rsidRPr="00B07325">
        <w:rPr>
          <w:lang w:bidi="fa-IR"/>
        </w:rPr>
        <w:t xml:space="preserve"> operation.</w:t>
      </w:r>
      <w:r w:rsidR="00FD4A5C">
        <w:rPr>
          <w:rStyle w:val="FootnoteReference"/>
          <w:lang w:bidi="fa-IR"/>
        </w:rPr>
        <w:footnoteReference w:id="350"/>
      </w:r>
    </w:p>
    <w:p w14:paraId="00EA6FA5" w14:textId="77777777" w:rsidR="001E45D0" w:rsidRPr="004B79EC" w:rsidRDefault="001E45D0" w:rsidP="004B79EC">
      <w:pPr>
        <w:pStyle w:val="Heading4-Appendix"/>
      </w:pPr>
      <w:r w:rsidRPr="004B79EC">
        <w:t>Applied to refurbishment too?</w:t>
      </w:r>
    </w:p>
    <w:p w14:paraId="3CC9AAD7" w14:textId="77777777" w:rsidR="001E45D0" w:rsidRPr="00B4615C" w:rsidRDefault="001E45D0" w:rsidP="001E45D0">
      <w:pPr>
        <w:pStyle w:val="BodyText"/>
        <w:rPr>
          <w:lang w:bidi="fa-IR"/>
        </w:rPr>
      </w:pPr>
      <w:r>
        <w:rPr>
          <w:lang w:bidi="fa-IR"/>
        </w:rPr>
        <w:t xml:space="preserve">ACSA raised the issue </w:t>
      </w:r>
      <w:r w:rsidR="009D1DA3">
        <w:rPr>
          <w:lang w:bidi="fa-IR"/>
        </w:rPr>
        <w:t xml:space="preserve">of </w:t>
      </w:r>
      <w:r>
        <w:rPr>
          <w:lang w:bidi="fa-IR"/>
        </w:rPr>
        <w:t>w</w:t>
      </w:r>
      <w:r w:rsidRPr="00B4615C">
        <w:rPr>
          <w:lang w:bidi="fa-IR"/>
        </w:rPr>
        <w:t>hether ‘accessibility’ is to be incorporated into refurbishment of older building stock (for example older independent living units or older retirement village units) where the upgraded buildings are not being ‘repurposed’. Requiring ‘accessibility’ outcomes for refurbishments of these types of dwellings may make them financially unviable. If this is the outcome, housing availability will be reduced at the affordable end of the housing market</w:t>
      </w:r>
      <w:r w:rsidR="00CA43BF">
        <w:rPr>
          <w:lang w:bidi="fa-IR"/>
        </w:rPr>
        <w:t>,</w:t>
      </w:r>
      <w:r w:rsidRPr="00B4615C">
        <w:rPr>
          <w:lang w:bidi="fa-IR"/>
        </w:rPr>
        <w:t xml:space="preserve"> further exacerbating </w:t>
      </w:r>
      <w:r w:rsidR="00502978">
        <w:rPr>
          <w:lang w:bidi="fa-IR"/>
        </w:rPr>
        <w:t xml:space="preserve">a lack of </w:t>
      </w:r>
      <w:r w:rsidRPr="00B4615C">
        <w:rPr>
          <w:lang w:bidi="fa-IR"/>
        </w:rPr>
        <w:t>supply.</w:t>
      </w:r>
      <w:r w:rsidR="00673794">
        <w:rPr>
          <w:rStyle w:val="FootnoteReference"/>
          <w:lang w:bidi="fa-IR"/>
        </w:rPr>
        <w:footnoteReference w:id="351"/>
      </w:r>
      <w:r w:rsidRPr="00B4615C">
        <w:rPr>
          <w:lang w:bidi="fa-IR"/>
        </w:rPr>
        <w:t xml:space="preserve"> </w:t>
      </w:r>
    </w:p>
    <w:p w14:paraId="1FABBFCB" w14:textId="77777777" w:rsidR="001E45D0" w:rsidRPr="004B79EC" w:rsidRDefault="001E45D0" w:rsidP="004B79EC">
      <w:pPr>
        <w:pStyle w:val="Heading4-Appendix"/>
      </w:pPr>
      <w:r w:rsidRPr="004B79EC">
        <w:t>Database</w:t>
      </w:r>
    </w:p>
    <w:p w14:paraId="1AE98AD7" w14:textId="77777777" w:rsidR="001E45D0" w:rsidRDefault="00B3179E" w:rsidP="001E45D0">
      <w:pPr>
        <w:pStyle w:val="BodyText"/>
        <w:rPr>
          <w:lang w:bidi="fa-IR"/>
        </w:rPr>
      </w:pPr>
      <w:r>
        <w:rPr>
          <w:lang w:bidi="fa-IR"/>
        </w:rPr>
        <w:t>One</w:t>
      </w:r>
      <w:r w:rsidR="007E5871">
        <w:rPr>
          <w:lang w:bidi="fa-IR"/>
        </w:rPr>
        <w:t xml:space="preserve"> submission</w:t>
      </w:r>
      <w:r w:rsidR="001E45D0">
        <w:rPr>
          <w:lang w:bidi="fa-IR"/>
        </w:rPr>
        <w:t xml:space="preserve"> suggested that to ensure that accessible housing supply is meeting localised demand, </w:t>
      </w:r>
      <w:r w:rsidR="001E45D0" w:rsidRPr="007C237C">
        <w:rPr>
          <w:lang w:bidi="fa-IR"/>
        </w:rPr>
        <w:t xml:space="preserve">a central database containing all new projects and apartments which are accessible </w:t>
      </w:r>
      <w:r w:rsidR="001E45D0">
        <w:rPr>
          <w:lang w:bidi="fa-IR"/>
        </w:rPr>
        <w:t xml:space="preserve">and </w:t>
      </w:r>
      <w:r w:rsidR="001E45D0" w:rsidRPr="007C237C">
        <w:rPr>
          <w:lang w:bidi="fa-IR"/>
        </w:rPr>
        <w:t xml:space="preserve">adaptable could be kept and linked to a search function within </w:t>
      </w:r>
      <w:r w:rsidR="001E45D0">
        <w:rPr>
          <w:lang w:bidi="fa-IR"/>
        </w:rPr>
        <w:t>property websites</w:t>
      </w:r>
      <w:r w:rsidR="001E45D0" w:rsidRPr="007C237C">
        <w:rPr>
          <w:lang w:bidi="fa-IR"/>
        </w:rPr>
        <w:t>.</w:t>
      </w:r>
    </w:p>
    <w:p w14:paraId="0C802783" w14:textId="77777777" w:rsidR="001E45D0" w:rsidRPr="007C237C" w:rsidRDefault="001E45D0" w:rsidP="001E45D0">
      <w:pPr>
        <w:pStyle w:val="BodyText"/>
        <w:rPr>
          <w:lang w:bidi="fa-IR"/>
        </w:rPr>
      </w:pPr>
      <w:r>
        <w:rPr>
          <w:lang w:bidi="fa-IR"/>
        </w:rPr>
        <w:lastRenderedPageBreak/>
        <w:t>Similarly, PCA proposed e</w:t>
      </w:r>
      <w:r w:rsidRPr="00B77EC7">
        <w:rPr>
          <w:lang w:bidi="fa-IR"/>
        </w:rPr>
        <w:t>stablish</w:t>
      </w:r>
      <w:r w:rsidR="00CA43BF">
        <w:rPr>
          <w:lang w:bidi="fa-IR"/>
        </w:rPr>
        <w:t>ing</w:t>
      </w:r>
      <w:r w:rsidRPr="00B77EC7">
        <w:rPr>
          <w:lang w:bidi="fa-IR"/>
        </w:rPr>
        <w:t xml:space="preserve"> a </w:t>
      </w:r>
      <w:r w:rsidRPr="003D12B2">
        <w:rPr>
          <w:lang w:bidi="fa-IR"/>
        </w:rPr>
        <w:t>national register for accessible housing</w:t>
      </w:r>
      <w:r w:rsidRPr="00B77EC7">
        <w:rPr>
          <w:lang w:bidi="fa-IR"/>
        </w:rPr>
        <w:t xml:space="preserve"> to collate existing data and expand it as new information becomes available</w:t>
      </w:r>
      <w:r>
        <w:rPr>
          <w:lang w:bidi="fa-IR"/>
        </w:rPr>
        <w:t>, and to i</w:t>
      </w:r>
      <w:r w:rsidRPr="00B77EC7">
        <w:rPr>
          <w:lang w:bidi="fa-IR"/>
        </w:rPr>
        <w:t>nvestigat</w:t>
      </w:r>
      <w:r>
        <w:rPr>
          <w:lang w:bidi="fa-IR"/>
        </w:rPr>
        <w:t>e</w:t>
      </w:r>
      <w:r w:rsidRPr="00B77EC7">
        <w:rPr>
          <w:lang w:bidi="fa-IR"/>
        </w:rPr>
        <w:t xml:space="preserve"> the possibility of providing accessibility information at the point of sale.</w:t>
      </w:r>
      <w:r w:rsidR="00EC3FAE">
        <w:rPr>
          <w:rStyle w:val="FootnoteReference"/>
          <w:lang w:bidi="fa-IR"/>
        </w:rPr>
        <w:footnoteReference w:id="352"/>
      </w:r>
    </w:p>
    <w:p w14:paraId="2B78720E" w14:textId="77777777" w:rsidR="001E45D0" w:rsidRPr="004B79EC" w:rsidRDefault="001E45D0" w:rsidP="004B79EC">
      <w:pPr>
        <w:pStyle w:val="Heading4-Appendix"/>
      </w:pPr>
      <w:r w:rsidRPr="004B79EC">
        <w:t>Postponing the implementation of the proposal</w:t>
      </w:r>
    </w:p>
    <w:p w14:paraId="46BC5608" w14:textId="77777777" w:rsidR="001E45D0" w:rsidRPr="000179B4" w:rsidRDefault="00FC4E9C" w:rsidP="001E45D0">
      <w:pPr>
        <w:pStyle w:val="BodyText"/>
        <w:rPr>
          <w:lang w:bidi="fa-IR"/>
        </w:rPr>
      </w:pPr>
      <w:r>
        <w:rPr>
          <w:lang w:bidi="fa-IR"/>
        </w:rPr>
        <w:t>One</w:t>
      </w:r>
      <w:r w:rsidR="007E5871">
        <w:rPr>
          <w:lang w:bidi="fa-IR"/>
        </w:rPr>
        <w:t xml:space="preserve"> submission</w:t>
      </w:r>
      <w:r w:rsidR="001E45D0">
        <w:rPr>
          <w:lang w:bidi="fa-IR"/>
        </w:rPr>
        <w:t xml:space="preserve"> suggested </w:t>
      </w:r>
      <w:r w:rsidR="005C66CA">
        <w:rPr>
          <w:lang w:bidi="fa-IR"/>
        </w:rPr>
        <w:t xml:space="preserve">that the </w:t>
      </w:r>
      <w:r w:rsidR="001E45D0">
        <w:rPr>
          <w:lang w:bidi="fa-IR"/>
        </w:rPr>
        <w:t xml:space="preserve">ABCB </w:t>
      </w:r>
      <w:r w:rsidR="008D4084">
        <w:rPr>
          <w:lang w:bidi="fa-IR"/>
        </w:rPr>
        <w:t>should</w:t>
      </w:r>
      <w:r w:rsidR="001E45D0">
        <w:rPr>
          <w:lang w:bidi="fa-IR"/>
        </w:rPr>
        <w:t xml:space="preserve"> delay the NCC 2022 introduction by at least 5 years, whilst undertaking a whole-of-project analysis approach.</w:t>
      </w:r>
    </w:p>
    <w:p w14:paraId="423D4DAB" w14:textId="77777777" w:rsidR="001E45D0" w:rsidRPr="004B79EC" w:rsidRDefault="001E45D0" w:rsidP="004B79EC">
      <w:pPr>
        <w:pStyle w:val="Heading4-Appendix"/>
      </w:pPr>
      <w:r w:rsidRPr="004B79EC">
        <w:t>Technical issues</w:t>
      </w:r>
    </w:p>
    <w:p w14:paraId="44D96E04" w14:textId="77777777" w:rsidR="001E45D0" w:rsidRDefault="001E45D0" w:rsidP="001E45D0">
      <w:pPr>
        <w:pStyle w:val="BodyText"/>
        <w:rPr>
          <w:lang w:bidi="fa-IR"/>
        </w:rPr>
      </w:pPr>
      <w:r>
        <w:rPr>
          <w:lang w:bidi="fa-IR"/>
        </w:rPr>
        <w:t xml:space="preserve">One submission pointed out that </w:t>
      </w:r>
      <w:r w:rsidRPr="005E3C47">
        <w:rPr>
          <w:lang w:bidi="fa-IR"/>
        </w:rPr>
        <w:t xml:space="preserve">the options presented might not be adequate for wheelchair accessibility, particularly large electric wheelchairs </w:t>
      </w:r>
      <w:r>
        <w:rPr>
          <w:lang w:bidi="fa-IR"/>
        </w:rPr>
        <w:t>which</w:t>
      </w:r>
      <w:r w:rsidRPr="005E3C47">
        <w:rPr>
          <w:lang w:bidi="fa-IR"/>
        </w:rPr>
        <w:t xml:space="preserve"> would require additional modification</w:t>
      </w:r>
      <w:r w:rsidR="005C66CA">
        <w:rPr>
          <w:lang w:bidi="fa-IR"/>
        </w:rPr>
        <w:t xml:space="preserve"> to the home</w:t>
      </w:r>
      <w:r>
        <w:rPr>
          <w:lang w:bidi="fa-IR"/>
        </w:rPr>
        <w:t>.</w:t>
      </w:r>
    </w:p>
    <w:p w14:paraId="645E6193" w14:textId="77777777" w:rsidR="001E45D0" w:rsidRPr="005E3C47" w:rsidRDefault="00EC4E44" w:rsidP="001E45D0">
      <w:pPr>
        <w:pStyle w:val="BodyText"/>
        <w:rPr>
          <w:lang w:bidi="fa-IR"/>
        </w:rPr>
      </w:pPr>
      <w:r>
        <w:rPr>
          <w:lang w:bidi="fa-IR"/>
        </w:rPr>
        <w:t>The same submission also pointed out that</w:t>
      </w:r>
      <w:r w:rsidR="001E45D0">
        <w:rPr>
          <w:lang w:bidi="fa-IR"/>
        </w:rPr>
        <w:t xml:space="preserve">, </w:t>
      </w:r>
      <w:r w:rsidR="001E45D0" w:rsidRPr="009A4262">
        <w:rPr>
          <w:lang w:bidi="fa-IR"/>
        </w:rPr>
        <w:t>some forms of housing</w:t>
      </w:r>
      <w:r w:rsidR="00CA43BF">
        <w:rPr>
          <w:lang w:bidi="fa-IR"/>
        </w:rPr>
        <w:t>;</w:t>
      </w:r>
      <w:r w:rsidR="001E45D0">
        <w:rPr>
          <w:lang w:bidi="fa-IR"/>
        </w:rPr>
        <w:t xml:space="preserve"> for example, </w:t>
      </w:r>
      <w:r w:rsidR="001E45D0" w:rsidRPr="00423034">
        <w:rPr>
          <w:lang w:bidi="fa-IR"/>
        </w:rPr>
        <w:t>townhouses, split level homes, those incorporating mezzanines, pole homes, traditional Queenslanders, and those on sloping sites</w:t>
      </w:r>
      <w:r w:rsidR="001E45D0">
        <w:rPr>
          <w:lang w:bidi="fa-IR"/>
        </w:rPr>
        <w:t>,</w:t>
      </w:r>
      <w:r w:rsidR="001E45D0" w:rsidRPr="00423034">
        <w:rPr>
          <w:lang w:bidi="fa-IR"/>
        </w:rPr>
        <w:t xml:space="preserve"> do not lend themselves to being very accessible by their nature. It is </w:t>
      </w:r>
      <w:r w:rsidR="001E45D0">
        <w:rPr>
          <w:lang w:bidi="fa-IR"/>
        </w:rPr>
        <w:t>suggested</w:t>
      </w:r>
      <w:r w:rsidR="001E45D0" w:rsidRPr="00423034">
        <w:rPr>
          <w:lang w:bidi="fa-IR"/>
        </w:rPr>
        <w:t xml:space="preserve"> </w:t>
      </w:r>
      <w:r w:rsidR="00F62A5F">
        <w:rPr>
          <w:lang w:bidi="fa-IR"/>
        </w:rPr>
        <w:t>increas</w:t>
      </w:r>
      <w:r w:rsidR="00311440">
        <w:rPr>
          <w:lang w:bidi="fa-IR"/>
        </w:rPr>
        <w:t>ing</w:t>
      </w:r>
      <w:r w:rsidR="001E45D0" w:rsidRPr="00423034">
        <w:rPr>
          <w:lang w:bidi="fa-IR"/>
        </w:rPr>
        <w:t xml:space="preserve"> accessible </w:t>
      </w:r>
      <w:r w:rsidR="00311440">
        <w:rPr>
          <w:lang w:bidi="fa-IR"/>
        </w:rPr>
        <w:t xml:space="preserve">housing supply should be </w:t>
      </w:r>
      <w:r w:rsidR="001E45D0" w:rsidRPr="00423034">
        <w:rPr>
          <w:lang w:bidi="fa-IR"/>
        </w:rPr>
        <w:t xml:space="preserve">achieved across industry </w:t>
      </w:r>
      <w:r w:rsidR="001E45D0">
        <w:rPr>
          <w:lang w:bidi="fa-IR"/>
        </w:rPr>
        <w:t>while not</w:t>
      </w:r>
      <w:r w:rsidR="001E45D0" w:rsidRPr="00423034">
        <w:rPr>
          <w:lang w:bidi="fa-IR"/>
        </w:rPr>
        <w:t xml:space="preserve"> creating an imp</w:t>
      </w:r>
      <w:r w:rsidR="001E45D0">
        <w:rPr>
          <w:lang w:bidi="fa-IR"/>
        </w:rPr>
        <w:t>ac</w:t>
      </w:r>
      <w:r w:rsidR="001E45D0" w:rsidRPr="00423034">
        <w:rPr>
          <w:lang w:bidi="fa-IR"/>
        </w:rPr>
        <w:t>t on these forms</w:t>
      </w:r>
      <w:r w:rsidR="001E45D0">
        <w:rPr>
          <w:lang w:bidi="fa-IR"/>
        </w:rPr>
        <w:t xml:space="preserve"> of housing.</w:t>
      </w:r>
    </w:p>
    <w:p w14:paraId="13D2213E" w14:textId="77777777" w:rsidR="001E45D0" w:rsidRPr="004B79EC" w:rsidRDefault="001E45D0" w:rsidP="004B79EC">
      <w:pPr>
        <w:pStyle w:val="Heading2-Appendix"/>
      </w:pPr>
      <w:bookmarkStart w:id="587" w:name="_Toc52383058"/>
      <w:bookmarkStart w:id="588" w:name="_Toc50453224"/>
      <w:r w:rsidRPr="004B79EC">
        <w:t>Cost estimates</w:t>
      </w:r>
      <w:bookmarkEnd w:id="587"/>
    </w:p>
    <w:p w14:paraId="7F51FD05" w14:textId="77777777" w:rsidR="001E45D0" w:rsidRPr="00F4477B" w:rsidRDefault="001E45D0" w:rsidP="00F4477B">
      <w:pPr>
        <w:pStyle w:val="Heading3-Appendix"/>
      </w:pPr>
      <w:r w:rsidRPr="00F4477B">
        <w:t>Scenarios and weights</w:t>
      </w:r>
    </w:p>
    <w:p w14:paraId="07649D2F" w14:textId="365BF84F" w:rsidR="001E45D0" w:rsidRDefault="001E45D0" w:rsidP="001E45D0">
      <w:pPr>
        <w:pStyle w:val="BodyText"/>
        <w:rPr>
          <w:lang w:bidi="fa-IR"/>
        </w:rPr>
      </w:pPr>
      <w:r>
        <w:rPr>
          <w:lang w:bidi="fa-IR"/>
        </w:rPr>
        <w:t xml:space="preserve">There </w:t>
      </w:r>
      <w:r w:rsidR="009D1DA3">
        <w:rPr>
          <w:lang w:bidi="fa-IR"/>
        </w:rPr>
        <w:t>we</w:t>
      </w:r>
      <w:r>
        <w:rPr>
          <w:lang w:bidi="fa-IR"/>
        </w:rPr>
        <w:t xml:space="preserve">re 76 responses to </w:t>
      </w:r>
      <w:r w:rsidR="009D1DA3">
        <w:rPr>
          <w:lang w:bidi="fa-IR"/>
        </w:rPr>
        <w:t xml:space="preserve">the Consultation Hub </w:t>
      </w:r>
      <w:r>
        <w:rPr>
          <w:lang w:bidi="fa-IR"/>
        </w:rPr>
        <w:t>questions about the costing scenarios (Question 20) and the weighted average approach (Question 21). Slightly more responses, 43 versus 33 for Question 20 and 39 versus 37 for Question 21, agree with the scenarios and the weighted average approach for estimating the costs (chart</w:t>
      </w:r>
      <w:r w:rsidR="00DD5C35">
        <w:rPr>
          <w:lang w:bidi="fa-IR"/>
        </w:rPr>
        <w:t xml:space="preserve"> A.12</w:t>
      </w:r>
      <w:r>
        <w:rPr>
          <w:lang w:bidi="fa-IR"/>
        </w:rPr>
        <w:t>).</w:t>
      </w:r>
    </w:p>
    <w:p w14:paraId="39EECAFF" w14:textId="13258238" w:rsidR="001E45D0" w:rsidRDefault="00BD17F9" w:rsidP="001E45D0">
      <w:pPr>
        <w:pStyle w:val="Caption"/>
      </w:pPr>
      <w:bookmarkStart w:id="589" w:name="_Toc52383071"/>
      <w:bookmarkStart w:id="590" w:name="_Toc57643660"/>
      <w:bookmarkStart w:id="591" w:name="_Toc70505607"/>
      <w:r>
        <w:lastRenderedPageBreak/>
        <w:t>A.12</w:t>
      </w:r>
      <w:r w:rsidR="001E45D0" w:rsidRPr="00695C93">
        <w:tab/>
      </w:r>
      <w:r w:rsidR="001E45D0">
        <w:t>Views on the costing scenarios and approach</w:t>
      </w:r>
      <w:bookmarkEnd w:id="589"/>
      <w:bookmarkEnd w:id="590"/>
      <w:bookmarkEnd w:id="591"/>
    </w:p>
    <w:p w14:paraId="18EE77F3" w14:textId="77777777" w:rsidR="001E45D0" w:rsidRPr="00E94313" w:rsidRDefault="00943316" w:rsidP="001E45D0">
      <w:pPr>
        <w:pStyle w:val="Note"/>
        <w:rPr>
          <w:iCs/>
        </w:rPr>
      </w:pPr>
      <w:r w:rsidRPr="00667301">
        <w:rPr>
          <w:noProof/>
          <w:lang w:eastAsia="en-AU"/>
        </w:rPr>
        <w:drawing>
          <wp:inline distT="0" distB="0" distL="0" distR="0" wp14:anchorId="4921E2E6" wp14:editId="340A7C2E">
            <wp:extent cx="5039995" cy="3307298"/>
            <wp:effectExtent l="57150" t="57150" r="65405" b="64770"/>
            <wp:docPr id="14" name="Picture 14" descr="There were 76 responses to the Consultation Hub questions about the costing scenarios (Question 20) and the weighted average approach (Question 21). Slightly more responses, 43 versus 33 for Question 20 and 39 versus 37 for Question 21, agree with the scenarios and the weighted average approach for estimating the costs." title="Chart A.12: Views on the costing scenarios an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3307298"/>
                    </a:xfrm>
                    <a:prstGeom prst="rect">
                      <a:avLst/>
                    </a:prstGeom>
                    <a:noFill/>
                    <a:ln w="57150">
                      <a:solidFill>
                        <a:schemeClr val="bg2"/>
                      </a:solidFill>
                    </a:ln>
                  </pic:spPr>
                </pic:pic>
              </a:graphicData>
            </a:graphic>
          </wp:inline>
        </w:drawing>
      </w:r>
      <w:r w:rsidR="001E45D0" w:rsidRPr="00E94313">
        <w:rPr>
          <w:iCs/>
        </w:rPr>
        <w:t>Note: Structured answer to Questions 20 and 21</w:t>
      </w:r>
      <w:r w:rsidR="00CD1DA9">
        <w:rPr>
          <w:iCs/>
        </w:rPr>
        <w:t>.</w:t>
      </w:r>
    </w:p>
    <w:p w14:paraId="0F7C5A8E" w14:textId="77777777" w:rsidR="001E45D0" w:rsidRPr="00E94313" w:rsidRDefault="001E45D0" w:rsidP="001E45D0">
      <w:pPr>
        <w:pStyle w:val="Source"/>
        <w:rPr>
          <w:iCs/>
          <w:lang w:bidi="fa-IR"/>
        </w:rPr>
      </w:pPr>
      <w:r w:rsidRPr="00E94313">
        <w:rPr>
          <w:iCs/>
        </w:rPr>
        <w:t>Data source: Consultation Hub</w:t>
      </w:r>
      <w:r w:rsidR="00CD1DA9">
        <w:rPr>
          <w:iCs/>
        </w:rPr>
        <w:t>.</w:t>
      </w:r>
    </w:p>
    <w:p w14:paraId="30AAB2AF" w14:textId="77777777" w:rsidR="001E45D0" w:rsidRPr="004B79EC" w:rsidRDefault="001E45D0" w:rsidP="004B79EC">
      <w:pPr>
        <w:pStyle w:val="Heading4-Appendix"/>
      </w:pPr>
      <w:r w:rsidRPr="004B79EC">
        <w:t>Baseline</w:t>
      </w:r>
    </w:p>
    <w:p w14:paraId="1F95A6CA" w14:textId="77777777" w:rsidR="001E45D0" w:rsidRDefault="001E45D0" w:rsidP="001E45D0">
      <w:pPr>
        <w:pStyle w:val="BodyText"/>
        <w:rPr>
          <w:lang w:bidi="fa-IR"/>
        </w:rPr>
      </w:pPr>
      <w:r>
        <w:rPr>
          <w:lang w:bidi="fa-IR"/>
        </w:rPr>
        <w:t>Some submissions argued that t</w:t>
      </w:r>
      <w:r w:rsidRPr="00FF76D7">
        <w:rPr>
          <w:lang w:bidi="fa-IR"/>
        </w:rPr>
        <w:t xml:space="preserve">he </w:t>
      </w:r>
      <w:r>
        <w:rPr>
          <w:lang w:bidi="fa-IR"/>
        </w:rPr>
        <w:t xml:space="preserve">estimated </w:t>
      </w:r>
      <w:r w:rsidRPr="00FF76D7">
        <w:rPr>
          <w:lang w:bidi="fa-IR"/>
        </w:rPr>
        <w:t>costs are higher tha</w:t>
      </w:r>
      <w:r>
        <w:rPr>
          <w:lang w:bidi="fa-IR"/>
        </w:rPr>
        <w:t>n</w:t>
      </w:r>
      <w:r w:rsidRPr="00FF76D7">
        <w:rPr>
          <w:lang w:bidi="fa-IR"/>
        </w:rPr>
        <w:t xml:space="preserve"> </w:t>
      </w:r>
      <w:r w:rsidR="00BF752F">
        <w:rPr>
          <w:lang w:bidi="fa-IR"/>
        </w:rPr>
        <w:t>the true cost</w:t>
      </w:r>
      <w:r w:rsidRPr="00FF76D7">
        <w:rPr>
          <w:lang w:bidi="fa-IR"/>
        </w:rPr>
        <w:t xml:space="preserve"> </w:t>
      </w:r>
      <w:r>
        <w:rPr>
          <w:lang w:bidi="fa-IR"/>
        </w:rPr>
        <w:t xml:space="preserve">because some requirements in the proposal </w:t>
      </w:r>
      <w:r w:rsidR="009D1DA3">
        <w:rPr>
          <w:lang w:bidi="fa-IR"/>
        </w:rPr>
        <w:t>are</w:t>
      </w:r>
      <w:r>
        <w:rPr>
          <w:lang w:bidi="fa-IR"/>
        </w:rPr>
        <w:t xml:space="preserve"> already present in new dwellings. </w:t>
      </w:r>
    </w:p>
    <w:p w14:paraId="4B2C443C" w14:textId="77777777" w:rsidR="001E45D0" w:rsidRDefault="001E45D0" w:rsidP="001E45D0">
      <w:pPr>
        <w:pStyle w:val="BodyText"/>
        <w:rPr>
          <w:lang w:bidi="fa-IR"/>
        </w:rPr>
      </w:pPr>
      <w:r>
        <w:rPr>
          <w:lang w:bidi="fa-IR"/>
        </w:rPr>
        <w:t>For example,</w:t>
      </w:r>
      <w:r w:rsidRPr="00FF76D7">
        <w:rPr>
          <w:lang w:bidi="fa-IR"/>
        </w:rPr>
        <w:t xml:space="preserve"> minimum dimensions and floor areas for width of halls, circulation spaces to kitchen areas, bathrooms and laundries are generally already greater than </w:t>
      </w:r>
      <w:r>
        <w:rPr>
          <w:lang w:bidi="fa-IR"/>
        </w:rPr>
        <w:t xml:space="preserve">the </w:t>
      </w:r>
      <w:r w:rsidRPr="00FF76D7">
        <w:rPr>
          <w:lang w:bidi="fa-IR"/>
        </w:rPr>
        <w:t>minimum dimensions and areas in most new Class 1</w:t>
      </w:r>
      <w:r>
        <w:rPr>
          <w:lang w:bidi="fa-IR"/>
        </w:rPr>
        <w:t>a</w:t>
      </w:r>
      <w:r w:rsidRPr="00FF76D7">
        <w:rPr>
          <w:lang w:bidi="fa-IR"/>
        </w:rPr>
        <w:t xml:space="preserve"> project homes and custom built homes.</w:t>
      </w:r>
      <w:r w:rsidR="007263B5">
        <w:rPr>
          <w:rStyle w:val="FootnoteReference"/>
          <w:lang w:bidi="fa-IR"/>
        </w:rPr>
        <w:footnoteReference w:id="353"/>
      </w:r>
    </w:p>
    <w:p w14:paraId="7C429C1E" w14:textId="77777777" w:rsidR="001E45D0" w:rsidRDefault="004106D9" w:rsidP="001E45D0">
      <w:pPr>
        <w:pStyle w:val="BodyText"/>
        <w:rPr>
          <w:lang w:bidi="fa-IR"/>
        </w:rPr>
      </w:pPr>
      <w:r>
        <w:rPr>
          <w:lang w:bidi="fa-IR"/>
        </w:rPr>
        <w:t>One submission pointed out that a</w:t>
      </w:r>
      <w:r w:rsidR="001E45D0">
        <w:rPr>
          <w:lang w:bidi="fa-IR"/>
        </w:rPr>
        <w:t xml:space="preserve">ccessible dwellings have been provided in new construction, so no or minimal modifications </w:t>
      </w:r>
      <w:r w:rsidR="008E7546">
        <w:rPr>
          <w:lang w:bidi="fa-IR"/>
        </w:rPr>
        <w:t>are required</w:t>
      </w:r>
      <w:r w:rsidR="001E45D0" w:rsidRPr="00D67B5C">
        <w:rPr>
          <w:lang w:bidi="fa-IR"/>
        </w:rPr>
        <w:t>.</w:t>
      </w:r>
      <w:r w:rsidR="007F3BBA">
        <w:rPr>
          <w:rStyle w:val="FootnoteReference"/>
          <w:lang w:bidi="fa-IR"/>
        </w:rPr>
        <w:footnoteReference w:id="354"/>
      </w:r>
    </w:p>
    <w:p w14:paraId="226C2170" w14:textId="77777777" w:rsidR="001E45D0" w:rsidRDefault="001E45D0" w:rsidP="001E45D0">
      <w:pPr>
        <w:pStyle w:val="BodyText"/>
        <w:rPr>
          <w:lang w:bidi="fa-IR"/>
        </w:rPr>
      </w:pPr>
      <w:r>
        <w:rPr>
          <w:lang w:bidi="fa-IR"/>
        </w:rPr>
        <w:t>Doorways are usually built with 820mm wide doors.</w:t>
      </w:r>
      <w:r w:rsidR="00D6511F">
        <w:rPr>
          <w:rStyle w:val="FootnoteReference"/>
          <w:lang w:bidi="fa-IR"/>
        </w:rPr>
        <w:footnoteReference w:id="355"/>
      </w:r>
    </w:p>
    <w:p w14:paraId="294B86F4" w14:textId="77777777" w:rsidR="001E45D0" w:rsidRDefault="001E45D0" w:rsidP="001E45D0">
      <w:pPr>
        <w:pStyle w:val="BodyText"/>
        <w:rPr>
          <w:lang w:bidi="fa-IR"/>
        </w:rPr>
      </w:pPr>
      <w:r>
        <w:rPr>
          <w:lang w:bidi="fa-IR"/>
        </w:rPr>
        <w:t>A submission noted that closer to 100 per cent (rather than 70 per cent as assumed in the DCWC costing) of custom homes have corridors of 1</w:t>
      </w:r>
      <w:r w:rsidR="004106D9">
        <w:rPr>
          <w:lang w:bidi="fa-IR"/>
        </w:rPr>
        <w:t> </w:t>
      </w:r>
      <w:r>
        <w:rPr>
          <w:lang w:bidi="fa-IR"/>
        </w:rPr>
        <w:t>000mm already.</w:t>
      </w:r>
    </w:p>
    <w:p w14:paraId="5184FA22" w14:textId="77777777" w:rsidR="001E45D0" w:rsidRPr="002901CB" w:rsidRDefault="001E45D0" w:rsidP="001E45D0">
      <w:pPr>
        <w:pStyle w:val="BodyText"/>
        <w:rPr>
          <w:lang w:bidi="fa-IR"/>
        </w:rPr>
      </w:pPr>
      <w:r w:rsidRPr="00FB20D0">
        <w:rPr>
          <w:lang w:bidi="fa-IR"/>
        </w:rPr>
        <w:lastRenderedPageBreak/>
        <w:t>Level access through double garage is standard</w:t>
      </w:r>
      <w:r>
        <w:rPr>
          <w:lang w:bidi="fa-IR"/>
        </w:rPr>
        <w:t>, according to Murphy Homes in Queensland, so there are no additional costs.</w:t>
      </w:r>
      <w:r w:rsidR="0048494F">
        <w:rPr>
          <w:rStyle w:val="FootnoteReference"/>
          <w:lang w:bidi="fa-IR"/>
        </w:rPr>
        <w:footnoteReference w:id="356"/>
      </w:r>
    </w:p>
    <w:p w14:paraId="757CCCBB" w14:textId="77777777" w:rsidR="001E45D0" w:rsidRPr="00F4477B" w:rsidRDefault="001E45D0" w:rsidP="00F4477B">
      <w:pPr>
        <w:pStyle w:val="Heading3-Appendix"/>
      </w:pPr>
      <w:r w:rsidRPr="00F4477B">
        <w:t>Opportunity cost of additional space requirement</w:t>
      </w:r>
    </w:p>
    <w:p w14:paraId="4FC70EBB" w14:textId="7C223006" w:rsidR="001E45D0" w:rsidRDefault="001E45D0" w:rsidP="001E45D0">
      <w:pPr>
        <w:pStyle w:val="BodyText"/>
        <w:rPr>
          <w:lang w:bidi="fa-IR"/>
        </w:rPr>
      </w:pPr>
      <w:r>
        <w:rPr>
          <w:lang w:bidi="fa-IR"/>
        </w:rPr>
        <w:t>Question 22 ask</w:t>
      </w:r>
      <w:r w:rsidR="00905BF7">
        <w:rPr>
          <w:lang w:bidi="fa-IR"/>
        </w:rPr>
        <w:t>ed about</w:t>
      </w:r>
      <w:r>
        <w:rPr>
          <w:lang w:bidi="fa-IR"/>
        </w:rPr>
        <w:t xml:space="preserve"> the approach taken to valuing the opportunity cost of the additional space required. 36 submissions agreed with the approach while 37 submissions did not, with the remaining 130 submissions not providing an answer. Among the 33 submissions not agreeing with the approach, 14 argued that the cost was overstated while 10 suggested the opposite (chart</w:t>
      </w:r>
      <w:r w:rsidR="00DD5C35">
        <w:rPr>
          <w:lang w:bidi="fa-IR"/>
        </w:rPr>
        <w:t xml:space="preserve"> A.13</w:t>
      </w:r>
      <w:r>
        <w:rPr>
          <w:lang w:bidi="fa-IR"/>
        </w:rPr>
        <w:t>).</w:t>
      </w:r>
    </w:p>
    <w:p w14:paraId="228CEBE2" w14:textId="1D27E9EA" w:rsidR="001E45D0" w:rsidRDefault="00BD17F9" w:rsidP="00943316">
      <w:pPr>
        <w:pStyle w:val="Caption"/>
        <w:ind w:left="568" w:hanging="568"/>
      </w:pPr>
      <w:bookmarkStart w:id="592" w:name="_Toc52383072"/>
      <w:bookmarkStart w:id="593" w:name="_Toc57643661"/>
      <w:bookmarkStart w:id="594" w:name="_Toc70505608"/>
      <w:r>
        <w:t>A.13</w:t>
      </w:r>
      <w:r w:rsidR="001E45D0" w:rsidRPr="00695C93">
        <w:tab/>
      </w:r>
      <w:r w:rsidR="001E45D0">
        <w:t>Do you agree with the approach of valuing the opportunity cost of additional space requirement</w:t>
      </w:r>
      <w:bookmarkEnd w:id="592"/>
      <w:bookmarkEnd w:id="593"/>
      <w:bookmarkEnd w:id="594"/>
    </w:p>
    <w:p w14:paraId="13420FAD" w14:textId="77777777" w:rsidR="001E45D0" w:rsidRPr="00E94313" w:rsidRDefault="00943316" w:rsidP="001E45D0">
      <w:pPr>
        <w:pStyle w:val="Note"/>
        <w:rPr>
          <w:iCs/>
        </w:rPr>
      </w:pPr>
      <w:r w:rsidRPr="003320B2">
        <w:rPr>
          <w:noProof/>
          <w:lang w:eastAsia="en-AU"/>
        </w:rPr>
        <w:drawing>
          <wp:inline distT="0" distB="0" distL="0" distR="0" wp14:anchorId="114AB666" wp14:editId="7A4417AE">
            <wp:extent cx="5016500" cy="2501900"/>
            <wp:effectExtent l="57150" t="57150" r="50800" b="50800"/>
            <wp:docPr id="15" name="Picture 15" descr="Question 22 asked about the approach taken to valuing the opportunity cost of the additional space required. 36 submissions agreed with the approach while 37 submissions did not, with the remaining 130 submissions not providing an answer. Among the 33 submissions not agreeing with the approach, 14 argued that the cost was overstated while 10 suggested the opposite." title="Chart A.13: Do you agree with the approach of valuing the opportunity cost of additional spa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6500" cy="2501900"/>
                    </a:xfrm>
                    <a:prstGeom prst="rect">
                      <a:avLst/>
                    </a:prstGeom>
                    <a:noFill/>
                    <a:ln w="57150">
                      <a:solidFill>
                        <a:schemeClr val="bg2"/>
                      </a:solidFill>
                    </a:ln>
                  </pic:spPr>
                </pic:pic>
              </a:graphicData>
            </a:graphic>
          </wp:inline>
        </w:drawing>
      </w:r>
      <w:r w:rsidR="001E45D0" w:rsidRPr="00E94313">
        <w:rPr>
          <w:iCs/>
        </w:rPr>
        <w:t>Note: Answers to Question 22</w:t>
      </w:r>
      <w:r w:rsidR="00CD1DA9">
        <w:rPr>
          <w:iCs/>
        </w:rPr>
        <w:t>.</w:t>
      </w:r>
    </w:p>
    <w:p w14:paraId="686019C4" w14:textId="77777777" w:rsidR="001E45D0" w:rsidRPr="00E94313" w:rsidRDefault="001E45D0" w:rsidP="001E45D0">
      <w:pPr>
        <w:pStyle w:val="Source"/>
        <w:rPr>
          <w:iCs/>
        </w:rPr>
      </w:pPr>
      <w:r w:rsidRPr="00E94313">
        <w:rPr>
          <w:iCs/>
        </w:rPr>
        <w:t>Data source: CIE compilation based on submissions on the Consultation Hub</w:t>
      </w:r>
      <w:r w:rsidR="00CD1DA9">
        <w:rPr>
          <w:iCs/>
        </w:rPr>
        <w:t>.</w:t>
      </w:r>
    </w:p>
    <w:p w14:paraId="49C95DB4" w14:textId="77777777" w:rsidR="001E45D0" w:rsidRDefault="001E45D0" w:rsidP="001E45D0">
      <w:pPr>
        <w:pStyle w:val="BodyText"/>
        <w:rPr>
          <w:lang w:bidi="fa-IR"/>
        </w:rPr>
      </w:pPr>
      <w:r>
        <w:rPr>
          <w:lang w:bidi="fa-IR"/>
        </w:rPr>
        <w:t>S</w:t>
      </w:r>
      <w:r w:rsidRPr="00AF4D2B">
        <w:rPr>
          <w:lang w:bidi="fa-IR"/>
        </w:rPr>
        <w:t>pace</w:t>
      </w:r>
      <w:r>
        <w:rPr>
          <w:lang w:bidi="fa-IR"/>
        </w:rPr>
        <w:t xml:space="preserve"> cost may be </w:t>
      </w:r>
      <w:r w:rsidRPr="00463765">
        <w:rPr>
          <w:lang w:bidi="fa-IR"/>
        </w:rPr>
        <w:t>overstated</w:t>
      </w:r>
      <w:r>
        <w:rPr>
          <w:lang w:bidi="fa-IR"/>
        </w:rPr>
        <w:t xml:space="preserve"> because</w:t>
      </w:r>
      <w:r w:rsidR="00A44667">
        <w:rPr>
          <w:lang w:bidi="fa-IR"/>
        </w:rPr>
        <w:t>:</w:t>
      </w:r>
      <w:r w:rsidR="00504655">
        <w:rPr>
          <w:rStyle w:val="FootnoteReference"/>
          <w:lang w:bidi="fa-IR"/>
        </w:rPr>
        <w:footnoteReference w:id="357"/>
      </w:r>
    </w:p>
    <w:p w14:paraId="4D1C92A3" w14:textId="77777777" w:rsidR="001E45D0" w:rsidRDefault="001E45D0" w:rsidP="001E45D0">
      <w:pPr>
        <w:pStyle w:val="ListBullet"/>
      </w:pPr>
      <w:r w:rsidRPr="00AF4D2B">
        <w:t>good design can overcome space impacts</w:t>
      </w:r>
      <w:r>
        <w:t xml:space="preserve"> (absorbed internally)</w:t>
      </w:r>
    </w:p>
    <w:p w14:paraId="5C3265A8" w14:textId="77777777" w:rsidR="001E45D0" w:rsidRPr="00181696" w:rsidRDefault="001E45D0" w:rsidP="001E45D0">
      <w:pPr>
        <w:pStyle w:val="ListBullet"/>
      </w:pPr>
      <w:r>
        <w:t>quality of design will improve</w:t>
      </w:r>
      <w:r w:rsidR="004571E7">
        <w:t xml:space="preserve"> over time. F</w:t>
      </w:r>
      <w:r w:rsidRPr="00181696">
        <w:t>or example, the apartment guides in NSW (2015) and Victoria (2017) through State planning mechanisms markedly improved the quality of design and the level of innovation in apartment construction and ended the proliferation of substandard sole-occupancy units</w:t>
      </w:r>
    </w:p>
    <w:p w14:paraId="1472D432" w14:textId="77777777" w:rsidR="001E45D0" w:rsidRDefault="001E45D0" w:rsidP="001E45D0">
      <w:pPr>
        <w:pStyle w:val="ListBullet"/>
      </w:pPr>
      <w:r w:rsidRPr="00DA7931">
        <w:t xml:space="preserve">costs </w:t>
      </w:r>
      <w:r w:rsidR="004571E7">
        <w:t xml:space="preserve">may be recovered </w:t>
      </w:r>
      <w:r w:rsidRPr="00DA7931">
        <w:t>through the supply of</w:t>
      </w:r>
      <w:r>
        <w:t xml:space="preserve"> </w:t>
      </w:r>
      <w:r w:rsidRPr="00DA7931">
        <w:t xml:space="preserve">better designed buildings (lighter, more airy spaces, more thoughtful layouts and greater ease of movement) for early adopters of the standard before it is </w:t>
      </w:r>
      <w:r w:rsidRPr="00A3204F">
        <w:t>mandated. The City of London’s RIS found that</w:t>
      </w:r>
      <w:r w:rsidRPr="00DA7931">
        <w:t xml:space="preserve"> this to be a significant cost recovery factor with the lower end of the recovery range at 60</w:t>
      </w:r>
      <w:r>
        <w:t xml:space="preserve"> per cent</w:t>
      </w:r>
      <w:r w:rsidRPr="00DA7931">
        <w:t xml:space="preserve"> of costs (EC Harris, 2014)</w:t>
      </w:r>
      <w:r w:rsidR="00163B54">
        <w:t xml:space="preserve"> referred to in the submission</w:t>
      </w:r>
    </w:p>
    <w:p w14:paraId="144346CD" w14:textId="77777777" w:rsidR="001E45D0" w:rsidRDefault="001E45D0" w:rsidP="001E45D0">
      <w:pPr>
        <w:pStyle w:val="ListBullet"/>
      </w:pPr>
      <w:r>
        <w:lastRenderedPageBreak/>
        <w:t>functional spaces in apartments are shared spaces (e.g. laundry in cupboard or corridor, study nook in entrance), so dis-amenity from space impacts may be overstated</w:t>
      </w:r>
      <w:r w:rsidR="00CD1DA9">
        <w:t xml:space="preserve">, </w:t>
      </w:r>
      <w:r>
        <w:t>and</w:t>
      </w:r>
    </w:p>
    <w:p w14:paraId="73FFE8A2" w14:textId="77777777" w:rsidR="001E45D0" w:rsidRDefault="001E45D0" w:rsidP="001E45D0">
      <w:pPr>
        <w:pStyle w:val="ListBullet"/>
      </w:pPr>
      <w:r>
        <w:t>most homes are spacious enough to incorporate the requirement so</w:t>
      </w:r>
      <w:r w:rsidR="00163B54">
        <w:t xml:space="preserve"> there is</w:t>
      </w:r>
      <w:r>
        <w:t xml:space="preserve"> no need to increase floor space.</w:t>
      </w:r>
    </w:p>
    <w:p w14:paraId="3B8C779A" w14:textId="77777777" w:rsidR="001E45D0" w:rsidRDefault="001E45D0" w:rsidP="001E45D0">
      <w:pPr>
        <w:pStyle w:val="BodyText"/>
        <w:rPr>
          <w:lang w:bidi="fa-IR"/>
        </w:rPr>
      </w:pPr>
      <w:r>
        <w:rPr>
          <w:lang w:bidi="fa-IR"/>
        </w:rPr>
        <w:t xml:space="preserve">In addition, one submission argued that there would be potential environmental benefits due to less wasted space with its </w:t>
      </w:r>
      <w:r w:rsidR="00905BF7">
        <w:rPr>
          <w:lang w:bidi="fa-IR"/>
        </w:rPr>
        <w:t xml:space="preserve">associated </w:t>
      </w:r>
      <w:r>
        <w:rPr>
          <w:lang w:bidi="fa-IR"/>
        </w:rPr>
        <w:t>build and running costs.</w:t>
      </w:r>
      <w:r w:rsidR="00B5498E">
        <w:rPr>
          <w:rStyle w:val="FootnoteReference"/>
          <w:lang w:bidi="fa-IR"/>
        </w:rPr>
        <w:footnoteReference w:id="358"/>
      </w:r>
      <w:r>
        <w:rPr>
          <w:lang w:bidi="fa-IR"/>
        </w:rPr>
        <w:t xml:space="preserve"> </w:t>
      </w:r>
    </w:p>
    <w:p w14:paraId="16D52664" w14:textId="77777777" w:rsidR="001E45D0" w:rsidRDefault="001E45D0" w:rsidP="001E45D0">
      <w:pPr>
        <w:pStyle w:val="BodyText"/>
        <w:rPr>
          <w:lang w:bidi="fa-IR"/>
        </w:rPr>
      </w:pPr>
      <w:r>
        <w:rPr>
          <w:lang w:bidi="fa-IR"/>
        </w:rPr>
        <w:t xml:space="preserve">On the other hand, some submissions argued that space costs were </w:t>
      </w:r>
      <w:r w:rsidRPr="00163B54">
        <w:rPr>
          <w:lang w:bidi="fa-IR"/>
        </w:rPr>
        <w:t xml:space="preserve">understated </w:t>
      </w:r>
      <w:r>
        <w:rPr>
          <w:lang w:bidi="fa-IR"/>
        </w:rPr>
        <w:t>as land ha</w:t>
      </w:r>
      <w:r w:rsidR="00905BF7">
        <w:rPr>
          <w:lang w:bidi="fa-IR"/>
        </w:rPr>
        <w:t>s</w:t>
      </w:r>
      <w:r>
        <w:rPr>
          <w:lang w:bidi="fa-IR"/>
        </w:rPr>
        <w:t xml:space="preserve"> been more and more difficult and expensive to </w:t>
      </w:r>
      <w:r w:rsidR="00905BF7">
        <w:rPr>
          <w:lang w:bidi="fa-IR"/>
        </w:rPr>
        <w:t>access</w:t>
      </w:r>
      <w:r>
        <w:rPr>
          <w:lang w:bidi="fa-IR"/>
        </w:rPr>
        <w:t xml:space="preserve">. </w:t>
      </w:r>
      <w:r w:rsidRPr="001F326D">
        <w:rPr>
          <w:lang w:bidi="fa-IR"/>
        </w:rPr>
        <w:t>Custom home design and building on sloping sites will be difficult.</w:t>
      </w:r>
    </w:p>
    <w:p w14:paraId="0A2E7CD5" w14:textId="77777777" w:rsidR="001E45D0" w:rsidRPr="00027FC9" w:rsidRDefault="0063605D" w:rsidP="001E45D0">
      <w:pPr>
        <w:pStyle w:val="BodyText"/>
        <w:rPr>
          <w:lang w:bidi="fa-IR"/>
        </w:rPr>
      </w:pPr>
      <w:r>
        <w:rPr>
          <w:lang w:bidi="fa-IR"/>
        </w:rPr>
        <w:t>One</w:t>
      </w:r>
      <w:r w:rsidR="00477CBC">
        <w:rPr>
          <w:lang w:bidi="fa-IR"/>
        </w:rPr>
        <w:t xml:space="preserve"> submission</w:t>
      </w:r>
      <w:r w:rsidR="001E45D0">
        <w:rPr>
          <w:lang w:bidi="fa-IR"/>
        </w:rPr>
        <w:t xml:space="preserve"> argued that on a 10</w:t>
      </w:r>
      <w:r w:rsidR="00CB5AE2">
        <w:rPr>
          <w:lang w:bidi="fa-IR"/>
        </w:rPr>
        <w:t xml:space="preserve"> to </w:t>
      </w:r>
      <w:r w:rsidR="001E45D0">
        <w:rPr>
          <w:lang w:bidi="fa-IR"/>
        </w:rPr>
        <w:t>15 per cent sloping lot, the proposed accessible requirement would make a house 38 m</w:t>
      </w:r>
      <w:r w:rsidR="001E45D0">
        <w:rPr>
          <w:vertAlign w:val="superscript"/>
          <w:lang w:bidi="fa-IR"/>
        </w:rPr>
        <w:t>2</w:t>
      </w:r>
      <w:r w:rsidR="001E45D0">
        <w:rPr>
          <w:lang w:bidi="fa-IR"/>
        </w:rPr>
        <w:t xml:space="preserve"> bigger and accordingly require the lot size to be 100 m</w:t>
      </w:r>
      <w:r w:rsidR="001E45D0">
        <w:rPr>
          <w:vertAlign w:val="superscript"/>
          <w:lang w:bidi="fa-IR"/>
        </w:rPr>
        <w:t>2</w:t>
      </w:r>
      <w:r w:rsidR="001E45D0">
        <w:rPr>
          <w:lang w:bidi="fa-IR"/>
        </w:rPr>
        <w:t xml:space="preserve"> bigger.</w:t>
      </w:r>
      <w:r w:rsidR="006A4A09">
        <w:rPr>
          <w:rStyle w:val="FootnoteReference"/>
          <w:lang w:bidi="fa-IR"/>
        </w:rPr>
        <w:footnoteReference w:id="359"/>
      </w:r>
    </w:p>
    <w:p w14:paraId="3477BB31" w14:textId="77777777" w:rsidR="001E45D0" w:rsidRPr="00435559" w:rsidRDefault="001E45D0" w:rsidP="001E45D0">
      <w:pPr>
        <w:pStyle w:val="BodyText"/>
        <w:rPr>
          <w:lang w:bidi="fa-IR"/>
        </w:rPr>
      </w:pPr>
      <w:r>
        <w:rPr>
          <w:lang w:bidi="fa-IR"/>
        </w:rPr>
        <w:t>P2P Housing presented four plans for detached houses from Murphy Homes and the additional space requirement for Silver ranges from 2.01 m</w:t>
      </w:r>
      <w:r>
        <w:rPr>
          <w:vertAlign w:val="superscript"/>
          <w:lang w:bidi="fa-IR"/>
        </w:rPr>
        <w:t>2</w:t>
      </w:r>
      <w:r>
        <w:rPr>
          <w:lang w:bidi="fa-IR"/>
        </w:rPr>
        <w:t xml:space="preserve"> to 4.78 m</w:t>
      </w:r>
      <w:r>
        <w:rPr>
          <w:vertAlign w:val="superscript"/>
          <w:lang w:bidi="fa-IR"/>
        </w:rPr>
        <w:t>2</w:t>
      </w:r>
      <w:r>
        <w:rPr>
          <w:lang w:bidi="fa-IR"/>
        </w:rPr>
        <w:t xml:space="preserve"> for single storey houses, implying the average space requirement for Silver is 3.67 m</w:t>
      </w:r>
      <w:r>
        <w:rPr>
          <w:vertAlign w:val="superscript"/>
          <w:lang w:bidi="fa-IR"/>
        </w:rPr>
        <w:t>2</w:t>
      </w:r>
      <w:r>
        <w:rPr>
          <w:lang w:bidi="fa-IR"/>
        </w:rPr>
        <w:t xml:space="preserve"> (compared to the 0.61 m</w:t>
      </w:r>
      <w:r>
        <w:rPr>
          <w:vertAlign w:val="superscript"/>
          <w:lang w:bidi="fa-IR"/>
        </w:rPr>
        <w:t>2</w:t>
      </w:r>
      <w:r>
        <w:rPr>
          <w:lang w:bidi="fa-IR"/>
        </w:rPr>
        <w:t xml:space="preserve"> for volume build and 0.48 m</w:t>
      </w:r>
      <w:r>
        <w:rPr>
          <w:vertAlign w:val="superscript"/>
          <w:lang w:bidi="fa-IR"/>
        </w:rPr>
        <w:t>2</w:t>
      </w:r>
      <w:r>
        <w:rPr>
          <w:lang w:bidi="fa-IR"/>
        </w:rPr>
        <w:t xml:space="preserve"> for custom build used in the </w:t>
      </w:r>
      <w:r w:rsidR="009E7509">
        <w:rPr>
          <w:lang w:bidi="fa-IR"/>
        </w:rPr>
        <w:t xml:space="preserve">Consultation </w:t>
      </w:r>
      <w:r>
        <w:rPr>
          <w:lang w:bidi="fa-IR"/>
        </w:rPr>
        <w:t>RIS).</w:t>
      </w:r>
      <w:r w:rsidR="00802075">
        <w:rPr>
          <w:rStyle w:val="FootnoteReference"/>
          <w:lang w:bidi="fa-IR"/>
        </w:rPr>
        <w:footnoteReference w:id="360"/>
      </w:r>
    </w:p>
    <w:p w14:paraId="70550909" w14:textId="77777777" w:rsidR="001E45D0" w:rsidRDefault="00567822" w:rsidP="001E45D0">
      <w:pPr>
        <w:pStyle w:val="BodyText"/>
        <w:rPr>
          <w:lang w:bidi="fa-IR"/>
        </w:rPr>
      </w:pPr>
      <w:r>
        <w:rPr>
          <w:lang w:bidi="fa-IR"/>
        </w:rPr>
        <w:t>One submission suggested, f</w:t>
      </w:r>
      <w:r w:rsidR="001E45D0">
        <w:rPr>
          <w:lang w:bidi="fa-IR"/>
        </w:rPr>
        <w:t xml:space="preserve">or Class 2 buildings, </w:t>
      </w:r>
      <w:r w:rsidR="00163B54">
        <w:rPr>
          <w:lang w:bidi="fa-IR"/>
        </w:rPr>
        <w:t xml:space="preserve">a </w:t>
      </w:r>
      <w:r w:rsidR="001E45D0">
        <w:rPr>
          <w:lang w:bidi="fa-IR"/>
        </w:rPr>
        <w:t>whole-of-project approach is required to costing the space requirement</w:t>
      </w:r>
      <w:r w:rsidR="00163B54">
        <w:rPr>
          <w:lang w:bidi="fa-IR"/>
        </w:rPr>
        <w:t>;</w:t>
      </w:r>
      <w:r w:rsidR="001E45D0">
        <w:rPr>
          <w:lang w:bidi="fa-IR"/>
        </w:rPr>
        <w:t xml:space="preserve"> for example, deeper basements and water table levels all increase the costs. The feasibility of apartment yields and sensitivity of gross floor area (GFA) are important factors to understand the true costs.</w:t>
      </w:r>
      <w:r w:rsidR="006A4A09" w:rsidRPr="006A4A09">
        <w:rPr>
          <w:lang w:bidi="fa-IR"/>
        </w:rPr>
        <w:t xml:space="preserve"> </w:t>
      </w:r>
      <w:r w:rsidR="006A4A09">
        <w:rPr>
          <w:rStyle w:val="FootnoteReference"/>
          <w:lang w:bidi="fa-IR"/>
        </w:rPr>
        <w:footnoteReference w:id="361"/>
      </w:r>
    </w:p>
    <w:p w14:paraId="09488DFE" w14:textId="77777777" w:rsidR="001E45D0" w:rsidRDefault="000543E9" w:rsidP="001E45D0">
      <w:pPr>
        <w:pStyle w:val="BodyText"/>
        <w:rPr>
          <w:lang w:bidi="fa-IR"/>
        </w:rPr>
      </w:pPr>
      <w:r>
        <w:rPr>
          <w:lang w:bidi="fa-IR"/>
        </w:rPr>
        <w:t>One</w:t>
      </w:r>
      <w:r w:rsidR="00C27A70">
        <w:rPr>
          <w:lang w:bidi="fa-IR"/>
        </w:rPr>
        <w:t xml:space="preserve"> submission</w:t>
      </w:r>
      <w:r w:rsidR="001E45D0">
        <w:rPr>
          <w:lang w:bidi="fa-IR"/>
        </w:rPr>
        <w:t xml:space="preserve"> argued that 7 to 30 per cent more space would be required to be compliant.</w:t>
      </w:r>
      <w:r w:rsidR="006A4A09" w:rsidRPr="006A4A09">
        <w:rPr>
          <w:lang w:bidi="fa-IR"/>
        </w:rPr>
        <w:t xml:space="preserve"> </w:t>
      </w:r>
      <w:r w:rsidR="006A4A09">
        <w:rPr>
          <w:rStyle w:val="FootnoteReference"/>
          <w:lang w:bidi="fa-IR"/>
        </w:rPr>
        <w:footnoteReference w:id="362"/>
      </w:r>
    </w:p>
    <w:p w14:paraId="3F7BF628" w14:textId="77777777" w:rsidR="001E45D0" w:rsidRDefault="000543E9" w:rsidP="001E45D0">
      <w:pPr>
        <w:pStyle w:val="BodyText"/>
        <w:rPr>
          <w:lang w:bidi="fa-IR"/>
        </w:rPr>
      </w:pPr>
      <w:r>
        <w:rPr>
          <w:lang w:bidi="fa-IR"/>
        </w:rPr>
        <w:lastRenderedPageBreak/>
        <w:t>Another submission</w:t>
      </w:r>
      <w:r w:rsidR="001E45D0">
        <w:rPr>
          <w:lang w:bidi="fa-IR"/>
        </w:rPr>
        <w:t xml:space="preserve"> suggested in its answer to Question 14 that real costs are likely four times higher for sloping sites.</w:t>
      </w:r>
      <w:r w:rsidR="001E3A3F" w:rsidRPr="001E3A3F">
        <w:rPr>
          <w:lang w:bidi="fa-IR"/>
        </w:rPr>
        <w:t xml:space="preserve"> </w:t>
      </w:r>
      <w:r w:rsidR="001E3A3F">
        <w:rPr>
          <w:rStyle w:val="FootnoteReference"/>
          <w:lang w:bidi="fa-IR"/>
        </w:rPr>
        <w:footnoteReference w:id="363"/>
      </w:r>
    </w:p>
    <w:p w14:paraId="119F2ECE" w14:textId="77777777" w:rsidR="001E45D0" w:rsidRDefault="001E3A3F" w:rsidP="001E45D0">
      <w:pPr>
        <w:pStyle w:val="BodyText"/>
        <w:rPr>
          <w:lang w:bidi="fa-IR"/>
        </w:rPr>
      </w:pPr>
      <w:r>
        <w:rPr>
          <w:lang w:bidi="fa-IR"/>
        </w:rPr>
        <w:t xml:space="preserve">One submission suggested that </w:t>
      </w:r>
      <w:r w:rsidR="001E45D0" w:rsidRPr="008959A8">
        <w:rPr>
          <w:lang w:bidi="fa-IR"/>
        </w:rPr>
        <w:t xml:space="preserve">Option 1 requiring all apartment car parking spaces to be around a third larger, creates underestimated costs in the </w:t>
      </w:r>
      <w:r w:rsidR="009E7509">
        <w:rPr>
          <w:lang w:bidi="fa-IR"/>
        </w:rPr>
        <w:t xml:space="preserve">Consultation </w:t>
      </w:r>
      <w:r w:rsidR="001E45D0">
        <w:rPr>
          <w:lang w:bidi="fa-IR"/>
        </w:rPr>
        <w:t xml:space="preserve">RIS. </w:t>
      </w:r>
      <w:r>
        <w:rPr>
          <w:lang w:bidi="fa-IR"/>
        </w:rPr>
        <w:t>Another submission argued that</w:t>
      </w:r>
      <w:r w:rsidR="001E45D0">
        <w:rPr>
          <w:lang w:bidi="fa-IR"/>
        </w:rPr>
        <w:t xml:space="preserve"> </w:t>
      </w:r>
      <w:r w:rsidR="001E45D0" w:rsidRPr="00C21D32">
        <w:rPr>
          <w:lang w:bidi="fa-IR"/>
        </w:rPr>
        <w:t>Option B (one step) is not accessible</w:t>
      </w:r>
      <w:r w:rsidR="001E45D0">
        <w:rPr>
          <w:lang w:bidi="fa-IR"/>
        </w:rPr>
        <w:t>.</w:t>
      </w:r>
      <w:r w:rsidR="00EB0017">
        <w:rPr>
          <w:rStyle w:val="FootnoteReference"/>
          <w:lang w:bidi="fa-IR"/>
        </w:rPr>
        <w:footnoteReference w:id="364"/>
      </w:r>
    </w:p>
    <w:p w14:paraId="22D3593F" w14:textId="77777777" w:rsidR="001E45D0" w:rsidRDefault="001E3A3F" w:rsidP="001E45D0">
      <w:pPr>
        <w:pStyle w:val="BodyText"/>
        <w:rPr>
          <w:lang w:bidi="fa-IR"/>
        </w:rPr>
      </w:pPr>
      <w:r>
        <w:rPr>
          <w:lang w:bidi="fa-IR"/>
        </w:rPr>
        <w:t>One submission suggested that s</w:t>
      </w:r>
      <w:r w:rsidR="001E45D0" w:rsidRPr="00176F02">
        <w:rPr>
          <w:lang w:bidi="fa-IR"/>
        </w:rPr>
        <w:t xml:space="preserve">ignificant costs are also generated from slab finished level requirements, balcony step, stair landings, additional space use and the </w:t>
      </w:r>
      <w:r w:rsidR="00163B54">
        <w:rPr>
          <w:lang w:bidi="fa-IR"/>
        </w:rPr>
        <w:t xml:space="preserve">requirement for a </w:t>
      </w:r>
      <w:r w:rsidR="001E45D0" w:rsidRPr="00176F02">
        <w:rPr>
          <w:lang w:bidi="fa-IR"/>
        </w:rPr>
        <w:t>ground floor bedroom</w:t>
      </w:r>
      <w:r w:rsidR="001E45D0">
        <w:rPr>
          <w:lang w:bidi="fa-IR"/>
        </w:rPr>
        <w:t>.</w:t>
      </w:r>
    </w:p>
    <w:p w14:paraId="21139982" w14:textId="77777777" w:rsidR="001E45D0" w:rsidRDefault="001E45D0" w:rsidP="001E45D0">
      <w:pPr>
        <w:pStyle w:val="BodyText"/>
        <w:rPr>
          <w:lang w:bidi="fa-IR"/>
        </w:rPr>
      </w:pPr>
      <w:r>
        <w:rPr>
          <w:lang w:bidi="fa-IR"/>
        </w:rPr>
        <w:t xml:space="preserve">MBA </w:t>
      </w:r>
      <w:r w:rsidR="00905BF7">
        <w:rPr>
          <w:lang w:bidi="fa-IR"/>
        </w:rPr>
        <w:t>suggest</w:t>
      </w:r>
      <w:r>
        <w:rPr>
          <w:lang w:bidi="fa-IR"/>
        </w:rPr>
        <w:t>ed that cost impacts to the home from a valuation perspective by decreasing net useable area of the building and property to facilitate accessibility has not been accounted for.</w:t>
      </w:r>
      <w:r w:rsidR="00803FE7">
        <w:rPr>
          <w:rStyle w:val="FootnoteReference"/>
          <w:lang w:bidi="fa-IR"/>
        </w:rPr>
        <w:footnoteReference w:id="365"/>
      </w:r>
    </w:p>
    <w:p w14:paraId="07F4DEFB" w14:textId="77777777" w:rsidR="001E45D0" w:rsidRPr="004B79EC" w:rsidRDefault="001E45D0" w:rsidP="004B79EC">
      <w:pPr>
        <w:pStyle w:val="Heading4-Appendix"/>
      </w:pPr>
      <w:r w:rsidRPr="004B79EC">
        <w:t>Capital value</w:t>
      </w:r>
    </w:p>
    <w:p w14:paraId="581AF2FD" w14:textId="77777777" w:rsidR="001E45D0" w:rsidRDefault="001E45D0" w:rsidP="001E45D0">
      <w:pPr>
        <w:pStyle w:val="BodyText"/>
        <w:rPr>
          <w:lang w:bidi="fa-IR"/>
        </w:rPr>
      </w:pPr>
      <w:r>
        <w:rPr>
          <w:lang w:bidi="fa-IR"/>
        </w:rPr>
        <w:t>Dalton and Carter (2020</w:t>
      </w:r>
      <w:r w:rsidR="00A65A90">
        <w:rPr>
          <w:lang w:bidi="fa-IR"/>
        </w:rPr>
        <w:t>a)</w:t>
      </w:r>
      <w:r>
        <w:rPr>
          <w:lang w:bidi="fa-IR"/>
        </w:rPr>
        <w:t xml:space="preserve"> </w:t>
      </w:r>
      <w:r w:rsidR="00905BF7">
        <w:rPr>
          <w:lang w:bidi="fa-IR"/>
        </w:rPr>
        <w:t>suggest</w:t>
      </w:r>
      <w:r>
        <w:rPr>
          <w:lang w:bidi="fa-IR"/>
        </w:rPr>
        <w:t>ed that additional space as a result of accessibility requirements would increase capital value in addition to the value of enhanced functionality from improved accessibility.</w:t>
      </w:r>
    </w:p>
    <w:p w14:paraId="1CE8A968" w14:textId="77777777" w:rsidR="001E45D0" w:rsidRDefault="00163B54" w:rsidP="001E45D0">
      <w:pPr>
        <w:pStyle w:val="BodyText"/>
        <w:rPr>
          <w:lang w:bidi="fa-IR"/>
        </w:rPr>
      </w:pPr>
      <w:r>
        <w:rPr>
          <w:lang w:bidi="fa-IR"/>
        </w:rPr>
        <w:t xml:space="preserve">The </w:t>
      </w:r>
      <w:r w:rsidR="001E45D0">
        <w:rPr>
          <w:lang w:bidi="fa-IR"/>
        </w:rPr>
        <w:t xml:space="preserve">Centre for Universal Design Australia pointed out the experience in the </w:t>
      </w:r>
      <w:r w:rsidR="001E45D0" w:rsidRPr="00904738">
        <w:rPr>
          <w:lang w:bidi="fa-IR"/>
        </w:rPr>
        <w:t>UK</w:t>
      </w:r>
      <w:r w:rsidR="001E45D0">
        <w:rPr>
          <w:lang w:bidi="fa-IR"/>
        </w:rPr>
        <w:t xml:space="preserve"> where</w:t>
      </w:r>
      <w:r w:rsidR="001E45D0" w:rsidRPr="00904738">
        <w:rPr>
          <w:lang w:bidi="fa-IR"/>
        </w:rPr>
        <w:t xml:space="preserve"> the requirement for a downstairs toilet soon became </w:t>
      </w:r>
      <w:r w:rsidR="00905BF7">
        <w:rPr>
          <w:lang w:bidi="fa-IR"/>
        </w:rPr>
        <w:t xml:space="preserve">of </w:t>
      </w:r>
      <w:r w:rsidR="001E45D0" w:rsidRPr="00904738">
        <w:rPr>
          <w:lang w:bidi="fa-IR"/>
        </w:rPr>
        <w:t>additional value to purchasers.</w:t>
      </w:r>
      <w:r w:rsidR="00F0319A">
        <w:rPr>
          <w:rStyle w:val="FootnoteReference"/>
          <w:lang w:bidi="fa-IR"/>
        </w:rPr>
        <w:footnoteReference w:id="366"/>
      </w:r>
      <w:r w:rsidR="001E45D0">
        <w:rPr>
          <w:lang w:bidi="fa-IR"/>
        </w:rPr>
        <w:t xml:space="preserve"> </w:t>
      </w:r>
    </w:p>
    <w:p w14:paraId="24B7B7ED" w14:textId="77777777" w:rsidR="001E45D0" w:rsidRDefault="001E45D0" w:rsidP="001E45D0">
      <w:pPr>
        <w:pStyle w:val="BodyText"/>
        <w:rPr>
          <w:lang w:bidi="fa-IR"/>
        </w:rPr>
      </w:pPr>
      <w:r>
        <w:rPr>
          <w:lang w:bidi="fa-IR"/>
        </w:rPr>
        <w:t xml:space="preserve">In addition to the potential capital gain, the extra space has other potential value for use other than for accessibility to people with mobility impairment, </w:t>
      </w:r>
      <w:r w:rsidR="00905BF7">
        <w:rPr>
          <w:lang w:bidi="fa-IR"/>
        </w:rPr>
        <w:t>suggested</w:t>
      </w:r>
      <w:r>
        <w:rPr>
          <w:lang w:bidi="fa-IR"/>
        </w:rPr>
        <w:t xml:space="preserve"> by</w:t>
      </w:r>
      <w:r w:rsidRPr="006F5D35">
        <w:rPr>
          <w:lang w:bidi="fa-IR"/>
        </w:rPr>
        <w:t xml:space="preserve"> </w:t>
      </w:r>
      <w:r>
        <w:rPr>
          <w:lang w:bidi="fa-IR"/>
        </w:rPr>
        <w:t>t</w:t>
      </w:r>
      <w:r w:rsidRPr="00F154F9">
        <w:rPr>
          <w:lang w:bidi="fa-IR"/>
        </w:rPr>
        <w:t xml:space="preserve">he ACT Disability, Aged and Carer Advocacy Service </w:t>
      </w:r>
      <w:r>
        <w:rPr>
          <w:lang w:bidi="fa-IR"/>
        </w:rPr>
        <w:t>(</w:t>
      </w:r>
      <w:r w:rsidRPr="00F154F9">
        <w:rPr>
          <w:lang w:bidi="fa-IR"/>
        </w:rPr>
        <w:t>ADACAS)</w:t>
      </w:r>
      <w:r w:rsidR="00A72B8B">
        <w:rPr>
          <w:lang w:bidi="fa-IR"/>
        </w:rPr>
        <w:t xml:space="preserve">; </w:t>
      </w:r>
      <w:r>
        <w:rPr>
          <w:lang w:bidi="fa-IR"/>
        </w:rPr>
        <w:t>for example, future requirement of housing for work purposes, a place to educate children, a place where people will age and receive care and support.</w:t>
      </w:r>
      <w:r w:rsidR="004B0D21">
        <w:rPr>
          <w:rStyle w:val="FootnoteReference"/>
          <w:lang w:bidi="fa-IR"/>
        </w:rPr>
        <w:footnoteReference w:id="367"/>
      </w:r>
    </w:p>
    <w:p w14:paraId="3717BAF7" w14:textId="77777777" w:rsidR="001E45D0" w:rsidRPr="00505388" w:rsidRDefault="00A65A90" w:rsidP="001E45D0">
      <w:pPr>
        <w:pStyle w:val="BodyText"/>
        <w:rPr>
          <w:lang w:bidi="fa-IR"/>
        </w:rPr>
      </w:pPr>
      <w:r>
        <w:rPr>
          <w:lang w:bidi="fa-IR"/>
        </w:rPr>
        <w:t>In addition</w:t>
      </w:r>
      <w:r w:rsidR="001E45D0">
        <w:rPr>
          <w:lang w:bidi="fa-IR"/>
        </w:rPr>
        <w:t xml:space="preserve">, it has </w:t>
      </w:r>
      <w:r w:rsidR="001E45D0" w:rsidRPr="00C21D32">
        <w:rPr>
          <w:lang w:bidi="fa-IR"/>
        </w:rPr>
        <w:t xml:space="preserve">long term benefits to the community and all levels of </w:t>
      </w:r>
      <w:r w:rsidR="00A72B8B">
        <w:rPr>
          <w:lang w:bidi="fa-IR"/>
        </w:rPr>
        <w:t>g</w:t>
      </w:r>
      <w:r w:rsidR="001E45D0" w:rsidRPr="00C21D32">
        <w:rPr>
          <w:lang w:bidi="fa-IR"/>
        </w:rPr>
        <w:t>overnment, in terms of services and capital infrastructure implications (PM&amp;D Architects P/L)</w:t>
      </w:r>
      <w:r w:rsidR="001E45D0">
        <w:rPr>
          <w:lang w:bidi="fa-IR"/>
        </w:rPr>
        <w:t>.</w:t>
      </w:r>
      <w:r w:rsidR="00B34201">
        <w:rPr>
          <w:rStyle w:val="FootnoteReference"/>
          <w:lang w:bidi="fa-IR"/>
        </w:rPr>
        <w:footnoteReference w:id="368"/>
      </w:r>
    </w:p>
    <w:p w14:paraId="246C7497" w14:textId="77777777" w:rsidR="001E45D0" w:rsidRDefault="00685A22" w:rsidP="001E45D0">
      <w:pPr>
        <w:pStyle w:val="BodyText"/>
        <w:rPr>
          <w:lang w:bidi="fa-IR"/>
        </w:rPr>
      </w:pPr>
      <w:r>
        <w:rPr>
          <w:lang w:bidi="fa-IR"/>
        </w:rPr>
        <w:t>Other submissions made</w:t>
      </w:r>
      <w:r w:rsidR="001E45D0">
        <w:rPr>
          <w:lang w:bidi="fa-IR"/>
        </w:rPr>
        <w:t xml:space="preserve"> counter arguments for capital value. As pointed out by MBA, the consumer measures and values the size of habitable rooms and recreational outdoor space </w:t>
      </w:r>
      <w:r w:rsidR="00905BF7">
        <w:rPr>
          <w:lang w:bidi="fa-IR"/>
        </w:rPr>
        <w:t>more</w:t>
      </w:r>
      <w:r w:rsidR="001E45D0">
        <w:rPr>
          <w:lang w:bidi="fa-IR"/>
        </w:rPr>
        <w:t xml:space="preserve"> than the width of a hallway or toilet space. Where room sizes are reduced to accommodate wider hallways to facilitate compliance for accessibility, the capital value of the home would be lesser as a result.</w:t>
      </w:r>
      <w:r w:rsidR="00CE4851">
        <w:rPr>
          <w:rStyle w:val="FootnoteReference"/>
          <w:lang w:bidi="fa-IR"/>
        </w:rPr>
        <w:footnoteReference w:id="369"/>
      </w:r>
    </w:p>
    <w:p w14:paraId="6FC19D0B" w14:textId="77777777" w:rsidR="001E45D0" w:rsidRDefault="0086398E" w:rsidP="001E45D0">
      <w:pPr>
        <w:pStyle w:val="BodyText"/>
        <w:rPr>
          <w:lang w:bidi="fa-IR"/>
        </w:rPr>
      </w:pPr>
      <w:r>
        <w:rPr>
          <w:lang w:bidi="fa-IR"/>
        </w:rPr>
        <w:lastRenderedPageBreak/>
        <w:t>In addition</w:t>
      </w:r>
      <w:r w:rsidR="001E45D0">
        <w:rPr>
          <w:lang w:bidi="fa-IR"/>
        </w:rPr>
        <w:t>, a number of submissions pointed out that the accessible features were often removed after a new consumer purchased or rented the hous</w:t>
      </w:r>
      <w:r w:rsidR="00905BF7">
        <w:rPr>
          <w:lang w:bidi="fa-IR"/>
        </w:rPr>
        <w:t>e</w:t>
      </w:r>
      <w:r w:rsidR="001E45D0">
        <w:rPr>
          <w:lang w:bidi="fa-IR"/>
        </w:rPr>
        <w:t>, suggest</w:t>
      </w:r>
      <w:r w:rsidR="00905BF7">
        <w:rPr>
          <w:lang w:bidi="fa-IR"/>
        </w:rPr>
        <w:t>ing</w:t>
      </w:r>
      <w:r w:rsidR="001E45D0">
        <w:rPr>
          <w:lang w:bidi="fa-IR"/>
        </w:rPr>
        <w:t xml:space="preserve"> a capital loss.</w:t>
      </w:r>
    </w:p>
    <w:p w14:paraId="71B2A72E" w14:textId="77777777" w:rsidR="001E45D0" w:rsidRPr="00F4477B" w:rsidRDefault="001E45D0" w:rsidP="00F4477B">
      <w:pPr>
        <w:pStyle w:val="Heading3-Appendix"/>
      </w:pPr>
      <w:r w:rsidRPr="00F4477B">
        <w:t>Excavation cost</w:t>
      </w:r>
    </w:p>
    <w:p w14:paraId="6DC47709" w14:textId="77777777" w:rsidR="001E45D0" w:rsidRDefault="00282DA0" w:rsidP="001E45D0">
      <w:pPr>
        <w:pStyle w:val="BodyText"/>
        <w:rPr>
          <w:lang w:bidi="fa-IR"/>
        </w:rPr>
      </w:pPr>
      <w:r>
        <w:rPr>
          <w:lang w:bidi="fa-IR"/>
        </w:rPr>
        <w:t xml:space="preserve">The </w:t>
      </w:r>
      <w:r w:rsidR="009E7509">
        <w:rPr>
          <w:lang w:bidi="fa-IR"/>
        </w:rPr>
        <w:t xml:space="preserve">Consultation </w:t>
      </w:r>
      <w:r w:rsidR="001E45D0">
        <w:rPr>
          <w:lang w:bidi="fa-IR"/>
        </w:rPr>
        <w:t>RIS discussed the excavation costs and presented the estimates in table 5.12. The costs were used for sensitivity analysis, but not included in the central CBA.</w:t>
      </w:r>
    </w:p>
    <w:p w14:paraId="251780B1" w14:textId="77777777" w:rsidR="001E45D0" w:rsidRDefault="001E45D0" w:rsidP="001E45D0">
      <w:pPr>
        <w:pStyle w:val="BodyText"/>
        <w:rPr>
          <w:lang w:bidi="fa-IR"/>
        </w:rPr>
      </w:pPr>
      <w:r>
        <w:rPr>
          <w:lang w:bidi="fa-IR"/>
        </w:rPr>
        <w:t>Question 23 ask</w:t>
      </w:r>
      <w:r w:rsidR="00905BF7">
        <w:rPr>
          <w:lang w:bidi="fa-IR"/>
        </w:rPr>
        <w:t>ed</w:t>
      </w:r>
      <w:r>
        <w:rPr>
          <w:lang w:bidi="fa-IR"/>
        </w:rPr>
        <w:t xml:space="preserve"> </w:t>
      </w:r>
      <w:r w:rsidR="00905BF7">
        <w:rPr>
          <w:lang w:bidi="fa-IR"/>
        </w:rPr>
        <w:t xml:space="preserve">respondents </w:t>
      </w:r>
      <w:r>
        <w:rPr>
          <w:lang w:bidi="fa-IR"/>
        </w:rPr>
        <w:t xml:space="preserve">whether additional excavation costs are likely to be required in order to provide homes that comply with the regulatory options (Options 1-3), and Question 24 asks whether the excavation cost estimates presented in table 5.12 </w:t>
      </w:r>
      <w:r w:rsidR="00905BF7">
        <w:rPr>
          <w:lang w:bidi="fa-IR"/>
        </w:rPr>
        <w:t>of the Consultation RIS we</w:t>
      </w:r>
      <w:r>
        <w:rPr>
          <w:lang w:bidi="fa-IR"/>
        </w:rPr>
        <w:t>re reasonable.</w:t>
      </w:r>
    </w:p>
    <w:p w14:paraId="11B0D9D9" w14:textId="77777777" w:rsidR="001E45D0" w:rsidRPr="004B79EC" w:rsidRDefault="001E45D0" w:rsidP="004B79EC">
      <w:pPr>
        <w:pStyle w:val="Heading4-Appendix"/>
      </w:pPr>
      <w:r w:rsidRPr="004B79EC">
        <w:t>Are additional excavation costs required?</w:t>
      </w:r>
    </w:p>
    <w:p w14:paraId="48A2219D" w14:textId="0780D8A1" w:rsidR="001E45D0" w:rsidRDefault="001E45D0" w:rsidP="001E45D0">
      <w:pPr>
        <w:pStyle w:val="BodyText"/>
        <w:rPr>
          <w:lang w:bidi="fa-IR"/>
        </w:rPr>
      </w:pPr>
      <w:r>
        <w:rPr>
          <w:lang w:bidi="fa-IR"/>
        </w:rPr>
        <w:t>75 submissions provided an answer to Question 23. Among them, 42 submissions agreed that additional excavation costs are likely or highly likely, while another 33 submissions pointed to the opposite (chart</w:t>
      </w:r>
      <w:r w:rsidR="00DD5C35">
        <w:rPr>
          <w:lang w:bidi="fa-IR"/>
        </w:rPr>
        <w:t xml:space="preserve"> A.14</w:t>
      </w:r>
      <w:r>
        <w:rPr>
          <w:lang w:bidi="fa-IR"/>
        </w:rPr>
        <w:t>).</w:t>
      </w:r>
    </w:p>
    <w:p w14:paraId="0EF05E54" w14:textId="49F7BB70" w:rsidR="001E45D0" w:rsidRDefault="00BD17F9" w:rsidP="001E45D0">
      <w:pPr>
        <w:pStyle w:val="Caption"/>
      </w:pPr>
      <w:bookmarkStart w:id="595" w:name="_Toc52383073"/>
      <w:bookmarkStart w:id="596" w:name="_Toc57643662"/>
      <w:bookmarkStart w:id="597" w:name="_Toc70505609"/>
      <w:r>
        <w:t>A.14</w:t>
      </w:r>
      <w:r w:rsidR="001E45D0" w:rsidRPr="00695C93">
        <w:tab/>
      </w:r>
      <w:r w:rsidR="001E45D0">
        <w:t>Likelihood of additional excavation costs</w:t>
      </w:r>
      <w:bookmarkEnd w:id="595"/>
      <w:bookmarkEnd w:id="596"/>
      <w:bookmarkEnd w:id="597"/>
    </w:p>
    <w:p w14:paraId="365F6B46" w14:textId="77777777" w:rsidR="00943316" w:rsidRPr="00943316" w:rsidRDefault="00943316" w:rsidP="00943316">
      <w:pPr>
        <w:pStyle w:val="Subtitlebox"/>
      </w:pPr>
      <w:r w:rsidRPr="00305FE2">
        <w:rPr>
          <w:noProof/>
        </w:rPr>
        <w:drawing>
          <wp:inline distT="0" distB="0" distL="0" distR="0" wp14:anchorId="214D69FF" wp14:editId="31E811D0">
            <wp:extent cx="5021580" cy="2499360"/>
            <wp:effectExtent l="57150" t="57150" r="64770" b="53340"/>
            <wp:docPr id="16" name="Picture 16" descr="75 submissions provided an answer to Question 23. Among them, 42 submissions agreed that additional excavation costs are likely or highly likely, while another 33 submissions pointed to the opposite." title="Chart A.14: Likelihood of additional excava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1580" cy="2499360"/>
                    </a:xfrm>
                    <a:prstGeom prst="rect">
                      <a:avLst/>
                    </a:prstGeom>
                    <a:noFill/>
                    <a:ln w="57150">
                      <a:solidFill>
                        <a:schemeClr val="bg2"/>
                      </a:solidFill>
                    </a:ln>
                  </pic:spPr>
                </pic:pic>
              </a:graphicData>
            </a:graphic>
          </wp:inline>
        </w:drawing>
      </w:r>
    </w:p>
    <w:p w14:paraId="05A31D19" w14:textId="77777777" w:rsidR="001E45D0" w:rsidRPr="00E94313" w:rsidRDefault="001E45D0" w:rsidP="001E45D0">
      <w:pPr>
        <w:pStyle w:val="Source"/>
        <w:rPr>
          <w:iCs/>
        </w:rPr>
      </w:pPr>
      <w:r w:rsidRPr="00E94313">
        <w:rPr>
          <w:iCs/>
        </w:rPr>
        <w:t>Data source: Consultation Hub</w:t>
      </w:r>
      <w:r w:rsidR="00CD1DA9">
        <w:rPr>
          <w:iCs/>
        </w:rPr>
        <w:t>.</w:t>
      </w:r>
    </w:p>
    <w:p w14:paraId="5D9FF231" w14:textId="77777777" w:rsidR="001E45D0" w:rsidRDefault="001E45D0" w:rsidP="001E45D0">
      <w:pPr>
        <w:pStyle w:val="BodyText"/>
        <w:rPr>
          <w:lang w:bidi="fa-IR"/>
        </w:rPr>
      </w:pPr>
      <w:r>
        <w:rPr>
          <w:lang w:bidi="fa-IR"/>
        </w:rPr>
        <w:t xml:space="preserve">Arguments put forward in </w:t>
      </w:r>
      <w:r w:rsidR="00EF6EA6">
        <w:rPr>
          <w:lang w:bidi="fa-IR"/>
        </w:rPr>
        <w:t>some</w:t>
      </w:r>
      <w:r>
        <w:rPr>
          <w:lang w:bidi="fa-IR"/>
        </w:rPr>
        <w:t xml:space="preserve"> submissions for additional excavation costs include:</w:t>
      </w:r>
      <w:r w:rsidR="00565F03">
        <w:rPr>
          <w:rStyle w:val="FootnoteReference"/>
          <w:lang w:bidi="fa-IR"/>
        </w:rPr>
        <w:footnoteReference w:id="370"/>
      </w:r>
      <w:r w:rsidR="00B8192F">
        <w:rPr>
          <w:vertAlign w:val="superscript"/>
          <w:lang w:bidi="fa-IR"/>
        </w:rPr>
        <w:t>,</w:t>
      </w:r>
      <w:r w:rsidR="00B8192F">
        <w:rPr>
          <w:lang w:bidi="fa-IR"/>
        </w:rPr>
        <w:t xml:space="preserve"> </w:t>
      </w:r>
      <w:r w:rsidR="00C9602F">
        <w:rPr>
          <w:rStyle w:val="FootnoteReference"/>
          <w:lang w:bidi="fa-IR"/>
        </w:rPr>
        <w:footnoteReference w:id="371"/>
      </w:r>
      <w:r w:rsidR="00112B4B" w:rsidRPr="00CD1DA9">
        <w:rPr>
          <w:rStyle w:val="FootnoteReference"/>
        </w:rPr>
        <w:t>,</w:t>
      </w:r>
      <w:r w:rsidR="00C9602F" w:rsidRPr="00CD1DA9">
        <w:rPr>
          <w:rStyle w:val="FootnoteReference"/>
        </w:rPr>
        <w:t xml:space="preserve"> </w:t>
      </w:r>
      <w:r w:rsidR="00B8192F">
        <w:rPr>
          <w:rStyle w:val="FootnoteReference"/>
          <w:lang w:bidi="fa-IR"/>
        </w:rPr>
        <w:footnoteReference w:id="372"/>
      </w:r>
    </w:p>
    <w:p w14:paraId="5C1B1EC9" w14:textId="77777777" w:rsidR="001E45D0" w:rsidRDefault="001E45D0" w:rsidP="001E45D0">
      <w:pPr>
        <w:pStyle w:val="ListBullet"/>
        <w:rPr>
          <w:lang w:bidi="fa-IR"/>
        </w:rPr>
      </w:pPr>
      <w:r>
        <w:rPr>
          <w:lang w:bidi="fa-IR"/>
        </w:rPr>
        <w:lastRenderedPageBreak/>
        <w:t>Increased space or building footprint size will impact on excavation costs</w:t>
      </w:r>
    </w:p>
    <w:p w14:paraId="1778EED2" w14:textId="77777777" w:rsidR="001E45D0" w:rsidRDefault="001E45D0" w:rsidP="001E45D0">
      <w:pPr>
        <w:pStyle w:val="ListBullet"/>
        <w:rPr>
          <w:lang w:bidi="fa-IR"/>
        </w:rPr>
      </w:pPr>
      <w:r>
        <w:rPr>
          <w:lang w:bidi="fa-IR"/>
        </w:rPr>
        <w:t>Class 2 basement, pipes or easement are impacted</w:t>
      </w:r>
    </w:p>
    <w:p w14:paraId="156EB40D" w14:textId="77777777" w:rsidR="001E45D0" w:rsidRDefault="001E45D0" w:rsidP="001E45D0">
      <w:pPr>
        <w:pStyle w:val="ListBullet"/>
        <w:rPr>
          <w:lang w:bidi="fa-IR"/>
        </w:rPr>
      </w:pPr>
      <w:r w:rsidRPr="007C5C56">
        <w:rPr>
          <w:lang w:bidi="fa-IR"/>
        </w:rPr>
        <w:t>Options 1 to 4 seek a maximum 1:14 rise from front boundary to slab finished level. This would require a lower underlying pad level of finished allotments to change from what is normally produced in land divisions today. The impact of this will mean in most cases that there will be higher costs associated with site excavation and exported material. This would also create the need for the majority of lots to have a more developed stormwater drainage system to drain the surface and roof water to protect the dwelling as there will be less fall to the street kerb and channel.</w:t>
      </w:r>
      <w:r w:rsidRPr="00F11742">
        <w:rPr>
          <w:rStyle w:val="FootnoteReference"/>
        </w:rPr>
        <w:t xml:space="preserve"> </w:t>
      </w:r>
    </w:p>
    <w:p w14:paraId="52FE0E52" w14:textId="77777777" w:rsidR="001E45D0" w:rsidRDefault="001E45D0" w:rsidP="001E45D0">
      <w:pPr>
        <w:pStyle w:val="ListBullet"/>
        <w:rPr>
          <w:lang w:bidi="fa-IR"/>
        </w:rPr>
      </w:pPr>
      <w:r w:rsidRPr="007C5C56">
        <w:rPr>
          <w:lang w:bidi="fa-IR"/>
        </w:rPr>
        <w:t>Providing adequate flooding mitigation for homes and preventing moisture penetration to the structure of these homes is a key concern for sustainable development and construction.</w:t>
      </w:r>
    </w:p>
    <w:p w14:paraId="77783115" w14:textId="77777777" w:rsidR="001E45D0" w:rsidRDefault="005E1007" w:rsidP="001E45D0">
      <w:pPr>
        <w:pStyle w:val="ListBullet"/>
        <w:rPr>
          <w:lang w:bidi="fa-IR"/>
        </w:rPr>
      </w:pPr>
      <w:r>
        <w:rPr>
          <w:lang w:bidi="fa-IR"/>
        </w:rPr>
        <w:t>T</w:t>
      </w:r>
      <w:r w:rsidR="001E45D0" w:rsidRPr="00733886">
        <w:rPr>
          <w:lang w:bidi="fa-IR"/>
        </w:rPr>
        <w:t>his component of works is significant. One example is that the larger car parking spaces required under LHDG Silver would introduce column grid inefficiencies, and possibly mean additional basement parking levels are required. Similarly, the higher parking height requirements under LHDG Gold would require 900mm of additional excavation for a 2-3 basement level development, and increase perimeter shoring wall depths, foundation pile depths, and hydrostatic slab requirements.</w:t>
      </w:r>
    </w:p>
    <w:p w14:paraId="58FFF5E7" w14:textId="77777777" w:rsidR="001E45D0" w:rsidRDefault="001E45D0" w:rsidP="001E45D0">
      <w:pPr>
        <w:pStyle w:val="BodyText"/>
        <w:rPr>
          <w:lang w:bidi="fa-IR"/>
        </w:rPr>
      </w:pPr>
      <w:r>
        <w:rPr>
          <w:lang w:bidi="fa-IR"/>
        </w:rPr>
        <w:t>By contrast, other</w:t>
      </w:r>
      <w:r w:rsidR="00084759">
        <w:rPr>
          <w:lang w:bidi="fa-IR"/>
        </w:rPr>
        <w:t xml:space="preserve"> submission</w:t>
      </w:r>
      <w:r>
        <w:rPr>
          <w:lang w:bidi="fa-IR"/>
        </w:rPr>
        <w:t xml:space="preserve">s argue that little or no additional excavation costs will </w:t>
      </w:r>
      <w:r w:rsidR="00905BF7">
        <w:rPr>
          <w:lang w:bidi="fa-IR"/>
        </w:rPr>
        <w:t xml:space="preserve">be </w:t>
      </w:r>
      <w:r>
        <w:rPr>
          <w:lang w:bidi="fa-IR"/>
        </w:rPr>
        <w:t>incur</w:t>
      </w:r>
      <w:r w:rsidR="00905BF7">
        <w:rPr>
          <w:lang w:bidi="fa-IR"/>
        </w:rPr>
        <w:t>red</w:t>
      </w:r>
      <w:r>
        <w:rPr>
          <w:lang w:bidi="fa-IR"/>
        </w:rPr>
        <w:t xml:space="preserve"> for the following reasons:</w:t>
      </w:r>
    </w:p>
    <w:p w14:paraId="6E8981BF" w14:textId="77777777" w:rsidR="001E45D0" w:rsidRDefault="001E45D0" w:rsidP="001E45D0">
      <w:pPr>
        <w:pStyle w:val="ListBullet"/>
        <w:rPr>
          <w:lang w:bidi="fa-IR"/>
        </w:rPr>
      </w:pPr>
      <w:r>
        <w:rPr>
          <w:lang w:bidi="fa-IR"/>
        </w:rPr>
        <w:t>Excavation required is invariant to accessibility requirement, so no additional costs</w:t>
      </w:r>
    </w:p>
    <w:p w14:paraId="2C436CA1" w14:textId="77777777" w:rsidR="001E45D0" w:rsidRDefault="001E45D0" w:rsidP="001E45D0">
      <w:pPr>
        <w:pStyle w:val="ListBullet"/>
        <w:rPr>
          <w:lang w:bidi="fa-IR"/>
        </w:rPr>
      </w:pPr>
      <w:r>
        <w:rPr>
          <w:lang w:bidi="fa-IR"/>
        </w:rPr>
        <w:t>Most development, especially volume builders, favour flat sites</w:t>
      </w:r>
    </w:p>
    <w:p w14:paraId="31AB3A3A" w14:textId="77777777" w:rsidR="001E45D0" w:rsidRDefault="001E45D0" w:rsidP="001E45D0">
      <w:pPr>
        <w:pStyle w:val="ListBullet"/>
        <w:rPr>
          <w:lang w:bidi="fa-IR"/>
        </w:rPr>
      </w:pPr>
      <w:r>
        <w:rPr>
          <w:lang w:bidi="fa-IR"/>
        </w:rPr>
        <w:t>Alternative design, for example, access from garage would avoid the need for excavation</w:t>
      </w:r>
    </w:p>
    <w:p w14:paraId="10E57F77" w14:textId="77777777" w:rsidR="001E45D0" w:rsidRDefault="001E45D0" w:rsidP="001E45D0">
      <w:pPr>
        <w:pStyle w:val="ListBullet"/>
        <w:rPr>
          <w:lang w:bidi="fa-IR"/>
        </w:rPr>
      </w:pPr>
      <w:r>
        <w:rPr>
          <w:lang w:bidi="fa-IR"/>
        </w:rPr>
        <w:t xml:space="preserve">Exemption may be granted to those sloping lots and government planning controls may mean steep sites </w:t>
      </w:r>
      <w:r w:rsidR="00A72B8B">
        <w:rPr>
          <w:lang w:bidi="fa-IR"/>
        </w:rPr>
        <w:t xml:space="preserve">are </w:t>
      </w:r>
      <w:r>
        <w:rPr>
          <w:lang w:bidi="fa-IR"/>
        </w:rPr>
        <w:t>not to be developed</w:t>
      </w:r>
    </w:p>
    <w:p w14:paraId="4F57BB24" w14:textId="77777777" w:rsidR="001E45D0" w:rsidRPr="004B79EC" w:rsidRDefault="001E45D0" w:rsidP="004B79EC">
      <w:pPr>
        <w:pStyle w:val="Heading4-Appendix"/>
      </w:pPr>
      <w:r w:rsidRPr="004B79EC">
        <w:t xml:space="preserve">Are the excavation cost estimates presented in the </w:t>
      </w:r>
      <w:r w:rsidR="009E7509" w:rsidRPr="004B79EC">
        <w:t xml:space="preserve">Consultation </w:t>
      </w:r>
      <w:r w:rsidRPr="004B79EC">
        <w:t>RIS reasonable?</w:t>
      </w:r>
    </w:p>
    <w:p w14:paraId="73B335C8" w14:textId="3EF4CF95" w:rsidR="001E45D0" w:rsidRDefault="001E45D0" w:rsidP="001E45D0">
      <w:pPr>
        <w:pStyle w:val="BodyText"/>
        <w:rPr>
          <w:lang w:bidi="fa-IR"/>
        </w:rPr>
      </w:pPr>
      <w:r>
        <w:rPr>
          <w:lang w:bidi="fa-IR"/>
        </w:rPr>
        <w:t xml:space="preserve">65 submissions answered Question 24, with 34 agreeing that the cost estimates are reasonable and 31 </w:t>
      </w:r>
      <w:r w:rsidR="00905BF7">
        <w:rPr>
          <w:lang w:bidi="fa-IR"/>
        </w:rPr>
        <w:t>disagreeing</w:t>
      </w:r>
      <w:r>
        <w:rPr>
          <w:lang w:bidi="fa-IR"/>
        </w:rPr>
        <w:t xml:space="preserve"> (table</w:t>
      </w:r>
      <w:r w:rsidR="00DD5C35">
        <w:rPr>
          <w:lang w:bidi="fa-IR"/>
        </w:rPr>
        <w:t xml:space="preserve"> A.15</w:t>
      </w:r>
      <w:r>
        <w:rPr>
          <w:lang w:bidi="fa-IR"/>
        </w:rPr>
        <w:t xml:space="preserve">). </w:t>
      </w:r>
      <w:r w:rsidR="00852C21">
        <w:rPr>
          <w:lang w:bidi="fa-IR"/>
        </w:rPr>
        <w:t>A</w:t>
      </w:r>
      <w:r>
        <w:rPr>
          <w:lang w:bidi="fa-IR"/>
        </w:rPr>
        <w:t>mong the 31 submissions not agreeing with the excavation cost estimates, 18 submissions thought that additional excavation costs would be likely or highly likely while 12 submissions</w:t>
      </w:r>
      <w:r w:rsidR="00A72B8B">
        <w:rPr>
          <w:lang w:bidi="fa-IR"/>
        </w:rPr>
        <w:t xml:space="preserve"> </w:t>
      </w:r>
      <w:r w:rsidR="00C41F95">
        <w:rPr>
          <w:lang w:bidi="fa-IR"/>
        </w:rPr>
        <w:t>considered additional excavation costs</w:t>
      </w:r>
      <w:r>
        <w:rPr>
          <w:lang w:bidi="fa-IR"/>
        </w:rPr>
        <w:t xml:space="preserve"> unlikely or highly unlikely in their answer to Question 23.</w:t>
      </w:r>
    </w:p>
    <w:p w14:paraId="3D233477" w14:textId="19DB831C" w:rsidR="001E45D0" w:rsidRDefault="00BD17F9" w:rsidP="00943316">
      <w:pPr>
        <w:pStyle w:val="Caption"/>
        <w:spacing w:before="480"/>
      </w:pPr>
      <w:bookmarkStart w:id="598" w:name="_Toc52383074"/>
      <w:bookmarkStart w:id="599" w:name="_Toc57643663"/>
      <w:bookmarkStart w:id="600" w:name="_Toc70505610"/>
      <w:r>
        <w:t>A.15</w:t>
      </w:r>
      <w:r w:rsidR="001E45D0" w:rsidRPr="00695C93">
        <w:tab/>
      </w:r>
      <w:r w:rsidR="001E45D0">
        <w:t>Count of responses to Q24 breakdown by answer to Q23</w:t>
      </w:r>
      <w:bookmarkEnd w:id="598"/>
      <w:bookmarkEnd w:id="599"/>
      <w:bookmarkEnd w:id="600"/>
    </w:p>
    <w:tbl>
      <w:tblPr>
        <w:tblW w:w="7936" w:type="dxa"/>
        <w:tblLook w:val="04A0" w:firstRow="1" w:lastRow="0" w:firstColumn="1" w:lastColumn="0" w:noHBand="0" w:noVBand="1"/>
        <w:tblCaption w:val="Table A.15: Count of responses to Q24 breakdown by answer to Q23"/>
        <w:tblDescription w:val="65 submissions answered Question 24, with 34 agreeing that the cost estimates are reasonable and 31 disagreeing. Among the 31 submissions not agreeing with the excavation cost estimates, 18 submissions thought that additional excavation costs would be likely or highly likely while 12 submissions unlikely or highly unlikely in their answer to Question 23."/>
      </w:tblPr>
      <w:tblGrid>
        <w:gridCol w:w="1740"/>
        <w:gridCol w:w="1533"/>
        <w:gridCol w:w="1533"/>
        <w:gridCol w:w="1597"/>
        <w:gridCol w:w="1533"/>
      </w:tblGrid>
      <w:tr w:rsidR="001E45D0" w:rsidRPr="00AE789E" w14:paraId="0E351831" w14:textId="77777777" w:rsidTr="00943316">
        <w:trPr>
          <w:trHeight w:val="252"/>
          <w:tblHeader/>
        </w:trPr>
        <w:tc>
          <w:tcPr>
            <w:tcW w:w="1740" w:type="dxa"/>
            <w:shd w:val="clear" w:color="auto" w:fill="6F6652"/>
            <w:noWrap/>
            <w:tcMar>
              <w:left w:w="57" w:type="dxa"/>
              <w:right w:w="57" w:type="dxa"/>
            </w:tcMar>
            <w:hideMark/>
          </w:tcPr>
          <w:p w14:paraId="0AA087FC" w14:textId="77777777" w:rsidR="001E45D0" w:rsidRPr="00AE789E" w:rsidRDefault="001E45D0" w:rsidP="001E45D0">
            <w:pPr>
              <w:pStyle w:val="TableDataColumnHeading"/>
              <w:jc w:val="left"/>
            </w:pPr>
          </w:p>
        </w:tc>
        <w:tc>
          <w:tcPr>
            <w:tcW w:w="6196" w:type="dxa"/>
            <w:gridSpan w:val="4"/>
            <w:shd w:val="clear" w:color="auto" w:fill="6F6652"/>
            <w:noWrap/>
            <w:tcMar>
              <w:left w:w="57" w:type="dxa"/>
              <w:right w:w="57" w:type="dxa"/>
            </w:tcMar>
            <w:hideMark/>
          </w:tcPr>
          <w:p w14:paraId="4B8D7E5A" w14:textId="77777777" w:rsidR="001E45D0" w:rsidRPr="00EC4ADA" w:rsidRDefault="001E45D0" w:rsidP="001E45D0">
            <w:pPr>
              <w:pStyle w:val="TableDataColumnHeading"/>
              <w:jc w:val="center"/>
              <w:rPr>
                <w:szCs w:val="16"/>
              </w:rPr>
            </w:pPr>
            <w:r>
              <w:rPr>
                <w:i/>
                <w:iCs/>
                <w:szCs w:val="16"/>
              </w:rPr>
              <w:t xml:space="preserve">Answer to </w:t>
            </w:r>
            <w:r w:rsidRPr="00EC4ADA">
              <w:rPr>
                <w:i/>
                <w:iCs/>
                <w:szCs w:val="16"/>
              </w:rPr>
              <w:t>Q24</w:t>
            </w:r>
          </w:p>
        </w:tc>
      </w:tr>
      <w:tr w:rsidR="001E45D0" w:rsidRPr="00AE789E" w14:paraId="52AB98AA" w14:textId="77777777" w:rsidTr="00943316">
        <w:trPr>
          <w:trHeight w:val="252"/>
          <w:tblHeader/>
        </w:trPr>
        <w:tc>
          <w:tcPr>
            <w:tcW w:w="1740" w:type="dxa"/>
            <w:tcBorders>
              <w:bottom w:val="single" w:sz="8" w:space="0" w:color="FFFFFF" w:themeColor="background1"/>
            </w:tcBorders>
            <w:shd w:val="clear" w:color="auto" w:fill="6F6652"/>
            <w:noWrap/>
            <w:tcMar>
              <w:left w:w="57" w:type="dxa"/>
              <w:right w:w="57" w:type="dxa"/>
            </w:tcMar>
            <w:hideMark/>
          </w:tcPr>
          <w:p w14:paraId="25EDCCF2" w14:textId="77777777" w:rsidR="001E45D0" w:rsidRPr="00AE789E" w:rsidRDefault="001E45D0" w:rsidP="00943316">
            <w:pPr>
              <w:pStyle w:val="TableDataColumnHeading"/>
              <w:spacing w:before="0"/>
              <w:jc w:val="left"/>
            </w:pPr>
            <w:r>
              <w:t>Answer to Q23</w:t>
            </w:r>
          </w:p>
        </w:tc>
        <w:tc>
          <w:tcPr>
            <w:tcW w:w="1533" w:type="dxa"/>
            <w:tcBorders>
              <w:bottom w:val="single" w:sz="8" w:space="0" w:color="FFFFFF" w:themeColor="background1"/>
            </w:tcBorders>
            <w:shd w:val="clear" w:color="auto" w:fill="6F6652"/>
            <w:noWrap/>
            <w:tcMar>
              <w:left w:w="57" w:type="dxa"/>
              <w:right w:w="57" w:type="dxa"/>
            </w:tcMar>
            <w:hideMark/>
          </w:tcPr>
          <w:p w14:paraId="2EDC1BC8" w14:textId="77777777" w:rsidR="001E45D0" w:rsidRPr="00EC4ADA" w:rsidRDefault="001E45D0" w:rsidP="00943316">
            <w:pPr>
              <w:pStyle w:val="TableDataColumnHeading"/>
              <w:spacing w:before="0"/>
              <w:rPr>
                <w:szCs w:val="16"/>
              </w:rPr>
            </w:pPr>
            <w:r w:rsidRPr="00EC4ADA">
              <w:rPr>
                <w:szCs w:val="16"/>
              </w:rPr>
              <w:t>Yes</w:t>
            </w:r>
          </w:p>
        </w:tc>
        <w:tc>
          <w:tcPr>
            <w:tcW w:w="1533" w:type="dxa"/>
            <w:tcBorders>
              <w:bottom w:val="single" w:sz="8" w:space="0" w:color="FFFFFF" w:themeColor="background1"/>
            </w:tcBorders>
            <w:shd w:val="clear" w:color="auto" w:fill="6F6652"/>
            <w:noWrap/>
            <w:tcMar>
              <w:left w:w="57" w:type="dxa"/>
              <w:right w:w="57" w:type="dxa"/>
            </w:tcMar>
            <w:hideMark/>
          </w:tcPr>
          <w:p w14:paraId="4D22A684" w14:textId="77777777" w:rsidR="001E45D0" w:rsidRPr="00EC4ADA" w:rsidRDefault="001E45D0" w:rsidP="00943316">
            <w:pPr>
              <w:pStyle w:val="TableDataColumnHeading"/>
              <w:spacing w:before="0"/>
              <w:rPr>
                <w:szCs w:val="16"/>
              </w:rPr>
            </w:pPr>
            <w:r w:rsidRPr="00EC4ADA">
              <w:rPr>
                <w:szCs w:val="16"/>
              </w:rPr>
              <w:t>No</w:t>
            </w:r>
          </w:p>
        </w:tc>
        <w:tc>
          <w:tcPr>
            <w:tcW w:w="1597" w:type="dxa"/>
            <w:tcBorders>
              <w:bottom w:val="single" w:sz="8" w:space="0" w:color="FFFFFF" w:themeColor="background1"/>
            </w:tcBorders>
            <w:shd w:val="clear" w:color="auto" w:fill="6F6652"/>
            <w:noWrap/>
            <w:tcMar>
              <w:left w:w="57" w:type="dxa"/>
              <w:right w:w="57" w:type="dxa"/>
            </w:tcMar>
            <w:hideMark/>
          </w:tcPr>
          <w:p w14:paraId="455AEE25" w14:textId="77777777" w:rsidR="001E45D0" w:rsidRPr="00EC4ADA" w:rsidRDefault="001E45D0" w:rsidP="00943316">
            <w:pPr>
              <w:pStyle w:val="TableDataColumnHeading"/>
              <w:spacing w:before="0"/>
              <w:rPr>
                <w:szCs w:val="16"/>
              </w:rPr>
            </w:pPr>
            <w:r w:rsidRPr="00EC4ADA">
              <w:rPr>
                <w:szCs w:val="16"/>
              </w:rPr>
              <w:t>Not Answered</w:t>
            </w:r>
          </w:p>
        </w:tc>
        <w:tc>
          <w:tcPr>
            <w:tcW w:w="1533" w:type="dxa"/>
            <w:tcBorders>
              <w:bottom w:val="single" w:sz="8" w:space="0" w:color="FFFFFF" w:themeColor="background1"/>
            </w:tcBorders>
            <w:shd w:val="clear" w:color="auto" w:fill="6F6652"/>
            <w:noWrap/>
            <w:tcMar>
              <w:left w:w="57" w:type="dxa"/>
              <w:right w:w="57" w:type="dxa"/>
            </w:tcMar>
            <w:hideMark/>
          </w:tcPr>
          <w:p w14:paraId="4C6ED343" w14:textId="77777777" w:rsidR="001E45D0" w:rsidRPr="00EC4ADA" w:rsidRDefault="001E45D0" w:rsidP="00943316">
            <w:pPr>
              <w:pStyle w:val="TableDataColumnHeading"/>
              <w:spacing w:before="0"/>
              <w:rPr>
                <w:szCs w:val="16"/>
              </w:rPr>
            </w:pPr>
            <w:r w:rsidRPr="00EC4ADA">
              <w:rPr>
                <w:szCs w:val="16"/>
              </w:rPr>
              <w:t>Total</w:t>
            </w:r>
          </w:p>
        </w:tc>
      </w:tr>
      <w:tr w:rsidR="001E45D0" w:rsidRPr="00AE789E" w14:paraId="21261B8B" w14:textId="77777777" w:rsidTr="001E45D0">
        <w:trPr>
          <w:trHeight w:val="252"/>
        </w:trPr>
        <w:tc>
          <w:tcPr>
            <w:tcW w:w="17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0C9E1B" w14:textId="77777777" w:rsidR="001E45D0" w:rsidRPr="00AE789E" w:rsidRDefault="001E45D0" w:rsidP="001E45D0">
            <w:pPr>
              <w:pStyle w:val="TableDataEntries"/>
              <w:jc w:val="left"/>
            </w:pPr>
            <w:r w:rsidRPr="00AE789E">
              <w:t>Highly unlikely</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1A3E50" w14:textId="77777777" w:rsidR="001E45D0" w:rsidRPr="00AE789E" w:rsidRDefault="001E45D0" w:rsidP="001E45D0">
            <w:pPr>
              <w:pStyle w:val="TableDataEntries"/>
            </w:pPr>
            <w:r w:rsidRPr="00AE789E">
              <w:t>3</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D54800" w14:textId="77777777" w:rsidR="001E45D0" w:rsidRPr="00AE789E" w:rsidRDefault="001E45D0" w:rsidP="001E45D0">
            <w:pPr>
              <w:pStyle w:val="TableDataEntries"/>
            </w:pPr>
            <w:r w:rsidRPr="00AE789E">
              <w:t>11</w:t>
            </w:r>
          </w:p>
        </w:tc>
        <w:tc>
          <w:tcPr>
            <w:tcW w:w="159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37DFAD" w14:textId="77777777" w:rsidR="001E45D0" w:rsidRPr="00AE789E" w:rsidRDefault="001E45D0" w:rsidP="001E45D0">
            <w:pPr>
              <w:pStyle w:val="TableDataEntries"/>
            </w:pPr>
            <w:r w:rsidRPr="00AE789E">
              <w:t>3</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8CA1C1" w14:textId="77777777" w:rsidR="001E45D0" w:rsidRPr="00AE789E" w:rsidRDefault="001E45D0" w:rsidP="001E45D0">
            <w:pPr>
              <w:pStyle w:val="TableDataEntries"/>
            </w:pPr>
            <w:r w:rsidRPr="00AE789E">
              <w:t>17</w:t>
            </w:r>
          </w:p>
        </w:tc>
      </w:tr>
      <w:tr w:rsidR="001E45D0" w:rsidRPr="00AE789E" w14:paraId="531700D4" w14:textId="77777777" w:rsidTr="001E45D0">
        <w:trPr>
          <w:trHeight w:val="252"/>
        </w:trPr>
        <w:tc>
          <w:tcPr>
            <w:tcW w:w="17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FB6056" w14:textId="77777777" w:rsidR="001E45D0" w:rsidRPr="00AE789E" w:rsidRDefault="001E45D0" w:rsidP="001E45D0">
            <w:pPr>
              <w:pStyle w:val="TableDataEntries"/>
              <w:jc w:val="left"/>
            </w:pPr>
            <w:r w:rsidRPr="00AE789E">
              <w:t>Unlikely</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ABAFF7" w14:textId="77777777" w:rsidR="001E45D0" w:rsidRPr="00AE789E" w:rsidRDefault="001E45D0" w:rsidP="001E45D0">
            <w:pPr>
              <w:pStyle w:val="TableDataEntries"/>
            </w:pPr>
            <w:r w:rsidRPr="00AE789E">
              <w:t>13</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8A5FB6" w14:textId="77777777" w:rsidR="001E45D0" w:rsidRPr="00AE789E" w:rsidRDefault="001E45D0" w:rsidP="001E45D0">
            <w:pPr>
              <w:pStyle w:val="TableDataEntries"/>
            </w:pPr>
            <w:r w:rsidRPr="00AE789E">
              <w:t>7</w:t>
            </w:r>
          </w:p>
        </w:tc>
        <w:tc>
          <w:tcPr>
            <w:tcW w:w="159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869FD0" w14:textId="77777777" w:rsidR="001E45D0" w:rsidRPr="00AE789E" w:rsidRDefault="001E45D0" w:rsidP="001E45D0">
            <w:pPr>
              <w:pStyle w:val="TableDataEntries"/>
            </w:pPr>
            <w:r w:rsidRPr="00AE789E">
              <w:t>5</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ADA81B" w14:textId="77777777" w:rsidR="001E45D0" w:rsidRPr="00AE789E" w:rsidRDefault="001E45D0" w:rsidP="001E45D0">
            <w:pPr>
              <w:pStyle w:val="TableDataEntries"/>
            </w:pPr>
            <w:r w:rsidRPr="00AE789E">
              <w:t>25</w:t>
            </w:r>
          </w:p>
        </w:tc>
      </w:tr>
      <w:tr w:rsidR="001E45D0" w:rsidRPr="00AE789E" w14:paraId="3E2544FF" w14:textId="77777777" w:rsidTr="001E45D0">
        <w:trPr>
          <w:trHeight w:val="252"/>
        </w:trPr>
        <w:tc>
          <w:tcPr>
            <w:tcW w:w="17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87A9DF" w14:textId="77777777" w:rsidR="001E45D0" w:rsidRPr="00AE789E" w:rsidRDefault="001E45D0" w:rsidP="001E45D0">
            <w:pPr>
              <w:pStyle w:val="TableDataEntries"/>
              <w:jc w:val="left"/>
            </w:pPr>
            <w:r w:rsidRPr="00AE789E">
              <w:t>Likely</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8C9638" w14:textId="77777777" w:rsidR="001E45D0" w:rsidRPr="00AE789E" w:rsidRDefault="001E45D0" w:rsidP="001E45D0">
            <w:pPr>
              <w:pStyle w:val="TableDataEntries"/>
            </w:pPr>
            <w:r w:rsidRPr="00AE789E">
              <w:t>16</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6BC3C0" w14:textId="77777777" w:rsidR="001E45D0" w:rsidRPr="00AE789E" w:rsidRDefault="001E45D0" w:rsidP="001E45D0">
            <w:pPr>
              <w:pStyle w:val="TableDataEntries"/>
            </w:pPr>
            <w:r w:rsidRPr="00AE789E">
              <w:t>10</w:t>
            </w:r>
          </w:p>
        </w:tc>
        <w:tc>
          <w:tcPr>
            <w:tcW w:w="159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417BAF" w14:textId="77777777" w:rsidR="001E45D0" w:rsidRPr="00AE789E" w:rsidRDefault="001E45D0" w:rsidP="001E45D0">
            <w:pPr>
              <w:pStyle w:val="TableDataEntries"/>
            </w:pPr>
            <w:r w:rsidRPr="00AE789E">
              <w:t>2</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32C7BC" w14:textId="77777777" w:rsidR="001E45D0" w:rsidRPr="00AE789E" w:rsidRDefault="001E45D0" w:rsidP="001E45D0">
            <w:pPr>
              <w:pStyle w:val="TableDataEntries"/>
            </w:pPr>
            <w:r w:rsidRPr="00AE789E">
              <w:t>28</w:t>
            </w:r>
          </w:p>
        </w:tc>
      </w:tr>
      <w:tr w:rsidR="001E45D0" w:rsidRPr="00AE789E" w14:paraId="3771CBA4" w14:textId="77777777" w:rsidTr="001E45D0">
        <w:trPr>
          <w:trHeight w:val="252"/>
        </w:trPr>
        <w:tc>
          <w:tcPr>
            <w:tcW w:w="17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D4D257" w14:textId="77777777" w:rsidR="001E45D0" w:rsidRPr="00AE789E" w:rsidRDefault="001E45D0" w:rsidP="001E45D0">
            <w:pPr>
              <w:pStyle w:val="TableDataEntries"/>
              <w:jc w:val="left"/>
            </w:pPr>
            <w:r w:rsidRPr="00AE789E">
              <w:t>Highly likely</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961612" w14:textId="77777777" w:rsidR="001E45D0" w:rsidRPr="00AE789E" w:rsidRDefault="001E45D0" w:rsidP="001E45D0">
            <w:pPr>
              <w:pStyle w:val="TableDataEntries"/>
            </w:pPr>
            <w:r w:rsidRPr="00AE789E">
              <w:t>2</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D96870" w14:textId="77777777" w:rsidR="001E45D0" w:rsidRPr="00AE789E" w:rsidRDefault="001E45D0" w:rsidP="001E45D0">
            <w:pPr>
              <w:pStyle w:val="TableDataEntries"/>
            </w:pPr>
            <w:r w:rsidRPr="00AE789E">
              <w:t>2</w:t>
            </w:r>
          </w:p>
        </w:tc>
        <w:tc>
          <w:tcPr>
            <w:tcW w:w="159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88577F" w14:textId="77777777" w:rsidR="001E45D0" w:rsidRPr="00AE789E" w:rsidRDefault="001E45D0" w:rsidP="001E45D0">
            <w:pPr>
              <w:pStyle w:val="TableDataEntries"/>
            </w:pPr>
            <w:r w:rsidRPr="00AE789E">
              <w:t>1</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916F91" w14:textId="77777777" w:rsidR="001E45D0" w:rsidRPr="00AE789E" w:rsidRDefault="001E45D0" w:rsidP="001E45D0">
            <w:pPr>
              <w:pStyle w:val="TableDataEntries"/>
            </w:pPr>
            <w:r w:rsidRPr="00AE789E">
              <w:t>5</w:t>
            </w:r>
          </w:p>
        </w:tc>
      </w:tr>
      <w:tr w:rsidR="001E45D0" w:rsidRPr="00AE789E" w14:paraId="3F7AAAAE" w14:textId="77777777" w:rsidTr="001E45D0">
        <w:trPr>
          <w:trHeight w:val="252"/>
        </w:trPr>
        <w:tc>
          <w:tcPr>
            <w:tcW w:w="17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9E34BC" w14:textId="77777777" w:rsidR="001E45D0" w:rsidRPr="00AE789E" w:rsidRDefault="001E45D0" w:rsidP="001E45D0">
            <w:pPr>
              <w:pStyle w:val="TableDataEntries"/>
              <w:jc w:val="left"/>
            </w:pPr>
            <w:r w:rsidRPr="00AE789E">
              <w:lastRenderedPageBreak/>
              <w:t>Not Answered</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59E831" w14:textId="77777777" w:rsidR="001E45D0" w:rsidRPr="00AE789E" w:rsidRDefault="001E45D0" w:rsidP="001E45D0">
            <w:pPr>
              <w:pStyle w:val="TableDataEntries"/>
            </w:pPr>
            <w:r w:rsidRPr="00AE789E">
              <w:t>0</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2D55C0" w14:textId="77777777" w:rsidR="001E45D0" w:rsidRPr="00AE789E" w:rsidRDefault="001E45D0" w:rsidP="001E45D0">
            <w:pPr>
              <w:pStyle w:val="TableDataEntries"/>
            </w:pPr>
            <w:r w:rsidRPr="00AE789E">
              <w:t>1</w:t>
            </w:r>
          </w:p>
        </w:tc>
        <w:tc>
          <w:tcPr>
            <w:tcW w:w="159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F7833" w14:textId="77777777" w:rsidR="001E45D0" w:rsidRPr="00AE789E" w:rsidRDefault="001E45D0" w:rsidP="001E45D0">
            <w:pPr>
              <w:pStyle w:val="TableDataEntries"/>
            </w:pPr>
            <w:r w:rsidRPr="00AE789E">
              <w:t>127</w:t>
            </w:r>
          </w:p>
        </w:tc>
        <w:tc>
          <w:tcPr>
            <w:tcW w:w="15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F30104" w14:textId="77777777" w:rsidR="001E45D0" w:rsidRPr="00AE789E" w:rsidRDefault="001E45D0" w:rsidP="001E45D0">
            <w:pPr>
              <w:pStyle w:val="TableDataEntries"/>
            </w:pPr>
            <w:r w:rsidRPr="00AE789E">
              <w:t>128</w:t>
            </w:r>
          </w:p>
        </w:tc>
      </w:tr>
      <w:tr w:rsidR="001E45D0" w:rsidRPr="00EC4ADA" w14:paraId="297D3235" w14:textId="77777777" w:rsidTr="001E45D0">
        <w:trPr>
          <w:trHeight w:val="252"/>
        </w:trPr>
        <w:tc>
          <w:tcPr>
            <w:tcW w:w="174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FF29FD7" w14:textId="77777777" w:rsidR="001E45D0" w:rsidRPr="00EC4ADA" w:rsidRDefault="001E45D0" w:rsidP="001E45D0">
            <w:pPr>
              <w:pStyle w:val="TableDataEntries"/>
              <w:jc w:val="left"/>
              <w:rPr>
                <w:rFonts w:ascii="Franklin Gothic Demi" w:hAnsi="Franklin Gothic Demi"/>
              </w:rPr>
            </w:pPr>
            <w:r w:rsidRPr="00EC4ADA">
              <w:rPr>
                <w:rFonts w:ascii="Franklin Gothic Demi" w:hAnsi="Franklin Gothic Demi"/>
              </w:rPr>
              <w:t>Total</w:t>
            </w:r>
          </w:p>
        </w:tc>
        <w:tc>
          <w:tcPr>
            <w:tcW w:w="153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9EAE8A6" w14:textId="77777777" w:rsidR="001E45D0" w:rsidRPr="00EC4ADA" w:rsidRDefault="001E45D0" w:rsidP="001E45D0">
            <w:pPr>
              <w:pStyle w:val="TableDataEntries"/>
              <w:rPr>
                <w:rFonts w:ascii="Franklin Gothic Demi" w:hAnsi="Franklin Gothic Demi"/>
              </w:rPr>
            </w:pPr>
            <w:r w:rsidRPr="00EC4ADA">
              <w:rPr>
                <w:rFonts w:ascii="Franklin Gothic Demi" w:hAnsi="Franklin Gothic Demi"/>
              </w:rPr>
              <w:t>34</w:t>
            </w:r>
          </w:p>
        </w:tc>
        <w:tc>
          <w:tcPr>
            <w:tcW w:w="153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3EC1793" w14:textId="77777777" w:rsidR="001E45D0" w:rsidRPr="00EC4ADA" w:rsidRDefault="001E45D0" w:rsidP="001E45D0">
            <w:pPr>
              <w:pStyle w:val="TableDataEntries"/>
              <w:rPr>
                <w:rFonts w:ascii="Franklin Gothic Demi" w:hAnsi="Franklin Gothic Demi"/>
              </w:rPr>
            </w:pPr>
            <w:r w:rsidRPr="00EC4ADA">
              <w:rPr>
                <w:rFonts w:ascii="Franklin Gothic Demi" w:hAnsi="Franklin Gothic Demi"/>
              </w:rPr>
              <w:t>31</w:t>
            </w:r>
          </w:p>
        </w:tc>
        <w:tc>
          <w:tcPr>
            <w:tcW w:w="159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3513233" w14:textId="77777777" w:rsidR="001E45D0" w:rsidRPr="00EC4ADA" w:rsidRDefault="001E45D0" w:rsidP="001E45D0">
            <w:pPr>
              <w:pStyle w:val="TableDataEntries"/>
              <w:rPr>
                <w:rFonts w:ascii="Franklin Gothic Demi" w:hAnsi="Franklin Gothic Demi"/>
              </w:rPr>
            </w:pPr>
            <w:r w:rsidRPr="00EC4ADA">
              <w:rPr>
                <w:rFonts w:ascii="Franklin Gothic Demi" w:hAnsi="Franklin Gothic Demi"/>
              </w:rPr>
              <w:t>138</w:t>
            </w:r>
          </w:p>
        </w:tc>
        <w:tc>
          <w:tcPr>
            <w:tcW w:w="153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CFFB986" w14:textId="77777777" w:rsidR="001E45D0" w:rsidRPr="00EC4ADA" w:rsidRDefault="001E45D0" w:rsidP="001E45D0">
            <w:pPr>
              <w:pStyle w:val="TableDataEntries"/>
              <w:rPr>
                <w:rFonts w:ascii="Franklin Gothic Demi" w:hAnsi="Franklin Gothic Demi"/>
              </w:rPr>
            </w:pPr>
            <w:r w:rsidRPr="00EC4ADA">
              <w:rPr>
                <w:rFonts w:ascii="Franklin Gothic Demi" w:hAnsi="Franklin Gothic Demi"/>
              </w:rPr>
              <w:t>203</w:t>
            </w:r>
          </w:p>
        </w:tc>
      </w:tr>
    </w:tbl>
    <w:p w14:paraId="42FBDDB7" w14:textId="77777777" w:rsidR="001E45D0" w:rsidRPr="00E94313" w:rsidRDefault="001E45D0" w:rsidP="001E45D0">
      <w:pPr>
        <w:pStyle w:val="Source"/>
        <w:rPr>
          <w:iCs/>
          <w:lang w:bidi="fa-IR"/>
        </w:rPr>
      </w:pPr>
      <w:r w:rsidRPr="00E94313">
        <w:rPr>
          <w:iCs/>
          <w:lang w:bidi="fa-IR"/>
        </w:rPr>
        <w:t>Source: Consultation Hub</w:t>
      </w:r>
    </w:p>
    <w:p w14:paraId="537593BD" w14:textId="77777777" w:rsidR="001E45D0" w:rsidRDefault="001E45D0" w:rsidP="001E45D0">
      <w:pPr>
        <w:pStyle w:val="BodyText"/>
        <w:rPr>
          <w:lang w:bidi="fa-IR"/>
        </w:rPr>
      </w:pPr>
      <w:r>
        <w:rPr>
          <w:lang w:bidi="fa-IR"/>
        </w:rPr>
        <w:t xml:space="preserve">Some 33 submissions provided some </w:t>
      </w:r>
      <w:r w:rsidR="00905BF7">
        <w:rPr>
          <w:lang w:bidi="fa-IR"/>
        </w:rPr>
        <w:t>supplementary information in response</w:t>
      </w:r>
      <w:r>
        <w:rPr>
          <w:lang w:bidi="fa-IR"/>
        </w:rPr>
        <w:t xml:space="preserve"> to the question</w:t>
      </w:r>
      <w:r w:rsidR="00C41F95">
        <w:rPr>
          <w:lang w:bidi="fa-IR"/>
        </w:rPr>
        <w:t>,</w:t>
      </w:r>
      <w:r>
        <w:rPr>
          <w:lang w:bidi="fa-IR"/>
        </w:rPr>
        <w:t xml:space="preserve"> </w:t>
      </w:r>
      <w:r w:rsidR="00905BF7">
        <w:rPr>
          <w:lang w:bidi="fa-IR"/>
        </w:rPr>
        <w:t>including</w:t>
      </w:r>
      <w:r>
        <w:rPr>
          <w:lang w:bidi="fa-IR"/>
        </w:rPr>
        <w:t xml:space="preserve"> alternative estimates </w:t>
      </w:r>
      <w:r w:rsidR="0018303D">
        <w:rPr>
          <w:lang w:bidi="fa-IR"/>
        </w:rPr>
        <w:t>or</w:t>
      </w:r>
      <w:r>
        <w:rPr>
          <w:lang w:bidi="fa-IR"/>
        </w:rPr>
        <w:t xml:space="preserve"> reasoning. </w:t>
      </w:r>
      <w:r w:rsidR="0018303D">
        <w:rPr>
          <w:lang w:bidi="fa-IR"/>
        </w:rPr>
        <w:t>Review of this supplementary information found that</w:t>
      </w:r>
      <w:r>
        <w:rPr>
          <w:lang w:bidi="fa-IR"/>
        </w:rPr>
        <w:t xml:space="preserve"> only 23 of the 33 submissions do not agree with the estimates in the </w:t>
      </w:r>
      <w:r w:rsidR="009E7509">
        <w:rPr>
          <w:lang w:bidi="fa-IR"/>
        </w:rPr>
        <w:t xml:space="preserve">Consultation </w:t>
      </w:r>
      <w:r>
        <w:rPr>
          <w:lang w:bidi="fa-IR"/>
        </w:rPr>
        <w:t>RIS.</w:t>
      </w:r>
    </w:p>
    <w:p w14:paraId="60B1A6D4" w14:textId="37E46BCE" w:rsidR="001E45D0" w:rsidRDefault="001E45D0" w:rsidP="001E45D0">
      <w:pPr>
        <w:pStyle w:val="BodyText"/>
        <w:rPr>
          <w:lang w:bidi="fa-IR"/>
        </w:rPr>
      </w:pPr>
      <w:r>
        <w:rPr>
          <w:lang w:bidi="fa-IR"/>
        </w:rPr>
        <w:t>Among the 33 submissions, 13 submissions do not provide alternative estimates or reasoning</w:t>
      </w:r>
      <w:r w:rsidR="00C41F95">
        <w:rPr>
          <w:lang w:bidi="fa-IR"/>
        </w:rPr>
        <w:t>,</w:t>
      </w:r>
      <w:r>
        <w:rPr>
          <w:lang w:bidi="fa-IR"/>
        </w:rPr>
        <w:t xml:space="preserve"> </w:t>
      </w:r>
      <w:r w:rsidR="0018303D">
        <w:rPr>
          <w:lang w:bidi="fa-IR"/>
        </w:rPr>
        <w:t>citing</w:t>
      </w:r>
      <w:r>
        <w:rPr>
          <w:lang w:bidi="fa-IR"/>
        </w:rPr>
        <w:t xml:space="preserve"> no expertise, </w:t>
      </w:r>
      <w:r w:rsidR="008E67D6">
        <w:rPr>
          <w:lang w:bidi="fa-IR"/>
        </w:rPr>
        <w:t xml:space="preserve">they are </w:t>
      </w:r>
      <w:r>
        <w:rPr>
          <w:lang w:bidi="fa-IR"/>
        </w:rPr>
        <w:t>not qualified</w:t>
      </w:r>
      <w:r w:rsidR="008E67D6">
        <w:rPr>
          <w:lang w:bidi="fa-IR"/>
        </w:rPr>
        <w:t xml:space="preserve"> to comment</w:t>
      </w:r>
      <w:r>
        <w:rPr>
          <w:lang w:bidi="fa-IR"/>
        </w:rPr>
        <w:t>, not be</w:t>
      </w:r>
      <w:r w:rsidR="00C41F95">
        <w:rPr>
          <w:lang w:bidi="fa-IR"/>
        </w:rPr>
        <w:t>ing</w:t>
      </w:r>
      <w:r>
        <w:rPr>
          <w:lang w:bidi="fa-IR"/>
        </w:rPr>
        <w:t xml:space="preserve"> able to find the table, no position fully established, or not relevant to excavation costs (table</w:t>
      </w:r>
      <w:r w:rsidR="00DD5C35">
        <w:rPr>
          <w:lang w:bidi="fa-IR"/>
        </w:rPr>
        <w:t xml:space="preserve"> A.16</w:t>
      </w:r>
      <w:r>
        <w:rPr>
          <w:lang w:bidi="fa-IR"/>
        </w:rPr>
        <w:t>).</w:t>
      </w:r>
    </w:p>
    <w:p w14:paraId="1A5A05CF" w14:textId="7DC6FC61" w:rsidR="001E45D0" w:rsidRDefault="00BD17F9" w:rsidP="001E45D0">
      <w:pPr>
        <w:pStyle w:val="Caption"/>
      </w:pPr>
      <w:bookmarkStart w:id="601" w:name="_Toc52383075"/>
      <w:bookmarkStart w:id="602" w:name="_Toc57643664"/>
      <w:bookmarkStart w:id="603" w:name="_Toc70505611"/>
      <w:r>
        <w:t>A.16</w:t>
      </w:r>
      <w:r w:rsidR="001E45D0" w:rsidRPr="00695C93">
        <w:tab/>
      </w:r>
      <w:r w:rsidR="001E45D0">
        <w:t xml:space="preserve">Reasons for disagreeing with the excavation cost estimates in </w:t>
      </w:r>
      <w:r w:rsidR="009E7509">
        <w:rPr>
          <w:lang w:bidi="fa-IR"/>
        </w:rPr>
        <w:t xml:space="preserve">Consultation </w:t>
      </w:r>
      <w:r w:rsidR="001E45D0">
        <w:t>RIS</w:t>
      </w:r>
      <w:bookmarkEnd w:id="601"/>
      <w:bookmarkEnd w:id="602"/>
      <w:bookmarkEnd w:id="603"/>
    </w:p>
    <w:tbl>
      <w:tblPr>
        <w:tblW w:w="7937" w:type="dxa"/>
        <w:tblLook w:val="04A0" w:firstRow="1" w:lastRow="0" w:firstColumn="1" w:lastColumn="0" w:noHBand="0" w:noVBand="1"/>
        <w:tblCaption w:val="Table A.16: Reasons for disagreeing with the excavation cost estimates in Consultation RIS"/>
        <w:tblDescription w:val="Table A.16 lists the reasons for disagreeing with the excavation cost estimate in the Consultation RIS. Reasons are grouped into broad categories - Not providing alternative estimate or reasoning (13 responses), excavation costs were over-estimated (12 responses), excavation costs under-estimated (9 responses) and other (3 responses)."/>
      </w:tblPr>
      <w:tblGrid>
        <w:gridCol w:w="6210"/>
        <w:gridCol w:w="1727"/>
      </w:tblGrid>
      <w:tr w:rsidR="001E45D0" w:rsidRPr="00487DFC" w14:paraId="61BF4766" w14:textId="77777777" w:rsidTr="001E45D0">
        <w:trPr>
          <w:trHeight w:val="252"/>
        </w:trPr>
        <w:tc>
          <w:tcPr>
            <w:tcW w:w="6210" w:type="dxa"/>
            <w:tcBorders>
              <w:bottom w:val="single" w:sz="8" w:space="0" w:color="FFFFFF" w:themeColor="background1"/>
            </w:tcBorders>
            <w:shd w:val="clear" w:color="auto" w:fill="6F6652"/>
            <w:noWrap/>
            <w:tcMar>
              <w:left w:w="57" w:type="dxa"/>
              <w:right w:w="57" w:type="dxa"/>
            </w:tcMar>
            <w:hideMark/>
          </w:tcPr>
          <w:p w14:paraId="0A9D942B" w14:textId="77777777" w:rsidR="001E45D0" w:rsidRPr="00487DFC" w:rsidRDefault="001E45D0" w:rsidP="001E45D0">
            <w:pPr>
              <w:pStyle w:val="TableDataColumnHeading"/>
              <w:jc w:val="left"/>
            </w:pPr>
          </w:p>
        </w:tc>
        <w:tc>
          <w:tcPr>
            <w:tcW w:w="1727" w:type="dxa"/>
            <w:tcBorders>
              <w:bottom w:val="single" w:sz="8" w:space="0" w:color="FFFFFF" w:themeColor="background1"/>
            </w:tcBorders>
            <w:shd w:val="clear" w:color="auto" w:fill="6F6652"/>
            <w:noWrap/>
            <w:tcMar>
              <w:left w:w="57" w:type="dxa"/>
              <w:right w:w="57" w:type="dxa"/>
            </w:tcMar>
            <w:hideMark/>
          </w:tcPr>
          <w:p w14:paraId="5A49F16A" w14:textId="77777777" w:rsidR="001E45D0" w:rsidRPr="00487DFC" w:rsidRDefault="001E45D0" w:rsidP="001E45D0">
            <w:pPr>
              <w:pStyle w:val="TableDataColumnHeading"/>
              <w:rPr>
                <w:szCs w:val="16"/>
              </w:rPr>
            </w:pPr>
            <w:r w:rsidRPr="00487DFC">
              <w:rPr>
                <w:szCs w:val="16"/>
              </w:rPr>
              <w:t>Count</w:t>
            </w:r>
          </w:p>
        </w:tc>
      </w:tr>
      <w:tr w:rsidR="001E45D0" w:rsidRPr="00E85CA7" w14:paraId="7AD20D11"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222F05F" w14:textId="77777777" w:rsidR="001E45D0" w:rsidRPr="00E85CA7" w:rsidRDefault="001E45D0" w:rsidP="001E45D0">
            <w:pPr>
              <w:pStyle w:val="TableDataEntries"/>
              <w:jc w:val="left"/>
              <w:rPr>
                <w:rFonts w:ascii="Franklin Gothic Demi" w:hAnsi="Franklin Gothic Demi"/>
              </w:rPr>
            </w:pPr>
            <w:r w:rsidRPr="00E85CA7">
              <w:rPr>
                <w:rFonts w:ascii="Franklin Gothic Demi" w:hAnsi="Franklin Gothic Demi"/>
              </w:rPr>
              <w:t>Not providing alternative estimate or reasoning</w:t>
            </w:r>
          </w:p>
        </w:tc>
        <w:tc>
          <w:tcPr>
            <w:tcW w:w="172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16C1799" w14:textId="77777777" w:rsidR="001E45D0" w:rsidRPr="00E85CA7" w:rsidRDefault="001E45D0" w:rsidP="001E45D0">
            <w:pPr>
              <w:pStyle w:val="TableDataEntries"/>
              <w:rPr>
                <w:rFonts w:ascii="Franklin Gothic Demi" w:hAnsi="Franklin Gothic Demi"/>
              </w:rPr>
            </w:pPr>
            <w:r w:rsidRPr="00E85CA7">
              <w:rPr>
                <w:rFonts w:ascii="Franklin Gothic Demi" w:hAnsi="Franklin Gothic Demi"/>
              </w:rPr>
              <w:t>13</w:t>
            </w:r>
          </w:p>
        </w:tc>
      </w:tr>
      <w:tr w:rsidR="001E45D0" w:rsidRPr="00487DFC" w14:paraId="68ABFA5A"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4C36C4" w14:textId="77777777" w:rsidR="001E45D0" w:rsidRPr="00487DFC" w:rsidRDefault="001E45D0" w:rsidP="001E45D0">
            <w:pPr>
              <w:pStyle w:val="TableDataEntries"/>
              <w:jc w:val="left"/>
            </w:pPr>
            <w:r w:rsidRPr="00487DFC">
              <w:t xml:space="preserve">   no expertise/not qualified</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DDE520" w14:textId="77777777" w:rsidR="001E45D0" w:rsidRPr="00487DFC" w:rsidRDefault="001E45D0" w:rsidP="001E45D0">
            <w:pPr>
              <w:pStyle w:val="TableDataEntries"/>
            </w:pPr>
            <w:r w:rsidRPr="00487DFC">
              <w:t>6</w:t>
            </w:r>
          </w:p>
        </w:tc>
      </w:tr>
      <w:tr w:rsidR="001E45D0" w:rsidRPr="00487DFC" w14:paraId="018148D6"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B0471B" w14:textId="77777777" w:rsidR="001E45D0" w:rsidRPr="00487DFC" w:rsidRDefault="001E45D0" w:rsidP="001E45D0">
            <w:pPr>
              <w:pStyle w:val="TableDataEntries"/>
              <w:jc w:val="left"/>
            </w:pPr>
            <w:r w:rsidRPr="00487DFC">
              <w:t xml:space="preserve">   not sure</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A4ACAE" w14:textId="77777777" w:rsidR="001E45D0" w:rsidRPr="00487DFC" w:rsidRDefault="001E45D0" w:rsidP="001E45D0">
            <w:pPr>
              <w:pStyle w:val="TableDataEntries"/>
            </w:pPr>
            <w:r w:rsidRPr="00487DFC">
              <w:t>1</w:t>
            </w:r>
          </w:p>
        </w:tc>
      </w:tr>
      <w:tr w:rsidR="001E45D0" w:rsidRPr="00487DFC" w14:paraId="1F4EC521"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D3E101" w14:textId="77777777" w:rsidR="001E45D0" w:rsidRPr="00487DFC" w:rsidRDefault="001E45D0" w:rsidP="001E45D0">
            <w:pPr>
              <w:pStyle w:val="TableDataEntries"/>
              <w:jc w:val="left"/>
            </w:pPr>
            <w:r w:rsidRPr="00487DFC">
              <w:t xml:space="preserve">   can't find the table</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6BC418" w14:textId="77777777" w:rsidR="001E45D0" w:rsidRPr="00487DFC" w:rsidRDefault="001E45D0" w:rsidP="001E45D0">
            <w:pPr>
              <w:pStyle w:val="TableDataEntries"/>
            </w:pPr>
            <w:r w:rsidRPr="00487DFC">
              <w:t>2</w:t>
            </w:r>
          </w:p>
        </w:tc>
      </w:tr>
      <w:tr w:rsidR="001E45D0" w:rsidRPr="00487DFC" w14:paraId="10997104"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ED58EF" w14:textId="77777777" w:rsidR="001E45D0" w:rsidRPr="00487DFC" w:rsidRDefault="001E45D0" w:rsidP="001E45D0">
            <w:pPr>
              <w:pStyle w:val="TableDataEntries"/>
              <w:jc w:val="left"/>
            </w:pPr>
            <w:r w:rsidRPr="00487DFC">
              <w:t xml:space="preserve">   not assessed</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798969" w14:textId="77777777" w:rsidR="001E45D0" w:rsidRPr="00487DFC" w:rsidRDefault="001E45D0" w:rsidP="001E45D0">
            <w:pPr>
              <w:pStyle w:val="TableDataEntries"/>
            </w:pPr>
            <w:r w:rsidRPr="00487DFC">
              <w:t>1</w:t>
            </w:r>
          </w:p>
        </w:tc>
      </w:tr>
      <w:tr w:rsidR="001E45D0" w:rsidRPr="00487DFC" w14:paraId="0F98FE23"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916132" w14:textId="77777777" w:rsidR="001E45D0" w:rsidRPr="00487DFC" w:rsidRDefault="001E45D0" w:rsidP="001E45D0">
            <w:pPr>
              <w:pStyle w:val="TableDataEntries"/>
              <w:jc w:val="left"/>
            </w:pPr>
            <w:r w:rsidRPr="00487DFC">
              <w:t xml:space="preserve">   not relevant answer</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4AA498" w14:textId="77777777" w:rsidR="001E45D0" w:rsidRPr="00487DFC" w:rsidRDefault="001E45D0" w:rsidP="001E45D0">
            <w:pPr>
              <w:pStyle w:val="TableDataEntries"/>
            </w:pPr>
            <w:r w:rsidRPr="00487DFC">
              <w:t>1</w:t>
            </w:r>
          </w:p>
        </w:tc>
      </w:tr>
      <w:tr w:rsidR="001E45D0" w:rsidRPr="00487DFC" w14:paraId="537A5844"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5A50EA" w14:textId="77777777" w:rsidR="001E45D0" w:rsidRPr="00487DFC" w:rsidRDefault="001E45D0" w:rsidP="001E45D0">
            <w:pPr>
              <w:pStyle w:val="TableDataEntries"/>
              <w:jc w:val="left"/>
            </w:pPr>
            <w:r w:rsidRPr="00487DFC">
              <w:t xml:space="preserve">   not specific</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DF16CB" w14:textId="77777777" w:rsidR="001E45D0" w:rsidRPr="00487DFC" w:rsidRDefault="001E45D0" w:rsidP="001E45D0">
            <w:pPr>
              <w:pStyle w:val="TableDataEntries"/>
            </w:pPr>
            <w:r w:rsidRPr="00487DFC">
              <w:t>1</w:t>
            </w:r>
          </w:p>
        </w:tc>
      </w:tr>
      <w:tr w:rsidR="001E45D0" w:rsidRPr="00487DFC" w14:paraId="4746357E"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98FF79" w14:textId="77777777" w:rsidR="001E45D0" w:rsidRPr="00487DFC" w:rsidRDefault="001E45D0" w:rsidP="001E45D0">
            <w:pPr>
              <w:pStyle w:val="TableDataEntries"/>
              <w:jc w:val="left"/>
            </w:pPr>
            <w:r w:rsidRPr="00487DFC">
              <w:t xml:space="preserve">   position not established</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8D8578" w14:textId="77777777" w:rsidR="001E45D0" w:rsidRPr="00487DFC" w:rsidRDefault="001E45D0" w:rsidP="001E45D0">
            <w:pPr>
              <w:pStyle w:val="TableDataEntries"/>
            </w:pPr>
            <w:r w:rsidRPr="00487DFC">
              <w:t>1</w:t>
            </w:r>
          </w:p>
        </w:tc>
      </w:tr>
      <w:tr w:rsidR="001E45D0" w:rsidRPr="00E85CA7" w14:paraId="00FAACAE"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B7F0800" w14:textId="77777777" w:rsidR="001E45D0" w:rsidRPr="00E85CA7" w:rsidRDefault="001E45D0" w:rsidP="001E45D0">
            <w:pPr>
              <w:pStyle w:val="TableDataEntries"/>
              <w:jc w:val="left"/>
              <w:rPr>
                <w:rFonts w:ascii="Franklin Gothic Demi" w:hAnsi="Franklin Gothic Demi"/>
              </w:rPr>
            </w:pPr>
            <w:r w:rsidRPr="00E85CA7">
              <w:rPr>
                <w:rFonts w:ascii="Franklin Gothic Demi" w:hAnsi="Franklin Gothic Demi"/>
              </w:rPr>
              <w:t>Excavation costs over-estimated</w:t>
            </w:r>
          </w:p>
        </w:tc>
        <w:tc>
          <w:tcPr>
            <w:tcW w:w="172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362D10E" w14:textId="77777777" w:rsidR="001E45D0" w:rsidRPr="00E85CA7" w:rsidRDefault="001E45D0" w:rsidP="001E45D0">
            <w:pPr>
              <w:pStyle w:val="TableDataEntries"/>
              <w:rPr>
                <w:rFonts w:ascii="Franklin Gothic Demi" w:hAnsi="Franklin Gothic Demi"/>
              </w:rPr>
            </w:pPr>
            <w:r w:rsidRPr="00E85CA7">
              <w:rPr>
                <w:rFonts w:ascii="Franklin Gothic Demi" w:hAnsi="Franklin Gothic Demi"/>
              </w:rPr>
              <w:t>12</w:t>
            </w:r>
          </w:p>
        </w:tc>
      </w:tr>
      <w:tr w:rsidR="001E45D0" w:rsidRPr="00487DFC" w14:paraId="3675840A"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BF313B" w14:textId="77777777" w:rsidR="001E45D0" w:rsidRPr="00487DFC" w:rsidRDefault="001E45D0" w:rsidP="001E45D0">
            <w:pPr>
              <w:pStyle w:val="TableDataEntries"/>
              <w:jc w:val="left"/>
            </w:pPr>
            <w:r>
              <w:t xml:space="preserve">   </w:t>
            </w:r>
            <w:r w:rsidRPr="00487DFC">
              <w:t>little or no additional cost</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D069BE" w14:textId="77777777" w:rsidR="001E45D0" w:rsidRPr="00487DFC" w:rsidRDefault="001E45D0" w:rsidP="001E45D0">
            <w:pPr>
              <w:pStyle w:val="TableDataEntries"/>
            </w:pPr>
            <w:r w:rsidRPr="00487DFC">
              <w:t>2</w:t>
            </w:r>
          </w:p>
        </w:tc>
      </w:tr>
      <w:tr w:rsidR="001E45D0" w:rsidRPr="00487DFC" w14:paraId="7411EEEB"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5745E7" w14:textId="77777777" w:rsidR="001E45D0" w:rsidRPr="00487DFC" w:rsidRDefault="001E45D0" w:rsidP="001E45D0">
            <w:pPr>
              <w:pStyle w:val="TableDataEntries"/>
              <w:jc w:val="left"/>
            </w:pPr>
            <w:r>
              <w:t xml:space="preserve">   </w:t>
            </w:r>
            <w:r w:rsidRPr="00487DFC">
              <w:t>excavation required invariant to accessibility</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2199B2" w14:textId="77777777" w:rsidR="001E45D0" w:rsidRPr="00487DFC" w:rsidRDefault="001E45D0" w:rsidP="001E45D0">
            <w:pPr>
              <w:pStyle w:val="TableDataEntries"/>
            </w:pPr>
            <w:r w:rsidRPr="00487DFC">
              <w:t>1</w:t>
            </w:r>
          </w:p>
        </w:tc>
      </w:tr>
      <w:tr w:rsidR="001E45D0" w:rsidRPr="00487DFC" w14:paraId="4CFC046B"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07A27B" w14:textId="77777777" w:rsidR="001E45D0" w:rsidRPr="00487DFC" w:rsidRDefault="001E45D0" w:rsidP="001E45D0">
            <w:pPr>
              <w:pStyle w:val="TableDataEntries"/>
              <w:jc w:val="left"/>
            </w:pPr>
            <w:r>
              <w:t xml:space="preserve">   </w:t>
            </w:r>
            <w:r w:rsidRPr="00487DFC">
              <w:t>alternative design</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1454B" w14:textId="77777777" w:rsidR="001E45D0" w:rsidRPr="00487DFC" w:rsidRDefault="001E45D0" w:rsidP="001E45D0">
            <w:pPr>
              <w:pStyle w:val="TableDataEntries"/>
            </w:pPr>
            <w:r w:rsidRPr="00487DFC">
              <w:t>4</w:t>
            </w:r>
          </w:p>
        </w:tc>
      </w:tr>
      <w:tr w:rsidR="001E45D0" w:rsidRPr="00487DFC" w14:paraId="46A81396"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426338" w14:textId="77777777" w:rsidR="001E45D0" w:rsidRPr="00487DFC" w:rsidRDefault="001E45D0" w:rsidP="001E45D0">
            <w:pPr>
              <w:pStyle w:val="TableDataEntries"/>
              <w:jc w:val="left"/>
            </w:pPr>
            <w:r>
              <w:t xml:space="preserve">   </w:t>
            </w:r>
            <w:r w:rsidRPr="00487DFC">
              <w:t>exemption</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E56031" w14:textId="77777777" w:rsidR="001E45D0" w:rsidRPr="00487DFC" w:rsidRDefault="001E45D0" w:rsidP="001E45D0">
            <w:pPr>
              <w:pStyle w:val="TableDataEntries"/>
            </w:pPr>
            <w:r w:rsidRPr="00487DFC">
              <w:t>4</w:t>
            </w:r>
          </w:p>
        </w:tc>
      </w:tr>
      <w:tr w:rsidR="001E45D0" w:rsidRPr="00487DFC" w14:paraId="1529D914"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044EE3" w14:textId="77777777" w:rsidR="001E45D0" w:rsidRPr="00487DFC" w:rsidRDefault="001E45D0" w:rsidP="001E45D0">
            <w:pPr>
              <w:pStyle w:val="TableDataEntries"/>
              <w:jc w:val="left"/>
            </w:pPr>
            <w:r>
              <w:t xml:space="preserve">   </w:t>
            </w:r>
            <w:r w:rsidRPr="00487DFC">
              <w:t>should not be singled out</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533BCB" w14:textId="77777777" w:rsidR="001E45D0" w:rsidRPr="00487DFC" w:rsidRDefault="001E45D0" w:rsidP="001E45D0">
            <w:pPr>
              <w:pStyle w:val="TableDataEntries"/>
            </w:pPr>
            <w:r w:rsidRPr="00487DFC">
              <w:t>1</w:t>
            </w:r>
          </w:p>
        </w:tc>
      </w:tr>
      <w:tr w:rsidR="001E45D0" w:rsidRPr="00E85CA7" w14:paraId="576E590F"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01799156" w14:textId="77777777" w:rsidR="001E45D0" w:rsidRPr="00E85CA7" w:rsidRDefault="001E45D0" w:rsidP="001E45D0">
            <w:pPr>
              <w:pStyle w:val="TableDataEntries"/>
              <w:jc w:val="left"/>
              <w:rPr>
                <w:rFonts w:ascii="Franklin Gothic Demi" w:hAnsi="Franklin Gothic Demi"/>
              </w:rPr>
            </w:pPr>
            <w:r w:rsidRPr="00E85CA7">
              <w:rPr>
                <w:rFonts w:ascii="Franklin Gothic Demi" w:hAnsi="Franklin Gothic Demi"/>
              </w:rPr>
              <w:t>Excavation costs under-estimated</w:t>
            </w:r>
          </w:p>
        </w:tc>
        <w:tc>
          <w:tcPr>
            <w:tcW w:w="172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2FC94525" w14:textId="77777777" w:rsidR="001E45D0" w:rsidRPr="00E85CA7" w:rsidRDefault="001E45D0" w:rsidP="001E45D0">
            <w:pPr>
              <w:pStyle w:val="TableDataEntries"/>
              <w:rPr>
                <w:rFonts w:ascii="Franklin Gothic Demi" w:hAnsi="Franklin Gothic Demi"/>
              </w:rPr>
            </w:pPr>
            <w:r w:rsidRPr="00E85CA7">
              <w:rPr>
                <w:rFonts w:ascii="Franklin Gothic Demi" w:hAnsi="Franklin Gothic Demi"/>
              </w:rPr>
              <w:t>9</w:t>
            </w:r>
          </w:p>
        </w:tc>
      </w:tr>
      <w:tr w:rsidR="001E45D0" w:rsidRPr="00487DFC" w14:paraId="4E0AAA35"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5B77C4" w14:textId="77777777" w:rsidR="001E45D0" w:rsidRPr="00487DFC" w:rsidRDefault="001E45D0" w:rsidP="001E45D0">
            <w:pPr>
              <w:pStyle w:val="TableDataEntries"/>
              <w:jc w:val="left"/>
            </w:pPr>
            <w:r>
              <w:t xml:space="preserve">   </w:t>
            </w:r>
            <w:r w:rsidRPr="00487DFC">
              <w:t>not enough</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E7E29" w14:textId="77777777" w:rsidR="001E45D0" w:rsidRPr="00487DFC" w:rsidRDefault="001E45D0" w:rsidP="001E45D0">
            <w:pPr>
              <w:pStyle w:val="TableDataEntries"/>
            </w:pPr>
            <w:r w:rsidRPr="00487DFC">
              <w:t>5</w:t>
            </w:r>
          </w:p>
        </w:tc>
      </w:tr>
      <w:tr w:rsidR="001E45D0" w:rsidRPr="00487DFC" w14:paraId="2D830B7F"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309FC1" w14:textId="77777777" w:rsidR="001E45D0" w:rsidRPr="00487DFC" w:rsidRDefault="001E45D0" w:rsidP="001E45D0">
            <w:pPr>
              <w:pStyle w:val="TableDataEntries"/>
              <w:jc w:val="left"/>
            </w:pPr>
            <w:r>
              <w:t xml:space="preserve">   </w:t>
            </w:r>
            <w:r w:rsidRPr="00487DFC">
              <w:t>site variation</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6D6331" w14:textId="77777777" w:rsidR="001E45D0" w:rsidRPr="00487DFC" w:rsidRDefault="001E45D0" w:rsidP="001E45D0">
            <w:pPr>
              <w:pStyle w:val="TableDataEntries"/>
            </w:pPr>
            <w:r w:rsidRPr="00487DFC">
              <w:t>4</w:t>
            </w:r>
          </w:p>
        </w:tc>
      </w:tr>
      <w:tr w:rsidR="001E45D0" w:rsidRPr="00E85CA7" w14:paraId="5DB347ED"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175CBF8F" w14:textId="77777777" w:rsidR="001E45D0" w:rsidRPr="00E85CA7" w:rsidRDefault="001E45D0" w:rsidP="001E45D0">
            <w:pPr>
              <w:pStyle w:val="TableDataEntries"/>
              <w:jc w:val="left"/>
              <w:rPr>
                <w:rFonts w:ascii="Franklin Gothic Demi" w:hAnsi="Franklin Gothic Demi"/>
              </w:rPr>
            </w:pPr>
            <w:r w:rsidRPr="00E85CA7">
              <w:rPr>
                <w:rFonts w:ascii="Franklin Gothic Demi" w:hAnsi="Franklin Gothic Demi"/>
              </w:rPr>
              <w:t>Other</w:t>
            </w:r>
          </w:p>
        </w:tc>
        <w:tc>
          <w:tcPr>
            <w:tcW w:w="172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tcPr>
          <w:p w14:paraId="5C2DA22C" w14:textId="77777777" w:rsidR="001E45D0" w:rsidRPr="00E85CA7" w:rsidRDefault="001E45D0" w:rsidP="001E45D0">
            <w:pPr>
              <w:pStyle w:val="TableDataEntries"/>
              <w:rPr>
                <w:rFonts w:ascii="Franklin Gothic Demi" w:hAnsi="Franklin Gothic Demi"/>
              </w:rPr>
            </w:pPr>
            <w:r w:rsidRPr="00E85CA7">
              <w:rPr>
                <w:rFonts w:ascii="Franklin Gothic Demi" w:hAnsi="Franklin Gothic Demi"/>
              </w:rPr>
              <w:t>3</w:t>
            </w:r>
          </w:p>
        </w:tc>
      </w:tr>
      <w:tr w:rsidR="001E45D0" w:rsidRPr="00487DFC" w14:paraId="7553442D"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DB360D" w14:textId="77777777" w:rsidR="001E45D0" w:rsidRPr="00487DFC" w:rsidRDefault="001E45D0" w:rsidP="001E45D0">
            <w:pPr>
              <w:pStyle w:val="TableDataEntries"/>
              <w:jc w:val="left"/>
            </w:pPr>
            <w:r>
              <w:t xml:space="preserve">   </w:t>
            </w:r>
            <w:r w:rsidRPr="00487DFC">
              <w:t>too many variables</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B55A3B" w14:textId="77777777" w:rsidR="001E45D0" w:rsidRPr="00487DFC" w:rsidRDefault="001E45D0" w:rsidP="001E45D0">
            <w:pPr>
              <w:pStyle w:val="TableDataEntries"/>
            </w:pPr>
            <w:r w:rsidRPr="00487DFC">
              <w:t>1</w:t>
            </w:r>
          </w:p>
        </w:tc>
      </w:tr>
      <w:tr w:rsidR="001E45D0" w:rsidRPr="00487DFC" w14:paraId="085BB7B2" w14:textId="77777777" w:rsidTr="001E45D0">
        <w:trPr>
          <w:trHeight w:val="252"/>
        </w:trPr>
        <w:tc>
          <w:tcPr>
            <w:tcW w:w="62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6B5BC6" w14:textId="77777777" w:rsidR="001E45D0" w:rsidRPr="00487DFC" w:rsidRDefault="001E45D0" w:rsidP="001E45D0">
            <w:pPr>
              <w:pStyle w:val="TableDataEntries"/>
              <w:jc w:val="left"/>
            </w:pPr>
            <w:r>
              <w:t xml:space="preserve">   </w:t>
            </w:r>
            <w:r w:rsidRPr="00487DFC">
              <w:t>hard to estimate</w:t>
            </w:r>
          </w:p>
        </w:tc>
        <w:tc>
          <w:tcPr>
            <w:tcW w:w="17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AC8449" w14:textId="77777777" w:rsidR="001E45D0" w:rsidRPr="00487DFC" w:rsidRDefault="001E45D0" w:rsidP="001E45D0">
            <w:pPr>
              <w:pStyle w:val="TableDataEntries"/>
            </w:pPr>
            <w:r w:rsidRPr="00487DFC">
              <w:t>1</w:t>
            </w:r>
          </w:p>
        </w:tc>
      </w:tr>
      <w:tr w:rsidR="001E45D0" w:rsidRPr="00487DFC" w14:paraId="3CFBF15A" w14:textId="77777777" w:rsidTr="001E45D0">
        <w:trPr>
          <w:trHeight w:val="252"/>
        </w:trPr>
        <w:tc>
          <w:tcPr>
            <w:tcW w:w="621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1A2CC9B" w14:textId="77777777" w:rsidR="001E45D0" w:rsidRPr="00487DFC" w:rsidRDefault="001E45D0" w:rsidP="001E45D0">
            <w:pPr>
              <w:pStyle w:val="TableDataEntries"/>
              <w:jc w:val="left"/>
            </w:pPr>
            <w:r>
              <w:t xml:space="preserve">   </w:t>
            </w:r>
            <w:r w:rsidRPr="00487DFC">
              <w:t>industry provided</w:t>
            </w:r>
          </w:p>
        </w:tc>
        <w:tc>
          <w:tcPr>
            <w:tcW w:w="172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D901ED7" w14:textId="77777777" w:rsidR="001E45D0" w:rsidRPr="00487DFC" w:rsidRDefault="001E45D0" w:rsidP="001E45D0">
            <w:pPr>
              <w:pStyle w:val="TableDataEntries"/>
            </w:pPr>
            <w:r w:rsidRPr="00487DFC">
              <w:t>1</w:t>
            </w:r>
          </w:p>
        </w:tc>
      </w:tr>
    </w:tbl>
    <w:p w14:paraId="2866DBF8" w14:textId="77777777" w:rsidR="001E45D0" w:rsidRPr="00E94313" w:rsidRDefault="001E45D0" w:rsidP="001E45D0">
      <w:pPr>
        <w:pStyle w:val="Note"/>
        <w:rPr>
          <w:iCs/>
          <w:lang w:bidi="fa-IR"/>
        </w:rPr>
      </w:pPr>
      <w:r w:rsidRPr="00E94313">
        <w:rPr>
          <w:iCs/>
        </w:rPr>
        <w:t>Note: The number of counts is different to the number of submissions as some submissions provided multiple reasons.</w:t>
      </w:r>
    </w:p>
    <w:p w14:paraId="0D117D82" w14:textId="77777777" w:rsidR="001E45D0" w:rsidRPr="00E94313" w:rsidRDefault="001E45D0" w:rsidP="001E45D0">
      <w:pPr>
        <w:pStyle w:val="Source"/>
        <w:rPr>
          <w:iCs/>
          <w:lang w:bidi="fa-IR"/>
        </w:rPr>
      </w:pPr>
      <w:r w:rsidRPr="00E94313">
        <w:rPr>
          <w:iCs/>
          <w:lang w:bidi="fa-IR"/>
        </w:rPr>
        <w:t>Source: Consultation Hub</w:t>
      </w:r>
      <w:r w:rsidR="00CD1DA9">
        <w:rPr>
          <w:iCs/>
          <w:lang w:bidi="fa-IR"/>
        </w:rPr>
        <w:t>.</w:t>
      </w:r>
    </w:p>
    <w:p w14:paraId="7308917B" w14:textId="77777777" w:rsidR="001E45D0" w:rsidRDefault="001E45D0" w:rsidP="001E45D0">
      <w:pPr>
        <w:pStyle w:val="BodyText"/>
        <w:rPr>
          <w:lang w:bidi="fa-IR"/>
        </w:rPr>
      </w:pPr>
      <w:r>
        <w:rPr>
          <w:lang w:bidi="fa-IR"/>
        </w:rPr>
        <w:t xml:space="preserve">Reasons for not agreeing with the excavation cost estimates in the </w:t>
      </w:r>
      <w:r w:rsidR="009E7509">
        <w:rPr>
          <w:lang w:bidi="fa-IR"/>
        </w:rPr>
        <w:t xml:space="preserve">Consultation </w:t>
      </w:r>
      <w:r>
        <w:rPr>
          <w:lang w:bidi="fa-IR"/>
        </w:rPr>
        <w:t>RIS include:</w:t>
      </w:r>
    </w:p>
    <w:p w14:paraId="2AC210CC" w14:textId="77777777" w:rsidR="001E45D0" w:rsidRDefault="001E45D0" w:rsidP="001E45D0">
      <w:pPr>
        <w:pStyle w:val="ListBullet"/>
        <w:rPr>
          <w:lang w:bidi="fa-IR"/>
        </w:rPr>
      </w:pPr>
      <w:r>
        <w:rPr>
          <w:lang w:bidi="fa-IR"/>
        </w:rPr>
        <w:t>costing being provided by industry subcontractors</w:t>
      </w:r>
    </w:p>
    <w:p w14:paraId="720B3859" w14:textId="77777777" w:rsidR="001E45D0" w:rsidRDefault="001E45D0" w:rsidP="001E45D0">
      <w:pPr>
        <w:pStyle w:val="ListBullet"/>
        <w:rPr>
          <w:lang w:bidi="fa-IR"/>
        </w:rPr>
      </w:pPr>
      <w:r>
        <w:rPr>
          <w:lang w:bidi="fa-IR"/>
        </w:rPr>
        <w:lastRenderedPageBreak/>
        <w:t>site conditions vary dramatically, e.g. location and soil type, and thus not appropriate for an average</w:t>
      </w:r>
    </w:p>
    <w:p w14:paraId="337DB128" w14:textId="77777777" w:rsidR="001E45D0" w:rsidRDefault="001E45D0" w:rsidP="001E45D0">
      <w:pPr>
        <w:pStyle w:val="ListBullet"/>
        <w:rPr>
          <w:lang w:bidi="fa-IR"/>
        </w:rPr>
      </w:pPr>
      <w:r>
        <w:rPr>
          <w:lang w:bidi="fa-IR"/>
        </w:rPr>
        <w:t>cost estimate is understated – a number of submissions provided very different alternative estimates</w:t>
      </w:r>
      <w:r w:rsidR="00C41F95">
        <w:rPr>
          <w:lang w:bidi="fa-IR"/>
        </w:rPr>
        <w:t>;</w:t>
      </w:r>
      <w:r>
        <w:rPr>
          <w:lang w:bidi="fa-IR"/>
        </w:rPr>
        <w:t xml:space="preserve"> for example</w:t>
      </w:r>
      <w:r w:rsidR="00CD1DA9">
        <w:rPr>
          <w:lang w:bidi="fa-IR"/>
        </w:rPr>
        <w:t>:</w:t>
      </w:r>
      <w:r>
        <w:rPr>
          <w:lang w:bidi="fa-IR"/>
        </w:rPr>
        <w:t xml:space="preserve"> </w:t>
      </w:r>
    </w:p>
    <w:p w14:paraId="78022B10" w14:textId="77777777" w:rsidR="001E45D0" w:rsidRDefault="001E45D0" w:rsidP="001E45D0">
      <w:pPr>
        <w:pStyle w:val="ListBullet2"/>
        <w:rPr>
          <w:lang w:bidi="fa-IR"/>
        </w:rPr>
      </w:pPr>
      <w:r>
        <w:rPr>
          <w:lang w:bidi="fa-IR"/>
        </w:rPr>
        <w:t>bulk and detailed excavation cost $2</w:t>
      </w:r>
      <w:r w:rsidR="008C0CAA">
        <w:rPr>
          <w:lang w:bidi="fa-IR"/>
        </w:rPr>
        <w:t> </w:t>
      </w:r>
      <w:r>
        <w:rPr>
          <w:lang w:bidi="fa-IR"/>
        </w:rPr>
        <w:t>750 without rock excavation and retaining walls only would cost $60</w:t>
      </w:r>
      <w:r w:rsidR="008C0CAA">
        <w:rPr>
          <w:lang w:bidi="fa-IR"/>
        </w:rPr>
        <w:t> </w:t>
      </w:r>
      <w:r>
        <w:rPr>
          <w:lang w:bidi="fa-IR"/>
        </w:rPr>
        <w:t>000 on a 10</w:t>
      </w:r>
      <w:r w:rsidR="00CB5AE2">
        <w:rPr>
          <w:lang w:bidi="fa-IR"/>
        </w:rPr>
        <w:t xml:space="preserve"> to </w:t>
      </w:r>
      <w:r>
        <w:rPr>
          <w:lang w:bidi="fa-IR"/>
        </w:rPr>
        <w:t>15 per cent sloping lot</w:t>
      </w:r>
      <w:r w:rsidR="008C0CAA">
        <w:rPr>
          <w:rStyle w:val="FootnoteReference"/>
          <w:lang w:bidi="fa-IR"/>
        </w:rPr>
        <w:footnoteReference w:id="373"/>
      </w:r>
    </w:p>
    <w:p w14:paraId="063AF55C" w14:textId="77777777" w:rsidR="001E45D0" w:rsidRDefault="001E45D0" w:rsidP="001E45D0">
      <w:pPr>
        <w:pStyle w:val="ListBullet2"/>
        <w:rPr>
          <w:lang w:bidi="fa-IR"/>
        </w:rPr>
      </w:pPr>
      <w:r w:rsidRPr="005B1CA5">
        <w:rPr>
          <w:lang w:bidi="fa-IR"/>
        </w:rPr>
        <w:t>inadequate cost estimate of the extra excavation</w:t>
      </w:r>
      <w:r>
        <w:rPr>
          <w:lang w:bidi="fa-IR"/>
        </w:rPr>
        <w:t>, which</w:t>
      </w:r>
      <w:r w:rsidRPr="005B1CA5">
        <w:rPr>
          <w:lang w:bidi="fa-IR"/>
        </w:rPr>
        <w:t xml:space="preserve"> should be in the range of $20</w:t>
      </w:r>
      <w:r w:rsidR="009F0D2E">
        <w:rPr>
          <w:lang w:bidi="fa-IR"/>
        </w:rPr>
        <w:t> </w:t>
      </w:r>
      <w:r>
        <w:rPr>
          <w:lang w:bidi="fa-IR"/>
        </w:rPr>
        <w:t>000 to</w:t>
      </w:r>
      <w:r w:rsidRPr="005B1CA5">
        <w:rPr>
          <w:lang w:bidi="fa-IR"/>
        </w:rPr>
        <w:t xml:space="preserve"> $50</w:t>
      </w:r>
      <w:r w:rsidR="009F0D2E">
        <w:rPr>
          <w:lang w:bidi="fa-IR"/>
        </w:rPr>
        <w:t> </w:t>
      </w:r>
      <w:r>
        <w:rPr>
          <w:lang w:bidi="fa-IR"/>
        </w:rPr>
        <w:t>000</w:t>
      </w:r>
      <w:r w:rsidRPr="005B1CA5">
        <w:rPr>
          <w:lang w:bidi="fa-IR"/>
        </w:rPr>
        <w:t xml:space="preserve"> per lot</w:t>
      </w:r>
    </w:p>
    <w:p w14:paraId="1EE3774E" w14:textId="77777777" w:rsidR="001E45D0" w:rsidRDefault="00A54026" w:rsidP="001E45D0">
      <w:pPr>
        <w:pStyle w:val="ListBullet2"/>
        <w:rPr>
          <w:lang w:bidi="fa-IR"/>
        </w:rPr>
      </w:pPr>
      <w:r>
        <w:rPr>
          <w:lang w:bidi="fa-IR"/>
        </w:rPr>
        <w:t>It was</w:t>
      </w:r>
      <w:r w:rsidR="001E45D0" w:rsidRPr="009B3E59">
        <w:rPr>
          <w:lang w:bidi="fa-IR"/>
        </w:rPr>
        <w:t xml:space="preserve"> found that the costs would be </w:t>
      </w:r>
      <w:r w:rsidR="001E45D0">
        <w:rPr>
          <w:lang w:bidi="fa-IR"/>
        </w:rPr>
        <w:t xml:space="preserve">between </w:t>
      </w:r>
      <w:r w:rsidR="001E45D0" w:rsidRPr="009B3E59">
        <w:rPr>
          <w:lang w:bidi="fa-IR"/>
        </w:rPr>
        <w:t>$36</w:t>
      </w:r>
      <w:r w:rsidR="00C41F95">
        <w:rPr>
          <w:lang w:bidi="fa-IR"/>
        </w:rPr>
        <w:t xml:space="preserve"> </w:t>
      </w:r>
      <w:r w:rsidR="001E45D0" w:rsidRPr="009B3E59">
        <w:rPr>
          <w:lang w:bidi="fa-IR"/>
        </w:rPr>
        <w:t xml:space="preserve">500 </w:t>
      </w:r>
      <w:r w:rsidR="001E45D0">
        <w:rPr>
          <w:lang w:bidi="fa-IR"/>
        </w:rPr>
        <w:t>and</w:t>
      </w:r>
      <w:r w:rsidR="001E45D0" w:rsidRPr="009B3E59">
        <w:rPr>
          <w:lang w:bidi="fa-IR"/>
        </w:rPr>
        <w:t xml:space="preserve"> $41</w:t>
      </w:r>
      <w:r w:rsidR="00C41F95">
        <w:rPr>
          <w:lang w:bidi="fa-IR"/>
        </w:rPr>
        <w:t xml:space="preserve"> </w:t>
      </w:r>
      <w:r w:rsidR="001E45D0" w:rsidRPr="009B3E59">
        <w:rPr>
          <w:lang w:bidi="fa-IR"/>
        </w:rPr>
        <w:t xml:space="preserve">000 per apartment pending ground conditions and water table heights. </w:t>
      </w:r>
      <w:r w:rsidR="001E45D0">
        <w:rPr>
          <w:lang w:bidi="fa-IR"/>
        </w:rPr>
        <w:t xml:space="preserve">For example, </w:t>
      </w:r>
      <w:r w:rsidR="001E45D0" w:rsidRPr="009B3E59">
        <w:rPr>
          <w:lang w:bidi="fa-IR"/>
        </w:rPr>
        <w:t>Dee Why city centre would see costs escalate to over $100</w:t>
      </w:r>
      <w:r w:rsidR="00C41F95">
        <w:rPr>
          <w:lang w:bidi="fa-IR"/>
        </w:rPr>
        <w:t xml:space="preserve"> </w:t>
      </w:r>
      <w:r w:rsidR="001E45D0">
        <w:rPr>
          <w:lang w:bidi="fa-IR"/>
        </w:rPr>
        <w:t>000</w:t>
      </w:r>
      <w:r w:rsidR="001E45D0" w:rsidRPr="009B3E59">
        <w:rPr>
          <w:lang w:bidi="fa-IR"/>
        </w:rPr>
        <w:t xml:space="preserve"> per car spot due to the adverse soil conditions and construction implications due to hydrostatic uplift and flood management</w:t>
      </w:r>
      <w:r w:rsidR="00DC2F5B">
        <w:rPr>
          <w:lang w:bidi="fa-IR"/>
        </w:rPr>
        <w:t>.</w:t>
      </w:r>
    </w:p>
    <w:p w14:paraId="1764BD9C" w14:textId="77777777" w:rsidR="001E45D0" w:rsidRDefault="001E45D0" w:rsidP="001E45D0">
      <w:pPr>
        <w:pStyle w:val="ListBullet"/>
        <w:rPr>
          <w:lang w:bidi="fa-IR"/>
        </w:rPr>
      </w:pPr>
      <w:r>
        <w:rPr>
          <w:lang w:bidi="fa-IR"/>
        </w:rPr>
        <w:t>people with a disability not wanting to live on a sloping lot</w:t>
      </w:r>
      <w:r w:rsidR="00FE0B42">
        <w:rPr>
          <w:lang w:bidi="fa-IR"/>
        </w:rPr>
        <w:t>,</w:t>
      </w:r>
      <w:r>
        <w:rPr>
          <w:lang w:bidi="fa-IR"/>
        </w:rPr>
        <w:t xml:space="preserve"> so no excavation required</w:t>
      </w:r>
    </w:p>
    <w:p w14:paraId="0ECACE16" w14:textId="77777777" w:rsidR="001E45D0" w:rsidRDefault="001E45D0" w:rsidP="001E45D0">
      <w:pPr>
        <w:pStyle w:val="ListBullet"/>
        <w:rPr>
          <w:lang w:bidi="fa-IR"/>
        </w:rPr>
      </w:pPr>
      <w:r>
        <w:rPr>
          <w:lang w:bidi="fa-IR"/>
        </w:rPr>
        <w:t xml:space="preserve">excavation cost </w:t>
      </w:r>
      <w:r w:rsidR="00FE0B42">
        <w:rPr>
          <w:lang w:bidi="fa-IR"/>
        </w:rPr>
        <w:t>is</w:t>
      </w:r>
      <w:r>
        <w:rPr>
          <w:lang w:bidi="fa-IR"/>
        </w:rPr>
        <w:t xml:space="preserve"> one of many cost items and should not be singled out</w:t>
      </w:r>
    </w:p>
    <w:p w14:paraId="1550CF40" w14:textId="77777777" w:rsidR="001E45D0" w:rsidRDefault="001E45D0" w:rsidP="001E45D0">
      <w:pPr>
        <w:pStyle w:val="ListBullet"/>
        <w:rPr>
          <w:lang w:bidi="fa-IR"/>
        </w:rPr>
      </w:pPr>
      <w:r>
        <w:rPr>
          <w:lang w:bidi="fa-IR"/>
        </w:rPr>
        <w:t xml:space="preserve">difficult sites could be exempted under the proposed changes to </w:t>
      </w:r>
      <w:r w:rsidR="00FE0B42">
        <w:rPr>
          <w:lang w:bidi="fa-IR"/>
        </w:rPr>
        <w:t xml:space="preserve">the </w:t>
      </w:r>
      <w:r>
        <w:rPr>
          <w:lang w:bidi="fa-IR"/>
        </w:rPr>
        <w:t>NCC, and most volume housing developers favour flat sites for other reasons</w:t>
      </w:r>
    </w:p>
    <w:p w14:paraId="582B9900" w14:textId="77777777" w:rsidR="001E45D0" w:rsidRDefault="001E45D0" w:rsidP="001E45D0">
      <w:pPr>
        <w:pStyle w:val="ListBullet"/>
        <w:rPr>
          <w:lang w:bidi="fa-IR"/>
        </w:rPr>
      </w:pPr>
      <w:r>
        <w:rPr>
          <w:lang w:bidi="fa-IR"/>
        </w:rPr>
        <w:t>excavation cost could be avoided by careful design and better site preparation, e.g. a driveway to the carport</w:t>
      </w:r>
    </w:p>
    <w:p w14:paraId="1B996B2C" w14:textId="77777777" w:rsidR="001E45D0" w:rsidRDefault="001E45D0" w:rsidP="001E45D0">
      <w:pPr>
        <w:pStyle w:val="ListBullet"/>
        <w:rPr>
          <w:lang w:bidi="fa-IR"/>
        </w:rPr>
      </w:pPr>
      <w:r>
        <w:rPr>
          <w:lang w:bidi="fa-IR"/>
        </w:rPr>
        <w:t xml:space="preserve">a degree of excavation is required for a standard home and </w:t>
      </w:r>
      <w:r w:rsidR="00FE0B42">
        <w:rPr>
          <w:lang w:bidi="fa-IR"/>
        </w:rPr>
        <w:t xml:space="preserve">is </w:t>
      </w:r>
      <w:r>
        <w:rPr>
          <w:lang w:bidi="fa-IR"/>
        </w:rPr>
        <w:t>not necessarily an additional cost to be accessible</w:t>
      </w:r>
      <w:r w:rsidR="000238B4">
        <w:rPr>
          <w:lang w:bidi="fa-IR"/>
        </w:rPr>
        <w:t>.</w:t>
      </w:r>
    </w:p>
    <w:p w14:paraId="67B1261D" w14:textId="77777777" w:rsidR="001E45D0" w:rsidRPr="00F4477B" w:rsidRDefault="001E45D0" w:rsidP="00F4477B">
      <w:pPr>
        <w:pStyle w:val="Heading3-Appendix"/>
      </w:pPr>
      <w:r w:rsidRPr="00F4477B">
        <w:t>Transition cost</w:t>
      </w:r>
    </w:p>
    <w:p w14:paraId="12100A0B" w14:textId="77777777" w:rsidR="008E67D6" w:rsidRDefault="001E45D0" w:rsidP="001E45D0">
      <w:pPr>
        <w:pStyle w:val="BodyText"/>
        <w:rPr>
          <w:lang w:bidi="fa-IR"/>
        </w:rPr>
      </w:pPr>
      <w:r>
        <w:rPr>
          <w:lang w:bidi="fa-IR"/>
        </w:rPr>
        <w:t xml:space="preserve">Some submissions pointed out that some transition costs </w:t>
      </w:r>
      <w:r w:rsidR="00FE0B42">
        <w:rPr>
          <w:lang w:bidi="fa-IR"/>
        </w:rPr>
        <w:t xml:space="preserve">for industry </w:t>
      </w:r>
      <w:r w:rsidR="008A40D1">
        <w:rPr>
          <w:lang w:bidi="fa-IR"/>
        </w:rPr>
        <w:t>were</w:t>
      </w:r>
      <w:r>
        <w:rPr>
          <w:lang w:bidi="fa-IR"/>
        </w:rPr>
        <w:t xml:space="preserve"> not considered or </w:t>
      </w:r>
      <w:r w:rsidR="008A40D1">
        <w:rPr>
          <w:lang w:bidi="fa-IR"/>
        </w:rPr>
        <w:t xml:space="preserve">were </w:t>
      </w:r>
      <w:r>
        <w:rPr>
          <w:lang w:bidi="fa-IR"/>
        </w:rPr>
        <w:t xml:space="preserve">underestimated in the </w:t>
      </w:r>
      <w:r w:rsidR="009E7509">
        <w:rPr>
          <w:lang w:bidi="fa-IR"/>
        </w:rPr>
        <w:t xml:space="preserve">Consultation </w:t>
      </w:r>
      <w:r>
        <w:rPr>
          <w:lang w:bidi="fa-IR"/>
        </w:rPr>
        <w:t>RIS</w:t>
      </w:r>
      <w:r w:rsidR="00FE0B42">
        <w:rPr>
          <w:lang w:bidi="fa-IR"/>
        </w:rPr>
        <w:t>;</w:t>
      </w:r>
      <w:r>
        <w:rPr>
          <w:lang w:bidi="fa-IR"/>
        </w:rPr>
        <w:t xml:space="preserve"> for example,</w:t>
      </w:r>
    </w:p>
    <w:p w14:paraId="0C5E03DE" w14:textId="77777777" w:rsidR="008E67D6" w:rsidRDefault="001E45D0" w:rsidP="008E67D6">
      <w:pPr>
        <w:pStyle w:val="ListBullet"/>
        <w:rPr>
          <w:lang w:bidi="fa-IR"/>
        </w:rPr>
      </w:pPr>
      <w:r w:rsidRPr="0045692D">
        <w:rPr>
          <w:lang w:bidi="fa-IR"/>
        </w:rPr>
        <w:t>costs in R&amp;D and rework on new designs</w:t>
      </w:r>
    </w:p>
    <w:p w14:paraId="0DC71426" w14:textId="77777777" w:rsidR="008E67D6" w:rsidRDefault="001E45D0" w:rsidP="008E67D6">
      <w:pPr>
        <w:pStyle w:val="ListBullet"/>
        <w:rPr>
          <w:lang w:bidi="fa-IR"/>
        </w:rPr>
      </w:pPr>
      <w:r w:rsidRPr="0045692D">
        <w:rPr>
          <w:lang w:bidi="fa-IR"/>
        </w:rPr>
        <w:t>working drawings</w:t>
      </w:r>
    </w:p>
    <w:p w14:paraId="295CA7A2" w14:textId="77777777" w:rsidR="008E67D6" w:rsidRDefault="001E45D0" w:rsidP="008E67D6">
      <w:pPr>
        <w:pStyle w:val="ListBullet"/>
        <w:rPr>
          <w:lang w:bidi="fa-IR"/>
        </w:rPr>
      </w:pPr>
      <w:r w:rsidRPr="0045692D">
        <w:rPr>
          <w:lang w:bidi="fa-IR"/>
        </w:rPr>
        <w:t xml:space="preserve">brochures, </w:t>
      </w:r>
      <w:r w:rsidR="008E67D6">
        <w:rPr>
          <w:lang w:bidi="fa-IR"/>
        </w:rPr>
        <w:t xml:space="preserve">and </w:t>
      </w:r>
    </w:p>
    <w:p w14:paraId="6297C3AC" w14:textId="77777777" w:rsidR="00740F5A" w:rsidRDefault="001E45D0" w:rsidP="008E67D6">
      <w:pPr>
        <w:pStyle w:val="ListBullet"/>
        <w:rPr>
          <w:lang w:bidi="fa-IR"/>
        </w:rPr>
      </w:pPr>
      <w:r w:rsidRPr="0045692D">
        <w:rPr>
          <w:lang w:bidi="fa-IR"/>
        </w:rPr>
        <w:t>website updates</w:t>
      </w:r>
      <w:r>
        <w:rPr>
          <w:lang w:bidi="fa-IR"/>
        </w:rPr>
        <w:t>.</w:t>
      </w:r>
      <w:r w:rsidR="005F11C7">
        <w:rPr>
          <w:rStyle w:val="FootnoteReference"/>
          <w:lang w:bidi="fa-IR"/>
        </w:rPr>
        <w:footnoteReference w:id="374"/>
      </w:r>
      <w:r>
        <w:rPr>
          <w:lang w:bidi="fa-IR"/>
        </w:rPr>
        <w:t xml:space="preserve"> </w:t>
      </w:r>
    </w:p>
    <w:p w14:paraId="733A84CF" w14:textId="77777777" w:rsidR="001E45D0" w:rsidRDefault="001E45D0" w:rsidP="00740F5A">
      <w:pPr>
        <w:pStyle w:val="BodyText"/>
        <w:rPr>
          <w:lang w:bidi="fa-IR"/>
        </w:rPr>
      </w:pPr>
      <w:r>
        <w:rPr>
          <w:lang w:bidi="fa-IR"/>
        </w:rPr>
        <w:t xml:space="preserve">There are transition costs associated with </w:t>
      </w:r>
      <w:r w:rsidRPr="00F16B89">
        <w:rPr>
          <w:lang w:bidi="fa-IR"/>
        </w:rPr>
        <w:t>reconfigur</w:t>
      </w:r>
      <w:r>
        <w:rPr>
          <w:lang w:bidi="fa-IR"/>
        </w:rPr>
        <w:t>ation</w:t>
      </w:r>
      <w:r w:rsidRPr="00F16B89">
        <w:rPr>
          <w:lang w:bidi="fa-IR"/>
        </w:rPr>
        <w:t xml:space="preserve"> and align</w:t>
      </w:r>
      <w:r>
        <w:rPr>
          <w:lang w:bidi="fa-IR"/>
        </w:rPr>
        <w:t>ment of</w:t>
      </w:r>
      <w:r w:rsidRPr="00F16B89">
        <w:rPr>
          <w:lang w:bidi="fa-IR"/>
        </w:rPr>
        <w:t xml:space="preserve"> building footprint</w:t>
      </w:r>
      <w:r>
        <w:rPr>
          <w:lang w:bidi="fa-IR"/>
        </w:rPr>
        <w:t>s</w:t>
      </w:r>
      <w:r w:rsidRPr="00F16B89">
        <w:rPr>
          <w:lang w:bidi="fa-IR"/>
        </w:rPr>
        <w:t xml:space="preserve"> and lot dimensions</w:t>
      </w:r>
      <w:r>
        <w:rPr>
          <w:lang w:bidi="fa-IR"/>
        </w:rPr>
        <w:t xml:space="preserve"> (WA Department of Communities Housing Advisory Unit).</w:t>
      </w:r>
      <w:r w:rsidR="00BF10BC" w:rsidRPr="00740F5A">
        <w:footnoteReference w:id="375"/>
      </w:r>
    </w:p>
    <w:p w14:paraId="2705E58C" w14:textId="77777777" w:rsidR="001E45D0" w:rsidRDefault="001E45D0" w:rsidP="001E45D0">
      <w:pPr>
        <w:pStyle w:val="BodyText"/>
        <w:rPr>
          <w:lang w:bidi="fa-IR"/>
        </w:rPr>
      </w:pPr>
      <w:r>
        <w:rPr>
          <w:lang w:bidi="fa-IR"/>
        </w:rPr>
        <w:t>Changing a standard form design has impacts not only on design costs (around $5 000</w:t>
      </w:r>
      <w:r w:rsidR="00186F97">
        <w:rPr>
          <w:lang w:bidi="fa-IR"/>
        </w:rPr>
        <w:t xml:space="preserve"> to </w:t>
      </w:r>
      <w:r>
        <w:rPr>
          <w:lang w:bidi="fa-IR"/>
        </w:rPr>
        <w:t xml:space="preserve">$8 000 per design according to AusBuild), but also on construction, marketing and </w:t>
      </w:r>
      <w:r>
        <w:rPr>
          <w:lang w:bidi="fa-IR"/>
        </w:rPr>
        <w:lastRenderedPageBreak/>
        <w:t>sales.</w:t>
      </w:r>
      <w:r w:rsidR="00640FE2">
        <w:rPr>
          <w:rStyle w:val="FootnoteReference"/>
          <w:lang w:bidi="fa-IR"/>
        </w:rPr>
        <w:footnoteReference w:id="376"/>
      </w:r>
      <w:r>
        <w:rPr>
          <w:lang w:bidi="fa-IR"/>
        </w:rPr>
        <w:t xml:space="preserve"> Transition of adjusting lot configuration and sizes, to accommodate changes to dwellings will take 3-5 years. Some builders and developers have indicated to </w:t>
      </w:r>
      <w:r w:rsidR="001824DE">
        <w:rPr>
          <w:lang w:bidi="fa-IR"/>
        </w:rPr>
        <w:t>Housing Industry Association (</w:t>
      </w:r>
      <w:r>
        <w:rPr>
          <w:lang w:bidi="fa-IR"/>
        </w:rPr>
        <w:t>HIA</w:t>
      </w:r>
      <w:r w:rsidR="001824DE">
        <w:rPr>
          <w:lang w:bidi="fa-IR"/>
        </w:rPr>
        <w:t>)</w:t>
      </w:r>
      <w:r>
        <w:rPr>
          <w:lang w:bidi="fa-IR"/>
        </w:rPr>
        <w:t xml:space="preserve"> that these tran</w:t>
      </w:r>
      <w:r w:rsidR="00A33901">
        <w:rPr>
          <w:lang w:bidi="fa-IR"/>
        </w:rPr>
        <w:t>si</w:t>
      </w:r>
      <w:r>
        <w:rPr>
          <w:lang w:bidi="fa-IR"/>
        </w:rPr>
        <w:t>tion costs may be higher than physical construction costs.</w:t>
      </w:r>
      <w:r w:rsidR="001824DE">
        <w:rPr>
          <w:rStyle w:val="FootnoteReference"/>
          <w:lang w:bidi="fa-IR"/>
        </w:rPr>
        <w:footnoteReference w:id="377"/>
      </w:r>
    </w:p>
    <w:p w14:paraId="2843F883" w14:textId="77777777" w:rsidR="001E45D0" w:rsidRDefault="005B3D0D" w:rsidP="001E45D0">
      <w:pPr>
        <w:pStyle w:val="BodyText"/>
        <w:rPr>
          <w:lang w:bidi="fa-IR"/>
        </w:rPr>
      </w:pPr>
      <w:r>
        <w:rPr>
          <w:lang w:bidi="fa-IR"/>
        </w:rPr>
        <w:t>Wilson Homes Tasmania</w:t>
      </w:r>
      <w:r w:rsidRPr="00745869">
        <w:rPr>
          <w:lang w:bidi="fa-IR"/>
        </w:rPr>
        <w:t xml:space="preserve"> </w:t>
      </w:r>
      <w:r>
        <w:rPr>
          <w:lang w:bidi="fa-IR"/>
        </w:rPr>
        <w:t>pointed out that r</w:t>
      </w:r>
      <w:r w:rsidR="001E45D0" w:rsidRPr="00745869">
        <w:rPr>
          <w:lang w:bidi="fa-IR"/>
        </w:rPr>
        <w:t>etraining</w:t>
      </w:r>
      <w:r w:rsidR="001E45D0">
        <w:rPr>
          <w:lang w:bidi="fa-IR"/>
        </w:rPr>
        <w:t xml:space="preserve"> will be required across the industry – all areas of new housing business staffing units would require retraining</w:t>
      </w:r>
      <w:r w:rsidR="00E520BF">
        <w:rPr>
          <w:lang w:bidi="fa-IR"/>
        </w:rPr>
        <w:t>.</w:t>
      </w:r>
      <w:r>
        <w:rPr>
          <w:lang w:bidi="fa-IR"/>
        </w:rPr>
        <w:t xml:space="preserve"> It also noted that there will be more marketing costs as it takes resources and time to raise the awareness of </w:t>
      </w:r>
      <w:r w:rsidR="001E45D0">
        <w:rPr>
          <w:lang w:bidi="fa-IR"/>
        </w:rPr>
        <w:t>potential customers</w:t>
      </w:r>
      <w:r w:rsidR="00E520BF">
        <w:rPr>
          <w:lang w:bidi="fa-IR"/>
        </w:rPr>
        <w:t>.</w:t>
      </w:r>
      <w:r w:rsidR="00E520BF">
        <w:rPr>
          <w:rStyle w:val="FootnoteReference"/>
          <w:lang w:bidi="fa-IR"/>
        </w:rPr>
        <w:footnoteReference w:id="378"/>
      </w:r>
    </w:p>
    <w:p w14:paraId="52A18C76" w14:textId="77777777" w:rsidR="001E45D0" w:rsidRDefault="001B7533" w:rsidP="001E45D0">
      <w:pPr>
        <w:pStyle w:val="BodyText"/>
        <w:rPr>
          <w:lang w:bidi="fa-IR"/>
        </w:rPr>
      </w:pPr>
      <w:r>
        <w:rPr>
          <w:lang w:bidi="fa-IR"/>
        </w:rPr>
        <w:t>AusBuild pointed out that t</w:t>
      </w:r>
      <w:r w:rsidR="001E45D0">
        <w:rPr>
          <w:lang w:bidi="fa-IR"/>
        </w:rPr>
        <w:t>he proposed changes to the NCC will apply to dwellings built on land that is currently being purchased and subdivided, and because the planning and approval process takes more than two years, this may create costs where subdivisions have to be altered to meet the proposed requirement.</w:t>
      </w:r>
      <w:r w:rsidR="00E520BF">
        <w:rPr>
          <w:rStyle w:val="FootnoteReference"/>
          <w:lang w:bidi="fa-IR"/>
        </w:rPr>
        <w:footnoteReference w:id="379"/>
      </w:r>
    </w:p>
    <w:p w14:paraId="1A9660AA" w14:textId="77777777" w:rsidR="001E45D0" w:rsidRDefault="001E45D0" w:rsidP="001E45D0">
      <w:pPr>
        <w:pStyle w:val="BodyText"/>
        <w:rPr>
          <w:lang w:bidi="fa-IR"/>
        </w:rPr>
      </w:pPr>
      <w:r>
        <w:rPr>
          <w:lang w:bidi="fa-IR"/>
        </w:rPr>
        <w:t>By contrast, other submissions argued that transition costs are over-stated:</w:t>
      </w:r>
      <w:r w:rsidR="004D5353">
        <w:rPr>
          <w:rStyle w:val="FootnoteReference"/>
          <w:lang w:bidi="fa-IR"/>
        </w:rPr>
        <w:footnoteReference w:id="380"/>
      </w:r>
    </w:p>
    <w:p w14:paraId="16070C6A" w14:textId="77777777" w:rsidR="001E45D0" w:rsidRDefault="001E45D0" w:rsidP="001E45D0">
      <w:pPr>
        <w:pStyle w:val="ListBullet"/>
      </w:pPr>
      <w:r>
        <w:t xml:space="preserve">industry players are already incorporating Silver standard and don’t have to </w:t>
      </w:r>
      <w:r w:rsidR="008E3D25">
        <w:t xml:space="preserve">retrain to </w:t>
      </w:r>
      <w:r>
        <w:t>understand this standard</w:t>
      </w:r>
    </w:p>
    <w:p w14:paraId="2773E9E5" w14:textId="77777777" w:rsidR="001E45D0" w:rsidRDefault="001E45D0" w:rsidP="001E45D0">
      <w:pPr>
        <w:pStyle w:val="ListBullet"/>
      </w:pPr>
      <w:r>
        <w:t xml:space="preserve">changing regulations/requirements is </w:t>
      </w:r>
      <w:r w:rsidR="008E3D25">
        <w:t>‘</w:t>
      </w:r>
      <w:r>
        <w:t>normal</w:t>
      </w:r>
      <w:r w:rsidR="008E3D25">
        <w:t>’</w:t>
      </w:r>
      <w:r>
        <w:t xml:space="preserve"> in </w:t>
      </w:r>
      <w:r w:rsidR="008E3D25">
        <w:t xml:space="preserve">the </w:t>
      </w:r>
      <w:r>
        <w:t>building industry and this experience will help reduce transition costs – incorporating regulation changes is part of the job</w:t>
      </w:r>
    </w:p>
    <w:p w14:paraId="24E0B030" w14:textId="77777777" w:rsidR="001E45D0" w:rsidRDefault="001E45D0" w:rsidP="001E45D0">
      <w:pPr>
        <w:pStyle w:val="ListBullet"/>
      </w:pPr>
      <w:r>
        <w:rPr>
          <w:lang w:bidi="fa-IR"/>
        </w:rPr>
        <w:t>t</w:t>
      </w:r>
      <w:r w:rsidRPr="00A61C88">
        <w:rPr>
          <w:lang w:bidi="fa-IR"/>
        </w:rPr>
        <w:t xml:space="preserve">ransition cost for architects, building designers, builders </w:t>
      </w:r>
      <w:r w:rsidR="008A40D1">
        <w:rPr>
          <w:lang w:bidi="fa-IR"/>
        </w:rPr>
        <w:t>and</w:t>
      </w:r>
      <w:r w:rsidRPr="00A61C88">
        <w:rPr>
          <w:lang w:bidi="fa-IR"/>
        </w:rPr>
        <w:t xml:space="preserve"> certifiers would be</w:t>
      </w:r>
      <w:r>
        <w:rPr>
          <w:lang w:bidi="fa-IR"/>
        </w:rPr>
        <w:t xml:space="preserve"> </w:t>
      </w:r>
      <w:r w:rsidRPr="00A61C88">
        <w:rPr>
          <w:lang w:bidi="fa-IR"/>
        </w:rPr>
        <w:t>minimal as this sector of the industry is well accustomed to changes in building</w:t>
      </w:r>
      <w:r>
        <w:rPr>
          <w:lang w:bidi="fa-IR"/>
        </w:rPr>
        <w:t xml:space="preserve"> </w:t>
      </w:r>
      <w:r w:rsidRPr="00A61C88">
        <w:rPr>
          <w:lang w:bidi="fa-IR"/>
        </w:rPr>
        <w:t>requirements and Development Application permit requirements</w:t>
      </w:r>
      <w:r>
        <w:rPr>
          <w:lang w:bidi="fa-IR"/>
        </w:rPr>
        <w:t xml:space="preserve"> (ANUHD quoted cases from Murphy Homes on the Sunshine Coast).</w:t>
      </w:r>
    </w:p>
    <w:p w14:paraId="5AD3EB8A" w14:textId="77777777" w:rsidR="001E45D0" w:rsidRPr="004B79EC" w:rsidRDefault="001E45D0" w:rsidP="004B79EC">
      <w:pPr>
        <w:pStyle w:val="Heading4-Appendix"/>
      </w:pPr>
      <w:r w:rsidRPr="004B79EC">
        <w:t>Efficiency gains from standardisation</w:t>
      </w:r>
    </w:p>
    <w:p w14:paraId="0EFFFFA0" w14:textId="77777777" w:rsidR="001E45D0" w:rsidRDefault="001B7533" w:rsidP="001E45D0">
      <w:pPr>
        <w:pStyle w:val="BodyText"/>
        <w:rPr>
          <w:lang w:bidi="fa-IR"/>
        </w:rPr>
      </w:pPr>
      <w:r>
        <w:rPr>
          <w:lang w:bidi="fa-IR"/>
        </w:rPr>
        <w:t>Some submissions</w:t>
      </w:r>
      <w:r w:rsidR="001E45D0">
        <w:rPr>
          <w:lang w:bidi="fa-IR"/>
        </w:rPr>
        <w:t xml:space="preserve"> argued that the cost of incorporating changes in standards and requirements falls over time as the market innovates to deliver these changes.</w:t>
      </w:r>
    </w:p>
    <w:p w14:paraId="0DFE6596" w14:textId="77777777" w:rsidR="001E45D0" w:rsidRDefault="001E45D0" w:rsidP="001E45D0">
      <w:pPr>
        <w:pStyle w:val="BodyText"/>
        <w:rPr>
          <w:lang w:bidi="fa-IR"/>
        </w:rPr>
      </w:pPr>
      <w:r>
        <w:rPr>
          <w:lang w:bidi="fa-IR"/>
        </w:rPr>
        <w:t>For example, as outlined by ANUHD in its submission, c</w:t>
      </w:r>
      <w:r w:rsidRPr="00FE6E12">
        <w:rPr>
          <w:lang w:bidi="fa-IR"/>
        </w:rPr>
        <w:t>ost reductions would be captured by a mandatory scheme</w:t>
      </w:r>
      <w:r>
        <w:rPr>
          <w:lang w:bidi="fa-IR"/>
        </w:rPr>
        <w:t xml:space="preserve"> for the following reasons:</w:t>
      </w:r>
      <w:r w:rsidR="001D2C03">
        <w:rPr>
          <w:rStyle w:val="FootnoteReference"/>
          <w:lang w:bidi="fa-IR"/>
        </w:rPr>
        <w:footnoteReference w:id="381"/>
      </w:r>
    </w:p>
    <w:p w14:paraId="738BD167" w14:textId="77777777" w:rsidR="001E45D0" w:rsidRDefault="001E45D0" w:rsidP="001E45D0">
      <w:pPr>
        <w:pStyle w:val="ListBullet"/>
        <w:rPr>
          <w:lang w:bidi="fa-IR"/>
        </w:rPr>
      </w:pPr>
      <w:r w:rsidRPr="00FE6E12">
        <w:rPr>
          <w:lang w:bidi="fa-IR"/>
        </w:rPr>
        <w:t>increased efficiencies of scale</w:t>
      </w:r>
    </w:p>
    <w:p w14:paraId="55ED592C" w14:textId="77777777" w:rsidR="001E45D0" w:rsidRDefault="001E45D0" w:rsidP="001E45D0">
      <w:pPr>
        <w:pStyle w:val="ListBullet"/>
        <w:rPr>
          <w:lang w:bidi="fa-IR"/>
        </w:rPr>
      </w:pPr>
      <w:r w:rsidRPr="00FE6E12">
        <w:rPr>
          <w:lang w:bidi="fa-IR"/>
        </w:rPr>
        <w:t>reduced need to develop bespoke solutions</w:t>
      </w:r>
    </w:p>
    <w:p w14:paraId="0D82D776" w14:textId="77777777" w:rsidR="001E45D0" w:rsidRDefault="001E45D0" w:rsidP="001E45D0">
      <w:pPr>
        <w:pStyle w:val="ListBullet"/>
        <w:rPr>
          <w:lang w:bidi="fa-IR"/>
        </w:rPr>
      </w:pPr>
      <w:r w:rsidRPr="00FE6E12">
        <w:rPr>
          <w:lang w:bidi="fa-IR"/>
        </w:rPr>
        <w:t>reduced risk of construction erro</w:t>
      </w:r>
      <w:r>
        <w:rPr>
          <w:lang w:bidi="fa-IR"/>
        </w:rPr>
        <w:t>r</w:t>
      </w:r>
      <w:r w:rsidRPr="00FE6E12">
        <w:rPr>
          <w:lang w:bidi="fa-IR"/>
        </w:rPr>
        <w:t>s</w:t>
      </w:r>
      <w:r>
        <w:rPr>
          <w:lang w:bidi="fa-IR"/>
        </w:rPr>
        <w:t>,</w:t>
      </w:r>
      <w:r w:rsidRPr="00FE6E12">
        <w:rPr>
          <w:lang w:bidi="fa-IR"/>
        </w:rPr>
        <w:t xml:space="preserve"> especially</w:t>
      </w:r>
      <w:r>
        <w:rPr>
          <w:lang w:bidi="fa-IR"/>
        </w:rPr>
        <w:t xml:space="preserve"> </w:t>
      </w:r>
      <w:r w:rsidRPr="00FE6E12">
        <w:rPr>
          <w:lang w:bidi="fa-IR"/>
        </w:rPr>
        <w:t>for volume builders</w:t>
      </w:r>
    </w:p>
    <w:p w14:paraId="6F90819C" w14:textId="77777777" w:rsidR="001E45D0" w:rsidRDefault="001E45D0" w:rsidP="001E45D0">
      <w:pPr>
        <w:pStyle w:val="ListBullet"/>
        <w:rPr>
          <w:lang w:bidi="fa-IR"/>
        </w:rPr>
      </w:pPr>
      <w:r w:rsidRPr="00FE6E12">
        <w:rPr>
          <w:lang w:bidi="fa-IR"/>
        </w:rPr>
        <w:t>removing the need for different government funders and customers to each specify the accessibility standards to apply to their projects</w:t>
      </w:r>
      <w:r w:rsidR="000238B4">
        <w:rPr>
          <w:lang w:bidi="fa-IR"/>
        </w:rPr>
        <w:t>,</w:t>
      </w:r>
      <w:r>
        <w:rPr>
          <w:lang w:bidi="fa-IR"/>
        </w:rPr>
        <w:t xml:space="preserve"> and</w:t>
      </w:r>
    </w:p>
    <w:p w14:paraId="15C94346" w14:textId="77777777" w:rsidR="001E45D0" w:rsidRDefault="001E45D0" w:rsidP="001E45D0">
      <w:pPr>
        <w:pStyle w:val="ListBullet"/>
      </w:pPr>
      <w:r>
        <w:lastRenderedPageBreak/>
        <w:t>efficiency gains from one national standard for builders, regulators and planners to save time as they don’t have to use and understand different standards.</w:t>
      </w:r>
    </w:p>
    <w:p w14:paraId="652682CF" w14:textId="77777777" w:rsidR="001E45D0" w:rsidRDefault="001E45D0" w:rsidP="001E45D0">
      <w:pPr>
        <w:pStyle w:val="BodyText"/>
        <w:rPr>
          <w:lang w:bidi="fa-IR"/>
        </w:rPr>
      </w:pPr>
      <w:r>
        <w:rPr>
          <w:lang w:bidi="fa-IR"/>
        </w:rPr>
        <w:t xml:space="preserve">This </w:t>
      </w:r>
      <w:r w:rsidR="00A81539">
        <w:rPr>
          <w:lang w:bidi="fa-IR"/>
        </w:rPr>
        <w:t>sentiment</w:t>
      </w:r>
      <w:r>
        <w:rPr>
          <w:lang w:bidi="fa-IR"/>
        </w:rPr>
        <w:t xml:space="preserve"> is echoed in other submissions. ADACAS </w:t>
      </w:r>
      <w:r w:rsidR="008A40D1">
        <w:rPr>
          <w:lang w:bidi="fa-IR"/>
        </w:rPr>
        <w:t>suggested</w:t>
      </w:r>
      <w:r>
        <w:rPr>
          <w:lang w:bidi="fa-IR"/>
        </w:rPr>
        <w:t xml:space="preserve"> that t</w:t>
      </w:r>
      <w:r w:rsidRPr="000170C6">
        <w:rPr>
          <w:lang w:bidi="fa-IR"/>
        </w:rPr>
        <w:t xml:space="preserve">he costings do not adequately take account of economies of scale, and the potential savings in manufacturing and retailing costs of, for example, standard sized doors. </w:t>
      </w:r>
      <w:r>
        <w:rPr>
          <w:lang w:bidi="fa-IR"/>
        </w:rPr>
        <w:t>T</w:t>
      </w:r>
      <w:r w:rsidRPr="000170C6">
        <w:rPr>
          <w:lang w:bidi="fa-IR"/>
        </w:rPr>
        <w:t>he majority of cost increases will be largely deflected by mass adoption, and any modest increase in the price of housing will be negligible and absorbed into the cost of the real estate in any case.</w:t>
      </w:r>
      <w:r w:rsidR="00820190">
        <w:rPr>
          <w:rStyle w:val="FootnoteReference"/>
          <w:lang w:bidi="fa-IR"/>
        </w:rPr>
        <w:footnoteReference w:id="382"/>
      </w:r>
    </w:p>
    <w:p w14:paraId="117529C0" w14:textId="77777777" w:rsidR="001E45D0" w:rsidRDefault="001E45D0" w:rsidP="001E45D0">
      <w:pPr>
        <w:pStyle w:val="BodyText"/>
        <w:rPr>
          <w:lang w:bidi="fa-IR"/>
        </w:rPr>
      </w:pPr>
      <w:r>
        <w:rPr>
          <w:lang w:bidi="fa-IR"/>
        </w:rPr>
        <w:t>One submission provided an example</w:t>
      </w:r>
      <w:r w:rsidR="008E3D25">
        <w:rPr>
          <w:lang w:bidi="fa-IR"/>
        </w:rPr>
        <w:t xml:space="preserve"> of</w:t>
      </w:r>
      <w:r>
        <w:rPr>
          <w:lang w:bidi="fa-IR"/>
        </w:rPr>
        <w:t xml:space="preserve"> how economies of scale could help to reduce the construction cost. </w:t>
      </w:r>
      <w:r w:rsidRPr="00810723">
        <w:rPr>
          <w:lang w:bidi="fa-IR"/>
        </w:rPr>
        <w:t xml:space="preserve">Palm Lakes Resort in Ballina NSW offers retirement accommodation at Gold Plus in hundreds of standalone dwellings. Common sense design </w:t>
      </w:r>
      <w:r w:rsidR="008A40D1">
        <w:rPr>
          <w:lang w:bidi="fa-IR"/>
        </w:rPr>
        <w:t>of</w:t>
      </w:r>
      <w:r w:rsidRPr="00810723">
        <w:rPr>
          <w:lang w:bidi="fa-IR"/>
        </w:rPr>
        <w:t xml:space="preserve"> a suite of floor plans and econom</w:t>
      </w:r>
      <w:r>
        <w:rPr>
          <w:lang w:bidi="fa-IR"/>
        </w:rPr>
        <w:t>ies</w:t>
      </w:r>
      <w:r w:rsidRPr="00810723">
        <w:rPr>
          <w:lang w:bidi="fa-IR"/>
        </w:rPr>
        <w:t xml:space="preserve"> of scale meant construction costs were comparable to the market cost for similar dwellings built elsewhere in suburbia.</w:t>
      </w:r>
      <w:r w:rsidR="003A2496">
        <w:rPr>
          <w:rStyle w:val="FootnoteReference"/>
          <w:lang w:bidi="fa-IR"/>
        </w:rPr>
        <w:footnoteReference w:id="383"/>
      </w:r>
    </w:p>
    <w:p w14:paraId="56CF6977" w14:textId="77777777" w:rsidR="001E45D0" w:rsidRDefault="001E45D0" w:rsidP="001E45D0">
      <w:pPr>
        <w:pStyle w:val="BodyText"/>
        <w:rPr>
          <w:lang w:bidi="fa-IR"/>
        </w:rPr>
      </w:pPr>
      <w:r>
        <w:rPr>
          <w:lang w:bidi="fa-IR"/>
        </w:rPr>
        <w:t xml:space="preserve">It </w:t>
      </w:r>
      <w:r w:rsidR="008A40D1">
        <w:rPr>
          <w:lang w:bidi="fa-IR"/>
        </w:rPr>
        <w:t>wa</w:t>
      </w:r>
      <w:r>
        <w:rPr>
          <w:lang w:bidi="fa-IR"/>
        </w:rPr>
        <w:t>s</w:t>
      </w:r>
      <w:r w:rsidR="008A40D1">
        <w:rPr>
          <w:lang w:bidi="fa-IR"/>
        </w:rPr>
        <w:t xml:space="preserve"> also</w:t>
      </w:r>
      <w:r>
        <w:rPr>
          <w:lang w:bidi="fa-IR"/>
        </w:rPr>
        <w:t xml:space="preserve"> </w:t>
      </w:r>
      <w:r w:rsidR="008A40D1">
        <w:rPr>
          <w:lang w:bidi="fa-IR"/>
        </w:rPr>
        <w:t>suggest</w:t>
      </w:r>
      <w:r>
        <w:rPr>
          <w:lang w:bidi="fa-IR"/>
        </w:rPr>
        <w:t xml:space="preserve">ed that the proposed changes may adversely impact industry productivity because currently </w:t>
      </w:r>
      <w:r>
        <w:t xml:space="preserve">homes are optimised to reduce costs as much as possible, so deviating from optimisation </w:t>
      </w:r>
      <w:r w:rsidR="00740F5A">
        <w:t>increases costs</w:t>
      </w:r>
      <w:r>
        <w:t>.</w:t>
      </w:r>
      <w:r w:rsidR="00A15A42">
        <w:rPr>
          <w:rStyle w:val="FootnoteReference"/>
        </w:rPr>
        <w:footnoteReference w:id="384"/>
      </w:r>
    </w:p>
    <w:p w14:paraId="6E0DD557" w14:textId="77777777" w:rsidR="001E45D0" w:rsidRPr="00F4477B" w:rsidRDefault="001E45D0" w:rsidP="00F4477B">
      <w:pPr>
        <w:pStyle w:val="Heading3-Appendix"/>
      </w:pPr>
      <w:r w:rsidRPr="00F4477B">
        <w:t xml:space="preserve">Other costs </w:t>
      </w:r>
    </w:p>
    <w:p w14:paraId="23BE6604" w14:textId="77777777" w:rsidR="001E45D0" w:rsidRDefault="001E45D0" w:rsidP="001E45D0">
      <w:pPr>
        <w:pStyle w:val="BodyText"/>
        <w:rPr>
          <w:lang w:bidi="fa-IR"/>
        </w:rPr>
      </w:pPr>
      <w:r>
        <w:rPr>
          <w:lang w:bidi="fa-IR"/>
        </w:rPr>
        <w:t>A number of submissions suggested other cost items that should be considered in the RIS.</w:t>
      </w:r>
    </w:p>
    <w:p w14:paraId="5A5C6139" w14:textId="77777777" w:rsidR="001E45D0" w:rsidRPr="004B79EC" w:rsidRDefault="001E45D0" w:rsidP="004B79EC">
      <w:pPr>
        <w:pStyle w:val="Heading4-Appendix"/>
      </w:pPr>
      <w:r w:rsidRPr="004B79EC">
        <w:t>Underground work</w:t>
      </w:r>
    </w:p>
    <w:p w14:paraId="250AA345" w14:textId="77777777" w:rsidR="001E45D0" w:rsidRPr="001666A4" w:rsidRDefault="001E45D0" w:rsidP="001E45D0">
      <w:pPr>
        <w:pStyle w:val="BodyText"/>
        <w:rPr>
          <w:lang w:bidi="fa-IR"/>
        </w:rPr>
      </w:pPr>
      <w:r>
        <w:t>Where underground infrastructure (tunnels and sewerage) or water tables prevent additional levels being added to underground carparks</w:t>
      </w:r>
      <w:r w:rsidR="00AA5E86">
        <w:t>,</w:t>
      </w:r>
      <w:r>
        <w:t xml:space="preserve"> the results will be more apartments without carparks, lowering their value.</w:t>
      </w:r>
    </w:p>
    <w:p w14:paraId="2426668F" w14:textId="77777777" w:rsidR="001E45D0" w:rsidRPr="004B79EC" w:rsidRDefault="001E45D0" w:rsidP="004B79EC">
      <w:pPr>
        <w:pStyle w:val="Heading4-Appendix"/>
      </w:pPr>
      <w:r w:rsidRPr="004B79EC">
        <w:t>Additional costs for entrance requirement</w:t>
      </w:r>
    </w:p>
    <w:p w14:paraId="70394347" w14:textId="77777777" w:rsidR="001E45D0" w:rsidRDefault="001E45D0" w:rsidP="001E45D0">
      <w:pPr>
        <w:pStyle w:val="BodyText"/>
      </w:pPr>
      <w:r>
        <w:rPr>
          <w:lang w:bidi="fa-IR"/>
        </w:rPr>
        <w:t xml:space="preserve">Option 1B for dwelling entrance (one step) has additional requirements such as </w:t>
      </w:r>
      <w:r>
        <w:t>b</w:t>
      </w:r>
      <w:r w:rsidRPr="00AF4D2B">
        <w:t>oundary to doo</w:t>
      </w:r>
      <w:r w:rsidR="008A40D1">
        <w:t>r</w:t>
      </w:r>
      <w:r w:rsidRPr="00AF4D2B">
        <w:t xml:space="preserve"> excavation, 1m wide landings, structural components</w:t>
      </w:r>
      <w:r>
        <w:t xml:space="preserve">, and </w:t>
      </w:r>
      <w:r w:rsidR="00AA5E86">
        <w:t xml:space="preserve">a </w:t>
      </w:r>
      <w:r>
        <w:t xml:space="preserve">threshold ramp. For </w:t>
      </w:r>
      <w:r w:rsidRPr="00FB20D0">
        <w:t>some houses that don’t have a path (bark</w:t>
      </w:r>
      <w:r w:rsidR="008A40D1">
        <w:t>,</w:t>
      </w:r>
      <w:r w:rsidRPr="00FB20D0">
        <w:t xml:space="preserve"> gravel or landscaping items)</w:t>
      </w:r>
      <w:r>
        <w:t xml:space="preserve">, the requirement for </w:t>
      </w:r>
      <w:r w:rsidR="00AA5E86">
        <w:t xml:space="preserve">an </w:t>
      </w:r>
      <w:r>
        <w:t>accessible path would mean more costs.</w:t>
      </w:r>
    </w:p>
    <w:p w14:paraId="5FD6F7FF" w14:textId="77777777" w:rsidR="001E45D0" w:rsidRPr="004B79EC" w:rsidRDefault="001E45D0" w:rsidP="004B79EC">
      <w:pPr>
        <w:pStyle w:val="Heading4-Appendix"/>
      </w:pPr>
      <w:r w:rsidRPr="004B79EC">
        <w:lastRenderedPageBreak/>
        <w:t>Waterproofing costs for dwellings</w:t>
      </w:r>
    </w:p>
    <w:p w14:paraId="54F4DF8E" w14:textId="77777777" w:rsidR="001E45D0" w:rsidRPr="00674EF1" w:rsidRDefault="00B601AE" w:rsidP="001E45D0">
      <w:pPr>
        <w:pStyle w:val="BodyText"/>
      </w:pPr>
      <w:r>
        <w:t>Submissions cited the need for additional i</w:t>
      </w:r>
      <w:r w:rsidR="001E45D0">
        <w:t xml:space="preserve">tems </w:t>
      </w:r>
      <w:r w:rsidR="00A81539">
        <w:t>including</w:t>
      </w:r>
      <w:r w:rsidR="001E45D0">
        <w:t xml:space="preserve"> waterproof door seals, concrete hobs, a grated drain </w:t>
      </w:r>
      <w:r>
        <w:t>at</w:t>
      </w:r>
      <w:r w:rsidR="001E45D0">
        <w:t xml:space="preserve"> doorway</w:t>
      </w:r>
      <w:r>
        <w:t>s</w:t>
      </w:r>
      <w:r w:rsidR="001E45D0">
        <w:t>, low angle slope to balconies and awning</w:t>
      </w:r>
      <w:r w:rsidR="00AA5E86">
        <w:t>s</w:t>
      </w:r>
      <w:r w:rsidR="001E45D0">
        <w:t xml:space="preserve"> to deal with waterproofing.</w:t>
      </w:r>
    </w:p>
    <w:p w14:paraId="51313655" w14:textId="77777777" w:rsidR="001E45D0" w:rsidRPr="004B79EC" w:rsidRDefault="001E45D0" w:rsidP="004B79EC">
      <w:pPr>
        <w:pStyle w:val="Heading4-Appendix"/>
      </w:pPr>
      <w:r w:rsidRPr="004B79EC">
        <w:t>Costs to replace framed floors</w:t>
      </w:r>
    </w:p>
    <w:p w14:paraId="67FE3C5C" w14:textId="77777777" w:rsidR="001E45D0" w:rsidRDefault="001D0B1C" w:rsidP="001E45D0">
      <w:pPr>
        <w:pStyle w:val="BodyText"/>
        <w:rPr>
          <w:lang w:bidi="fa-IR"/>
        </w:rPr>
      </w:pPr>
      <w:r>
        <w:rPr>
          <w:lang w:bidi="fa-IR"/>
        </w:rPr>
        <w:t>One submission</w:t>
      </w:r>
      <w:r w:rsidR="001E45D0">
        <w:rPr>
          <w:lang w:bidi="fa-IR"/>
        </w:rPr>
        <w:t xml:space="preserve"> raised the point that framed floors with required subfloor clearances for termite inspection may no longer be viable under Options 1 to 3 without excavation and significant ramps. The cost of replacing framed floor solutions with slab-on-ground solutions (with associated excavation costs and insulation issues) should be considered.</w:t>
      </w:r>
      <w:r w:rsidR="007C7DD8">
        <w:rPr>
          <w:rStyle w:val="FootnoteReference"/>
          <w:lang w:bidi="fa-IR"/>
        </w:rPr>
        <w:footnoteReference w:id="385"/>
      </w:r>
    </w:p>
    <w:p w14:paraId="1F5E7B54" w14:textId="77777777" w:rsidR="001E45D0" w:rsidRPr="004B79EC" w:rsidRDefault="001E45D0" w:rsidP="004B79EC">
      <w:pPr>
        <w:pStyle w:val="Heading4-Appendix"/>
      </w:pPr>
      <w:r w:rsidRPr="004B79EC">
        <w:t>Wall cost</w:t>
      </w:r>
    </w:p>
    <w:p w14:paraId="06ADFA32" w14:textId="77777777" w:rsidR="001E45D0" w:rsidRPr="0079497E" w:rsidRDefault="001E45D0" w:rsidP="001E45D0">
      <w:pPr>
        <w:pStyle w:val="BodyText"/>
        <w:rPr>
          <w:lang w:bidi="fa-IR"/>
        </w:rPr>
      </w:pPr>
      <w:r>
        <w:t xml:space="preserve">Cost of wall reinforcement is too low in the </w:t>
      </w:r>
      <w:r w:rsidR="009E7509">
        <w:rPr>
          <w:lang w:bidi="fa-IR"/>
        </w:rPr>
        <w:t xml:space="preserve">Consultation </w:t>
      </w:r>
      <w:r>
        <w:t>RIS.</w:t>
      </w:r>
    </w:p>
    <w:p w14:paraId="5B63F7E0" w14:textId="77777777" w:rsidR="001E45D0" w:rsidRPr="004B79EC" w:rsidRDefault="001E45D0" w:rsidP="004B79EC">
      <w:pPr>
        <w:pStyle w:val="Heading4-Appendix"/>
      </w:pPr>
      <w:r w:rsidRPr="004B79EC">
        <w:t>Waterproofing costs for bathroom</w:t>
      </w:r>
    </w:p>
    <w:p w14:paraId="2529308E" w14:textId="77777777" w:rsidR="001E45D0" w:rsidRDefault="001E45D0" w:rsidP="001E45D0">
      <w:pPr>
        <w:pStyle w:val="BodyText"/>
      </w:pPr>
      <w:r>
        <w:t xml:space="preserve">Level access showers have drainage issues, and waterproofing for the whole bathroom is required and incurs costs if </w:t>
      </w:r>
      <w:r w:rsidR="00AA5E86">
        <w:t xml:space="preserve">the </w:t>
      </w:r>
      <w:r>
        <w:t>shower door is removed.</w:t>
      </w:r>
    </w:p>
    <w:p w14:paraId="38388BCE" w14:textId="77777777" w:rsidR="001E45D0" w:rsidRPr="004B79EC" w:rsidRDefault="001E45D0" w:rsidP="004B79EC">
      <w:pPr>
        <w:pStyle w:val="Heading4-Appendix"/>
      </w:pPr>
      <w:r w:rsidRPr="004B79EC">
        <w:t>Costs of removing shower-over-bath design</w:t>
      </w:r>
    </w:p>
    <w:p w14:paraId="6C583DF7" w14:textId="77777777" w:rsidR="001E45D0" w:rsidRPr="008642E7" w:rsidRDefault="001E45D0" w:rsidP="001E45D0">
      <w:pPr>
        <w:pStyle w:val="BodyText"/>
        <w:rPr>
          <w:lang w:bidi="fa-IR"/>
        </w:rPr>
      </w:pPr>
      <w:r>
        <w:rPr>
          <w:lang w:bidi="fa-IR"/>
        </w:rPr>
        <w:t>Shower-over-bath design is not compliant under the proposal. However, some consumers, for example young families with children, need both bath and shower, and the shower-over-bath design is an efficient solution for them. Removing this design would mean they have to have a separate bath built with additional cost.</w:t>
      </w:r>
    </w:p>
    <w:p w14:paraId="104E2EA9" w14:textId="77777777" w:rsidR="001E45D0" w:rsidRPr="004B79EC" w:rsidRDefault="001E45D0" w:rsidP="004B79EC">
      <w:pPr>
        <w:pStyle w:val="Heading4-Appendix"/>
      </w:pPr>
      <w:r w:rsidRPr="004B79EC">
        <w:t>Granny flat costs</w:t>
      </w:r>
    </w:p>
    <w:p w14:paraId="2260BBAC" w14:textId="77777777" w:rsidR="001E45D0" w:rsidRPr="006A71BE" w:rsidRDefault="001E45D0" w:rsidP="001E45D0">
      <w:pPr>
        <w:pStyle w:val="BodyText"/>
        <w:rPr>
          <w:lang w:bidi="fa-IR"/>
        </w:rPr>
      </w:pPr>
      <w:r>
        <w:t xml:space="preserve">Granny </w:t>
      </w:r>
      <w:r w:rsidR="008A40D1">
        <w:t>f</w:t>
      </w:r>
      <w:r>
        <w:t>lats are required to be transportable and are currently designed to fit on trucks. Space requirements of the NCC provisions may change this, causing significant re-design costs.</w:t>
      </w:r>
      <w:r w:rsidR="005B73C7">
        <w:rPr>
          <w:rStyle w:val="FootnoteReference"/>
        </w:rPr>
        <w:footnoteReference w:id="386"/>
      </w:r>
    </w:p>
    <w:p w14:paraId="740C8AC0" w14:textId="77777777" w:rsidR="001E45D0" w:rsidRPr="004B79EC" w:rsidRDefault="001E45D0" w:rsidP="004B79EC">
      <w:pPr>
        <w:pStyle w:val="Heading4-Appendix"/>
      </w:pPr>
      <w:r w:rsidRPr="004B79EC">
        <w:t>Compliance costs</w:t>
      </w:r>
    </w:p>
    <w:p w14:paraId="2033DCB7" w14:textId="77777777" w:rsidR="001E45D0" w:rsidRDefault="00AA5E86" w:rsidP="001E45D0">
      <w:pPr>
        <w:pStyle w:val="BodyText"/>
      </w:pPr>
      <w:r>
        <w:t xml:space="preserve">The </w:t>
      </w:r>
      <w:r w:rsidR="006529D1">
        <w:t>Strata Community Association suggested that i</w:t>
      </w:r>
      <w:r w:rsidR="001E45D0" w:rsidRPr="00FB20D0">
        <w:t xml:space="preserve">ncrease in accessibility standards requires an increase in compliance cost to avoid “defects” where homes are supplied </w:t>
      </w:r>
      <w:r w:rsidR="001E45D0" w:rsidRPr="00FB20D0">
        <w:lastRenderedPageBreak/>
        <w:t>without required features</w:t>
      </w:r>
      <w:r w:rsidR="00F371A2">
        <w:rPr>
          <w:rStyle w:val="FootnoteReference"/>
        </w:rPr>
        <w:footnoteReference w:id="387"/>
      </w:r>
      <w:r w:rsidR="006529D1">
        <w:t>.</w:t>
      </w:r>
      <w:r w:rsidR="001E45D0">
        <w:t xml:space="preserve"> </w:t>
      </w:r>
      <w:r w:rsidR="006529D1">
        <w:t xml:space="preserve">AusBuild suggested that </w:t>
      </w:r>
      <w:r w:rsidR="001E45D0">
        <w:t xml:space="preserve">additional certifier time </w:t>
      </w:r>
      <w:r w:rsidR="006529D1">
        <w:t>would be required</w:t>
      </w:r>
      <w:r w:rsidR="001E45D0">
        <w:t>.</w:t>
      </w:r>
      <w:r w:rsidR="00F371A2">
        <w:rPr>
          <w:rStyle w:val="FootnoteReference"/>
        </w:rPr>
        <w:footnoteReference w:id="388"/>
      </w:r>
      <w:r w:rsidR="001E45D0">
        <w:t xml:space="preserve"> </w:t>
      </w:r>
      <w:r w:rsidR="006529D1">
        <w:t xml:space="preserve">Another submission suggested that </w:t>
      </w:r>
      <w:r w:rsidR="006529D1">
        <w:rPr>
          <w:lang w:bidi="fa-IR"/>
        </w:rPr>
        <w:t>c</w:t>
      </w:r>
      <w:r w:rsidR="001E45D0" w:rsidRPr="00575D22">
        <w:rPr>
          <w:lang w:bidi="fa-IR"/>
        </w:rPr>
        <w:t>hanges to standard form designs, subdivision layouts and display home requirements</w:t>
      </w:r>
      <w:r w:rsidR="001E45D0">
        <w:t xml:space="preserve"> would require </w:t>
      </w:r>
      <w:r w:rsidR="001E45D0" w:rsidRPr="00575D22">
        <w:rPr>
          <w:lang w:bidi="fa-IR"/>
        </w:rPr>
        <w:t xml:space="preserve">additional certification and approval </w:t>
      </w:r>
      <w:r w:rsidR="001E45D0">
        <w:rPr>
          <w:lang w:bidi="fa-IR"/>
        </w:rPr>
        <w:t xml:space="preserve">and </w:t>
      </w:r>
      <w:r>
        <w:rPr>
          <w:lang w:bidi="fa-IR"/>
        </w:rPr>
        <w:t xml:space="preserve">would </w:t>
      </w:r>
      <w:r w:rsidR="001E45D0">
        <w:rPr>
          <w:lang w:bidi="fa-IR"/>
        </w:rPr>
        <w:t>incur costs.</w:t>
      </w:r>
    </w:p>
    <w:p w14:paraId="00A720CA" w14:textId="77777777" w:rsidR="001E45D0" w:rsidRPr="004B79EC" w:rsidRDefault="001E45D0" w:rsidP="004B79EC">
      <w:pPr>
        <w:pStyle w:val="Heading4-Appendix"/>
      </w:pPr>
      <w:r w:rsidRPr="004B79EC">
        <w:t>Maintenance costs</w:t>
      </w:r>
    </w:p>
    <w:p w14:paraId="26A1A3BA" w14:textId="77777777" w:rsidR="001E45D0" w:rsidRPr="00AA6B43" w:rsidRDefault="00AA5E86" w:rsidP="001E45D0">
      <w:pPr>
        <w:pStyle w:val="BodyText"/>
        <w:rPr>
          <w:lang w:bidi="fa-IR"/>
        </w:rPr>
      </w:pPr>
      <w:r>
        <w:t xml:space="preserve">The </w:t>
      </w:r>
      <w:r w:rsidR="001E45D0">
        <w:t>Strata Community Association pointed out that maintenance costs will be higher because more expensive buildings</w:t>
      </w:r>
      <w:r w:rsidR="00B601AE">
        <w:t xml:space="preserve"> are</w:t>
      </w:r>
      <w:r w:rsidR="001E45D0">
        <w:t xml:space="preserve"> generally more expensive to maintain.</w:t>
      </w:r>
      <w:r w:rsidR="00DD38CE">
        <w:rPr>
          <w:rStyle w:val="FootnoteReference"/>
        </w:rPr>
        <w:footnoteReference w:id="389"/>
      </w:r>
    </w:p>
    <w:p w14:paraId="2212CED8" w14:textId="77777777" w:rsidR="001E45D0" w:rsidRPr="004B79EC" w:rsidRDefault="001E45D0" w:rsidP="004B79EC">
      <w:pPr>
        <w:pStyle w:val="Heading4-Appendix"/>
      </w:pPr>
      <w:r w:rsidRPr="004B79EC">
        <w:t>Distribution</w:t>
      </w:r>
      <w:r w:rsidR="00B601AE" w:rsidRPr="004B79EC">
        <w:t>al</w:t>
      </w:r>
      <w:r w:rsidRPr="004B79EC">
        <w:t xml:space="preserve"> impact</w:t>
      </w:r>
      <w:r w:rsidR="00B601AE" w:rsidRPr="004B79EC">
        <w:t>s</w:t>
      </w:r>
    </w:p>
    <w:p w14:paraId="46960341" w14:textId="77777777" w:rsidR="001E45D0" w:rsidRPr="006A71BE" w:rsidRDefault="001E45D0" w:rsidP="001E45D0">
      <w:pPr>
        <w:pStyle w:val="BodyText"/>
        <w:rPr>
          <w:lang w:bidi="fa-IR"/>
        </w:rPr>
      </w:pPr>
      <w:r w:rsidRPr="00FB20D0">
        <w:t>Cost of regulation is not evenly distributed</w:t>
      </w:r>
      <w:r>
        <w:t>.</w:t>
      </w:r>
      <w:r w:rsidRPr="00FB20D0">
        <w:t xml:space="preserve"> </w:t>
      </w:r>
      <w:r>
        <w:t>It</w:t>
      </w:r>
      <w:r w:rsidRPr="00FB20D0">
        <w:t xml:space="preserve"> is higher in smaller markets where the cost of specialist installation/maint</w:t>
      </w:r>
      <w:r w:rsidR="00AA5E86">
        <w:t>enance</w:t>
      </w:r>
      <w:r w:rsidRPr="00FB20D0">
        <w:t xml:space="preserve"> is higher</w:t>
      </w:r>
      <w:r>
        <w:t>.</w:t>
      </w:r>
    </w:p>
    <w:p w14:paraId="0407C173" w14:textId="77777777" w:rsidR="001E45D0" w:rsidRPr="00F4477B" w:rsidRDefault="001E45D0" w:rsidP="00F4477B">
      <w:pPr>
        <w:pStyle w:val="Heading3-Appendix"/>
      </w:pPr>
      <w:r w:rsidRPr="00F4477B">
        <w:t xml:space="preserve">Alternative cost estimates and </w:t>
      </w:r>
      <w:r w:rsidR="008A40D1" w:rsidRPr="00F4477B">
        <w:t>quantity surveyor</w:t>
      </w:r>
      <w:r w:rsidRPr="00F4477B">
        <w:t xml:space="preserve"> issues</w:t>
      </w:r>
    </w:p>
    <w:p w14:paraId="38951911" w14:textId="77777777" w:rsidR="001E45D0" w:rsidRPr="004B79EC" w:rsidRDefault="001E45D0" w:rsidP="004B79EC">
      <w:pPr>
        <w:pStyle w:val="Heading4-Appendix"/>
      </w:pPr>
      <w:r w:rsidRPr="004B79EC">
        <w:t>Alternative cost estimates</w:t>
      </w:r>
    </w:p>
    <w:p w14:paraId="4AEF752C" w14:textId="77777777" w:rsidR="001E45D0" w:rsidRDefault="00961762" w:rsidP="001E45D0">
      <w:pPr>
        <w:pStyle w:val="BodyText"/>
        <w:rPr>
          <w:lang w:bidi="fa-IR"/>
        </w:rPr>
      </w:pPr>
      <w:r>
        <w:rPr>
          <w:lang w:bidi="fa-IR"/>
        </w:rPr>
        <w:t>WA Department of Communities Housing Advisory Unit</w:t>
      </w:r>
      <w:r w:rsidRPr="00C975F8">
        <w:rPr>
          <w:lang w:bidi="fa-IR"/>
        </w:rPr>
        <w:t xml:space="preserve"> </w:t>
      </w:r>
      <w:r>
        <w:rPr>
          <w:lang w:bidi="fa-IR"/>
        </w:rPr>
        <w:t>noted i</w:t>
      </w:r>
      <w:r w:rsidR="001E45D0" w:rsidRPr="00C975F8">
        <w:rPr>
          <w:lang w:bidi="fa-IR"/>
        </w:rPr>
        <w:t>nternally coll</w:t>
      </w:r>
      <w:r w:rsidR="004A44DE">
        <w:rPr>
          <w:lang w:bidi="fa-IR"/>
        </w:rPr>
        <w:t>ected</w:t>
      </w:r>
      <w:r w:rsidR="001E45D0" w:rsidRPr="00C975F8">
        <w:rPr>
          <w:lang w:bidi="fa-IR"/>
        </w:rPr>
        <w:t xml:space="preserve"> data from </w:t>
      </w:r>
      <w:r>
        <w:rPr>
          <w:lang w:bidi="fa-IR"/>
        </w:rPr>
        <w:t>the Department</w:t>
      </w:r>
      <w:r w:rsidR="008A40D1">
        <w:rPr>
          <w:lang w:bidi="fa-IR"/>
        </w:rPr>
        <w:t>’s</w:t>
      </w:r>
      <w:r w:rsidR="001E45D0" w:rsidRPr="00C975F8">
        <w:rPr>
          <w:lang w:bidi="fa-IR"/>
        </w:rPr>
        <w:t xml:space="preserve"> construction of new social and affordable dwellings and renovation works</w:t>
      </w:r>
      <w:r w:rsidR="001E45D0">
        <w:rPr>
          <w:lang w:bidi="fa-IR"/>
        </w:rPr>
        <w:t xml:space="preserve"> suggest c</w:t>
      </w:r>
      <w:r w:rsidR="001E45D0" w:rsidRPr="00C975F8">
        <w:rPr>
          <w:lang w:bidi="fa-IR"/>
        </w:rPr>
        <w:t>ostings vary between $600</w:t>
      </w:r>
      <w:r w:rsidR="001E45D0">
        <w:rPr>
          <w:lang w:bidi="fa-IR"/>
        </w:rPr>
        <w:t xml:space="preserve"> to $</w:t>
      </w:r>
      <w:r w:rsidR="001E45D0" w:rsidRPr="00C975F8">
        <w:rPr>
          <w:lang w:bidi="fa-IR"/>
        </w:rPr>
        <w:t>2</w:t>
      </w:r>
      <w:r w:rsidR="00E45A33">
        <w:rPr>
          <w:lang w:bidi="fa-IR"/>
        </w:rPr>
        <w:t> </w:t>
      </w:r>
      <w:r w:rsidR="001E45D0" w:rsidRPr="00C975F8">
        <w:rPr>
          <w:lang w:bidi="fa-IR"/>
        </w:rPr>
        <w:t>500 for LHDG Silver for new builds</w:t>
      </w:r>
      <w:r w:rsidR="001E45D0">
        <w:rPr>
          <w:lang w:bidi="fa-IR"/>
        </w:rPr>
        <w:t>.</w:t>
      </w:r>
      <w:r w:rsidR="00E45A33">
        <w:rPr>
          <w:rStyle w:val="FootnoteReference"/>
          <w:lang w:bidi="fa-IR"/>
        </w:rPr>
        <w:footnoteReference w:id="390"/>
      </w:r>
    </w:p>
    <w:p w14:paraId="5F6EE436" w14:textId="77777777" w:rsidR="001E45D0" w:rsidRDefault="001E45D0" w:rsidP="001E45D0">
      <w:pPr>
        <w:pStyle w:val="BodyText"/>
        <w:rPr>
          <w:lang w:bidi="fa-IR"/>
        </w:rPr>
      </w:pPr>
      <w:r>
        <w:rPr>
          <w:lang w:bidi="fa-IR"/>
        </w:rPr>
        <w:t xml:space="preserve">P2P Housing presented four plans from Murphy Homes and quoted </w:t>
      </w:r>
      <w:r w:rsidR="008A40D1">
        <w:rPr>
          <w:lang w:bidi="fa-IR"/>
        </w:rPr>
        <w:t>an</w:t>
      </w:r>
      <w:r>
        <w:rPr>
          <w:lang w:bidi="fa-IR"/>
        </w:rPr>
        <w:t xml:space="preserve"> average additional cost of $3</w:t>
      </w:r>
      <w:r w:rsidR="00537B32">
        <w:rPr>
          <w:lang w:bidi="fa-IR"/>
        </w:rPr>
        <w:t> </w:t>
      </w:r>
      <w:r>
        <w:rPr>
          <w:lang w:bidi="fa-IR"/>
        </w:rPr>
        <w:t>000 to achieve Silver.</w:t>
      </w:r>
      <w:r w:rsidR="009A470B">
        <w:rPr>
          <w:rStyle w:val="FootnoteReference"/>
          <w:lang w:bidi="fa-IR"/>
        </w:rPr>
        <w:footnoteReference w:id="391"/>
      </w:r>
    </w:p>
    <w:p w14:paraId="3C35D38B" w14:textId="67F31B04" w:rsidR="001E45D0" w:rsidRDefault="00070940" w:rsidP="001E45D0">
      <w:pPr>
        <w:pStyle w:val="BodyText"/>
        <w:rPr>
          <w:lang w:bidi="fa-IR"/>
        </w:rPr>
      </w:pPr>
      <w:r>
        <w:rPr>
          <w:lang w:bidi="fa-IR"/>
        </w:rPr>
        <w:t>One submission</w:t>
      </w:r>
      <w:r w:rsidR="001E45D0">
        <w:rPr>
          <w:lang w:bidi="fa-IR"/>
        </w:rPr>
        <w:t xml:space="preserve"> estimated total additional cost</w:t>
      </w:r>
      <w:r w:rsidR="004A44DE">
        <w:rPr>
          <w:lang w:bidi="fa-IR"/>
        </w:rPr>
        <w:t>s</w:t>
      </w:r>
      <w:r w:rsidR="001E45D0">
        <w:rPr>
          <w:lang w:bidi="fa-IR"/>
        </w:rPr>
        <w:t xml:space="preserve"> on a typical lot of 10</w:t>
      </w:r>
      <w:r w:rsidR="00186F97">
        <w:rPr>
          <w:lang w:bidi="fa-IR"/>
        </w:rPr>
        <w:t xml:space="preserve"> to </w:t>
      </w:r>
      <w:r w:rsidR="001E45D0">
        <w:rPr>
          <w:lang w:bidi="fa-IR"/>
        </w:rPr>
        <w:t>15 per cent sloping for an average sized house would be between $235</w:t>
      </w:r>
      <w:r w:rsidR="00CC2503">
        <w:rPr>
          <w:lang w:bidi="fa-IR"/>
        </w:rPr>
        <w:t> </w:t>
      </w:r>
      <w:r w:rsidR="001E45D0">
        <w:rPr>
          <w:lang w:bidi="fa-IR"/>
        </w:rPr>
        <w:t>000 and $261</w:t>
      </w:r>
      <w:r w:rsidR="00CC2503">
        <w:rPr>
          <w:lang w:bidi="fa-IR"/>
        </w:rPr>
        <w:t> </w:t>
      </w:r>
      <w:r w:rsidR="001E45D0">
        <w:rPr>
          <w:lang w:bidi="fa-IR"/>
        </w:rPr>
        <w:t>192 (table</w:t>
      </w:r>
      <w:r w:rsidR="00DD5C35">
        <w:rPr>
          <w:lang w:bidi="fa-IR"/>
        </w:rPr>
        <w:t xml:space="preserve"> A.17</w:t>
      </w:r>
      <w:r w:rsidR="001E45D0">
        <w:rPr>
          <w:lang w:bidi="fa-IR"/>
        </w:rPr>
        <w:t>).</w:t>
      </w:r>
      <w:r w:rsidR="00CF1551">
        <w:rPr>
          <w:rStyle w:val="FootnoteReference"/>
          <w:lang w:bidi="fa-IR"/>
        </w:rPr>
        <w:footnoteReference w:id="392"/>
      </w:r>
    </w:p>
    <w:p w14:paraId="780152DC" w14:textId="4A9EFB9F" w:rsidR="001E45D0" w:rsidRDefault="00BD17F9" w:rsidP="001E45D0">
      <w:pPr>
        <w:pStyle w:val="Caption"/>
      </w:pPr>
      <w:bookmarkStart w:id="604" w:name="_Toc52383076"/>
      <w:bookmarkStart w:id="605" w:name="_Toc57643665"/>
      <w:bookmarkStart w:id="606" w:name="_Toc70505612"/>
      <w:r>
        <w:t>A.17</w:t>
      </w:r>
      <w:r w:rsidR="001E45D0" w:rsidRPr="00695C93">
        <w:tab/>
      </w:r>
      <w:r w:rsidR="001E45D0">
        <w:t xml:space="preserve">Cost estimates </w:t>
      </w:r>
      <w:r w:rsidR="00F93604">
        <w:t xml:space="preserve">provided </w:t>
      </w:r>
      <w:r w:rsidR="001E45D0">
        <w:t xml:space="preserve">by </w:t>
      </w:r>
      <w:bookmarkEnd w:id="604"/>
      <w:bookmarkEnd w:id="605"/>
      <w:r w:rsidR="00F93604">
        <w:t>one submission</w:t>
      </w:r>
      <w:bookmarkEnd w:id="606"/>
    </w:p>
    <w:tbl>
      <w:tblPr>
        <w:tblW w:w="7937" w:type="dxa"/>
        <w:tblLook w:val="04A0" w:firstRow="1" w:lastRow="0" w:firstColumn="1" w:lastColumn="0" w:noHBand="0" w:noVBand="1"/>
        <w:tblCaption w:val="Table A.17: Cost estimates provided by one submission"/>
        <w:tblDescription w:val="Alternative additional cost estimate provided by one submission on a typical lot of 10-15 per cent sloping for an average sized house. Total additional cost is between $235,000 and $261,192."/>
      </w:tblPr>
      <w:tblGrid>
        <w:gridCol w:w="6684"/>
        <w:gridCol w:w="1253"/>
      </w:tblGrid>
      <w:tr w:rsidR="001E45D0" w:rsidRPr="006B2F04" w14:paraId="29ED9F76" w14:textId="77777777" w:rsidTr="001E45D0">
        <w:trPr>
          <w:trHeight w:val="252"/>
          <w:tblHeader/>
        </w:trPr>
        <w:tc>
          <w:tcPr>
            <w:tcW w:w="6684" w:type="dxa"/>
            <w:tcBorders>
              <w:bottom w:val="single" w:sz="8" w:space="0" w:color="FFFFFF" w:themeColor="background1"/>
            </w:tcBorders>
            <w:shd w:val="clear" w:color="auto" w:fill="6F6652"/>
            <w:noWrap/>
            <w:tcMar>
              <w:left w:w="57" w:type="dxa"/>
              <w:right w:w="57" w:type="dxa"/>
            </w:tcMar>
            <w:hideMark/>
          </w:tcPr>
          <w:p w14:paraId="65D4BA2E" w14:textId="77777777" w:rsidR="001E45D0" w:rsidRPr="006B2F04" w:rsidRDefault="001E45D0" w:rsidP="001E45D0">
            <w:pPr>
              <w:pStyle w:val="TableDataColumnHeading"/>
              <w:jc w:val="left"/>
            </w:pPr>
            <w:r w:rsidRPr="006B2F04">
              <w:t>Item</w:t>
            </w:r>
          </w:p>
        </w:tc>
        <w:tc>
          <w:tcPr>
            <w:tcW w:w="1253" w:type="dxa"/>
            <w:tcBorders>
              <w:bottom w:val="single" w:sz="8" w:space="0" w:color="FFFFFF" w:themeColor="background1"/>
            </w:tcBorders>
            <w:shd w:val="clear" w:color="auto" w:fill="6F6652"/>
            <w:noWrap/>
            <w:tcMar>
              <w:left w:w="57" w:type="dxa"/>
              <w:right w:w="57" w:type="dxa"/>
            </w:tcMar>
            <w:hideMark/>
          </w:tcPr>
          <w:p w14:paraId="2CF76515" w14:textId="77777777" w:rsidR="001E45D0" w:rsidRPr="006B2F04" w:rsidRDefault="001E45D0" w:rsidP="001E45D0">
            <w:pPr>
              <w:pStyle w:val="TableDataColumnHeading"/>
            </w:pPr>
            <w:r w:rsidRPr="006B2F04">
              <w:t>Cost ($)</w:t>
            </w:r>
          </w:p>
        </w:tc>
      </w:tr>
      <w:tr w:rsidR="001E45D0" w:rsidRPr="006B2F04" w14:paraId="7FEC4FEA"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0B3AA0" w14:textId="77777777" w:rsidR="001E45D0" w:rsidRPr="006B2F04" w:rsidRDefault="001E45D0" w:rsidP="001E45D0">
            <w:pPr>
              <w:pStyle w:val="TableDataEntries"/>
              <w:jc w:val="left"/>
            </w:pPr>
            <w:r w:rsidRPr="006B2F04">
              <w:t>Bulk and detailed excavation (not including rock excavation)</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D4CDE9" w14:textId="77777777" w:rsidR="001E45D0" w:rsidRPr="006B2F04" w:rsidRDefault="001E45D0" w:rsidP="001E45D0">
            <w:pPr>
              <w:pStyle w:val="TableDataEntries"/>
            </w:pPr>
            <w:r w:rsidRPr="006B2F04">
              <w:t>2</w:t>
            </w:r>
            <w:r w:rsidR="00396DA2">
              <w:t> </w:t>
            </w:r>
            <w:r w:rsidRPr="006B2F04">
              <w:t>750</w:t>
            </w:r>
          </w:p>
        </w:tc>
      </w:tr>
      <w:tr w:rsidR="001E45D0" w:rsidRPr="006B2F04" w14:paraId="7CA5AAA9"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C2AFFB" w14:textId="77777777" w:rsidR="001E45D0" w:rsidRPr="006B2F04" w:rsidRDefault="001E45D0" w:rsidP="001E45D0">
            <w:pPr>
              <w:pStyle w:val="TableDataEntries"/>
              <w:jc w:val="left"/>
            </w:pPr>
            <w:r w:rsidRPr="006B2F04">
              <w:t>Additional retaining walls and stormwater drainage</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E60047" w14:textId="77777777" w:rsidR="001E45D0" w:rsidRPr="006B2F04" w:rsidRDefault="001E45D0" w:rsidP="001E45D0">
            <w:pPr>
              <w:pStyle w:val="TableDataEntries"/>
            </w:pPr>
            <w:r w:rsidRPr="006B2F04">
              <w:t>60</w:t>
            </w:r>
            <w:r w:rsidR="00396DA2">
              <w:t> </w:t>
            </w:r>
            <w:r w:rsidRPr="006B2F04">
              <w:t>000</w:t>
            </w:r>
          </w:p>
        </w:tc>
      </w:tr>
      <w:tr w:rsidR="001E45D0" w:rsidRPr="006B2F04" w14:paraId="72406992"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A9113CC" w14:textId="77777777" w:rsidR="001E45D0" w:rsidRPr="006B2F04" w:rsidRDefault="001E45D0" w:rsidP="001E45D0">
            <w:pPr>
              <w:pStyle w:val="TableDataEntries"/>
              <w:jc w:val="left"/>
            </w:pPr>
            <w:r w:rsidRPr="006B2F04">
              <w:lastRenderedPageBreak/>
              <w:t>Extra cost associated with large garage</w:t>
            </w:r>
          </w:p>
        </w:tc>
        <w:tc>
          <w:tcPr>
            <w:tcW w:w="125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AB1636F" w14:textId="77777777" w:rsidR="001E45D0" w:rsidRPr="006B2F04" w:rsidRDefault="001E45D0" w:rsidP="001E45D0">
            <w:pPr>
              <w:pStyle w:val="TableDataEntries"/>
            </w:pPr>
            <w:r w:rsidRPr="006B2F04">
              <w:t>18</w:t>
            </w:r>
            <w:r w:rsidR="00396DA2">
              <w:t> </w:t>
            </w:r>
            <w:r w:rsidRPr="006B2F04">
              <w:t>500</w:t>
            </w:r>
          </w:p>
        </w:tc>
      </w:tr>
      <w:tr w:rsidR="001E45D0" w:rsidRPr="006B2F04" w14:paraId="28E3F136"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1EF47C" w14:textId="77777777" w:rsidR="001E45D0" w:rsidRPr="006B2F04" w:rsidRDefault="001E45D0" w:rsidP="001E45D0">
            <w:pPr>
              <w:pStyle w:val="TableDataEntries"/>
              <w:jc w:val="left"/>
            </w:pPr>
            <w:r w:rsidRPr="006B2F04">
              <w:t>– slab only</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9608FF" w14:textId="77777777" w:rsidR="001E45D0" w:rsidRPr="006B2F04" w:rsidRDefault="001E45D0" w:rsidP="001E45D0">
            <w:pPr>
              <w:pStyle w:val="TableDataEntries"/>
            </w:pPr>
            <w:r w:rsidRPr="006B2F04">
              <w:t>6</w:t>
            </w:r>
            <w:r w:rsidR="00396DA2">
              <w:t> </w:t>
            </w:r>
            <w:r w:rsidRPr="006B2F04">
              <w:t>850</w:t>
            </w:r>
          </w:p>
        </w:tc>
      </w:tr>
      <w:tr w:rsidR="001E45D0" w:rsidRPr="006B2F04" w14:paraId="01640252"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A95E89" w14:textId="77777777" w:rsidR="001E45D0" w:rsidRPr="006B2F04" w:rsidRDefault="001E45D0" w:rsidP="001E45D0">
            <w:pPr>
              <w:pStyle w:val="TableDataEntries"/>
              <w:jc w:val="left"/>
            </w:pPr>
            <w:r w:rsidRPr="006B2F04">
              <w:t>– extra costs over the added cost of the garage slab</w:t>
            </w:r>
            <w:r w:rsidRPr="00E4232C">
              <w:rPr>
                <w:rStyle w:val="NoteLabel"/>
              </w:rPr>
              <w:t xml:space="preserve"> a</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9C9745" w14:textId="77777777" w:rsidR="001E45D0" w:rsidRPr="006B2F04" w:rsidRDefault="001E45D0" w:rsidP="001E45D0">
            <w:pPr>
              <w:pStyle w:val="TableDataEntries"/>
            </w:pPr>
            <w:r w:rsidRPr="006B2F04">
              <w:t>11</w:t>
            </w:r>
            <w:r w:rsidR="00396DA2">
              <w:t> </w:t>
            </w:r>
            <w:r w:rsidRPr="006B2F04">
              <w:t>650</w:t>
            </w:r>
          </w:p>
        </w:tc>
      </w:tr>
      <w:tr w:rsidR="001E45D0" w:rsidRPr="006B2F04" w14:paraId="107EA8CB"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B9A581" w14:textId="77777777" w:rsidR="001E45D0" w:rsidRPr="006B2F04" w:rsidRDefault="001E45D0" w:rsidP="001E45D0">
            <w:pPr>
              <w:pStyle w:val="TableDataEntries"/>
              <w:jc w:val="left"/>
            </w:pPr>
            <w:r w:rsidRPr="006B2F04">
              <w:t>Reinforcing the bathroom and toilet walls</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0F3C08" w14:textId="77777777" w:rsidR="001E45D0" w:rsidRPr="006B2F04" w:rsidRDefault="001E45D0" w:rsidP="001E45D0">
            <w:pPr>
              <w:pStyle w:val="TableDataEntries"/>
            </w:pPr>
            <w:r w:rsidRPr="006B2F04">
              <w:t>2</w:t>
            </w:r>
            <w:r w:rsidR="00396DA2">
              <w:t> </w:t>
            </w:r>
            <w:r w:rsidRPr="006B2F04">
              <w:t>296</w:t>
            </w:r>
          </w:p>
        </w:tc>
      </w:tr>
      <w:tr w:rsidR="001E45D0" w:rsidRPr="006B2F04" w14:paraId="1CA12D90" w14:textId="77777777" w:rsidTr="001E45D0">
        <w:trPr>
          <w:trHeight w:val="504"/>
        </w:trPr>
        <w:tc>
          <w:tcPr>
            <w:tcW w:w="66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61E3BD3" w14:textId="77777777" w:rsidR="001E45D0" w:rsidRPr="006B2F04" w:rsidRDefault="001E45D0" w:rsidP="001E45D0">
            <w:pPr>
              <w:pStyle w:val="TableDataEntries"/>
              <w:jc w:val="left"/>
            </w:pPr>
            <w:r w:rsidRPr="006B2F04">
              <w:t>Installing sub-sill drainage to all sliding doors on the basis that the outdoor areas are level with the main house floor level</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EA03D1" w14:textId="77777777" w:rsidR="001E45D0" w:rsidRPr="006B2F04" w:rsidRDefault="001E45D0" w:rsidP="001E45D0">
            <w:pPr>
              <w:pStyle w:val="TableDataEntries"/>
            </w:pPr>
            <w:r w:rsidRPr="006B2F04">
              <w:t>2</w:t>
            </w:r>
            <w:r w:rsidR="00396DA2">
              <w:t> </w:t>
            </w:r>
            <w:r w:rsidRPr="006B2F04">
              <w:t>950</w:t>
            </w:r>
          </w:p>
        </w:tc>
      </w:tr>
      <w:tr w:rsidR="001E45D0" w:rsidRPr="006B2F04" w14:paraId="73AC0031"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5DAF79" w14:textId="77777777" w:rsidR="001E45D0" w:rsidRPr="006B2F04" w:rsidRDefault="001E45D0" w:rsidP="001E45D0">
            <w:pPr>
              <w:pStyle w:val="TableDataEntries"/>
              <w:jc w:val="left"/>
            </w:pPr>
            <w:r w:rsidRPr="006B2F04">
              <w:t>Land cost for larger lot size (100 m2 bigger)</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219DB6" w14:textId="77777777" w:rsidR="001E45D0" w:rsidRPr="006B2F04" w:rsidRDefault="001E45D0" w:rsidP="001E45D0">
            <w:pPr>
              <w:pStyle w:val="TableDataEntries"/>
            </w:pPr>
            <w:r w:rsidRPr="006B2F04">
              <w:t>91</w:t>
            </w:r>
            <w:r w:rsidR="00396DA2">
              <w:t> </w:t>
            </w:r>
            <w:r w:rsidRPr="006B2F04">
              <w:t>666</w:t>
            </w:r>
          </w:p>
        </w:tc>
      </w:tr>
      <w:tr w:rsidR="001E45D0" w:rsidRPr="006B2F04" w14:paraId="5453C1D2" w14:textId="77777777" w:rsidTr="001E45D0">
        <w:trPr>
          <w:trHeight w:val="252"/>
        </w:trPr>
        <w:tc>
          <w:tcPr>
            <w:tcW w:w="66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905708" w14:textId="77777777" w:rsidR="001E45D0" w:rsidRPr="006B2F04" w:rsidRDefault="001E45D0" w:rsidP="001E45D0">
            <w:pPr>
              <w:pStyle w:val="TableDataEntries"/>
              <w:jc w:val="left"/>
            </w:pPr>
            <w:r w:rsidRPr="006B2F04">
              <w:t>Bigger house size (38 m2 larger)</w:t>
            </w:r>
          </w:p>
        </w:tc>
        <w:tc>
          <w:tcPr>
            <w:tcW w:w="12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6791DE" w14:textId="77777777" w:rsidR="001E45D0" w:rsidRPr="006B2F04" w:rsidRDefault="001E45D0" w:rsidP="001E45D0">
            <w:pPr>
              <w:pStyle w:val="TableDataEntries"/>
            </w:pPr>
            <w:r w:rsidRPr="006B2F04">
              <w:t>83</w:t>
            </w:r>
            <w:r w:rsidR="00396DA2">
              <w:t> </w:t>
            </w:r>
            <w:r w:rsidRPr="006B2F04">
              <w:t>030</w:t>
            </w:r>
          </w:p>
        </w:tc>
      </w:tr>
      <w:tr w:rsidR="001E45D0" w:rsidRPr="00676C95" w14:paraId="5D5C72E2" w14:textId="77777777" w:rsidTr="001E45D0">
        <w:trPr>
          <w:trHeight w:val="252"/>
        </w:trPr>
        <w:tc>
          <w:tcPr>
            <w:tcW w:w="668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C3F7CC4" w14:textId="77777777" w:rsidR="001E45D0" w:rsidRPr="00676C95" w:rsidRDefault="001E45D0" w:rsidP="001E45D0">
            <w:pPr>
              <w:pStyle w:val="TableDataEntries"/>
              <w:jc w:val="left"/>
              <w:rPr>
                <w:rFonts w:ascii="Franklin Gothic Demi" w:hAnsi="Franklin Gothic Demi"/>
              </w:rPr>
            </w:pPr>
            <w:r w:rsidRPr="00676C95">
              <w:rPr>
                <w:rFonts w:ascii="Franklin Gothic Demi" w:hAnsi="Franklin Gothic Demi"/>
              </w:rPr>
              <w:t>Total</w:t>
            </w:r>
          </w:p>
        </w:tc>
        <w:tc>
          <w:tcPr>
            <w:tcW w:w="125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AA23F20" w14:textId="77777777" w:rsidR="001E45D0" w:rsidRPr="00676C95" w:rsidRDefault="001E45D0" w:rsidP="001E45D0">
            <w:pPr>
              <w:pStyle w:val="TableDataEntries"/>
              <w:rPr>
                <w:rFonts w:ascii="Franklin Gothic Demi" w:hAnsi="Franklin Gothic Demi"/>
              </w:rPr>
            </w:pPr>
            <w:r w:rsidRPr="00676C95">
              <w:rPr>
                <w:rFonts w:ascii="Franklin Gothic Demi" w:hAnsi="Franklin Gothic Demi"/>
              </w:rPr>
              <w:t>261</w:t>
            </w:r>
            <w:r w:rsidR="00396DA2">
              <w:rPr>
                <w:rFonts w:ascii="Franklin Gothic Demi" w:hAnsi="Franklin Gothic Demi"/>
              </w:rPr>
              <w:t> </w:t>
            </w:r>
            <w:r w:rsidRPr="00676C95">
              <w:rPr>
                <w:rFonts w:ascii="Franklin Gothic Demi" w:hAnsi="Franklin Gothic Demi"/>
              </w:rPr>
              <w:t>192</w:t>
            </w:r>
          </w:p>
        </w:tc>
      </w:tr>
    </w:tbl>
    <w:p w14:paraId="3EB03426" w14:textId="77777777" w:rsidR="001E45D0" w:rsidRPr="00E94313" w:rsidRDefault="001E45D0" w:rsidP="001E45D0">
      <w:pPr>
        <w:pStyle w:val="Note"/>
      </w:pPr>
      <w:r w:rsidRPr="00E4232C">
        <w:rPr>
          <w:rStyle w:val="NoteLabel"/>
        </w:rPr>
        <w:t>a</w:t>
      </w:r>
      <w:r>
        <w:t xml:space="preserve"> </w:t>
      </w:r>
      <w:r w:rsidRPr="00E94313">
        <w:t>including extra walls, larger garage door, more frame work, larger steel lintels over garage door, extra roofing material</w:t>
      </w:r>
    </w:p>
    <w:p w14:paraId="08CD6CCD" w14:textId="77777777" w:rsidR="001E45D0" w:rsidRPr="00E94313" w:rsidRDefault="001E45D0" w:rsidP="001E45D0">
      <w:pPr>
        <w:pStyle w:val="Source"/>
        <w:rPr>
          <w:lang w:bidi="fa-IR"/>
        </w:rPr>
      </w:pPr>
      <w:r w:rsidRPr="00E94313">
        <w:rPr>
          <w:lang w:bidi="fa-IR"/>
        </w:rPr>
        <w:t xml:space="preserve">Source: </w:t>
      </w:r>
      <w:r w:rsidR="00070940" w:rsidRPr="00E94313">
        <w:rPr>
          <w:lang w:bidi="fa-IR"/>
        </w:rPr>
        <w:t>Anonymous</w:t>
      </w:r>
      <w:r w:rsidRPr="00E94313">
        <w:rPr>
          <w:lang w:bidi="fa-IR"/>
        </w:rPr>
        <w:t xml:space="preserve"> </w:t>
      </w:r>
      <w:r w:rsidR="00070940" w:rsidRPr="00E94313">
        <w:rPr>
          <w:lang w:bidi="fa-IR"/>
        </w:rPr>
        <w:t>Submission 958471840</w:t>
      </w:r>
      <w:r w:rsidR="00875FF2" w:rsidRPr="00E94313">
        <w:rPr>
          <w:lang w:bidi="fa-IR"/>
        </w:rPr>
        <w:t>, answer to Question 26</w:t>
      </w:r>
    </w:p>
    <w:p w14:paraId="4BD3A387" w14:textId="77777777" w:rsidR="001E45D0" w:rsidRDefault="001E45D0" w:rsidP="001E45D0">
      <w:pPr>
        <w:pStyle w:val="BodyText"/>
        <w:rPr>
          <w:lang w:bidi="fa-IR"/>
        </w:rPr>
      </w:pPr>
      <w:r>
        <w:rPr>
          <w:lang w:bidi="fa-IR"/>
        </w:rPr>
        <w:t xml:space="preserve">Community Housing Industry Association </w:t>
      </w:r>
      <w:r w:rsidR="008A40D1">
        <w:rPr>
          <w:lang w:bidi="fa-IR"/>
        </w:rPr>
        <w:t>suggeste</w:t>
      </w:r>
      <w:r>
        <w:rPr>
          <w:lang w:bidi="fa-IR"/>
        </w:rPr>
        <w:t>d that:</w:t>
      </w:r>
      <w:r w:rsidR="00DB7162">
        <w:rPr>
          <w:rStyle w:val="FootnoteReference"/>
          <w:lang w:bidi="fa-IR"/>
        </w:rPr>
        <w:footnoteReference w:id="393"/>
      </w:r>
    </w:p>
    <w:p w14:paraId="11354E95" w14:textId="77777777" w:rsidR="001E45D0" w:rsidRPr="00EF3D9D" w:rsidRDefault="001E45D0" w:rsidP="001E45D0">
      <w:pPr>
        <w:pStyle w:val="ListBullet"/>
        <w:rPr>
          <w:rFonts w:eastAsia="SimSun"/>
          <w:lang w:eastAsia="zh-CN" w:bidi="fa-IR"/>
        </w:rPr>
      </w:pPr>
      <w:r>
        <w:rPr>
          <w:lang w:bidi="fa-IR"/>
        </w:rPr>
        <w:t>it costs $5</w:t>
      </w:r>
      <w:r w:rsidR="00B4791E">
        <w:rPr>
          <w:lang w:bidi="fa-IR"/>
        </w:rPr>
        <w:t> </w:t>
      </w:r>
      <w:r>
        <w:rPr>
          <w:lang w:bidi="fa-IR"/>
        </w:rPr>
        <w:t>400 to $6</w:t>
      </w:r>
      <w:r w:rsidR="00B4791E">
        <w:rPr>
          <w:lang w:bidi="fa-IR"/>
        </w:rPr>
        <w:t> </w:t>
      </w:r>
      <w:r>
        <w:rPr>
          <w:lang w:bidi="fa-IR"/>
        </w:rPr>
        <w:t>000 to upgrade homes to Silver, with th</w:t>
      </w:r>
      <w:r w:rsidR="008A40D1">
        <w:rPr>
          <w:lang w:bidi="fa-IR"/>
        </w:rPr>
        <w:t>is</w:t>
      </w:r>
      <w:r>
        <w:rPr>
          <w:lang w:bidi="fa-IR"/>
        </w:rPr>
        <w:t xml:space="preserve"> data being more applicable to ‘units’ (apartments and townhouses)</w:t>
      </w:r>
    </w:p>
    <w:p w14:paraId="45146A1E" w14:textId="77777777" w:rsidR="001E45D0" w:rsidRPr="00EF3D9D" w:rsidRDefault="001E45D0" w:rsidP="001E45D0">
      <w:pPr>
        <w:pStyle w:val="ListBullet"/>
        <w:rPr>
          <w:rFonts w:eastAsia="SimSun"/>
          <w:lang w:eastAsia="zh-CN" w:bidi="fa-IR"/>
        </w:rPr>
      </w:pPr>
      <w:r>
        <w:rPr>
          <w:lang w:bidi="fa-IR"/>
        </w:rPr>
        <w:t>the cost to upgrade to Gold is $27 000 per unit</w:t>
      </w:r>
      <w:r w:rsidR="000238B4">
        <w:rPr>
          <w:lang w:bidi="fa-IR"/>
        </w:rPr>
        <w:t>,</w:t>
      </w:r>
      <w:r>
        <w:rPr>
          <w:lang w:bidi="fa-IR"/>
        </w:rPr>
        <w:t xml:space="preserve"> and</w:t>
      </w:r>
    </w:p>
    <w:p w14:paraId="3B37DF62" w14:textId="77777777" w:rsidR="001E45D0" w:rsidRPr="00EF3D9D" w:rsidRDefault="001E45D0" w:rsidP="001E45D0">
      <w:pPr>
        <w:pStyle w:val="ListBullet"/>
        <w:rPr>
          <w:rFonts w:eastAsia="SimSun"/>
          <w:lang w:eastAsia="zh-CN" w:bidi="fa-IR"/>
        </w:rPr>
      </w:pPr>
      <w:r>
        <w:rPr>
          <w:lang w:bidi="fa-IR"/>
        </w:rPr>
        <w:t>it costs $1</w:t>
      </w:r>
      <w:r w:rsidR="000C5468">
        <w:rPr>
          <w:lang w:bidi="fa-IR"/>
        </w:rPr>
        <w:t> </w:t>
      </w:r>
      <w:r>
        <w:rPr>
          <w:lang w:bidi="fa-IR"/>
        </w:rPr>
        <w:t>500 per dwelling for additional design and certification costs.</w:t>
      </w:r>
    </w:p>
    <w:p w14:paraId="69818E50" w14:textId="77777777" w:rsidR="001E45D0" w:rsidRDefault="001E45D0" w:rsidP="001E45D0">
      <w:pPr>
        <w:pStyle w:val="BodyText"/>
        <w:rPr>
          <w:lang w:bidi="fa-IR"/>
        </w:rPr>
      </w:pPr>
      <w:r>
        <w:rPr>
          <w:lang w:bidi="fa-IR"/>
        </w:rPr>
        <w:t>A lift can add $50</w:t>
      </w:r>
      <w:r w:rsidR="00C166AA">
        <w:rPr>
          <w:lang w:bidi="fa-IR"/>
        </w:rPr>
        <w:t> </w:t>
      </w:r>
      <w:r>
        <w:rPr>
          <w:lang w:bidi="fa-IR"/>
        </w:rPr>
        <w:t>000 - $100</w:t>
      </w:r>
      <w:r w:rsidR="00C166AA">
        <w:rPr>
          <w:lang w:bidi="fa-IR"/>
        </w:rPr>
        <w:t> </w:t>
      </w:r>
      <w:r>
        <w:rPr>
          <w:lang w:bidi="fa-IR"/>
        </w:rPr>
        <w:t>000 to a project. A disabled bathroom costs more than $410</w:t>
      </w:r>
      <w:r w:rsidR="005621AD">
        <w:rPr>
          <w:lang w:bidi="fa-IR"/>
        </w:rPr>
        <w:t> </w:t>
      </w:r>
      <w:r w:rsidRPr="00F11742">
        <w:rPr>
          <w:color w:val="000000" w:themeColor="text1"/>
        </w:rPr>
        <w:t>000 (</w:t>
      </w:r>
      <w:r w:rsidR="00A15BAC" w:rsidRPr="00F11742">
        <w:rPr>
          <w:i/>
          <w:color w:val="000000" w:themeColor="text1"/>
        </w:rPr>
        <w:t>as such</w:t>
      </w:r>
      <w:r w:rsidRPr="00F11742">
        <w:rPr>
          <w:color w:val="000000" w:themeColor="text1"/>
        </w:rPr>
        <w:t xml:space="preserve">) </w:t>
      </w:r>
      <w:r>
        <w:rPr>
          <w:lang w:bidi="fa-IR"/>
        </w:rPr>
        <w:t>and ramps can add huge costs.</w:t>
      </w:r>
      <w:r w:rsidR="006814DC">
        <w:rPr>
          <w:rStyle w:val="FootnoteReference"/>
          <w:lang w:bidi="fa-IR"/>
        </w:rPr>
        <w:footnoteReference w:id="394"/>
      </w:r>
    </w:p>
    <w:p w14:paraId="2A3D797E" w14:textId="77777777" w:rsidR="001E45D0" w:rsidRDefault="00BE7DAA" w:rsidP="001E45D0">
      <w:pPr>
        <w:pStyle w:val="BodyText"/>
        <w:rPr>
          <w:lang w:bidi="fa-IR"/>
        </w:rPr>
      </w:pPr>
      <w:r w:rsidRPr="001729A7">
        <w:rPr>
          <w:lang w:bidi="fa-IR"/>
        </w:rPr>
        <w:t>One submission</w:t>
      </w:r>
      <w:r w:rsidR="001E45D0" w:rsidRPr="001729A7">
        <w:rPr>
          <w:lang w:bidi="fa-IR"/>
        </w:rPr>
        <w:t xml:space="preserve"> provided costings for constructing adaptable housing and accessible housing to Gold level</w:t>
      </w:r>
      <w:r w:rsidR="001729A7">
        <w:rPr>
          <w:lang w:bidi="fa-IR"/>
        </w:rPr>
        <w:t xml:space="preserve"> which</w:t>
      </w:r>
      <w:r w:rsidR="001E45D0" w:rsidRPr="001729A7">
        <w:rPr>
          <w:lang w:bidi="fa-IR"/>
        </w:rPr>
        <w:t xml:space="preserve"> required increasing the overall house size to accommodate larger bathroom areas and an accessible bedroom. Additional costs to the dwellings were between $17</w:t>
      </w:r>
      <w:r w:rsidR="005C5F5A" w:rsidRPr="001729A7">
        <w:rPr>
          <w:lang w:bidi="fa-IR"/>
        </w:rPr>
        <w:t> </w:t>
      </w:r>
      <w:r w:rsidR="001E45D0" w:rsidRPr="001729A7">
        <w:rPr>
          <w:lang w:bidi="fa-IR"/>
        </w:rPr>
        <w:t>000 and $21</w:t>
      </w:r>
      <w:r w:rsidR="005C5F5A" w:rsidRPr="001729A7">
        <w:rPr>
          <w:lang w:bidi="fa-IR"/>
        </w:rPr>
        <w:t> </w:t>
      </w:r>
      <w:r w:rsidR="001E45D0" w:rsidRPr="001729A7">
        <w:rPr>
          <w:lang w:bidi="fa-IR"/>
        </w:rPr>
        <w:t>000.</w:t>
      </w:r>
    </w:p>
    <w:p w14:paraId="136A95DE" w14:textId="77777777" w:rsidR="001E45D0" w:rsidRDefault="008E2800" w:rsidP="001E45D0">
      <w:pPr>
        <w:pStyle w:val="BodyText"/>
        <w:rPr>
          <w:lang w:bidi="fa-IR"/>
        </w:rPr>
      </w:pPr>
      <w:r>
        <w:rPr>
          <w:lang w:bidi="fa-IR"/>
        </w:rPr>
        <w:t>Another submission</w:t>
      </w:r>
      <w:r w:rsidR="001E45D0">
        <w:rPr>
          <w:lang w:bidi="fa-IR"/>
        </w:rPr>
        <w:t xml:space="preserve"> cited its members analysis </w:t>
      </w:r>
      <w:r w:rsidR="008A40D1">
        <w:rPr>
          <w:lang w:bidi="fa-IR"/>
        </w:rPr>
        <w:t xml:space="preserve">which </w:t>
      </w:r>
      <w:r w:rsidR="001E45D0">
        <w:rPr>
          <w:lang w:bidi="fa-IR"/>
        </w:rPr>
        <w:t>shows proposed changes would cost upward of $55</w:t>
      </w:r>
      <w:r>
        <w:rPr>
          <w:lang w:bidi="fa-IR"/>
        </w:rPr>
        <w:t> </w:t>
      </w:r>
      <w:r w:rsidR="001E45D0">
        <w:rPr>
          <w:lang w:bidi="fa-IR"/>
        </w:rPr>
        <w:t>000 per apartment.</w:t>
      </w:r>
      <w:r w:rsidR="00017AED">
        <w:rPr>
          <w:lang w:bidi="fa-IR"/>
        </w:rPr>
        <w:t xml:space="preserve"> It</w:t>
      </w:r>
      <w:r w:rsidR="001E45D0">
        <w:rPr>
          <w:lang w:bidi="fa-IR"/>
        </w:rPr>
        <w:t xml:space="preserve"> also cited costings from </w:t>
      </w:r>
      <w:r w:rsidR="00D45A72">
        <w:t xml:space="preserve">a developer </w:t>
      </w:r>
      <w:r w:rsidR="001E45D0">
        <w:t>that the costs would be between $36</w:t>
      </w:r>
      <w:r w:rsidR="00D45A72">
        <w:t> </w:t>
      </w:r>
      <w:r w:rsidR="001E45D0">
        <w:t>500 and $41</w:t>
      </w:r>
      <w:r w:rsidR="00D45A72">
        <w:t> </w:t>
      </w:r>
      <w:r w:rsidR="001E45D0">
        <w:t>000 per apartment pending ground conditions and water table heights. For example, Dee Why city centre would see costs escalate to over $100</w:t>
      </w:r>
      <w:r w:rsidR="00D45A72">
        <w:t> </w:t>
      </w:r>
      <w:r w:rsidR="001E45D0">
        <w:t>000 per car spot due to the adverse soil conditions and construction implications due to hydrostatic uplift and flood management.</w:t>
      </w:r>
      <w:r w:rsidR="00C1471C" w:rsidRPr="00C1471C">
        <w:rPr>
          <w:rStyle w:val="FootnoteReference"/>
          <w:lang w:bidi="fa-IR"/>
        </w:rPr>
        <w:t xml:space="preserve"> </w:t>
      </w:r>
    </w:p>
    <w:p w14:paraId="7B0416E0" w14:textId="1F63ED8E" w:rsidR="001E45D0" w:rsidRDefault="00360B2E" w:rsidP="001E45D0">
      <w:pPr>
        <w:pStyle w:val="BodyText"/>
        <w:rPr>
          <w:lang w:bidi="fa-IR"/>
        </w:rPr>
      </w:pPr>
      <w:r>
        <w:rPr>
          <w:lang w:bidi="fa-IR"/>
        </w:rPr>
        <w:t xml:space="preserve">The </w:t>
      </w:r>
      <w:r w:rsidR="001E45D0">
        <w:rPr>
          <w:lang w:bidi="fa-IR"/>
        </w:rPr>
        <w:t>MBA submission provided cost estimates for some elements according to member feedback (table</w:t>
      </w:r>
      <w:r w:rsidR="00DD5C35">
        <w:rPr>
          <w:lang w:bidi="fa-IR"/>
        </w:rPr>
        <w:t xml:space="preserve"> A.18</w:t>
      </w:r>
      <w:r w:rsidR="001E45D0">
        <w:rPr>
          <w:lang w:bidi="fa-IR"/>
        </w:rPr>
        <w:t>). MBA also provided some comments on the elements which have cost implications:</w:t>
      </w:r>
      <w:r w:rsidR="004C78DF">
        <w:rPr>
          <w:rStyle w:val="FootnoteReference"/>
          <w:lang w:bidi="fa-IR"/>
        </w:rPr>
        <w:footnoteReference w:id="395"/>
      </w:r>
    </w:p>
    <w:p w14:paraId="66EE762D" w14:textId="77777777" w:rsidR="001E45D0" w:rsidRDefault="001E45D0" w:rsidP="001E45D0">
      <w:pPr>
        <w:pStyle w:val="ListBullet"/>
        <w:rPr>
          <w:lang w:bidi="fa-IR"/>
        </w:rPr>
      </w:pPr>
      <w:r>
        <w:rPr>
          <w:lang w:bidi="fa-IR"/>
        </w:rPr>
        <w:t xml:space="preserve">Fly wire/security doors will create a further impact to costs as </w:t>
      </w:r>
      <w:r w:rsidR="00595340">
        <w:rPr>
          <w:lang w:bidi="fa-IR"/>
        </w:rPr>
        <w:t xml:space="preserve">the </w:t>
      </w:r>
      <w:r>
        <w:rPr>
          <w:lang w:bidi="fa-IR"/>
        </w:rPr>
        <w:t>landing or accessible area on the approach side will need to be larger</w:t>
      </w:r>
    </w:p>
    <w:p w14:paraId="65387E47" w14:textId="77777777" w:rsidR="001E45D0" w:rsidRDefault="001E45D0" w:rsidP="001E45D0">
      <w:pPr>
        <w:pStyle w:val="ListBullet"/>
        <w:rPr>
          <w:lang w:bidi="fa-IR"/>
        </w:rPr>
      </w:pPr>
      <w:r>
        <w:rPr>
          <w:lang w:bidi="fa-IR"/>
        </w:rPr>
        <w:t xml:space="preserve">All hallways will need to be </w:t>
      </w:r>
      <w:r w:rsidR="00360B2E">
        <w:rPr>
          <w:lang w:bidi="fa-IR"/>
        </w:rPr>
        <w:t xml:space="preserve">a </w:t>
      </w:r>
      <w:r>
        <w:rPr>
          <w:lang w:bidi="fa-IR"/>
        </w:rPr>
        <w:t>minimum 1</w:t>
      </w:r>
      <w:r w:rsidR="00277B80">
        <w:rPr>
          <w:lang w:bidi="fa-IR"/>
        </w:rPr>
        <w:t> </w:t>
      </w:r>
      <w:r>
        <w:rPr>
          <w:lang w:bidi="fa-IR"/>
        </w:rPr>
        <w:t>050mm wide</w:t>
      </w:r>
    </w:p>
    <w:p w14:paraId="43515324" w14:textId="77777777" w:rsidR="001E45D0" w:rsidRDefault="001E45D0" w:rsidP="001E45D0">
      <w:pPr>
        <w:pStyle w:val="ListBullet"/>
        <w:rPr>
          <w:lang w:bidi="fa-IR"/>
        </w:rPr>
      </w:pPr>
      <w:r>
        <w:rPr>
          <w:lang w:bidi="fa-IR"/>
        </w:rPr>
        <w:lastRenderedPageBreak/>
        <w:t xml:space="preserve">All doors will need to be </w:t>
      </w:r>
      <w:r w:rsidR="00360B2E">
        <w:rPr>
          <w:lang w:bidi="fa-IR"/>
        </w:rPr>
        <w:t xml:space="preserve">a </w:t>
      </w:r>
      <w:r>
        <w:rPr>
          <w:lang w:bidi="fa-IR"/>
        </w:rPr>
        <w:t>minimum 870</w:t>
      </w:r>
      <w:r w:rsidR="0040781F">
        <w:rPr>
          <w:lang w:bidi="fa-IR"/>
        </w:rPr>
        <w:t xml:space="preserve"> to </w:t>
      </w:r>
      <w:r>
        <w:rPr>
          <w:lang w:bidi="fa-IR"/>
        </w:rPr>
        <w:t>920mm in lieu of 820mm</w:t>
      </w:r>
    </w:p>
    <w:p w14:paraId="21EF74C1" w14:textId="77777777" w:rsidR="001E45D0" w:rsidRDefault="001E45D0" w:rsidP="001E45D0">
      <w:pPr>
        <w:pStyle w:val="ListBullet"/>
        <w:rPr>
          <w:lang w:bidi="fa-IR"/>
        </w:rPr>
      </w:pPr>
      <w:r>
        <w:rPr>
          <w:lang w:bidi="fa-IR"/>
        </w:rPr>
        <w:t>Toilets need to be wider and deeper which will impact the designs of the common area in the home</w:t>
      </w:r>
    </w:p>
    <w:p w14:paraId="7A5EE06F" w14:textId="77777777" w:rsidR="001E45D0" w:rsidRDefault="001E45D0" w:rsidP="001E45D0">
      <w:pPr>
        <w:pStyle w:val="ListBullet"/>
        <w:rPr>
          <w:lang w:bidi="fa-IR"/>
        </w:rPr>
      </w:pPr>
      <w:r>
        <w:rPr>
          <w:lang w:bidi="fa-IR"/>
        </w:rPr>
        <w:t>WC needs skirts and switches, so the toilet suite is measured 900mm clear from walls or skirts and switches</w:t>
      </w:r>
    </w:p>
    <w:p w14:paraId="24D4F7BD" w14:textId="77777777" w:rsidR="001E45D0" w:rsidRDefault="001E45D0" w:rsidP="001E45D0">
      <w:pPr>
        <w:pStyle w:val="ListBullet"/>
        <w:rPr>
          <w:lang w:bidi="fa-IR"/>
        </w:rPr>
      </w:pPr>
      <w:r>
        <w:rPr>
          <w:lang w:bidi="fa-IR"/>
        </w:rPr>
        <w:t>Straight stairs without winders will make a substantial impact on the useable space of the floor design</w:t>
      </w:r>
      <w:r w:rsidR="000238B4">
        <w:rPr>
          <w:lang w:bidi="fa-IR"/>
        </w:rPr>
        <w:t>,</w:t>
      </w:r>
      <w:r>
        <w:rPr>
          <w:lang w:bidi="fa-IR"/>
        </w:rPr>
        <w:t xml:space="preserve"> and</w:t>
      </w:r>
    </w:p>
    <w:p w14:paraId="1930D96A" w14:textId="77777777" w:rsidR="001E45D0" w:rsidRDefault="001E45D0" w:rsidP="001E45D0">
      <w:pPr>
        <w:pStyle w:val="ListBullet"/>
        <w:rPr>
          <w:lang w:bidi="fa-IR"/>
        </w:rPr>
      </w:pPr>
      <w:r>
        <w:rPr>
          <w:lang w:bidi="fa-IR"/>
        </w:rPr>
        <w:t xml:space="preserve">Considering required location for additional smoke detectors for future allocation of </w:t>
      </w:r>
      <w:r w:rsidR="00360B2E">
        <w:rPr>
          <w:lang w:bidi="fa-IR"/>
        </w:rPr>
        <w:t xml:space="preserve">a </w:t>
      </w:r>
      <w:r>
        <w:rPr>
          <w:lang w:bidi="fa-IR"/>
        </w:rPr>
        <w:t>non-dedicated bedroom becomes problematic and will add additional cost.</w:t>
      </w:r>
    </w:p>
    <w:p w14:paraId="0211837D" w14:textId="17A8096C" w:rsidR="001E45D0" w:rsidRDefault="00BD17F9" w:rsidP="001E45D0">
      <w:pPr>
        <w:pStyle w:val="Caption"/>
      </w:pPr>
      <w:bookmarkStart w:id="607" w:name="_Toc52383077"/>
      <w:bookmarkStart w:id="608" w:name="_Toc57643666"/>
      <w:bookmarkStart w:id="609" w:name="_Toc70505613"/>
      <w:r>
        <w:t>A.18</w:t>
      </w:r>
      <w:r w:rsidR="001E45D0" w:rsidRPr="00695C93">
        <w:tab/>
      </w:r>
      <w:r w:rsidR="001E45D0">
        <w:t>Cost estimates by MBA to achieve accessibility standards</w:t>
      </w:r>
      <w:bookmarkEnd w:id="607"/>
      <w:bookmarkEnd w:id="608"/>
      <w:bookmarkEnd w:id="609"/>
    </w:p>
    <w:tbl>
      <w:tblPr>
        <w:tblW w:w="7937" w:type="dxa"/>
        <w:tblLook w:val="04A0" w:firstRow="1" w:lastRow="0" w:firstColumn="1" w:lastColumn="0" w:noHBand="0" w:noVBand="1"/>
        <w:tblCaption w:val="Table A.18: Cost estimates by MBA to achieve accessibility standards"/>
        <w:tblDescription w:val="Table A.18 lists cost estimates for some elements required to achieve accessibility standards according to MBA member feedback, including access via paths and driveways which are not a standard inclusion for most homes ($5000), bathroom and toilet upgrades ($4800) and a step-free entrance ($4500)."/>
      </w:tblPr>
      <w:tblGrid>
        <w:gridCol w:w="7006"/>
        <w:gridCol w:w="931"/>
      </w:tblGrid>
      <w:tr w:rsidR="001E45D0" w:rsidRPr="00B666F2" w14:paraId="3047BBE8" w14:textId="77777777" w:rsidTr="001E45D0">
        <w:trPr>
          <w:trHeight w:val="252"/>
          <w:tblHeader/>
        </w:trPr>
        <w:tc>
          <w:tcPr>
            <w:tcW w:w="7006" w:type="dxa"/>
            <w:tcBorders>
              <w:bottom w:val="single" w:sz="8" w:space="0" w:color="FFFFFF" w:themeColor="background1"/>
            </w:tcBorders>
            <w:shd w:val="clear" w:color="auto" w:fill="6F6652"/>
            <w:noWrap/>
            <w:tcMar>
              <w:left w:w="57" w:type="dxa"/>
              <w:right w:w="57" w:type="dxa"/>
            </w:tcMar>
            <w:hideMark/>
          </w:tcPr>
          <w:p w14:paraId="74EE0CED" w14:textId="77777777" w:rsidR="001E45D0" w:rsidRPr="00B666F2" w:rsidRDefault="001E45D0" w:rsidP="001E45D0">
            <w:pPr>
              <w:pStyle w:val="TableDataColumnHeading"/>
              <w:jc w:val="left"/>
            </w:pPr>
            <w:r w:rsidRPr="00B666F2">
              <w:t>Item</w:t>
            </w:r>
          </w:p>
        </w:tc>
        <w:tc>
          <w:tcPr>
            <w:tcW w:w="931" w:type="dxa"/>
            <w:tcBorders>
              <w:bottom w:val="single" w:sz="8" w:space="0" w:color="FFFFFF" w:themeColor="background1"/>
            </w:tcBorders>
            <w:shd w:val="clear" w:color="auto" w:fill="6F6652"/>
            <w:noWrap/>
            <w:tcMar>
              <w:left w:w="57" w:type="dxa"/>
              <w:right w:w="57" w:type="dxa"/>
            </w:tcMar>
            <w:hideMark/>
          </w:tcPr>
          <w:p w14:paraId="6B72DAFB" w14:textId="77777777" w:rsidR="001E45D0" w:rsidRPr="00B666F2" w:rsidRDefault="001E45D0" w:rsidP="001E45D0">
            <w:pPr>
              <w:pStyle w:val="TableDataColumnHeading"/>
            </w:pPr>
            <w:r w:rsidRPr="00B666F2">
              <w:t>Cost ($)</w:t>
            </w:r>
          </w:p>
        </w:tc>
      </w:tr>
      <w:tr w:rsidR="001E45D0" w:rsidRPr="00B666F2" w14:paraId="08F795B5"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007C56" w14:textId="77777777" w:rsidR="001E45D0" w:rsidRPr="00B666F2" w:rsidRDefault="001E45D0" w:rsidP="001E45D0">
            <w:pPr>
              <w:pStyle w:val="TableDataEntries"/>
              <w:jc w:val="left"/>
            </w:pPr>
            <w:r w:rsidRPr="00B666F2">
              <w:t>Access via paths and driveways which are not a standard inclusion for most homes</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AECCE6" w14:textId="77777777" w:rsidR="001E45D0" w:rsidRPr="00B666F2" w:rsidRDefault="001E45D0" w:rsidP="001E45D0">
            <w:pPr>
              <w:pStyle w:val="TableDataEntries"/>
            </w:pPr>
            <w:r w:rsidRPr="00B666F2">
              <w:t>5</w:t>
            </w:r>
            <w:r w:rsidR="00277B80">
              <w:t> </w:t>
            </w:r>
            <w:r w:rsidRPr="00B666F2">
              <w:t>000</w:t>
            </w:r>
          </w:p>
        </w:tc>
      </w:tr>
      <w:tr w:rsidR="001E45D0" w:rsidRPr="00B666F2" w14:paraId="135F3D8E"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3707DD" w14:textId="77777777" w:rsidR="001E45D0" w:rsidRPr="00B666F2" w:rsidRDefault="001E45D0" w:rsidP="001E45D0">
            <w:pPr>
              <w:pStyle w:val="TableDataEntries"/>
              <w:jc w:val="left"/>
            </w:pPr>
            <w:r w:rsidRPr="00B666F2">
              <w:t>Entrance door upgrade area</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356B38" w14:textId="77777777" w:rsidR="001E45D0" w:rsidRPr="00B666F2" w:rsidRDefault="001E45D0" w:rsidP="001E45D0">
            <w:pPr>
              <w:pStyle w:val="TableDataEntries"/>
            </w:pPr>
            <w:r w:rsidRPr="00B666F2">
              <w:t>350</w:t>
            </w:r>
          </w:p>
        </w:tc>
      </w:tr>
      <w:tr w:rsidR="001E45D0" w:rsidRPr="00B666F2" w14:paraId="5859DD1D"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C92DE1" w14:textId="77777777" w:rsidR="001E45D0" w:rsidRPr="00B666F2" w:rsidRDefault="001E45D0" w:rsidP="001E45D0">
            <w:pPr>
              <w:pStyle w:val="TableDataEntries"/>
              <w:jc w:val="left"/>
            </w:pPr>
            <w:r w:rsidRPr="00B666F2">
              <w:t>Step free entrance</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F1DA8C" w14:textId="77777777" w:rsidR="001E45D0" w:rsidRPr="00B666F2" w:rsidRDefault="001E45D0" w:rsidP="001E45D0">
            <w:pPr>
              <w:pStyle w:val="TableDataEntries"/>
            </w:pPr>
          </w:p>
        </w:tc>
      </w:tr>
      <w:tr w:rsidR="001E45D0" w:rsidRPr="00B666F2" w14:paraId="28425490"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847A7B" w14:textId="77777777" w:rsidR="001E45D0" w:rsidRPr="00B666F2" w:rsidRDefault="001E45D0" w:rsidP="001E45D0">
            <w:pPr>
              <w:pStyle w:val="TableDataEntries"/>
              <w:jc w:val="left"/>
            </w:pPr>
            <w:r w:rsidRPr="00B666F2">
              <w:t xml:space="preserve">   Consultation fees and building surveyor/certifier fees for performance solution</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5B651A" w14:textId="77777777" w:rsidR="001E45D0" w:rsidRPr="00B666F2" w:rsidRDefault="001E45D0" w:rsidP="001E45D0">
            <w:pPr>
              <w:pStyle w:val="TableDataEntries"/>
            </w:pPr>
            <w:r w:rsidRPr="00B666F2">
              <w:t>3</w:t>
            </w:r>
            <w:r w:rsidR="00277B80">
              <w:t> </w:t>
            </w:r>
            <w:r w:rsidRPr="00B666F2">
              <w:t>500</w:t>
            </w:r>
          </w:p>
        </w:tc>
      </w:tr>
      <w:tr w:rsidR="001E45D0" w:rsidRPr="00B666F2" w14:paraId="3B118A01"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B2E20C" w14:textId="77777777" w:rsidR="001E45D0" w:rsidRPr="00B666F2" w:rsidRDefault="001E45D0" w:rsidP="001E45D0">
            <w:pPr>
              <w:pStyle w:val="TableDataEntries"/>
              <w:jc w:val="left"/>
            </w:pPr>
            <w:r w:rsidRPr="00B666F2">
              <w:t xml:space="preserve">   Inclusions for grate drain, plumbing work, concreting</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968FA5" w14:textId="77777777" w:rsidR="001E45D0" w:rsidRPr="00B666F2" w:rsidRDefault="001E45D0" w:rsidP="001E45D0">
            <w:pPr>
              <w:pStyle w:val="TableDataEntries"/>
            </w:pPr>
            <w:r w:rsidRPr="00B666F2">
              <w:t>1</w:t>
            </w:r>
            <w:r w:rsidR="00277B80">
              <w:t> </w:t>
            </w:r>
            <w:r w:rsidRPr="00B666F2">
              <w:t>000</w:t>
            </w:r>
          </w:p>
        </w:tc>
      </w:tr>
      <w:tr w:rsidR="001E45D0" w:rsidRPr="00B666F2" w14:paraId="337A963A"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E812C5" w14:textId="77777777" w:rsidR="001E45D0" w:rsidRPr="00B666F2" w:rsidRDefault="001E45D0" w:rsidP="001E45D0">
            <w:pPr>
              <w:pStyle w:val="TableDataEntries"/>
              <w:jc w:val="left"/>
            </w:pPr>
            <w:r w:rsidRPr="00B666F2">
              <w:t>Internal doors</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24D135" w14:textId="77777777" w:rsidR="001E45D0" w:rsidRPr="00B666F2" w:rsidRDefault="001E45D0" w:rsidP="001E45D0">
            <w:pPr>
              <w:pStyle w:val="TableDataEntries"/>
            </w:pPr>
            <w:r w:rsidRPr="00B666F2">
              <w:t>150 each</w:t>
            </w:r>
          </w:p>
        </w:tc>
      </w:tr>
      <w:tr w:rsidR="001E45D0" w:rsidRPr="00B666F2" w14:paraId="406FF86C"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E1FCDA" w14:textId="77777777" w:rsidR="001E45D0" w:rsidRPr="00B666F2" w:rsidRDefault="001E45D0" w:rsidP="001E45D0">
            <w:pPr>
              <w:pStyle w:val="TableDataEntries"/>
              <w:jc w:val="left"/>
            </w:pPr>
            <w:r w:rsidRPr="00B666F2">
              <w:t>Bathroom and toilet</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ADD922" w14:textId="77777777" w:rsidR="001E45D0" w:rsidRPr="00B666F2" w:rsidRDefault="001E45D0" w:rsidP="001E45D0">
            <w:pPr>
              <w:pStyle w:val="TableDataEntries"/>
            </w:pPr>
          </w:p>
        </w:tc>
      </w:tr>
      <w:tr w:rsidR="001E45D0" w:rsidRPr="00B666F2" w14:paraId="3292EFF0"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9A0B0C" w14:textId="77777777" w:rsidR="001E45D0" w:rsidRPr="00B666F2" w:rsidRDefault="001E45D0" w:rsidP="001E45D0">
            <w:pPr>
              <w:pStyle w:val="TableDataEntries"/>
              <w:jc w:val="left"/>
            </w:pPr>
            <w:r w:rsidRPr="00B666F2">
              <w:t xml:space="preserve">   A bathroom with a hobless shower will need to be fully waterproofed, bedded and graded</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A68D99" w14:textId="77777777" w:rsidR="001E45D0" w:rsidRPr="00B666F2" w:rsidRDefault="001E45D0" w:rsidP="001E45D0">
            <w:pPr>
              <w:pStyle w:val="TableDataEntries"/>
            </w:pPr>
            <w:r w:rsidRPr="00B666F2">
              <w:t>2</w:t>
            </w:r>
            <w:r w:rsidR="00277B80">
              <w:t> </w:t>
            </w:r>
            <w:r w:rsidRPr="00B666F2">
              <w:t>000</w:t>
            </w:r>
          </w:p>
        </w:tc>
      </w:tr>
      <w:tr w:rsidR="001E45D0" w:rsidRPr="00B666F2" w14:paraId="3ECFB11A"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0B9D5C" w14:textId="77777777" w:rsidR="001E45D0" w:rsidRPr="00B666F2" w:rsidRDefault="001E45D0" w:rsidP="001E45D0">
            <w:pPr>
              <w:pStyle w:val="TableDataEntries"/>
              <w:jc w:val="left"/>
            </w:pPr>
            <w:r w:rsidRPr="00B666F2">
              <w:t xml:space="preserve">   Poly marble bases no longer suitable</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A09DBA" w14:textId="77777777" w:rsidR="001E45D0" w:rsidRPr="00B666F2" w:rsidRDefault="001E45D0" w:rsidP="001E45D0">
            <w:pPr>
              <w:pStyle w:val="TableDataEntries"/>
            </w:pPr>
            <w:r w:rsidRPr="00B666F2">
              <w:t>2</w:t>
            </w:r>
            <w:r w:rsidR="00277B80">
              <w:t> </w:t>
            </w:r>
            <w:r w:rsidRPr="00B666F2">
              <w:t>000</w:t>
            </w:r>
          </w:p>
        </w:tc>
      </w:tr>
      <w:tr w:rsidR="001E45D0" w:rsidRPr="00B666F2" w14:paraId="0ECCB0D1" w14:textId="77777777" w:rsidTr="001E45D0">
        <w:trPr>
          <w:trHeight w:val="252"/>
        </w:trPr>
        <w:tc>
          <w:tcPr>
            <w:tcW w:w="70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CA05B1" w14:textId="77777777" w:rsidR="001E45D0" w:rsidRPr="00B666F2" w:rsidRDefault="001E45D0" w:rsidP="001E45D0">
            <w:pPr>
              <w:pStyle w:val="TableDataEntries"/>
              <w:jc w:val="left"/>
            </w:pPr>
            <w:r w:rsidRPr="00B666F2">
              <w:t xml:space="preserve">   Solid blocking or sheeting to bathroom, toilet areas</w:t>
            </w:r>
          </w:p>
        </w:tc>
        <w:tc>
          <w:tcPr>
            <w:tcW w:w="9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492993" w14:textId="77777777" w:rsidR="001E45D0" w:rsidRPr="00B666F2" w:rsidRDefault="001E45D0" w:rsidP="001E45D0">
            <w:pPr>
              <w:pStyle w:val="TableDataEntries"/>
            </w:pPr>
            <w:r w:rsidRPr="00B666F2">
              <w:t>500</w:t>
            </w:r>
          </w:p>
        </w:tc>
      </w:tr>
      <w:tr w:rsidR="001E45D0" w:rsidRPr="00B666F2" w14:paraId="38E5F0D2" w14:textId="77777777" w:rsidTr="001E45D0">
        <w:trPr>
          <w:trHeight w:val="252"/>
        </w:trPr>
        <w:tc>
          <w:tcPr>
            <w:tcW w:w="700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DA7EF2E" w14:textId="77777777" w:rsidR="001E45D0" w:rsidRPr="00B666F2" w:rsidRDefault="001E45D0" w:rsidP="001E45D0">
            <w:pPr>
              <w:pStyle w:val="TableDataEntries"/>
              <w:jc w:val="left"/>
            </w:pPr>
            <w:r w:rsidRPr="00B666F2">
              <w:t xml:space="preserve">   Upgrade to accessible toilet suite from standard</w:t>
            </w:r>
          </w:p>
        </w:tc>
        <w:tc>
          <w:tcPr>
            <w:tcW w:w="93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E8FACD4" w14:textId="77777777" w:rsidR="001E45D0" w:rsidRPr="00B666F2" w:rsidRDefault="001E45D0" w:rsidP="001E45D0">
            <w:pPr>
              <w:pStyle w:val="TableDataEntries"/>
            </w:pPr>
            <w:r w:rsidRPr="00B666F2">
              <w:t>300</w:t>
            </w:r>
          </w:p>
        </w:tc>
      </w:tr>
    </w:tbl>
    <w:p w14:paraId="68547DC8" w14:textId="77777777" w:rsidR="001E45D0" w:rsidRPr="00E94313" w:rsidRDefault="001E45D0" w:rsidP="001E45D0">
      <w:pPr>
        <w:pStyle w:val="Source"/>
        <w:rPr>
          <w:iCs/>
          <w:lang w:bidi="fa-IR"/>
        </w:rPr>
      </w:pPr>
      <w:r w:rsidRPr="00E94313">
        <w:rPr>
          <w:iCs/>
          <w:lang w:bidi="fa-IR"/>
        </w:rPr>
        <w:t>Source: MBA submission</w:t>
      </w:r>
      <w:r w:rsidR="000238B4">
        <w:rPr>
          <w:iCs/>
          <w:lang w:bidi="fa-IR"/>
        </w:rPr>
        <w:t>.</w:t>
      </w:r>
    </w:p>
    <w:p w14:paraId="0C6A452A" w14:textId="77777777" w:rsidR="001E45D0" w:rsidRDefault="001E45D0" w:rsidP="001E45D0">
      <w:pPr>
        <w:pStyle w:val="BodyText"/>
        <w:rPr>
          <w:lang w:bidi="fa-IR"/>
        </w:rPr>
      </w:pPr>
      <w:r>
        <w:rPr>
          <w:lang w:bidi="fa-IR"/>
        </w:rPr>
        <w:t>PCA provided a case study to illustrate how building to LHDG Gold requires an increase in overall apartment size and reduces yield and the number of dwellings on a development plot.</w:t>
      </w:r>
      <w:r w:rsidR="002E6CCF">
        <w:rPr>
          <w:rStyle w:val="FootnoteReference"/>
          <w:lang w:bidi="fa-IR"/>
        </w:rPr>
        <w:footnoteReference w:id="396"/>
      </w:r>
    </w:p>
    <w:p w14:paraId="63EC1820" w14:textId="77777777" w:rsidR="001E45D0" w:rsidRDefault="00C61F4D" w:rsidP="001E45D0">
      <w:pPr>
        <w:pStyle w:val="BodyText"/>
        <w:rPr>
          <w:lang w:bidi="fa-IR"/>
        </w:rPr>
      </w:pPr>
      <w:r>
        <w:rPr>
          <w:lang w:bidi="fa-IR"/>
        </w:rPr>
        <w:t xml:space="preserve">Wilson Homes Tasmania suggested the following elements </w:t>
      </w:r>
      <w:r w:rsidR="008A40D1">
        <w:rPr>
          <w:lang w:bidi="fa-IR"/>
        </w:rPr>
        <w:t xml:space="preserve">were </w:t>
      </w:r>
      <w:r w:rsidR="001E45D0">
        <w:rPr>
          <w:lang w:bidi="fa-IR"/>
        </w:rPr>
        <w:t xml:space="preserve">missing from the </w:t>
      </w:r>
      <w:r w:rsidR="009E7509">
        <w:rPr>
          <w:lang w:bidi="fa-IR"/>
        </w:rPr>
        <w:t xml:space="preserve">Consultation </w:t>
      </w:r>
      <w:r w:rsidR="001E45D0">
        <w:rPr>
          <w:lang w:bidi="fa-IR"/>
        </w:rPr>
        <w:t>RIS or requir</w:t>
      </w:r>
      <w:r w:rsidR="008A40D1">
        <w:rPr>
          <w:lang w:bidi="fa-IR"/>
        </w:rPr>
        <w:t>ed</w:t>
      </w:r>
      <w:r w:rsidR="001E45D0">
        <w:rPr>
          <w:lang w:bidi="fa-IR"/>
        </w:rPr>
        <w:t xml:space="preserve"> adjustments:</w:t>
      </w:r>
      <w:r w:rsidR="004370DE">
        <w:rPr>
          <w:rStyle w:val="FootnoteReference"/>
          <w:lang w:bidi="fa-IR"/>
        </w:rPr>
        <w:footnoteReference w:id="397"/>
      </w:r>
    </w:p>
    <w:p w14:paraId="7366627B" w14:textId="77777777" w:rsidR="001E45D0" w:rsidRDefault="001E45D0" w:rsidP="001E45D0">
      <w:pPr>
        <w:pStyle w:val="ListBullet"/>
        <w:rPr>
          <w:lang w:bidi="fa-IR"/>
        </w:rPr>
      </w:pPr>
      <w:r>
        <w:rPr>
          <w:lang w:bidi="fa-IR"/>
        </w:rPr>
        <w:t>addition of the path itself should a car space not be utilised or comply</w:t>
      </w:r>
    </w:p>
    <w:p w14:paraId="39DD073D" w14:textId="77777777" w:rsidR="001E45D0" w:rsidRDefault="001E45D0" w:rsidP="001E45D0">
      <w:pPr>
        <w:pStyle w:val="ListBullet"/>
        <w:rPr>
          <w:lang w:bidi="fa-IR"/>
        </w:rPr>
      </w:pPr>
      <w:r>
        <w:rPr>
          <w:lang w:bidi="fa-IR"/>
        </w:rPr>
        <w:t>excavation, retaining or other siteworks for 1:40 grade parking in lieu of Australian Standards (potentially also affecting dwelling floor levels)</w:t>
      </w:r>
    </w:p>
    <w:p w14:paraId="6F6B810E" w14:textId="77777777" w:rsidR="001E45D0" w:rsidRDefault="008A40D1" w:rsidP="001E45D0">
      <w:pPr>
        <w:pStyle w:val="ListBullet"/>
        <w:rPr>
          <w:lang w:bidi="fa-IR"/>
        </w:rPr>
      </w:pPr>
      <w:r>
        <w:rPr>
          <w:lang w:bidi="fa-IR"/>
        </w:rPr>
        <w:t>c</w:t>
      </w:r>
      <w:r w:rsidR="001E45D0">
        <w:rPr>
          <w:lang w:bidi="fa-IR"/>
        </w:rPr>
        <w:t>overed parking to Gold and Gold Plus</w:t>
      </w:r>
    </w:p>
    <w:p w14:paraId="0A42E462" w14:textId="77777777" w:rsidR="001E45D0" w:rsidRPr="00353DD5" w:rsidRDefault="008A40D1" w:rsidP="001E45D0">
      <w:pPr>
        <w:pStyle w:val="ListBullet"/>
        <w:rPr>
          <w:lang w:bidi="fa-IR"/>
        </w:rPr>
      </w:pPr>
      <w:r>
        <w:rPr>
          <w:lang w:bidi="fa-IR"/>
        </w:rPr>
        <w:t>i</w:t>
      </w:r>
      <w:r w:rsidR="001E45D0">
        <w:rPr>
          <w:lang w:bidi="fa-IR"/>
        </w:rPr>
        <w:t xml:space="preserve">nternal (and one entry) </w:t>
      </w:r>
      <w:r w:rsidR="001E45D0" w:rsidRPr="00353DD5">
        <w:rPr>
          <w:lang w:bidi="fa-IR"/>
        </w:rPr>
        <w:t>doors require 820mm ‘clear opening’ inferring the use of an 870mm door</w:t>
      </w:r>
    </w:p>
    <w:p w14:paraId="43404577" w14:textId="77777777" w:rsidR="001E45D0" w:rsidRDefault="008A40D1" w:rsidP="001E45D0">
      <w:pPr>
        <w:pStyle w:val="ListBullet"/>
        <w:rPr>
          <w:lang w:bidi="fa-IR"/>
        </w:rPr>
      </w:pPr>
      <w:r w:rsidRPr="00353DD5">
        <w:rPr>
          <w:lang w:bidi="fa-IR"/>
        </w:rPr>
        <w:t>p</w:t>
      </w:r>
      <w:r w:rsidR="001E45D0" w:rsidRPr="00353DD5">
        <w:rPr>
          <w:lang w:bidi="fa-IR"/>
        </w:rPr>
        <w:t>otential floor area increases to</w:t>
      </w:r>
      <w:r w:rsidR="001E45D0">
        <w:rPr>
          <w:lang w:bidi="fa-IR"/>
        </w:rPr>
        <w:t xml:space="preserve"> allow for shower and toilet requirements</w:t>
      </w:r>
    </w:p>
    <w:p w14:paraId="13B5B31C" w14:textId="77777777" w:rsidR="001E45D0" w:rsidRDefault="001E45D0" w:rsidP="001E45D0">
      <w:pPr>
        <w:pStyle w:val="ListBullet"/>
        <w:rPr>
          <w:lang w:bidi="fa-IR"/>
        </w:rPr>
      </w:pPr>
      <w:r>
        <w:rPr>
          <w:lang w:bidi="fa-IR"/>
        </w:rPr>
        <w:t>'removable' shower imposes significant requirement</w:t>
      </w:r>
      <w:r w:rsidR="00531909">
        <w:rPr>
          <w:lang w:bidi="fa-IR"/>
        </w:rPr>
        <w:t>s</w:t>
      </w:r>
      <w:r>
        <w:rPr>
          <w:lang w:bidi="fa-IR"/>
        </w:rPr>
        <w:t xml:space="preserve"> (waterproofing, falls to floors, additional tiling/vinyl to walls, more floor space in bathroom)</w:t>
      </w:r>
      <w:r w:rsidR="000238B4">
        <w:rPr>
          <w:lang w:bidi="fa-IR"/>
        </w:rPr>
        <w:t>,</w:t>
      </w:r>
      <w:r w:rsidR="008A40D1">
        <w:rPr>
          <w:lang w:bidi="fa-IR"/>
        </w:rPr>
        <w:t xml:space="preserve"> and</w:t>
      </w:r>
    </w:p>
    <w:p w14:paraId="3CA4FA96" w14:textId="77777777" w:rsidR="001E45D0" w:rsidRDefault="008A40D1" w:rsidP="001E45D0">
      <w:pPr>
        <w:pStyle w:val="ListBullet"/>
        <w:rPr>
          <w:lang w:bidi="fa-IR"/>
        </w:rPr>
      </w:pPr>
      <w:r>
        <w:rPr>
          <w:lang w:bidi="fa-IR"/>
        </w:rPr>
        <w:lastRenderedPageBreak/>
        <w:t>h</w:t>
      </w:r>
      <w:r w:rsidR="001E45D0">
        <w:rPr>
          <w:lang w:bidi="fa-IR"/>
        </w:rPr>
        <w:t xml:space="preserve">obless shower will </w:t>
      </w:r>
      <w:r w:rsidR="00531909">
        <w:rPr>
          <w:lang w:bidi="fa-IR"/>
        </w:rPr>
        <w:t xml:space="preserve">make </w:t>
      </w:r>
      <w:r w:rsidR="001E45D0">
        <w:rPr>
          <w:lang w:bidi="fa-IR"/>
        </w:rPr>
        <w:t>obsolete nearly all poly marble shower bases and increase costs on entry level housing</w:t>
      </w:r>
      <w:r w:rsidR="00A81539">
        <w:rPr>
          <w:lang w:bidi="fa-IR"/>
        </w:rPr>
        <w:t>.</w:t>
      </w:r>
    </w:p>
    <w:p w14:paraId="202E15ED" w14:textId="77777777" w:rsidR="001E45D0" w:rsidRDefault="00D0697F" w:rsidP="00F11742">
      <w:pPr>
        <w:pStyle w:val="BodyText"/>
        <w:rPr>
          <w:lang w:bidi="fa-IR"/>
        </w:rPr>
      </w:pPr>
      <w:r>
        <w:rPr>
          <w:lang w:bidi="fa-IR"/>
        </w:rPr>
        <w:t xml:space="preserve">One submission noted that </w:t>
      </w:r>
      <w:r w:rsidR="001E45D0">
        <w:rPr>
          <w:lang w:bidi="fa-IR"/>
        </w:rPr>
        <w:t>t</w:t>
      </w:r>
      <w:r w:rsidR="001E45D0" w:rsidRPr="004067E7">
        <w:rPr>
          <w:lang w:bidi="fa-IR"/>
        </w:rPr>
        <w:t>he step free entrance requirements will impact the choice of structural floor system that can be used</w:t>
      </w:r>
      <w:r w:rsidR="00A81539">
        <w:rPr>
          <w:lang w:bidi="fa-IR"/>
        </w:rPr>
        <w:t>,</w:t>
      </w:r>
      <w:r w:rsidR="001E45D0" w:rsidRPr="004067E7">
        <w:rPr>
          <w:lang w:bidi="fa-IR"/>
        </w:rPr>
        <w:t xml:space="preserve"> essentially meaning that any raised sub floor or raised slab systems would no longer be viable solutions.</w:t>
      </w:r>
    </w:p>
    <w:p w14:paraId="230BD8E0" w14:textId="77777777" w:rsidR="001E45D0" w:rsidRDefault="002941D6" w:rsidP="001E45D0">
      <w:pPr>
        <w:pStyle w:val="BodyText"/>
        <w:rPr>
          <w:lang w:bidi="fa-IR"/>
        </w:rPr>
      </w:pPr>
      <w:r>
        <w:rPr>
          <w:lang w:bidi="fa-IR"/>
        </w:rPr>
        <w:t>Another</w:t>
      </w:r>
      <w:r w:rsidR="001E45D0">
        <w:rPr>
          <w:lang w:bidi="fa-IR"/>
        </w:rPr>
        <w:t xml:space="preserve"> submission pointed out cost savings from personal experience: ‘</w:t>
      </w:r>
      <w:r w:rsidR="001E45D0" w:rsidRPr="001E36AA">
        <w:rPr>
          <w:lang w:bidi="fa-IR"/>
        </w:rPr>
        <w:t xml:space="preserve">When building our home - we saved expenses due to some modifications </w:t>
      </w:r>
      <w:r w:rsidR="001E45D0">
        <w:rPr>
          <w:lang w:bidi="fa-IR"/>
        </w:rPr>
        <w:t>–</w:t>
      </w:r>
      <w:r w:rsidR="001E45D0" w:rsidRPr="001E36AA">
        <w:rPr>
          <w:lang w:bidi="fa-IR"/>
        </w:rPr>
        <w:t xml:space="preserve"> rather</w:t>
      </w:r>
      <w:r w:rsidR="001E45D0">
        <w:rPr>
          <w:lang w:bidi="fa-IR"/>
        </w:rPr>
        <w:t xml:space="preserve"> </w:t>
      </w:r>
      <w:r w:rsidR="001E45D0" w:rsidRPr="001E36AA">
        <w:rPr>
          <w:lang w:bidi="fa-IR"/>
        </w:rPr>
        <w:t>than adding costs (i.e. removing walls in bathroom areas to keep the space open).</w:t>
      </w:r>
      <w:r w:rsidR="001E45D0">
        <w:rPr>
          <w:lang w:bidi="fa-IR"/>
        </w:rPr>
        <w:t>’</w:t>
      </w:r>
      <w:r w:rsidR="00D0697F">
        <w:rPr>
          <w:rStyle w:val="FootnoteReference"/>
          <w:lang w:bidi="fa-IR"/>
        </w:rPr>
        <w:footnoteReference w:id="398"/>
      </w:r>
    </w:p>
    <w:p w14:paraId="188BD08F" w14:textId="77777777" w:rsidR="001E45D0" w:rsidRPr="004B79EC" w:rsidRDefault="001E45D0" w:rsidP="004B79EC">
      <w:pPr>
        <w:pStyle w:val="Heading4-Appendix"/>
      </w:pPr>
      <w:r w:rsidRPr="004B79EC">
        <w:t>Whole-of-project approach</w:t>
      </w:r>
    </w:p>
    <w:p w14:paraId="46CCC6DB" w14:textId="77777777" w:rsidR="001E45D0" w:rsidRDefault="001E45D0" w:rsidP="001E45D0">
      <w:pPr>
        <w:pStyle w:val="BodyText"/>
        <w:rPr>
          <w:lang w:bidi="fa-IR"/>
        </w:rPr>
      </w:pPr>
      <w:r>
        <w:rPr>
          <w:lang w:bidi="fa-IR"/>
        </w:rPr>
        <w:t>Some submissions suggested adopt</w:t>
      </w:r>
      <w:r w:rsidR="00383CE8">
        <w:rPr>
          <w:lang w:bidi="fa-IR"/>
        </w:rPr>
        <w:t>ing a</w:t>
      </w:r>
      <w:r>
        <w:rPr>
          <w:lang w:bidi="fa-IR"/>
        </w:rPr>
        <w:t xml:space="preserve"> whole-of-project approach for cost estimation. For example, </w:t>
      </w:r>
      <w:r w:rsidR="00C92D6D">
        <w:rPr>
          <w:lang w:bidi="fa-IR"/>
        </w:rPr>
        <w:t>one submission</w:t>
      </w:r>
      <w:r>
        <w:rPr>
          <w:lang w:bidi="fa-IR"/>
        </w:rPr>
        <w:t xml:space="preserve"> mentioned the cost implication of car parking requirement</w:t>
      </w:r>
      <w:r w:rsidR="00C92D6D">
        <w:rPr>
          <w:lang w:bidi="fa-IR"/>
        </w:rPr>
        <w:t>:</w:t>
      </w:r>
    </w:p>
    <w:p w14:paraId="38F58F48" w14:textId="77777777" w:rsidR="001E45D0" w:rsidRPr="00F7642E" w:rsidRDefault="001E45D0" w:rsidP="00F11742">
      <w:pPr>
        <w:pStyle w:val="ListBullet"/>
        <w:rPr>
          <w:lang w:bidi="fa-IR"/>
        </w:rPr>
      </w:pPr>
      <w:r w:rsidRPr="00F7642E">
        <w:rPr>
          <w:lang w:bidi="fa-IR"/>
        </w:rPr>
        <w:t>The propos</w:t>
      </w:r>
      <w:r>
        <w:rPr>
          <w:lang w:bidi="fa-IR"/>
        </w:rPr>
        <w:t>ed changes of Silver Option</w:t>
      </w:r>
      <w:r w:rsidRPr="00F7642E">
        <w:rPr>
          <w:lang w:bidi="fa-IR"/>
        </w:rPr>
        <w:t xml:space="preserve"> would reduce the number of car spots within a basement footprint</w:t>
      </w:r>
      <w:r w:rsidR="00531909">
        <w:rPr>
          <w:lang w:bidi="fa-IR"/>
        </w:rPr>
        <w:t>,</w:t>
      </w:r>
      <w:r w:rsidRPr="00F7642E">
        <w:rPr>
          <w:lang w:bidi="fa-IR"/>
        </w:rPr>
        <w:t xml:space="preserve"> thus requiring an additional basement level or bigger basement footprint. Larger car</w:t>
      </w:r>
      <w:r w:rsidR="00531909">
        <w:rPr>
          <w:lang w:bidi="fa-IR"/>
        </w:rPr>
        <w:t xml:space="preserve"> </w:t>
      </w:r>
      <w:r w:rsidRPr="00F7642E">
        <w:rPr>
          <w:lang w:bidi="fa-IR"/>
        </w:rPr>
        <w:t xml:space="preserve">spots would also introduce column grid inefficiencies as typical structural column grid layouts would not align with the superstructure. An engineering review would need to be conducted to see if additional transfer beams/capitols at columns etc. are needed and impact to yield. </w:t>
      </w:r>
    </w:p>
    <w:p w14:paraId="3F86A130" w14:textId="77777777" w:rsidR="001E45D0" w:rsidRPr="00F7642E" w:rsidRDefault="001E45D0" w:rsidP="00F11742">
      <w:pPr>
        <w:pStyle w:val="ListBullet"/>
        <w:rPr>
          <w:lang w:bidi="fa-IR"/>
        </w:rPr>
      </w:pPr>
      <w:r w:rsidRPr="00F7642E">
        <w:rPr>
          <w:lang w:bidi="fa-IR"/>
        </w:rPr>
        <w:t>The Gold</w:t>
      </w:r>
      <w:r w:rsidR="00383CE8">
        <w:rPr>
          <w:lang w:bidi="fa-IR"/>
        </w:rPr>
        <w:t xml:space="preserve"> </w:t>
      </w:r>
      <w:r w:rsidRPr="00F7642E">
        <w:rPr>
          <w:lang w:bidi="fa-IR"/>
        </w:rPr>
        <w:t xml:space="preserve">Option will see an increase </w:t>
      </w:r>
      <w:r w:rsidR="00516935">
        <w:rPr>
          <w:lang w:bidi="fa-IR"/>
        </w:rPr>
        <w:t>in</w:t>
      </w:r>
      <w:r w:rsidRPr="00F7642E">
        <w:rPr>
          <w:lang w:bidi="fa-IR"/>
        </w:rPr>
        <w:t xml:space="preserve"> carpark heights from 2.2 to 2.5m. Presuming this is 2.5m clear of services, over 3 basement levels, an additional excavation depth of 900mm would be needed. Whilst this doesn’t seem much, within ‘brown-field’ sites the soil is generally classified as General Solid Waste or at times water charged. An additional 900mm could significantly increase costs, to perimeter shoring wall depths, foundation pile depths, hydrostatic slab requirements as so forth. Again a whole-of-project approach would be required to truly understand the cost and risk implications o</w:t>
      </w:r>
      <w:r w:rsidR="00516935">
        <w:rPr>
          <w:lang w:bidi="fa-IR"/>
        </w:rPr>
        <w:t>f</w:t>
      </w:r>
      <w:r w:rsidRPr="00F7642E">
        <w:rPr>
          <w:lang w:bidi="fa-IR"/>
        </w:rPr>
        <w:t xml:space="preserve"> this item.</w:t>
      </w:r>
    </w:p>
    <w:p w14:paraId="2AE274B9" w14:textId="77777777" w:rsidR="001E45D0" w:rsidRPr="004B79EC" w:rsidRDefault="001E45D0" w:rsidP="004B79EC">
      <w:pPr>
        <w:pStyle w:val="Heading4-Appendix"/>
      </w:pPr>
      <w:r w:rsidRPr="004B79EC">
        <w:t>Conflicting and competing requirements</w:t>
      </w:r>
    </w:p>
    <w:p w14:paraId="4CA49F38" w14:textId="77777777" w:rsidR="001E45D0" w:rsidRDefault="00961E52" w:rsidP="001E45D0">
      <w:pPr>
        <w:pStyle w:val="BodyText"/>
        <w:rPr>
          <w:lang w:bidi="fa-IR"/>
        </w:rPr>
      </w:pPr>
      <w:r>
        <w:rPr>
          <w:lang w:bidi="fa-IR"/>
        </w:rPr>
        <w:t>Some submissions suggested, f</w:t>
      </w:r>
      <w:r w:rsidR="001E45D0" w:rsidRPr="00176F02">
        <w:rPr>
          <w:lang w:bidi="fa-IR"/>
        </w:rPr>
        <w:t>or Class 1a dwellings</w:t>
      </w:r>
      <w:r w:rsidR="00A81539">
        <w:rPr>
          <w:lang w:bidi="fa-IR"/>
        </w:rPr>
        <w:t>,</w:t>
      </w:r>
      <w:r w:rsidR="001E45D0" w:rsidRPr="00176F02">
        <w:rPr>
          <w:lang w:bidi="fa-IR"/>
        </w:rPr>
        <w:t xml:space="preserve"> </w:t>
      </w:r>
      <w:r w:rsidR="00516935">
        <w:rPr>
          <w:lang w:bidi="fa-IR"/>
        </w:rPr>
        <w:t xml:space="preserve">that </w:t>
      </w:r>
      <w:r w:rsidR="001E45D0" w:rsidRPr="00176F02">
        <w:rPr>
          <w:lang w:bidi="fa-IR"/>
        </w:rPr>
        <w:t xml:space="preserve">there is considerable concern that the stepless entries and stepless outdoor thresholds will not be in accordance with the NCC and Australian Standards and will require </w:t>
      </w:r>
      <w:r w:rsidR="001E45D0" w:rsidRPr="00961E52">
        <w:rPr>
          <w:lang w:bidi="fa-IR"/>
        </w:rPr>
        <w:t>performance solutions</w:t>
      </w:r>
      <w:r w:rsidR="00A81539">
        <w:rPr>
          <w:lang w:bidi="fa-IR"/>
        </w:rPr>
        <w:t>:</w:t>
      </w:r>
      <w:r w:rsidR="001E45D0">
        <w:rPr>
          <w:lang w:bidi="fa-IR"/>
        </w:rPr>
        <w:t xml:space="preserve"> More specifically</w:t>
      </w:r>
    </w:p>
    <w:p w14:paraId="627D0228" w14:textId="77777777" w:rsidR="001E45D0" w:rsidRDefault="001E45D0" w:rsidP="001E45D0">
      <w:pPr>
        <w:pStyle w:val="ListBullet"/>
        <w:rPr>
          <w:lang w:bidi="fa-IR"/>
        </w:rPr>
      </w:pPr>
      <w:r w:rsidRPr="004067E7">
        <w:rPr>
          <w:lang w:bidi="fa-IR"/>
        </w:rPr>
        <w:t>the step free entrances will create substantive issue</w:t>
      </w:r>
      <w:r w:rsidR="00A81539">
        <w:rPr>
          <w:lang w:bidi="fa-IR"/>
        </w:rPr>
        <w:t>s</w:t>
      </w:r>
      <w:r w:rsidRPr="004067E7">
        <w:rPr>
          <w:lang w:bidi="fa-IR"/>
        </w:rPr>
        <w:t xml:space="preserve"> for water ingress, termite protection and termination of cladding to protect against rising damp</w:t>
      </w:r>
      <w:r>
        <w:rPr>
          <w:lang w:bidi="fa-IR"/>
        </w:rPr>
        <w:t>;</w:t>
      </w:r>
    </w:p>
    <w:p w14:paraId="70C89810" w14:textId="77777777" w:rsidR="00ED0D90" w:rsidRDefault="00F82AA6" w:rsidP="001E45D0">
      <w:pPr>
        <w:pStyle w:val="ListBullet"/>
        <w:rPr>
          <w:lang w:bidi="fa-IR"/>
        </w:rPr>
      </w:pPr>
      <w:r>
        <w:rPr>
          <w:lang w:bidi="fa-IR"/>
        </w:rPr>
        <w:t xml:space="preserve">the requirements will </w:t>
      </w:r>
      <w:r w:rsidR="001E45D0" w:rsidRPr="004067E7">
        <w:rPr>
          <w:lang w:bidi="fa-IR"/>
        </w:rPr>
        <w:t>conflict with local planning requirements that seek to manage dwelling design including</w:t>
      </w:r>
    </w:p>
    <w:p w14:paraId="5A7E8E5B" w14:textId="77777777" w:rsidR="00ED0D90" w:rsidRDefault="001E45D0" w:rsidP="00ED0D90">
      <w:pPr>
        <w:pStyle w:val="ListBullet2"/>
        <w:rPr>
          <w:lang w:bidi="fa-IR"/>
        </w:rPr>
      </w:pPr>
      <w:r w:rsidRPr="004067E7">
        <w:rPr>
          <w:lang w:bidi="fa-IR"/>
        </w:rPr>
        <w:t>limits on cut and fill</w:t>
      </w:r>
    </w:p>
    <w:p w14:paraId="44280C4E" w14:textId="77777777" w:rsidR="00ED0D90" w:rsidRDefault="001E45D0" w:rsidP="00ED0D90">
      <w:pPr>
        <w:pStyle w:val="ListBullet2"/>
        <w:rPr>
          <w:lang w:bidi="fa-IR"/>
        </w:rPr>
      </w:pPr>
      <w:r w:rsidRPr="004067E7">
        <w:rPr>
          <w:lang w:bidi="fa-IR"/>
        </w:rPr>
        <w:t>limits on dwelling heights</w:t>
      </w:r>
    </w:p>
    <w:p w14:paraId="4F6CDE9B" w14:textId="77777777" w:rsidR="00ED0D90" w:rsidRDefault="001E45D0" w:rsidP="00ED0D90">
      <w:pPr>
        <w:pStyle w:val="ListBullet2"/>
        <w:rPr>
          <w:lang w:bidi="fa-IR"/>
        </w:rPr>
      </w:pPr>
      <w:r w:rsidRPr="004067E7">
        <w:rPr>
          <w:lang w:bidi="fa-IR"/>
        </w:rPr>
        <w:t xml:space="preserve">boundary setbacks from each boundary which create a maximum building footprint, or </w:t>
      </w:r>
    </w:p>
    <w:p w14:paraId="1EA4CB15" w14:textId="77777777" w:rsidR="001E45D0" w:rsidRDefault="001E45D0" w:rsidP="00ED0D90">
      <w:pPr>
        <w:pStyle w:val="ListBullet2"/>
        <w:rPr>
          <w:lang w:bidi="fa-IR"/>
        </w:rPr>
      </w:pPr>
      <w:r w:rsidRPr="004067E7">
        <w:rPr>
          <w:lang w:bidi="fa-IR"/>
        </w:rPr>
        <w:lastRenderedPageBreak/>
        <w:t>higher set houses to improve street scape appeal and neighbo</w:t>
      </w:r>
      <w:r>
        <w:rPr>
          <w:lang w:bidi="fa-IR"/>
        </w:rPr>
        <w:t>u</w:t>
      </w:r>
      <w:r w:rsidRPr="004067E7">
        <w:rPr>
          <w:lang w:bidi="fa-IR"/>
        </w:rPr>
        <w:t>rhood character</w:t>
      </w:r>
    </w:p>
    <w:p w14:paraId="330FB840" w14:textId="77777777" w:rsidR="001E45D0" w:rsidRDefault="001E45D0" w:rsidP="001E45D0">
      <w:pPr>
        <w:pStyle w:val="ListBullet"/>
        <w:rPr>
          <w:lang w:bidi="fa-IR"/>
        </w:rPr>
      </w:pPr>
      <w:r w:rsidRPr="005E3C47">
        <w:rPr>
          <w:lang w:bidi="fa-IR"/>
        </w:rPr>
        <w:t xml:space="preserve">the proposals do not account for or resolve the impacts on dwellings </w:t>
      </w:r>
      <w:r w:rsidR="00A42582">
        <w:rPr>
          <w:lang w:bidi="fa-IR"/>
        </w:rPr>
        <w:t>from</w:t>
      </w:r>
      <w:r w:rsidRPr="005E3C47">
        <w:rPr>
          <w:lang w:bidi="fa-IR"/>
        </w:rPr>
        <w:t xml:space="preserve"> other parts of the NCC such as the provision of weep holes and would require more costly and possibly unsustainable slab requirements</w:t>
      </w:r>
    </w:p>
    <w:p w14:paraId="7D1C3DFF" w14:textId="77777777" w:rsidR="001E45D0" w:rsidRDefault="001E45D0" w:rsidP="001E45D0">
      <w:pPr>
        <w:pStyle w:val="ListBullet"/>
        <w:rPr>
          <w:lang w:bidi="fa-IR"/>
        </w:rPr>
      </w:pPr>
      <w:r w:rsidRPr="005E3C47">
        <w:rPr>
          <w:lang w:bidi="fa-IR"/>
        </w:rPr>
        <w:t>not accounting for the need to ensure flood safety of dwellings and the requirements of local governments and others for increasing freeboard of the slab above street</w:t>
      </w:r>
    </w:p>
    <w:p w14:paraId="3F835C2B" w14:textId="77777777" w:rsidR="001E45D0" w:rsidRDefault="001E45D0" w:rsidP="001E45D0">
      <w:pPr>
        <w:pStyle w:val="ListBullet"/>
        <w:rPr>
          <w:lang w:bidi="fa-IR"/>
        </w:rPr>
      </w:pPr>
      <w:r>
        <w:rPr>
          <w:lang w:bidi="fa-IR"/>
        </w:rPr>
        <w:t>r</w:t>
      </w:r>
      <w:r w:rsidRPr="00B976AF">
        <w:rPr>
          <w:lang w:bidi="fa-IR"/>
        </w:rPr>
        <w:t>equirements for straight stair runs or mandatory ground floor bedrooms may make dwellings difficult or impossible to fit on existing restricted sites</w:t>
      </w:r>
      <w:r>
        <w:rPr>
          <w:lang w:bidi="fa-IR"/>
        </w:rPr>
        <w:t>.</w:t>
      </w:r>
      <w:r w:rsidR="000B1CA3">
        <w:rPr>
          <w:rStyle w:val="FootnoteReference"/>
          <w:lang w:bidi="fa-IR"/>
        </w:rPr>
        <w:footnoteReference w:id="399"/>
      </w:r>
    </w:p>
    <w:p w14:paraId="2D73B344" w14:textId="77777777" w:rsidR="001E45D0" w:rsidRPr="004B79EC" w:rsidRDefault="001E45D0" w:rsidP="004B79EC">
      <w:pPr>
        <w:pStyle w:val="Heading4-Appendix"/>
      </w:pPr>
      <w:r w:rsidRPr="004B79EC">
        <w:t>Interpretation</w:t>
      </w:r>
    </w:p>
    <w:p w14:paraId="4AB102C8" w14:textId="77777777" w:rsidR="001E45D0" w:rsidRDefault="001E45D0" w:rsidP="001E45D0">
      <w:pPr>
        <w:pStyle w:val="BodyText"/>
        <w:rPr>
          <w:lang w:bidi="fa-IR"/>
        </w:rPr>
      </w:pPr>
      <w:r>
        <w:rPr>
          <w:lang w:bidi="fa-IR"/>
        </w:rPr>
        <w:t xml:space="preserve">A number of submissions questioned the interpretation of the provisions in the proposed change, for example </w:t>
      </w:r>
      <w:r w:rsidR="00BF1D3A">
        <w:rPr>
          <w:lang w:bidi="fa-IR"/>
        </w:rPr>
        <w:t>the required clear-opening of doors (the width available to a user) was mis-interpreted as the door</w:t>
      </w:r>
      <w:r>
        <w:rPr>
          <w:lang w:bidi="fa-IR"/>
        </w:rPr>
        <w:t xml:space="preserve"> leaf</w:t>
      </w:r>
      <w:r w:rsidR="00BF1D3A">
        <w:rPr>
          <w:lang w:bidi="fa-IR"/>
        </w:rPr>
        <w:t xml:space="preserve"> (width of the door frame)</w:t>
      </w:r>
      <w:r>
        <w:rPr>
          <w:lang w:bidi="fa-IR"/>
        </w:rPr>
        <w:t>.</w:t>
      </w:r>
      <w:r w:rsidR="005A20E5">
        <w:rPr>
          <w:rStyle w:val="FootnoteReference"/>
          <w:lang w:bidi="fa-IR"/>
        </w:rPr>
        <w:footnoteReference w:id="400"/>
      </w:r>
    </w:p>
    <w:p w14:paraId="03C48CA6" w14:textId="77777777" w:rsidR="001E45D0" w:rsidRPr="004B79EC" w:rsidRDefault="001E45D0" w:rsidP="004B79EC">
      <w:pPr>
        <w:pStyle w:val="Heading4-Appendix"/>
      </w:pPr>
      <w:r w:rsidRPr="004B79EC">
        <w:t>Additional inclusion</w:t>
      </w:r>
    </w:p>
    <w:p w14:paraId="2654758D" w14:textId="77777777" w:rsidR="001E45D0" w:rsidRPr="00C41F40" w:rsidRDefault="001E45D0" w:rsidP="001E45D0">
      <w:pPr>
        <w:pStyle w:val="BodyText"/>
        <w:rPr>
          <w:lang w:bidi="fa-IR"/>
        </w:rPr>
      </w:pPr>
      <w:r>
        <w:rPr>
          <w:lang w:bidi="fa-IR"/>
        </w:rPr>
        <w:t>One submission suggested that slip resistance should be included in the proposed changes to</w:t>
      </w:r>
      <w:r w:rsidR="00383CE8">
        <w:rPr>
          <w:lang w:bidi="fa-IR"/>
        </w:rPr>
        <w:t xml:space="preserve"> the</w:t>
      </w:r>
      <w:r>
        <w:rPr>
          <w:lang w:bidi="fa-IR"/>
        </w:rPr>
        <w:t xml:space="preserve"> NCC. </w:t>
      </w:r>
      <w:r w:rsidRPr="00C41F40">
        <w:rPr>
          <w:lang w:bidi="fa-IR"/>
        </w:rPr>
        <w:t>The regulatory focus must be to ensure that products have adequate slip resistance at the end of an economically reasonable life cycle, rather than a momentary satisfaction of the slip resistance condition at the time of handover.</w:t>
      </w:r>
      <w:r w:rsidR="00363EBC">
        <w:rPr>
          <w:rStyle w:val="FootnoteReference"/>
          <w:lang w:bidi="fa-IR"/>
        </w:rPr>
        <w:footnoteReference w:id="401"/>
      </w:r>
    </w:p>
    <w:p w14:paraId="112E7360" w14:textId="77777777" w:rsidR="001E45D0" w:rsidRPr="004B79EC" w:rsidRDefault="001E45D0" w:rsidP="004B79EC">
      <w:pPr>
        <w:pStyle w:val="Heading2-Appendix"/>
      </w:pPr>
      <w:bookmarkStart w:id="610" w:name="_Toc52383059"/>
      <w:r w:rsidRPr="004B79EC">
        <w:t>Benefit estimates</w:t>
      </w:r>
      <w:bookmarkEnd w:id="610"/>
    </w:p>
    <w:p w14:paraId="3E0CD27D" w14:textId="77777777" w:rsidR="00383CE8" w:rsidRDefault="00383CE8" w:rsidP="00383CE8">
      <w:pPr>
        <w:pStyle w:val="BodyText"/>
        <w:rPr>
          <w:lang w:bidi="fa-IR"/>
        </w:rPr>
      </w:pPr>
      <w:r>
        <w:rPr>
          <w:lang w:bidi="fa-IR"/>
        </w:rPr>
        <w:t>Questions 27 – 3</w:t>
      </w:r>
      <w:r w:rsidR="00F258B6">
        <w:rPr>
          <w:lang w:bidi="fa-IR"/>
        </w:rPr>
        <w:t>4</w:t>
      </w:r>
      <w:r>
        <w:rPr>
          <w:lang w:bidi="fa-IR"/>
        </w:rPr>
        <w:t xml:space="preserve"> asked respondents their views on the assumption</w:t>
      </w:r>
      <w:r w:rsidR="00516935">
        <w:rPr>
          <w:lang w:bidi="fa-IR"/>
        </w:rPr>
        <w:t>s</w:t>
      </w:r>
      <w:r>
        <w:rPr>
          <w:lang w:bidi="fa-IR"/>
        </w:rPr>
        <w:t xml:space="preserve"> and approaches used to estimate benefits</w:t>
      </w:r>
      <w:r w:rsidRPr="00624996">
        <w:rPr>
          <w:lang w:bidi="fa-IR"/>
        </w:rPr>
        <w:t xml:space="preserve"> </w:t>
      </w:r>
      <w:r>
        <w:rPr>
          <w:lang w:bidi="fa-IR"/>
        </w:rPr>
        <w:t xml:space="preserve">of the proposed changes to the NCC. </w:t>
      </w:r>
    </w:p>
    <w:p w14:paraId="0CF3CA1F" w14:textId="6A8A4795" w:rsidR="001E45D0" w:rsidRDefault="001E45D0" w:rsidP="001E45D0">
      <w:pPr>
        <w:pStyle w:val="BodyText"/>
        <w:rPr>
          <w:lang w:bidi="fa-IR"/>
        </w:rPr>
      </w:pPr>
      <w:r>
        <w:rPr>
          <w:lang w:bidi="fa-IR"/>
        </w:rPr>
        <w:t>As shown in chart</w:t>
      </w:r>
      <w:r w:rsidR="00DD5C35">
        <w:rPr>
          <w:lang w:bidi="fa-IR"/>
        </w:rPr>
        <w:t xml:space="preserve"> A.19</w:t>
      </w:r>
      <w:r>
        <w:rPr>
          <w:lang w:bidi="fa-IR"/>
        </w:rPr>
        <w:t>, there are roughly equal number</w:t>
      </w:r>
      <w:r w:rsidR="00516935">
        <w:rPr>
          <w:lang w:bidi="fa-IR"/>
        </w:rPr>
        <w:t>s</w:t>
      </w:r>
      <w:r>
        <w:rPr>
          <w:lang w:bidi="fa-IR"/>
        </w:rPr>
        <w:t xml:space="preserve"> of respondents agreeing or disagreeing with the assumptions and approaches taken in the Consultation RIS to estimate the benefits of the proposed changes to the NCC.</w:t>
      </w:r>
    </w:p>
    <w:p w14:paraId="7F9DD063" w14:textId="77777777" w:rsidR="001E45D0" w:rsidRPr="00DC6806" w:rsidRDefault="001E45D0" w:rsidP="001E45D0">
      <w:pPr>
        <w:pStyle w:val="BodyText"/>
        <w:rPr>
          <w:lang w:bidi="fa-IR"/>
        </w:rPr>
      </w:pPr>
      <w:r>
        <w:rPr>
          <w:lang w:bidi="fa-IR"/>
        </w:rPr>
        <w:t xml:space="preserve">Among those who disagree with </w:t>
      </w:r>
      <w:r w:rsidR="004E1852">
        <w:rPr>
          <w:lang w:bidi="fa-IR"/>
        </w:rPr>
        <w:t xml:space="preserve">CIE’s </w:t>
      </w:r>
      <w:r>
        <w:rPr>
          <w:lang w:bidi="fa-IR"/>
        </w:rPr>
        <w:t>approaches or assumptions, their views are polarised. For example, some claim the benefits are overstated while others argue the opposite.</w:t>
      </w:r>
    </w:p>
    <w:p w14:paraId="645070F4" w14:textId="78CD93CD" w:rsidR="001E45D0" w:rsidRDefault="00BD17F9" w:rsidP="001E45D0">
      <w:pPr>
        <w:pStyle w:val="Caption"/>
      </w:pPr>
      <w:bookmarkStart w:id="611" w:name="_Toc52383078"/>
      <w:bookmarkStart w:id="612" w:name="_Toc57643667"/>
      <w:bookmarkStart w:id="613" w:name="_Toc70505614"/>
      <w:r>
        <w:lastRenderedPageBreak/>
        <w:t>A.19</w:t>
      </w:r>
      <w:r w:rsidR="001E45D0" w:rsidRPr="00695C93">
        <w:tab/>
      </w:r>
      <w:r w:rsidR="001E45D0">
        <w:t>Views on the assumptions and approaches to estimate benefits</w:t>
      </w:r>
      <w:bookmarkEnd w:id="611"/>
      <w:bookmarkEnd w:id="612"/>
      <w:bookmarkEnd w:id="613"/>
    </w:p>
    <w:p w14:paraId="7D0A3EBE" w14:textId="77777777" w:rsidR="001E45D0" w:rsidRDefault="00FD72F1" w:rsidP="001E45D0">
      <w:pPr>
        <w:pStyle w:val="Source"/>
      </w:pPr>
      <w:r w:rsidRPr="00DC6806">
        <w:rPr>
          <w:noProof/>
          <w:lang w:eastAsia="en-AU"/>
        </w:rPr>
        <w:drawing>
          <wp:inline distT="0" distB="0" distL="0" distR="0" wp14:anchorId="2F00188D" wp14:editId="31BAB7B5">
            <wp:extent cx="5016500" cy="3251200"/>
            <wp:effectExtent l="57150" t="57150" r="50800" b="63500"/>
            <wp:docPr id="17" name="Picture 17" descr="Questions 27–34 asked respondents their views on the assumptions and approaches used to estimate benefits of the proposed changes to the NCC. &#10;As shown in chart A.19, there are roughly equal number of respondents agreeing or disagreeing with the assumptions and approaches taken in the Consultation RIS to estimate the benefits of the proposed changes to the NCC." title="Chart A.19: Views on the assumptions and approaches to estimat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6500" cy="3251200"/>
                    </a:xfrm>
                    <a:prstGeom prst="rect">
                      <a:avLst/>
                    </a:prstGeom>
                    <a:noFill/>
                    <a:ln w="57150">
                      <a:solidFill>
                        <a:schemeClr val="bg2"/>
                      </a:solidFill>
                    </a:ln>
                  </pic:spPr>
                </pic:pic>
              </a:graphicData>
            </a:graphic>
          </wp:inline>
        </w:drawing>
      </w:r>
      <w:r w:rsidR="001E45D0" w:rsidRPr="00E94313">
        <w:rPr>
          <w:iCs/>
        </w:rPr>
        <w:t>Data source: Consultation Hub</w:t>
      </w:r>
      <w:r w:rsidR="000238B4">
        <w:rPr>
          <w:iCs/>
        </w:rPr>
        <w:t>.</w:t>
      </w:r>
    </w:p>
    <w:p w14:paraId="0D15F3C4" w14:textId="77777777" w:rsidR="001E45D0" w:rsidRPr="00F4477B" w:rsidRDefault="001E45D0" w:rsidP="00F4477B">
      <w:pPr>
        <w:pStyle w:val="Heading3-Appendix"/>
      </w:pPr>
      <w:r w:rsidRPr="00F4477B">
        <w:t>‘Allocation’ of new accessible housing</w:t>
      </w:r>
    </w:p>
    <w:p w14:paraId="1E3559AE" w14:textId="77777777" w:rsidR="001E45D0" w:rsidRDefault="001E45D0" w:rsidP="001E45D0">
      <w:pPr>
        <w:pStyle w:val="BodyText"/>
        <w:rPr>
          <w:lang w:bidi="fa-IR"/>
        </w:rPr>
      </w:pPr>
      <w:r>
        <w:rPr>
          <w:lang w:bidi="fa-IR"/>
        </w:rPr>
        <w:t xml:space="preserve">The </w:t>
      </w:r>
      <w:r w:rsidR="009E7509">
        <w:rPr>
          <w:lang w:bidi="fa-IR"/>
        </w:rPr>
        <w:t xml:space="preserve">Consultation </w:t>
      </w:r>
      <w:r>
        <w:rPr>
          <w:lang w:bidi="fa-IR"/>
        </w:rPr>
        <w:t>RIS made assumptions about the occupation of accessible housing by owner occupiers and renters. Question 27 ask</w:t>
      </w:r>
      <w:r w:rsidR="00434558">
        <w:rPr>
          <w:lang w:bidi="fa-IR"/>
        </w:rPr>
        <w:t>ed respondents</w:t>
      </w:r>
      <w:r>
        <w:rPr>
          <w:lang w:bidi="fa-IR"/>
        </w:rPr>
        <w:t xml:space="preserve"> whether </w:t>
      </w:r>
      <w:r w:rsidR="00434558">
        <w:rPr>
          <w:lang w:bidi="fa-IR"/>
        </w:rPr>
        <w:t xml:space="preserve">they considered </w:t>
      </w:r>
      <w:r>
        <w:rPr>
          <w:lang w:bidi="fa-IR"/>
        </w:rPr>
        <w:t xml:space="preserve">the assumptions </w:t>
      </w:r>
      <w:r w:rsidR="00516935">
        <w:rPr>
          <w:lang w:bidi="fa-IR"/>
        </w:rPr>
        <w:t xml:space="preserve">to be </w:t>
      </w:r>
      <w:r>
        <w:rPr>
          <w:lang w:bidi="fa-IR"/>
        </w:rPr>
        <w:t xml:space="preserve">reasonable. </w:t>
      </w:r>
    </w:p>
    <w:p w14:paraId="7FBE39E1" w14:textId="0E91A2B9" w:rsidR="001E45D0" w:rsidRDefault="001E45D0" w:rsidP="001E45D0">
      <w:pPr>
        <w:pStyle w:val="BodyText"/>
        <w:rPr>
          <w:lang w:bidi="fa-IR"/>
        </w:rPr>
      </w:pPr>
      <w:r>
        <w:rPr>
          <w:lang w:bidi="fa-IR"/>
        </w:rPr>
        <w:t>As shown in chart</w:t>
      </w:r>
      <w:r w:rsidR="00DD5C35">
        <w:rPr>
          <w:lang w:bidi="fa-IR"/>
        </w:rPr>
        <w:t xml:space="preserve"> A.19</w:t>
      </w:r>
      <w:r>
        <w:rPr>
          <w:lang w:bidi="fa-IR"/>
        </w:rPr>
        <w:t xml:space="preserve">, some 35 respondents </w:t>
      </w:r>
      <w:r w:rsidR="00434558">
        <w:rPr>
          <w:lang w:bidi="fa-IR"/>
        </w:rPr>
        <w:t xml:space="preserve">to the questionnaire </w:t>
      </w:r>
      <w:r>
        <w:rPr>
          <w:lang w:bidi="fa-IR"/>
        </w:rPr>
        <w:t xml:space="preserve">agreed with the assumptions, while 36 respondents did not. </w:t>
      </w:r>
      <w:r w:rsidR="00434558">
        <w:rPr>
          <w:lang w:bidi="fa-IR"/>
        </w:rPr>
        <w:t>N</w:t>
      </w:r>
      <w:r>
        <w:rPr>
          <w:lang w:bidi="fa-IR"/>
        </w:rPr>
        <w:t xml:space="preserve">ot many respondents provided </w:t>
      </w:r>
      <w:r w:rsidR="00434558">
        <w:rPr>
          <w:lang w:bidi="fa-IR"/>
        </w:rPr>
        <w:t>further explanation</w:t>
      </w:r>
      <w:r>
        <w:rPr>
          <w:lang w:bidi="fa-IR"/>
        </w:rPr>
        <w:t>.</w:t>
      </w:r>
    </w:p>
    <w:p w14:paraId="3FBF6C7E" w14:textId="77777777" w:rsidR="001E45D0" w:rsidRDefault="001E45D0" w:rsidP="001E45D0">
      <w:pPr>
        <w:pStyle w:val="BodyText"/>
        <w:rPr>
          <w:lang w:bidi="fa-IR"/>
        </w:rPr>
      </w:pPr>
      <w:r>
        <w:rPr>
          <w:lang w:bidi="fa-IR"/>
        </w:rPr>
        <w:t>One submission questioned t</w:t>
      </w:r>
      <w:r w:rsidRPr="007D4112">
        <w:rPr>
          <w:lang w:bidi="fa-IR"/>
        </w:rPr>
        <w:t>he notion of allocation</w:t>
      </w:r>
      <w:r>
        <w:rPr>
          <w:lang w:bidi="fa-IR"/>
        </w:rPr>
        <w:t xml:space="preserve">, </w:t>
      </w:r>
      <w:r w:rsidR="00434558">
        <w:rPr>
          <w:lang w:bidi="fa-IR"/>
        </w:rPr>
        <w:t>suggest</w:t>
      </w:r>
      <w:r>
        <w:rPr>
          <w:lang w:bidi="fa-IR"/>
        </w:rPr>
        <w:t xml:space="preserve">ing it </w:t>
      </w:r>
      <w:r w:rsidRPr="007D4112">
        <w:rPr>
          <w:lang w:bidi="fa-IR"/>
        </w:rPr>
        <w:t>is problematic in a free market where there is an</w:t>
      </w:r>
      <w:r>
        <w:rPr>
          <w:lang w:bidi="fa-IR"/>
        </w:rPr>
        <w:t xml:space="preserve"> </w:t>
      </w:r>
      <w:r w:rsidRPr="007D4112">
        <w:rPr>
          <w:lang w:bidi="fa-IR"/>
        </w:rPr>
        <w:t xml:space="preserve">undersupply of a particular product and a dysfunctional market </w:t>
      </w:r>
      <w:r w:rsidR="00516935">
        <w:rPr>
          <w:lang w:bidi="fa-IR"/>
        </w:rPr>
        <w:t>i</w:t>
      </w:r>
      <w:r w:rsidRPr="007D4112">
        <w:rPr>
          <w:lang w:bidi="fa-IR"/>
        </w:rPr>
        <w:t>s a consequence. It</w:t>
      </w:r>
      <w:r>
        <w:rPr>
          <w:lang w:bidi="fa-IR"/>
        </w:rPr>
        <w:t xml:space="preserve"> </w:t>
      </w:r>
      <w:r w:rsidRPr="007D4112">
        <w:rPr>
          <w:lang w:bidi="fa-IR"/>
        </w:rPr>
        <w:t>is also practically unachievable</w:t>
      </w:r>
      <w:r w:rsidR="00434558">
        <w:rPr>
          <w:lang w:bidi="fa-IR"/>
        </w:rPr>
        <w:t xml:space="preserve"> and </w:t>
      </w:r>
      <w:r>
        <w:rPr>
          <w:lang w:bidi="fa-IR"/>
        </w:rPr>
        <w:t>therefore a flaw in the approach to considering problem reduction.</w:t>
      </w:r>
    </w:p>
    <w:p w14:paraId="2DB1EC13" w14:textId="77777777" w:rsidR="001E45D0" w:rsidRPr="00F4477B" w:rsidRDefault="001E45D0" w:rsidP="00F4477B">
      <w:pPr>
        <w:pStyle w:val="Heading3-Appendix"/>
      </w:pPr>
      <w:r w:rsidRPr="00F4477B">
        <w:t>The extent of features assumed in the baseline</w:t>
      </w:r>
    </w:p>
    <w:p w14:paraId="1DBA67A0" w14:textId="77777777" w:rsidR="001E45D0" w:rsidRDefault="009205B7" w:rsidP="001E45D0">
      <w:pPr>
        <w:pStyle w:val="BodyText"/>
        <w:rPr>
          <w:lang w:bidi="fa-IR"/>
        </w:rPr>
      </w:pPr>
      <w:r>
        <w:rPr>
          <w:lang w:bidi="fa-IR"/>
        </w:rPr>
        <w:t>S</w:t>
      </w:r>
      <w:r w:rsidR="001E45D0">
        <w:rPr>
          <w:lang w:bidi="fa-IR"/>
        </w:rPr>
        <w:t>ignificantly higher number of respondents agree</w:t>
      </w:r>
      <w:r>
        <w:rPr>
          <w:lang w:bidi="fa-IR"/>
        </w:rPr>
        <w:t>d</w:t>
      </w:r>
      <w:r w:rsidR="001E45D0">
        <w:rPr>
          <w:lang w:bidi="fa-IR"/>
        </w:rPr>
        <w:t xml:space="preserve"> with the assumption about the extent </w:t>
      </w:r>
      <w:r w:rsidR="00434558">
        <w:rPr>
          <w:lang w:bidi="fa-IR"/>
        </w:rPr>
        <w:t>to which</w:t>
      </w:r>
      <w:r w:rsidR="00ED37D7">
        <w:rPr>
          <w:lang w:bidi="fa-IR"/>
        </w:rPr>
        <w:t xml:space="preserve"> accessibility</w:t>
      </w:r>
      <w:r w:rsidR="00434558">
        <w:rPr>
          <w:lang w:bidi="fa-IR"/>
        </w:rPr>
        <w:t xml:space="preserve"> </w:t>
      </w:r>
      <w:r w:rsidR="001E45D0">
        <w:rPr>
          <w:lang w:bidi="fa-IR"/>
        </w:rPr>
        <w:t>features are currently provided in the new dwellings than those disagreeing (49 versus 25) in the answers</w:t>
      </w:r>
      <w:r w:rsidR="0088479C">
        <w:rPr>
          <w:lang w:bidi="fa-IR"/>
        </w:rPr>
        <w:t xml:space="preserve"> provided </w:t>
      </w:r>
      <w:r w:rsidR="00D377D5">
        <w:rPr>
          <w:lang w:bidi="fa-IR"/>
        </w:rPr>
        <w:t xml:space="preserve">to Question 28 </w:t>
      </w:r>
      <w:r w:rsidR="0088479C">
        <w:rPr>
          <w:lang w:bidi="fa-IR"/>
        </w:rPr>
        <w:t>via Consultation Hub</w:t>
      </w:r>
      <w:r w:rsidR="001E45D0">
        <w:rPr>
          <w:lang w:bidi="fa-IR"/>
        </w:rPr>
        <w:t>.</w:t>
      </w:r>
    </w:p>
    <w:p w14:paraId="13262CFC" w14:textId="77777777" w:rsidR="001E45D0" w:rsidRPr="00CF517C" w:rsidRDefault="001E45D0" w:rsidP="001E45D0">
      <w:pPr>
        <w:pStyle w:val="BodyText"/>
        <w:rPr>
          <w:lang w:bidi="fa-IR"/>
        </w:rPr>
      </w:pPr>
      <w:r>
        <w:rPr>
          <w:lang w:bidi="fa-IR"/>
        </w:rPr>
        <w:t xml:space="preserve">Some submissions </w:t>
      </w:r>
      <w:r w:rsidR="00434558">
        <w:rPr>
          <w:lang w:bidi="fa-IR"/>
        </w:rPr>
        <w:t>suggest</w:t>
      </w:r>
      <w:r>
        <w:rPr>
          <w:lang w:bidi="fa-IR"/>
        </w:rPr>
        <w:t xml:space="preserve">ed that </w:t>
      </w:r>
      <w:r w:rsidR="00ED37D7">
        <w:rPr>
          <w:lang w:bidi="fa-IR"/>
        </w:rPr>
        <w:t xml:space="preserve">the </w:t>
      </w:r>
      <w:r w:rsidR="009E7509">
        <w:rPr>
          <w:lang w:bidi="fa-IR"/>
        </w:rPr>
        <w:t xml:space="preserve">Consultation </w:t>
      </w:r>
      <w:r w:rsidRPr="000708AB">
        <w:rPr>
          <w:lang w:bidi="fa-IR"/>
        </w:rPr>
        <w:t xml:space="preserve">RIS </w:t>
      </w:r>
      <w:r w:rsidRPr="00884458">
        <w:rPr>
          <w:lang w:bidi="fa-IR"/>
        </w:rPr>
        <w:t>over-stated</w:t>
      </w:r>
      <w:r w:rsidRPr="000708AB">
        <w:rPr>
          <w:lang w:bidi="fa-IR"/>
        </w:rPr>
        <w:t xml:space="preserve"> </w:t>
      </w:r>
      <w:r>
        <w:rPr>
          <w:lang w:bidi="fa-IR"/>
        </w:rPr>
        <w:t xml:space="preserve">the </w:t>
      </w:r>
      <w:r w:rsidRPr="000708AB">
        <w:rPr>
          <w:lang w:bidi="fa-IR"/>
        </w:rPr>
        <w:t>extent to which mobility needs are currently being met</w:t>
      </w:r>
      <w:r>
        <w:rPr>
          <w:lang w:bidi="fa-IR"/>
        </w:rPr>
        <w:t xml:space="preserve">. </w:t>
      </w:r>
      <w:r w:rsidRPr="000708AB">
        <w:rPr>
          <w:lang w:bidi="fa-IR"/>
        </w:rPr>
        <w:t>Accessibil</w:t>
      </w:r>
      <w:r>
        <w:rPr>
          <w:lang w:bidi="fa-IR"/>
        </w:rPr>
        <w:t>i</w:t>
      </w:r>
      <w:r w:rsidRPr="000708AB">
        <w:rPr>
          <w:lang w:bidi="fa-IR"/>
        </w:rPr>
        <w:t xml:space="preserve">ty </w:t>
      </w:r>
      <w:r>
        <w:rPr>
          <w:lang w:bidi="fa-IR"/>
        </w:rPr>
        <w:t xml:space="preserve">provided by current polices (e.g. modifications) </w:t>
      </w:r>
      <w:r w:rsidRPr="000708AB">
        <w:rPr>
          <w:lang w:bidi="fa-IR"/>
        </w:rPr>
        <w:t>falls short of LHA benchmarks</w:t>
      </w:r>
      <w:r>
        <w:rPr>
          <w:lang w:bidi="fa-IR"/>
        </w:rPr>
        <w:t xml:space="preserve">. </w:t>
      </w:r>
      <w:r w:rsidR="003C478E">
        <w:rPr>
          <w:lang w:bidi="fa-IR"/>
        </w:rPr>
        <w:t>In addition</w:t>
      </w:r>
      <w:r>
        <w:rPr>
          <w:lang w:bidi="fa-IR"/>
        </w:rPr>
        <w:t xml:space="preserve">, </w:t>
      </w:r>
      <w:r w:rsidRPr="00CF517C">
        <w:rPr>
          <w:lang w:bidi="fa-IR"/>
        </w:rPr>
        <w:t>“</w:t>
      </w:r>
      <w:r>
        <w:rPr>
          <w:lang w:bidi="fa-IR"/>
        </w:rPr>
        <w:t>a</w:t>
      </w:r>
      <w:r w:rsidRPr="00CF517C">
        <w:rPr>
          <w:lang w:bidi="fa-IR"/>
        </w:rPr>
        <w:t xml:space="preserve">lternative” policies are not </w:t>
      </w:r>
      <w:r w:rsidRPr="00CF517C">
        <w:rPr>
          <w:lang w:bidi="fa-IR"/>
        </w:rPr>
        <w:lastRenderedPageBreak/>
        <w:t>real alternatives</w:t>
      </w:r>
      <w:r>
        <w:rPr>
          <w:lang w:bidi="fa-IR"/>
        </w:rPr>
        <w:t xml:space="preserve"> to accessible housing, and thus the size of the problem and the benefits may be understated</w:t>
      </w:r>
      <w:r w:rsidR="00ED37D7">
        <w:rPr>
          <w:lang w:bidi="fa-IR"/>
        </w:rPr>
        <w:t>;</w:t>
      </w:r>
      <w:r>
        <w:rPr>
          <w:lang w:bidi="fa-IR"/>
        </w:rPr>
        <w:t xml:space="preserve"> for example,</w:t>
      </w:r>
      <w:r w:rsidR="007819D4">
        <w:rPr>
          <w:rStyle w:val="FootnoteReference"/>
          <w:lang w:bidi="fa-IR"/>
        </w:rPr>
        <w:footnoteReference w:id="402"/>
      </w:r>
    </w:p>
    <w:p w14:paraId="3A987A71" w14:textId="77777777" w:rsidR="001E45D0" w:rsidRPr="00CF517C" w:rsidRDefault="001E45D0" w:rsidP="001E45D0">
      <w:pPr>
        <w:pStyle w:val="ListBullet"/>
      </w:pPr>
      <w:r w:rsidRPr="00CF517C">
        <w:t>Aged care</w:t>
      </w:r>
      <w:r>
        <w:t>:</w:t>
      </w:r>
      <w:r w:rsidRPr="00CF517C">
        <w:t xml:space="preserve"> </w:t>
      </w:r>
      <w:r w:rsidR="007819D4">
        <w:t>about</w:t>
      </w:r>
      <w:r w:rsidRPr="00CF517C">
        <w:t xml:space="preserve"> 80 per cent of people don’t want to go into aged care</w:t>
      </w:r>
    </w:p>
    <w:p w14:paraId="069E120D" w14:textId="77777777" w:rsidR="001E45D0" w:rsidRPr="00CF517C" w:rsidRDefault="001E45D0" w:rsidP="001E45D0">
      <w:pPr>
        <w:pStyle w:val="ListBullet"/>
      </w:pPr>
      <w:r w:rsidRPr="00CF517C">
        <w:t xml:space="preserve">Social housing is less than 5 per cent of </w:t>
      </w:r>
      <w:r w:rsidR="00434558">
        <w:t xml:space="preserve">the </w:t>
      </w:r>
      <w:r w:rsidRPr="00CF517C">
        <w:t>market</w:t>
      </w:r>
      <w:r>
        <w:t xml:space="preserve"> and </w:t>
      </w:r>
      <w:r w:rsidRPr="00CF517C">
        <w:t xml:space="preserve">most social housing </w:t>
      </w:r>
      <w:r>
        <w:t xml:space="preserve">was built in 1950s-80s and </w:t>
      </w:r>
      <w:r w:rsidRPr="00CF517C">
        <w:t>is not accessible</w:t>
      </w:r>
    </w:p>
    <w:p w14:paraId="79273DC2" w14:textId="77777777" w:rsidR="001E45D0" w:rsidRPr="00CF517C" w:rsidRDefault="001E45D0" w:rsidP="001E45D0">
      <w:pPr>
        <w:pStyle w:val="ListBullet"/>
      </w:pPr>
      <w:r w:rsidRPr="00CF517C">
        <w:t xml:space="preserve">SDA </w:t>
      </w:r>
      <w:r w:rsidR="0063090D">
        <w:t>is an</w:t>
      </w:r>
      <w:r w:rsidRPr="00CF517C">
        <w:t xml:space="preserve"> exception because it is generously funded and has a matching program</w:t>
      </w:r>
    </w:p>
    <w:p w14:paraId="71792ECA" w14:textId="77777777" w:rsidR="001E45D0" w:rsidRPr="00CF517C" w:rsidRDefault="001E45D0" w:rsidP="001E45D0">
      <w:pPr>
        <w:pStyle w:val="ListBullet"/>
      </w:pPr>
      <w:r w:rsidRPr="00CF517C">
        <w:t>Voluntary programs have not worked</w:t>
      </w:r>
      <w:r w:rsidR="00434558">
        <w:t>.</w:t>
      </w:r>
    </w:p>
    <w:p w14:paraId="5104EA33" w14:textId="77777777" w:rsidR="001E45D0" w:rsidRPr="009517BC" w:rsidRDefault="001E45D0" w:rsidP="001E45D0">
      <w:pPr>
        <w:pStyle w:val="BodyText"/>
        <w:rPr>
          <w:lang w:bidi="fa-IR"/>
        </w:rPr>
      </w:pPr>
      <w:r>
        <w:rPr>
          <w:lang w:bidi="fa-IR"/>
        </w:rPr>
        <w:t xml:space="preserve">By contrast, others argued that the extent of </w:t>
      </w:r>
      <w:r w:rsidR="00ED37D7">
        <w:rPr>
          <w:lang w:bidi="fa-IR"/>
        </w:rPr>
        <w:t xml:space="preserve">accessibility </w:t>
      </w:r>
      <w:r>
        <w:rPr>
          <w:lang w:bidi="fa-IR"/>
        </w:rPr>
        <w:t xml:space="preserve">features assumed in the baseline may be </w:t>
      </w:r>
      <w:r w:rsidRPr="004D4CE8">
        <w:rPr>
          <w:lang w:bidi="fa-IR"/>
        </w:rPr>
        <w:t>understated</w:t>
      </w:r>
      <w:r>
        <w:rPr>
          <w:lang w:bidi="fa-IR"/>
        </w:rPr>
        <w:t>.</w:t>
      </w:r>
    </w:p>
    <w:p w14:paraId="4499993E" w14:textId="77777777" w:rsidR="001E45D0" w:rsidRDefault="001E45D0" w:rsidP="001E45D0">
      <w:pPr>
        <w:pStyle w:val="BodyText"/>
        <w:rPr>
          <w:lang w:bidi="fa-IR"/>
        </w:rPr>
      </w:pPr>
      <w:r w:rsidRPr="009517BC">
        <w:rPr>
          <w:lang w:bidi="fa-IR"/>
        </w:rPr>
        <w:t>PCA question</w:t>
      </w:r>
      <w:r>
        <w:rPr>
          <w:lang w:bidi="fa-IR"/>
        </w:rPr>
        <w:t>ed</w:t>
      </w:r>
      <w:r w:rsidRPr="009517BC">
        <w:rPr>
          <w:lang w:bidi="fa-IR"/>
        </w:rPr>
        <w:t xml:space="preserve"> the estimate that only 5 per cent of newly constructed housing meets LHDG Silver based on Livable Housing Australia’s certification figures, noting </w:t>
      </w:r>
      <w:r>
        <w:rPr>
          <w:lang w:bidi="fa-IR"/>
        </w:rPr>
        <w:t xml:space="preserve">under-reporting, </w:t>
      </w:r>
      <w:r w:rsidR="00434558">
        <w:rPr>
          <w:lang w:bidi="fa-IR"/>
        </w:rPr>
        <w:t>suggesting</w:t>
      </w:r>
      <w:r w:rsidRPr="009517BC">
        <w:rPr>
          <w:lang w:bidi="fa-IR"/>
        </w:rPr>
        <w:t xml:space="preserve"> there may be housing that</w:t>
      </w:r>
      <w:r w:rsidR="00434558">
        <w:rPr>
          <w:lang w:bidi="fa-IR"/>
        </w:rPr>
        <w:t>,</w:t>
      </w:r>
      <w:r w:rsidRPr="009517BC">
        <w:rPr>
          <w:lang w:bidi="fa-IR"/>
        </w:rPr>
        <w:t xml:space="preserve"> while being built to a LHCG standard</w:t>
      </w:r>
      <w:r w:rsidR="00434558">
        <w:rPr>
          <w:lang w:bidi="fa-IR"/>
        </w:rPr>
        <w:t>,</w:t>
      </w:r>
      <w:r>
        <w:rPr>
          <w:lang w:bidi="fa-IR"/>
        </w:rPr>
        <w:t xml:space="preserve"> </w:t>
      </w:r>
      <w:r w:rsidR="00434558">
        <w:rPr>
          <w:lang w:bidi="fa-IR"/>
        </w:rPr>
        <w:t>has</w:t>
      </w:r>
      <w:r w:rsidRPr="009517BC">
        <w:rPr>
          <w:lang w:bidi="fa-IR"/>
        </w:rPr>
        <w:t xml:space="preserve"> never officially sought certification.</w:t>
      </w:r>
      <w:r>
        <w:rPr>
          <w:rStyle w:val="FootnoteReference"/>
          <w:lang w:bidi="fa-IR"/>
        </w:rPr>
        <w:footnoteReference w:id="403"/>
      </w:r>
      <w:r w:rsidRPr="009517BC">
        <w:rPr>
          <w:lang w:bidi="fa-IR"/>
        </w:rPr>
        <w:t xml:space="preserve"> PowerHousing Australia suggests that new </w:t>
      </w:r>
      <w:r w:rsidR="0063090D">
        <w:rPr>
          <w:lang w:bidi="fa-IR"/>
        </w:rPr>
        <w:t xml:space="preserve">community housing </w:t>
      </w:r>
      <w:r w:rsidRPr="009517BC">
        <w:rPr>
          <w:lang w:bidi="fa-IR"/>
        </w:rPr>
        <w:t>dwellings are generally built to LHA Silver</w:t>
      </w:r>
      <w:r w:rsidR="0081491B">
        <w:rPr>
          <w:lang w:bidi="fa-IR"/>
        </w:rPr>
        <w:t>,</w:t>
      </w:r>
      <w:r w:rsidRPr="009517BC">
        <w:rPr>
          <w:lang w:bidi="fa-IR"/>
        </w:rPr>
        <w:t xml:space="preserve"> based on feedback from their members.</w:t>
      </w:r>
      <w:r>
        <w:rPr>
          <w:rStyle w:val="FootnoteReference"/>
          <w:lang w:bidi="fa-IR"/>
        </w:rPr>
        <w:footnoteReference w:id="404"/>
      </w:r>
    </w:p>
    <w:p w14:paraId="5398BCE2" w14:textId="77777777" w:rsidR="001E45D0" w:rsidRDefault="001E45D0" w:rsidP="001E45D0">
      <w:pPr>
        <w:pStyle w:val="BodyText"/>
        <w:rPr>
          <w:lang w:bidi="fa-IR"/>
        </w:rPr>
      </w:pPr>
      <w:r>
        <w:rPr>
          <w:lang w:bidi="fa-IR"/>
        </w:rPr>
        <w:t>More supply of accessible housing in new developments appears a result of government incentive program</w:t>
      </w:r>
      <w:r w:rsidR="0081491B">
        <w:rPr>
          <w:lang w:bidi="fa-IR"/>
        </w:rPr>
        <w:t>s</w:t>
      </w:r>
      <w:r>
        <w:rPr>
          <w:lang w:bidi="fa-IR"/>
        </w:rPr>
        <w:t xml:space="preserve"> and/or planning requirements.</w:t>
      </w:r>
    </w:p>
    <w:p w14:paraId="25931061" w14:textId="77777777" w:rsidR="001E45D0" w:rsidRDefault="001E45D0" w:rsidP="001E45D0">
      <w:pPr>
        <w:pStyle w:val="BodyText"/>
        <w:rPr>
          <w:lang w:bidi="fa-IR"/>
        </w:rPr>
      </w:pPr>
      <w:r>
        <w:rPr>
          <w:lang w:bidi="fa-IR"/>
        </w:rPr>
        <w:t>Accessible Public Domain noted that many councils require housing developments to include 10 to 20 per cent of units to be accessible, adaptable or LHA design.</w:t>
      </w:r>
      <w:r w:rsidR="00B52E92">
        <w:rPr>
          <w:rStyle w:val="FootnoteReference"/>
          <w:lang w:bidi="fa-IR"/>
        </w:rPr>
        <w:footnoteReference w:id="405"/>
      </w:r>
    </w:p>
    <w:p w14:paraId="15E830C2" w14:textId="77777777" w:rsidR="001E45D0" w:rsidRPr="009517BC" w:rsidRDefault="001E45D0" w:rsidP="001E45D0">
      <w:pPr>
        <w:pStyle w:val="BodyText"/>
        <w:rPr>
          <w:lang w:bidi="fa-IR"/>
        </w:rPr>
      </w:pPr>
      <w:r>
        <w:rPr>
          <w:lang w:bidi="fa-IR"/>
        </w:rPr>
        <w:t>Many government projects, such as</w:t>
      </w:r>
      <w:r w:rsidRPr="00B4379F">
        <w:rPr>
          <w:lang w:bidi="fa-IR"/>
        </w:rPr>
        <w:t xml:space="preserve"> Build-to-Rent, DHHS and TAC</w:t>
      </w:r>
      <w:r>
        <w:rPr>
          <w:lang w:bidi="fa-IR"/>
        </w:rPr>
        <w:t xml:space="preserve">, </w:t>
      </w:r>
      <w:r w:rsidRPr="00B4379F">
        <w:rPr>
          <w:lang w:bidi="fa-IR"/>
        </w:rPr>
        <w:t xml:space="preserve">do provide </w:t>
      </w:r>
      <w:r>
        <w:rPr>
          <w:lang w:bidi="fa-IR"/>
        </w:rPr>
        <w:t>O</w:t>
      </w:r>
      <w:r w:rsidRPr="00B4379F">
        <w:rPr>
          <w:lang w:bidi="fa-IR"/>
        </w:rPr>
        <w:t>ptions 1</w:t>
      </w:r>
      <w:r>
        <w:rPr>
          <w:lang w:bidi="fa-IR"/>
        </w:rPr>
        <w:t xml:space="preserve"> to </w:t>
      </w:r>
      <w:r w:rsidRPr="00B4379F">
        <w:rPr>
          <w:lang w:bidi="fa-IR"/>
        </w:rPr>
        <w:t>3 in their housing</w:t>
      </w:r>
      <w:r>
        <w:rPr>
          <w:lang w:bidi="fa-IR"/>
        </w:rPr>
        <w:t>, according to Design Matters National.</w:t>
      </w:r>
      <w:r w:rsidR="002D78AD">
        <w:rPr>
          <w:rStyle w:val="FootnoteReference"/>
          <w:lang w:bidi="fa-IR"/>
        </w:rPr>
        <w:footnoteReference w:id="406"/>
      </w:r>
    </w:p>
    <w:p w14:paraId="07A33BF3" w14:textId="77777777" w:rsidR="001E45D0" w:rsidRPr="00C42E0A" w:rsidRDefault="007D40FE" w:rsidP="001E45D0">
      <w:pPr>
        <w:pStyle w:val="BodyText"/>
        <w:rPr>
          <w:lang w:bidi="fa-IR"/>
        </w:rPr>
      </w:pPr>
      <w:r>
        <w:rPr>
          <w:lang w:bidi="fa-IR"/>
        </w:rPr>
        <w:t>One submission</w:t>
      </w:r>
      <w:r w:rsidR="001E45D0" w:rsidRPr="00C42E0A">
        <w:rPr>
          <w:lang w:bidi="fa-IR"/>
        </w:rPr>
        <w:t xml:space="preserve"> pointed out that</w:t>
      </w:r>
      <w:r w:rsidR="0081491B">
        <w:rPr>
          <w:lang w:bidi="fa-IR"/>
        </w:rPr>
        <w:t>,</w:t>
      </w:r>
      <w:r w:rsidR="001E45D0" w:rsidRPr="00C42E0A">
        <w:rPr>
          <w:lang w:bidi="fa-IR"/>
        </w:rPr>
        <w:t xml:space="preserve"> in general</w:t>
      </w:r>
      <w:r w:rsidR="0081491B">
        <w:rPr>
          <w:lang w:bidi="fa-IR"/>
        </w:rPr>
        <w:t>,</w:t>
      </w:r>
      <w:r w:rsidR="001E45D0" w:rsidRPr="00C42E0A">
        <w:rPr>
          <w:lang w:bidi="fa-IR"/>
        </w:rPr>
        <w:t xml:space="preserve"> new homes are already more accessible than older homes. It estimated approximately 10 per cent of new residential </w:t>
      </w:r>
      <w:r w:rsidR="001E45D0">
        <w:rPr>
          <w:lang w:bidi="fa-IR"/>
        </w:rPr>
        <w:t>apartment</w:t>
      </w:r>
      <w:r w:rsidR="001E45D0" w:rsidRPr="00C42E0A">
        <w:rPr>
          <w:lang w:bidi="fa-IR"/>
        </w:rPr>
        <w:t xml:space="preserve"> building dwellings across NSW met the LHDG requirements through </w:t>
      </w:r>
      <w:r w:rsidR="0081491B">
        <w:rPr>
          <w:lang w:bidi="fa-IR"/>
        </w:rPr>
        <w:t>an</w:t>
      </w:r>
      <w:r w:rsidR="001E45D0" w:rsidRPr="00C42E0A">
        <w:rPr>
          <w:lang w:bidi="fa-IR"/>
        </w:rPr>
        <w:t xml:space="preserve"> incentive mechanism.</w:t>
      </w:r>
    </w:p>
    <w:p w14:paraId="1C3F98F8" w14:textId="77777777" w:rsidR="001E45D0" w:rsidRDefault="00E85660" w:rsidP="001E45D0">
      <w:pPr>
        <w:pStyle w:val="BodyText"/>
        <w:rPr>
          <w:lang w:bidi="fa-IR"/>
        </w:rPr>
      </w:pPr>
      <w:r>
        <w:rPr>
          <w:lang w:bidi="fa-IR"/>
        </w:rPr>
        <w:t>Another submission</w:t>
      </w:r>
      <w:r w:rsidR="001E45D0">
        <w:rPr>
          <w:lang w:bidi="fa-IR"/>
        </w:rPr>
        <w:t xml:space="preserve"> also pointed out that </w:t>
      </w:r>
      <w:r w:rsidR="001E45D0" w:rsidRPr="00560493">
        <w:rPr>
          <w:lang w:bidi="fa-IR"/>
        </w:rPr>
        <w:t>some developers are providing up to 10</w:t>
      </w:r>
      <w:r w:rsidR="00D377D5">
        <w:rPr>
          <w:lang w:bidi="fa-IR"/>
        </w:rPr>
        <w:t> </w:t>
      </w:r>
      <w:r w:rsidR="001E45D0">
        <w:rPr>
          <w:lang w:bidi="fa-IR"/>
        </w:rPr>
        <w:t>per</w:t>
      </w:r>
      <w:r w:rsidR="0081491B">
        <w:rPr>
          <w:lang w:bidi="fa-IR"/>
        </w:rPr>
        <w:t> </w:t>
      </w:r>
      <w:r w:rsidR="001E45D0">
        <w:rPr>
          <w:lang w:bidi="fa-IR"/>
        </w:rPr>
        <w:t>cent</w:t>
      </w:r>
      <w:r w:rsidR="001E45D0" w:rsidRPr="00560493">
        <w:rPr>
          <w:lang w:bidi="fa-IR"/>
        </w:rPr>
        <w:t xml:space="preserve"> of units as adaptable</w:t>
      </w:r>
      <w:r w:rsidR="001E45D0">
        <w:rPr>
          <w:lang w:bidi="fa-IR"/>
        </w:rPr>
        <w:t xml:space="preserve"> or</w:t>
      </w:r>
      <w:r w:rsidR="001E45D0" w:rsidRPr="00560493">
        <w:rPr>
          <w:lang w:bidi="fa-IR"/>
        </w:rPr>
        <w:t xml:space="preserve"> accessible housing</w:t>
      </w:r>
      <w:r w:rsidR="001E45D0">
        <w:rPr>
          <w:lang w:bidi="fa-IR"/>
        </w:rPr>
        <w:t>, depending upon various council’s requirements.</w:t>
      </w:r>
    </w:p>
    <w:p w14:paraId="4EDC24B4" w14:textId="77777777" w:rsidR="001E45D0" w:rsidRDefault="001E45D0" w:rsidP="001E45D0">
      <w:pPr>
        <w:pStyle w:val="BodyText"/>
        <w:rPr>
          <w:lang w:bidi="fa-IR"/>
        </w:rPr>
      </w:pPr>
      <w:r>
        <w:rPr>
          <w:lang w:bidi="fa-IR"/>
        </w:rPr>
        <w:t xml:space="preserve">Alexandrina Council in South Australia conducted a community </w:t>
      </w:r>
      <w:r w:rsidRPr="00494AF6">
        <w:rPr>
          <w:lang w:bidi="fa-IR"/>
        </w:rPr>
        <w:t xml:space="preserve">survey </w:t>
      </w:r>
      <w:r>
        <w:rPr>
          <w:lang w:bidi="fa-IR"/>
        </w:rPr>
        <w:t xml:space="preserve">in 2016, which found </w:t>
      </w:r>
      <w:r w:rsidRPr="00494AF6">
        <w:rPr>
          <w:lang w:bidi="fa-IR"/>
        </w:rPr>
        <w:t>54</w:t>
      </w:r>
      <w:r>
        <w:rPr>
          <w:lang w:bidi="fa-IR"/>
        </w:rPr>
        <w:t xml:space="preserve"> per cent of dwellings are</w:t>
      </w:r>
      <w:r w:rsidRPr="00494AF6">
        <w:rPr>
          <w:lang w:bidi="fa-IR"/>
        </w:rPr>
        <w:t xml:space="preserve"> suitable for people with mobility impairments or other forms of disability</w:t>
      </w:r>
      <w:r>
        <w:rPr>
          <w:lang w:bidi="fa-IR"/>
        </w:rPr>
        <w:t xml:space="preserve">, and 30 per cent not suitable. The most commonly cited reasons for </w:t>
      </w:r>
      <w:r w:rsidR="00434558">
        <w:rPr>
          <w:lang w:bidi="fa-IR"/>
        </w:rPr>
        <w:t>a</w:t>
      </w:r>
      <w:r>
        <w:rPr>
          <w:lang w:bidi="fa-IR"/>
        </w:rPr>
        <w:t xml:space="preserve"> home not being suitable were:</w:t>
      </w:r>
      <w:r w:rsidR="00984FED">
        <w:rPr>
          <w:rStyle w:val="FootnoteReference"/>
          <w:lang w:bidi="fa-IR"/>
        </w:rPr>
        <w:footnoteReference w:id="407"/>
      </w:r>
    </w:p>
    <w:p w14:paraId="6E78F996" w14:textId="77777777" w:rsidR="001E45D0" w:rsidRDefault="001E45D0" w:rsidP="001E45D0">
      <w:pPr>
        <w:pStyle w:val="ListBullet"/>
        <w:rPr>
          <w:lang w:bidi="fa-IR"/>
        </w:rPr>
      </w:pPr>
      <w:r>
        <w:rPr>
          <w:lang w:bidi="fa-IR"/>
        </w:rPr>
        <w:lastRenderedPageBreak/>
        <w:t>the presence of internal or external steps</w:t>
      </w:r>
    </w:p>
    <w:p w14:paraId="320BD46C" w14:textId="77777777" w:rsidR="001E45D0" w:rsidRDefault="001E45D0" w:rsidP="001E45D0">
      <w:pPr>
        <w:pStyle w:val="ListBullet"/>
        <w:rPr>
          <w:lang w:bidi="fa-IR"/>
        </w:rPr>
      </w:pPr>
      <w:r>
        <w:rPr>
          <w:lang w:bidi="fa-IR"/>
        </w:rPr>
        <w:t>an unsuitable bathroom or toilet</w:t>
      </w:r>
      <w:r w:rsidR="000238B4">
        <w:rPr>
          <w:lang w:bidi="fa-IR"/>
        </w:rPr>
        <w:t>,</w:t>
      </w:r>
      <w:r>
        <w:rPr>
          <w:lang w:bidi="fa-IR"/>
        </w:rPr>
        <w:t xml:space="preserve"> and</w:t>
      </w:r>
    </w:p>
    <w:p w14:paraId="0AE1007D" w14:textId="77777777" w:rsidR="001E45D0" w:rsidRDefault="001E45D0" w:rsidP="001E45D0">
      <w:pPr>
        <w:pStyle w:val="ListBullet"/>
        <w:rPr>
          <w:lang w:bidi="fa-IR"/>
        </w:rPr>
      </w:pPr>
      <w:r>
        <w:rPr>
          <w:lang w:bidi="fa-IR"/>
        </w:rPr>
        <w:t xml:space="preserve">difficulty moving around with mobility devices (commonly due to </w:t>
      </w:r>
      <w:r w:rsidR="0081491B">
        <w:rPr>
          <w:lang w:bidi="fa-IR"/>
        </w:rPr>
        <w:t>narrow</w:t>
      </w:r>
      <w:r>
        <w:rPr>
          <w:lang w:bidi="fa-IR"/>
        </w:rPr>
        <w:t xml:space="preserve"> hallway or doorways).</w:t>
      </w:r>
    </w:p>
    <w:p w14:paraId="74DC794C" w14:textId="77777777" w:rsidR="001E45D0" w:rsidRPr="00F4477B" w:rsidRDefault="001E45D0" w:rsidP="00F4477B">
      <w:pPr>
        <w:pStyle w:val="Heading3-Appendix"/>
      </w:pPr>
      <w:r w:rsidRPr="00F4477B">
        <w:t>Partial accessibility</w:t>
      </w:r>
    </w:p>
    <w:p w14:paraId="49265A29" w14:textId="77777777" w:rsidR="001E45D0" w:rsidRPr="0076375B" w:rsidRDefault="001E45D0" w:rsidP="001E45D0">
      <w:pPr>
        <w:pStyle w:val="BodyText"/>
        <w:rPr>
          <w:lang w:bidi="fa-IR"/>
        </w:rPr>
      </w:pPr>
      <w:r>
        <w:rPr>
          <w:lang w:bidi="fa-IR"/>
        </w:rPr>
        <w:t xml:space="preserve">Some but not all of the accessible features of the proposed changes may have already been provided in new dwellings. Stakeholders </w:t>
      </w:r>
      <w:r w:rsidR="00434558">
        <w:rPr>
          <w:lang w:bidi="fa-IR"/>
        </w:rPr>
        <w:t>were</w:t>
      </w:r>
      <w:r>
        <w:rPr>
          <w:lang w:bidi="fa-IR"/>
        </w:rPr>
        <w:t xml:space="preserve"> asked to comment on whether this partial accessibility would reduce the size of the problem in the baseline (Question 30).</w:t>
      </w:r>
    </w:p>
    <w:p w14:paraId="5F5DB2FB" w14:textId="06108B64" w:rsidR="001E45D0" w:rsidRDefault="001E45D0" w:rsidP="001E45D0">
      <w:pPr>
        <w:pStyle w:val="BodyText"/>
        <w:rPr>
          <w:lang w:bidi="fa-IR"/>
        </w:rPr>
      </w:pPr>
      <w:r>
        <w:rPr>
          <w:lang w:bidi="fa-IR"/>
        </w:rPr>
        <w:t>As shown in chart</w:t>
      </w:r>
      <w:r w:rsidR="00DD5C35">
        <w:rPr>
          <w:lang w:bidi="fa-IR"/>
        </w:rPr>
        <w:t xml:space="preserve"> A.19</w:t>
      </w:r>
      <w:r>
        <w:rPr>
          <w:lang w:bidi="fa-IR"/>
        </w:rPr>
        <w:t xml:space="preserve">, more </w:t>
      </w:r>
      <w:r w:rsidR="00434558">
        <w:rPr>
          <w:lang w:bidi="fa-IR"/>
        </w:rPr>
        <w:t>respondents</w:t>
      </w:r>
      <w:r>
        <w:rPr>
          <w:lang w:bidi="fa-IR"/>
        </w:rPr>
        <w:t xml:space="preserve"> agreed that this would reduce the size of the problem than those </w:t>
      </w:r>
      <w:r w:rsidR="0081491B">
        <w:rPr>
          <w:lang w:bidi="fa-IR"/>
        </w:rPr>
        <w:t xml:space="preserve">who </w:t>
      </w:r>
      <w:r w:rsidR="00434558">
        <w:rPr>
          <w:lang w:bidi="fa-IR"/>
        </w:rPr>
        <w:t>dis</w:t>
      </w:r>
      <w:r>
        <w:rPr>
          <w:lang w:bidi="fa-IR"/>
        </w:rPr>
        <w:t>agree</w:t>
      </w:r>
      <w:r w:rsidR="00434558">
        <w:rPr>
          <w:lang w:bidi="fa-IR"/>
        </w:rPr>
        <w:t>d</w:t>
      </w:r>
      <w:r>
        <w:rPr>
          <w:lang w:bidi="fa-IR"/>
        </w:rPr>
        <w:t xml:space="preserve"> (46 versus 30).</w:t>
      </w:r>
    </w:p>
    <w:p w14:paraId="28A82A17" w14:textId="77777777" w:rsidR="001E45D0" w:rsidRDefault="001E45D0" w:rsidP="001E45D0">
      <w:pPr>
        <w:pStyle w:val="BodyText"/>
        <w:rPr>
          <w:lang w:bidi="fa-IR"/>
        </w:rPr>
      </w:pPr>
      <w:r>
        <w:rPr>
          <w:lang w:bidi="fa-IR"/>
        </w:rPr>
        <w:t>Some submissions pointed out that it may depend on the individual features and the person in need.</w:t>
      </w:r>
    </w:p>
    <w:p w14:paraId="56638534" w14:textId="77777777" w:rsidR="001E45D0" w:rsidRDefault="001E45D0" w:rsidP="001E45D0">
      <w:pPr>
        <w:pStyle w:val="BodyText"/>
        <w:rPr>
          <w:lang w:bidi="fa-IR"/>
        </w:rPr>
      </w:pPr>
      <w:r w:rsidRPr="001A4F4B">
        <w:rPr>
          <w:lang w:bidi="fa-IR"/>
        </w:rPr>
        <w:t xml:space="preserve">Mornington Peninsula Shire </w:t>
      </w:r>
      <w:r>
        <w:rPr>
          <w:lang w:bidi="fa-IR"/>
        </w:rPr>
        <w:t xml:space="preserve">acknowledged that </w:t>
      </w:r>
      <w:r w:rsidR="0092690B">
        <w:rPr>
          <w:lang w:bidi="fa-IR"/>
        </w:rPr>
        <w:t>while some features</w:t>
      </w:r>
      <w:r w:rsidRPr="001A4F4B">
        <w:rPr>
          <w:lang w:bidi="fa-IR"/>
        </w:rPr>
        <w:t xml:space="preserve"> may make a difference in particular cases (e.g. enabling a visit by a person who may need access to a toilet with no stairs) </w:t>
      </w:r>
      <w:r w:rsidR="003D20A7">
        <w:rPr>
          <w:lang w:bidi="fa-IR"/>
        </w:rPr>
        <w:t>such an approach did not</w:t>
      </w:r>
      <w:r w:rsidRPr="001A4F4B">
        <w:rPr>
          <w:lang w:bidi="fa-IR"/>
        </w:rPr>
        <w:t xml:space="preserve"> present the required scale to increase the liveability of </w:t>
      </w:r>
      <w:r>
        <w:rPr>
          <w:lang w:bidi="fa-IR"/>
        </w:rPr>
        <w:t>the</w:t>
      </w:r>
      <w:r w:rsidRPr="001A4F4B">
        <w:rPr>
          <w:lang w:bidi="fa-IR"/>
        </w:rPr>
        <w:t xml:space="preserve"> housing stock.</w:t>
      </w:r>
      <w:r w:rsidR="00DA10E6">
        <w:rPr>
          <w:rStyle w:val="FootnoteReference"/>
          <w:lang w:bidi="fa-IR"/>
        </w:rPr>
        <w:footnoteReference w:id="408"/>
      </w:r>
    </w:p>
    <w:p w14:paraId="42F9F55B" w14:textId="77777777" w:rsidR="001E45D0" w:rsidRDefault="001E45D0" w:rsidP="001E45D0">
      <w:pPr>
        <w:pStyle w:val="BodyText"/>
        <w:rPr>
          <w:lang w:bidi="fa-IR"/>
        </w:rPr>
      </w:pPr>
      <w:r>
        <w:rPr>
          <w:lang w:bidi="fa-IR"/>
        </w:rPr>
        <w:t xml:space="preserve">ANUHD </w:t>
      </w:r>
      <w:r w:rsidR="003D20A7">
        <w:rPr>
          <w:lang w:bidi="fa-IR"/>
        </w:rPr>
        <w:t>suggested</w:t>
      </w:r>
      <w:r>
        <w:rPr>
          <w:lang w:bidi="fa-IR"/>
        </w:rPr>
        <w:t xml:space="preserve"> that individual accessibility features do not provide related individual benefits unless a coherent suite of accessibility features is provided.</w:t>
      </w:r>
      <w:r w:rsidR="00C92F15">
        <w:rPr>
          <w:rStyle w:val="FootnoteReference"/>
          <w:lang w:bidi="fa-IR"/>
        </w:rPr>
        <w:footnoteReference w:id="409"/>
      </w:r>
    </w:p>
    <w:p w14:paraId="0A467941" w14:textId="77777777" w:rsidR="001E45D0" w:rsidRDefault="001E45D0" w:rsidP="001E45D0">
      <w:pPr>
        <w:pStyle w:val="BodyText"/>
        <w:rPr>
          <w:lang w:bidi="fa-IR"/>
        </w:rPr>
      </w:pPr>
      <w:r w:rsidRPr="00196F9D">
        <w:rPr>
          <w:lang w:bidi="fa-IR"/>
        </w:rPr>
        <w:t xml:space="preserve">Post-Polio Victoria </w:t>
      </w:r>
      <w:r>
        <w:rPr>
          <w:lang w:bidi="fa-IR"/>
        </w:rPr>
        <w:t>highlighted this argument with a case study</w:t>
      </w:r>
      <w:r w:rsidRPr="00196F9D">
        <w:rPr>
          <w:lang w:bidi="fa-IR"/>
        </w:rPr>
        <w:t xml:space="preserve"> </w:t>
      </w:r>
      <w:r>
        <w:rPr>
          <w:lang w:bidi="fa-IR"/>
        </w:rPr>
        <w:t>(</w:t>
      </w:r>
      <w:r w:rsidRPr="00196F9D">
        <w:rPr>
          <w:lang w:bidi="fa-IR"/>
        </w:rPr>
        <w:t>Case Study 3</w:t>
      </w:r>
      <w:r>
        <w:rPr>
          <w:lang w:bidi="fa-IR"/>
        </w:rPr>
        <w:t>)</w:t>
      </w:r>
      <w:r w:rsidRPr="00196F9D">
        <w:rPr>
          <w:lang w:bidi="fa-IR"/>
        </w:rPr>
        <w:t xml:space="preserve"> in </w:t>
      </w:r>
      <w:r>
        <w:rPr>
          <w:lang w:bidi="fa-IR"/>
        </w:rPr>
        <w:t>its previous</w:t>
      </w:r>
      <w:r w:rsidRPr="00196F9D">
        <w:rPr>
          <w:lang w:bidi="fa-IR"/>
        </w:rPr>
        <w:t xml:space="preserve"> submission </w:t>
      </w:r>
      <w:r>
        <w:rPr>
          <w:lang w:bidi="fa-IR"/>
        </w:rPr>
        <w:t>to the ABCB Options Paper:</w:t>
      </w:r>
      <w:r w:rsidR="003853DD">
        <w:rPr>
          <w:rStyle w:val="FootnoteReference"/>
          <w:lang w:bidi="fa-IR"/>
        </w:rPr>
        <w:footnoteReference w:id="410"/>
      </w:r>
      <w:r w:rsidRPr="00196F9D">
        <w:rPr>
          <w:lang w:bidi="fa-IR"/>
        </w:rPr>
        <w:t xml:space="preserve"> </w:t>
      </w:r>
    </w:p>
    <w:p w14:paraId="4CA67A3F" w14:textId="77777777" w:rsidR="001E45D0" w:rsidRDefault="001E45D0" w:rsidP="001E45D0">
      <w:pPr>
        <w:pStyle w:val="Quote"/>
        <w:rPr>
          <w:lang w:bidi="fa-IR"/>
        </w:rPr>
      </w:pPr>
      <w:r>
        <w:rPr>
          <w:lang w:bidi="fa-IR"/>
        </w:rPr>
        <w:t>T</w:t>
      </w:r>
      <w:r w:rsidRPr="00196F9D">
        <w:rPr>
          <w:lang w:bidi="fa-IR"/>
        </w:rPr>
        <w:t>he cost of the fire door entry might have been $X, but if the occupier becomes too frail to open it, then no matter how many accessibility features lie in the apartment on the other side of that door, they are useless to the renter, and even the high cost of that desirable feature does not render the whole flat accessible. Or if the lip onto the balcony is too high for the renter to step over with a walker, then there might as well be no balcony. And the shower flooding the entire bathroom floor when it is turned on in its stepless alcove - especially if the tiles become slippery when wet – is useless to an older inhabitant who is very scared of falling, after previously breaking her hip.</w:t>
      </w:r>
    </w:p>
    <w:p w14:paraId="29AC8F3E" w14:textId="77777777" w:rsidR="001E45D0" w:rsidRPr="004B79EC" w:rsidRDefault="001E45D0" w:rsidP="004B79EC">
      <w:pPr>
        <w:pStyle w:val="Heading4-Appendix"/>
      </w:pPr>
      <w:r w:rsidRPr="004B79EC">
        <w:t>More features lead to more beneficiaries</w:t>
      </w:r>
    </w:p>
    <w:p w14:paraId="5BFFF485" w14:textId="77777777" w:rsidR="001E45D0" w:rsidRDefault="001E45D0" w:rsidP="001E45D0">
      <w:pPr>
        <w:pStyle w:val="BodyText"/>
        <w:rPr>
          <w:lang w:bidi="fa-IR"/>
        </w:rPr>
      </w:pPr>
      <w:r>
        <w:rPr>
          <w:lang w:bidi="fa-IR"/>
        </w:rPr>
        <w:t xml:space="preserve">A related question asked </w:t>
      </w:r>
      <w:r w:rsidR="00434558">
        <w:rPr>
          <w:lang w:bidi="fa-IR"/>
        </w:rPr>
        <w:t xml:space="preserve">respondents if they </w:t>
      </w:r>
      <w:r>
        <w:rPr>
          <w:lang w:bidi="fa-IR"/>
        </w:rPr>
        <w:t>agree with the assumption that additional features required under accessibility standards in Option 2 and Option 3 would increase the number of beneficiaries compared to Option 1 (Question 31).</w:t>
      </w:r>
    </w:p>
    <w:p w14:paraId="05547899" w14:textId="71A44450" w:rsidR="001E45D0" w:rsidRDefault="001E45D0" w:rsidP="001E45D0">
      <w:pPr>
        <w:pStyle w:val="BodyText"/>
        <w:rPr>
          <w:lang w:bidi="fa-IR"/>
        </w:rPr>
      </w:pPr>
      <w:r>
        <w:rPr>
          <w:lang w:bidi="fa-IR"/>
        </w:rPr>
        <w:t>As shown in chart</w:t>
      </w:r>
      <w:r w:rsidR="00362332">
        <w:rPr>
          <w:lang w:bidi="fa-IR"/>
        </w:rPr>
        <w:t xml:space="preserve"> A.19</w:t>
      </w:r>
      <w:r>
        <w:rPr>
          <w:lang w:bidi="fa-IR"/>
        </w:rPr>
        <w:t xml:space="preserve">, more </w:t>
      </w:r>
      <w:r w:rsidR="00434558">
        <w:rPr>
          <w:lang w:bidi="fa-IR"/>
        </w:rPr>
        <w:t>respondent</w:t>
      </w:r>
      <w:r>
        <w:rPr>
          <w:lang w:bidi="fa-IR"/>
        </w:rPr>
        <w:t>s agreed with the assumption than those</w:t>
      </w:r>
      <w:r w:rsidR="00434558">
        <w:rPr>
          <w:lang w:bidi="fa-IR"/>
        </w:rPr>
        <w:t xml:space="preserve"> who</w:t>
      </w:r>
      <w:r>
        <w:rPr>
          <w:lang w:bidi="fa-IR"/>
        </w:rPr>
        <w:t xml:space="preserve"> did not (47 versus 24). A number of submissions s</w:t>
      </w:r>
      <w:r w:rsidR="00434558">
        <w:rPr>
          <w:lang w:bidi="fa-IR"/>
        </w:rPr>
        <w:t>uggested</w:t>
      </w:r>
      <w:r>
        <w:rPr>
          <w:lang w:bidi="fa-IR"/>
        </w:rPr>
        <w:t xml:space="preserve"> this </w:t>
      </w:r>
      <w:r w:rsidR="00434558">
        <w:rPr>
          <w:lang w:bidi="fa-IR"/>
        </w:rPr>
        <w:t>wa</w:t>
      </w:r>
      <w:r>
        <w:rPr>
          <w:lang w:bidi="fa-IR"/>
        </w:rPr>
        <w:t>s self-evident.</w:t>
      </w:r>
    </w:p>
    <w:p w14:paraId="14A336BD" w14:textId="77777777" w:rsidR="001E45D0" w:rsidRDefault="001E45D0" w:rsidP="001E45D0">
      <w:pPr>
        <w:pStyle w:val="BodyText"/>
        <w:rPr>
          <w:lang w:bidi="fa-IR"/>
        </w:rPr>
      </w:pPr>
      <w:r>
        <w:rPr>
          <w:lang w:bidi="fa-IR"/>
        </w:rPr>
        <w:lastRenderedPageBreak/>
        <w:t>Some submissions argued that it is not necessarily the case. For example, more features mean more costs, and ‘</w:t>
      </w:r>
      <w:r w:rsidRPr="00CE293F">
        <w:rPr>
          <w:lang w:bidi="fa-IR"/>
        </w:rPr>
        <w:t>the people with most needs may not be able to afford it</w:t>
      </w:r>
      <w:r>
        <w:rPr>
          <w:lang w:bidi="fa-IR"/>
        </w:rPr>
        <w:t>’.</w:t>
      </w:r>
      <w:r w:rsidR="0029019B">
        <w:rPr>
          <w:rStyle w:val="FootnoteReference"/>
          <w:lang w:bidi="fa-IR"/>
        </w:rPr>
        <w:footnoteReference w:id="411"/>
      </w:r>
    </w:p>
    <w:p w14:paraId="5477AA21" w14:textId="77777777" w:rsidR="001E45D0" w:rsidRDefault="001E45D0" w:rsidP="001E45D0">
      <w:pPr>
        <w:pStyle w:val="BodyText"/>
        <w:rPr>
          <w:lang w:bidi="fa-IR"/>
        </w:rPr>
      </w:pPr>
      <w:r>
        <w:rPr>
          <w:lang w:bidi="fa-IR"/>
        </w:rPr>
        <w:t>A number of submissions pointed out that Silver and Gold/Gold+ serve different purposes.</w:t>
      </w:r>
      <w:r w:rsidR="004F4116">
        <w:rPr>
          <w:rStyle w:val="FootnoteReference"/>
          <w:lang w:bidi="fa-IR"/>
        </w:rPr>
        <w:footnoteReference w:id="412"/>
      </w:r>
      <w:r>
        <w:rPr>
          <w:lang w:bidi="fa-IR"/>
        </w:rPr>
        <w:t xml:space="preserve"> Silver is about visitability while Gold/Gold+ </w:t>
      </w:r>
      <w:r w:rsidR="0011342C">
        <w:rPr>
          <w:lang w:bidi="fa-IR"/>
        </w:rPr>
        <w:t xml:space="preserve">are </w:t>
      </w:r>
      <w:r>
        <w:rPr>
          <w:lang w:bidi="fa-IR"/>
        </w:rPr>
        <w:t>about accessibility (that is for people to live in). It is therefore not necessarily the case that moving from Silver to Gold/Gold+ would increase the number of beneficiaries.</w:t>
      </w:r>
    </w:p>
    <w:p w14:paraId="0DC69A0B" w14:textId="77777777" w:rsidR="001E45D0" w:rsidRPr="004B79EC" w:rsidRDefault="001E45D0" w:rsidP="004B79EC">
      <w:pPr>
        <w:pStyle w:val="Heading4-Appendix"/>
      </w:pPr>
      <w:r w:rsidRPr="004B79EC">
        <w:t>Benefits reduced proportionately with the cost</w:t>
      </w:r>
    </w:p>
    <w:p w14:paraId="17105A9C" w14:textId="77777777" w:rsidR="001E45D0" w:rsidRDefault="001E45D0" w:rsidP="001E45D0">
      <w:pPr>
        <w:pStyle w:val="BodyText"/>
        <w:rPr>
          <w:lang w:bidi="fa-IR"/>
        </w:rPr>
      </w:pPr>
      <w:r>
        <w:rPr>
          <w:lang w:bidi="fa-IR"/>
        </w:rPr>
        <w:t xml:space="preserve">To avoid attributing benefits to accessibility features already installed in dwellings under current arrangements, the impact of the proposal in the </w:t>
      </w:r>
      <w:r w:rsidR="002877EB">
        <w:rPr>
          <w:lang w:bidi="fa-IR"/>
        </w:rPr>
        <w:t xml:space="preserve">Consultation </w:t>
      </w:r>
      <w:r>
        <w:rPr>
          <w:lang w:bidi="fa-IR"/>
        </w:rPr>
        <w:t xml:space="preserve">RIS </w:t>
      </w:r>
      <w:r w:rsidR="00434558">
        <w:rPr>
          <w:lang w:bidi="fa-IR"/>
        </w:rPr>
        <w:t>was</w:t>
      </w:r>
      <w:r>
        <w:rPr>
          <w:lang w:bidi="fa-IR"/>
        </w:rPr>
        <w:t xml:space="preserve"> reduced in proportion to those elements assumed prevalen</w:t>
      </w:r>
      <w:r w:rsidR="00434558">
        <w:rPr>
          <w:lang w:bidi="fa-IR"/>
        </w:rPr>
        <w:t>t</w:t>
      </w:r>
      <w:r>
        <w:rPr>
          <w:lang w:bidi="fa-IR"/>
        </w:rPr>
        <w:t xml:space="preserve"> and </w:t>
      </w:r>
      <w:r w:rsidR="00434558">
        <w:rPr>
          <w:lang w:bidi="fa-IR"/>
        </w:rPr>
        <w:t xml:space="preserve">at </w:t>
      </w:r>
      <w:r>
        <w:rPr>
          <w:lang w:bidi="fa-IR"/>
        </w:rPr>
        <w:t>weighted average cost. Question 33 asked respondents to provide additional evidence to make the assumption more robust.</w:t>
      </w:r>
    </w:p>
    <w:p w14:paraId="6970D881" w14:textId="77777777" w:rsidR="001E45D0" w:rsidRDefault="001E45D0" w:rsidP="001E45D0">
      <w:pPr>
        <w:pStyle w:val="BodyText"/>
        <w:rPr>
          <w:lang w:bidi="fa-IR"/>
        </w:rPr>
      </w:pPr>
      <w:r>
        <w:rPr>
          <w:lang w:bidi="fa-IR"/>
        </w:rPr>
        <w:t>Submissions suggest it may also depend on individual circumstance.</w:t>
      </w:r>
    </w:p>
    <w:p w14:paraId="292EB1CB" w14:textId="77777777" w:rsidR="001E45D0" w:rsidRDefault="001E45D0" w:rsidP="001E45D0">
      <w:pPr>
        <w:pStyle w:val="BodyText"/>
        <w:rPr>
          <w:lang w:bidi="fa-IR"/>
        </w:rPr>
      </w:pPr>
      <w:r>
        <w:rPr>
          <w:lang w:bidi="fa-IR"/>
        </w:rPr>
        <w:t>‘</w:t>
      </w:r>
      <w:r w:rsidRPr="00CE3D58">
        <w:rPr>
          <w:lang w:bidi="fa-IR"/>
        </w:rPr>
        <w:t>Without knowing the exact nature of disability to be catered for existing features may be rendered effectively redundant and be required to be removed or modified anyway</w:t>
      </w:r>
      <w:r>
        <w:rPr>
          <w:lang w:bidi="fa-IR"/>
        </w:rPr>
        <w:t>’ (All Construction Approvals).</w:t>
      </w:r>
      <w:r w:rsidR="00742579">
        <w:rPr>
          <w:rStyle w:val="FootnoteReference"/>
          <w:lang w:bidi="fa-IR"/>
        </w:rPr>
        <w:footnoteReference w:id="413"/>
      </w:r>
    </w:p>
    <w:p w14:paraId="7F6785EB" w14:textId="77777777" w:rsidR="001E45D0" w:rsidRDefault="001E45D0" w:rsidP="001E45D0">
      <w:pPr>
        <w:pStyle w:val="BodyText"/>
        <w:rPr>
          <w:lang w:bidi="fa-IR"/>
        </w:rPr>
      </w:pPr>
      <w:r>
        <w:rPr>
          <w:lang w:bidi="fa-IR"/>
        </w:rPr>
        <w:t>As mentioned above, ANUHD, among others, argued that individual accessibility features do not provide related individual benefits unless a coherent suite of accessibility features is provided.</w:t>
      </w:r>
      <w:r w:rsidR="00E90688">
        <w:rPr>
          <w:rStyle w:val="FootnoteReference"/>
          <w:lang w:bidi="fa-IR"/>
        </w:rPr>
        <w:footnoteReference w:id="414"/>
      </w:r>
      <w:r>
        <w:rPr>
          <w:lang w:bidi="fa-IR"/>
        </w:rPr>
        <w:t xml:space="preserve"> In other words, benefits should not be reduced proportionately with the costs – marginal increase in costs would lead to full realisation of benefits.</w:t>
      </w:r>
    </w:p>
    <w:p w14:paraId="41898C05" w14:textId="77777777" w:rsidR="001E45D0" w:rsidRPr="00F4477B" w:rsidRDefault="001E45D0" w:rsidP="00F4477B">
      <w:pPr>
        <w:pStyle w:val="Heading3-Appendix"/>
      </w:pPr>
      <w:r w:rsidRPr="00F4477B">
        <w:t>Mismatch between undersupply and high willingness to pay</w:t>
      </w:r>
    </w:p>
    <w:p w14:paraId="54CD7B33" w14:textId="77777777" w:rsidR="001E45D0" w:rsidRDefault="009F1AC1" w:rsidP="001E45D0">
      <w:pPr>
        <w:pStyle w:val="BodyText"/>
        <w:rPr>
          <w:lang w:bidi="fa-IR"/>
        </w:rPr>
      </w:pPr>
      <w:r>
        <w:rPr>
          <w:lang w:bidi="fa-IR"/>
        </w:rPr>
        <w:t xml:space="preserve">The </w:t>
      </w:r>
      <w:r w:rsidR="002877EB">
        <w:rPr>
          <w:lang w:bidi="fa-IR"/>
        </w:rPr>
        <w:t xml:space="preserve">Consultation </w:t>
      </w:r>
      <w:r>
        <w:rPr>
          <w:lang w:bidi="fa-IR"/>
        </w:rPr>
        <w:t>RIS identified</w:t>
      </w:r>
      <w:r w:rsidR="001E45D0">
        <w:rPr>
          <w:lang w:bidi="fa-IR"/>
        </w:rPr>
        <w:t xml:space="preserve"> a mismatch between the amount of accessible housing being built and the apparent willingness of many survey respondents (including households without any persons with limited mobility) to pay above cost for Option 1. Question 34 asked </w:t>
      </w:r>
      <w:r w:rsidR="00434558">
        <w:rPr>
          <w:lang w:bidi="fa-IR"/>
        </w:rPr>
        <w:t xml:space="preserve">respondents to consider </w:t>
      </w:r>
      <w:r w:rsidR="001E45D0">
        <w:rPr>
          <w:lang w:bidi="fa-IR"/>
        </w:rPr>
        <w:t xml:space="preserve">what </w:t>
      </w:r>
      <w:r w:rsidR="00434558">
        <w:rPr>
          <w:lang w:bidi="fa-IR"/>
        </w:rPr>
        <w:t xml:space="preserve">the </w:t>
      </w:r>
      <w:r w:rsidR="001E45D0">
        <w:rPr>
          <w:lang w:bidi="fa-IR"/>
        </w:rPr>
        <w:t xml:space="preserve">explanation </w:t>
      </w:r>
      <w:r w:rsidR="00F258B6">
        <w:rPr>
          <w:lang w:bidi="fa-IR"/>
        </w:rPr>
        <w:t xml:space="preserve">might </w:t>
      </w:r>
      <w:r w:rsidR="001E45D0">
        <w:rPr>
          <w:lang w:bidi="fa-IR"/>
        </w:rPr>
        <w:t>be for this mismatch and whether it is a reflection of the market failure.</w:t>
      </w:r>
    </w:p>
    <w:p w14:paraId="69FC3621" w14:textId="77777777" w:rsidR="001E45D0" w:rsidRPr="00772457" w:rsidRDefault="001E45D0" w:rsidP="001E45D0">
      <w:pPr>
        <w:pStyle w:val="BodyText"/>
        <w:rPr>
          <w:lang w:bidi="fa-IR"/>
        </w:rPr>
      </w:pPr>
      <w:r>
        <w:rPr>
          <w:lang w:bidi="fa-IR"/>
        </w:rPr>
        <w:t xml:space="preserve">A number </w:t>
      </w:r>
      <w:r w:rsidR="00204054">
        <w:rPr>
          <w:lang w:bidi="fa-IR"/>
        </w:rPr>
        <w:t xml:space="preserve">of </w:t>
      </w:r>
      <w:r>
        <w:rPr>
          <w:lang w:bidi="fa-IR"/>
        </w:rPr>
        <w:t>submissions (Blind Citizens WA,</w:t>
      </w:r>
      <w:r w:rsidR="003D1E74">
        <w:rPr>
          <w:rStyle w:val="FootnoteReference"/>
          <w:lang w:bidi="fa-IR"/>
        </w:rPr>
        <w:footnoteReference w:id="415"/>
      </w:r>
      <w:r>
        <w:rPr>
          <w:lang w:bidi="fa-IR"/>
        </w:rPr>
        <w:t xml:space="preserve"> for example) noted </w:t>
      </w:r>
      <w:r w:rsidRPr="00A459E1">
        <w:rPr>
          <w:lang w:bidi="fa-IR"/>
        </w:rPr>
        <w:t>bounded rationality</w:t>
      </w:r>
      <w:r w:rsidRPr="00A45C00">
        <w:rPr>
          <w:lang w:bidi="fa-IR"/>
        </w:rPr>
        <w:t xml:space="preserve"> and </w:t>
      </w:r>
      <w:r w:rsidRPr="00A459E1">
        <w:rPr>
          <w:lang w:bidi="fa-IR"/>
        </w:rPr>
        <w:t>optimism bias</w:t>
      </w:r>
      <w:r>
        <w:rPr>
          <w:lang w:bidi="fa-IR"/>
        </w:rPr>
        <w:t xml:space="preserve"> as explanation for the market failure and the mismatch.</w:t>
      </w:r>
    </w:p>
    <w:p w14:paraId="0BB591B1" w14:textId="77777777" w:rsidR="001E45D0" w:rsidRDefault="001E45D0" w:rsidP="001E45D0">
      <w:pPr>
        <w:pStyle w:val="BodyText"/>
        <w:rPr>
          <w:lang w:bidi="fa-IR"/>
        </w:rPr>
      </w:pPr>
      <w:r w:rsidRPr="001A4F4B">
        <w:rPr>
          <w:lang w:bidi="fa-IR"/>
        </w:rPr>
        <w:lastRenderedPageBreak/>
        <w:t xml:space="preserve">Mornington Peninsula Shire </w:t>
      </w:r>
      <w:r>
        <w:rPr>
          <w:lang w:bidi="fa-IR"/>
        </w:rPr>
        <w:t xml:space="preserve">noted it </w:t>
      </w:r>
      <w:r w:rsidRPr="00D32A49">
        <w:rPr>
          <w:lang w:bidi="fa-IR"/>
        </w:rPr>
        <w:t xml:space="preserve">is expected to be a factor of </w:t>
      </w:r>
      <w:r w:rsidRPr="00A459E1">
        <w:rPr>
          <w:lang w:bidi="fa-IR"/>
        </w:rPr>
        <w:t>market failure</w:t>
      </w:r>
      <w:r w:rsidRPr="00D32A49">
        <w:rPr>
          <w:lang w:bidi="fa-IR"/>
        </w:rPr>
        <w:t xml:space="preserve"> associated with the </w:t>
      </w:r>
      <w:r w:rsidRPr="00A459E1">
        <w:rPr>
          <w:lang w:bidi="fa-IR"/>
        </w:rPr>
        <w:t>general unaffordability</w:t>
      </w:r>
      <w:r w:rsidRPr="00D32A49">
        <w:rPr>
          <w:lang w:bidi="fa-IR"/>
        </w:rPr>
        <w:t xml:space="preserve"> of housing and the </w:t>
      </w:r>
      <w:r w:rsidRPr="00A459E1">
        <w:rPr>
          <w:lang w:bidi="fa-IR"/>
        </w:rPr>
        <w:t>lack of standardisation</w:t>
      </w:r>
      <w:r w:rsidRPr="00D32A49">
        <w:rPr>
          <w:lang w:bidi="fa-IR"/>
        </w:rPr>
        <w:t xml:space="preserve"> in housing products to match people’s ideal level of accessibility.</w:t>
      </w:r>
      <w:r w:rsidR="004571AC">
        <w:rPr>
          <w:rStyle w:val="FootnoteReference"/>
          <w:lang w:bidi="fa-IR"/>
        </w:rPr>
        <w:footnoteReference w:id="416"/>
      </w:r>
    </w:p>
    <w:p w14:paraId="4FA2F6E3" w14:textId="77777777" w:rsidR="001E45D0" w:rsidRDefault="001E45D0" w:rsidP="001E45D0">
      <w:pPr>
        <w:pStyle w:val="BodyText"/>
        <w:rPr>
          <w:lang w:bidi="fa-IR"/>
        </w:rPr>
      </w:pPr>
      <w:r>
        <w:rPr>
          <w:lang w:bidi="fa-IR"/>
        </w:rPr>
        <w:t xml:space="preserve">The studies cited by </w:t>
      </w:r>
      <w:r w:rsidR="003D7A7D">
        <w:rPr>
          <w:lang w:bidi="fa-IR"/>
        </w:rPr>
        <w:t xml:space="preserve">one </w:t>
      </w:r>
      <w:r>
        <w:rPr>
          <w:lang w:bidi="fa-IR"/>
        </w:rPr>
        <w:t>submission suggested that ‘the consumer is relative myopic about the relative importance of accessibility and is willing to trade off these aspects. Wh</w:t>
      </w:r>
      <w:r w:rsidR="00F258B6">
        <w:rPr>
          <w:lang w:bidi="fa-IR"/>
        </w:rPr>
        <w:t>ile</w:t>
      </w:r>
      <w:r>
        <w:rPr>
          <w:lang w:bidi="fa-IR"/>
        </w:rPr>
        <w:t xml:space="preserve"> they regard accessibility and universal design positively in principle, when making market decisions, it gets prioritised down.’</w:t>
      </w:r>
    </w:p>
    <w:p w14:paraId="39E63629" w14:textId="77777777" w:rsidR="001E45D0" w:rsidRDefault="00F258B6" w:rsidP="001E45D0">
      <w:pPr>
        <w:pStyle w:val="BodyText"/>
        <w:rPr>
          <w:lang w:bidi="fa-IR"/>
        </w:rPr>
      </w:pPr>
      <w:r>
        <w:rPr>
          <w:lang w:bidi="fa-IR"/>
        </w:rPr>
        <w:t>O</w:t>
      </w:r>
      <w:r w:rsidR="001E45D0">
        <w:rPr>
          <w:lang w:bidi="fa-IR"/>
        </w:rPr>
        <w:t xml:space="preserve">ne submission </w:t>
      </w:r>
      <w:r>
        <w:rPr>
          <w:lang w:bidi="fa-IR"/>
        </w:rPr>
        <w:t>suggested</w:t>
      </w:r>
      <w:r w:rsidR="001E45D0">
        <w:rPr>
          <w:lang w:bidi="fa-IR"/>
        </w:rPr>
        <w:t xml:space="preserve"> a</w:t>
      </w:r>
      <w:r w:rsidR="001E45D0" w:rsidRPr="009C651D">
        <w:rPr>
          <w:lang w:bidi="fa-IR"/>
        </w:rPr>
        <w:t xml:space="preserve">ccessibility features are </w:t>
      </w:r>
      <w:r w:rsidR="001E45D0" w:rsidRPr="007970B6">
        <w:rPr>
          <w:lang w:bidi="fa-IR"/>
        </w:rPr>
        <w:t>hypothetically</w:t>
      </w:r>
      <w:r w:rsidR="001E45D0" w:rsidRPr="009C651D">
        <w:rPr>
          <w:lang w:bidi="fa-IR"/>
        </w:rPr>
        <w:t xml:space="preserve"> nice to have but actual purchasing decisions are made on perceptions of </w:t>
      </w:r>
      <w:r w:rsidR="001E45D0">
        <w:rPr>
          <w:lang w:bidi="fa-IR"/>
        </w:rPr>
        <w:t>‘</w:t>
      </w:r>
      <w:r w:rsidR="001E45D0" w:rsidRPr="009C651D">
        <w:rPr>
          <w:lang w:bidi="fa-IR"/>
        </w:rPr>
        <w:t>must have</w:t>
      </w:r>
      <w:r w:rsidR="001E45D0">
        <w:rPr>
          <w:lang w:bidi="fa-IR"/>
        </w:rPr>
        <w:t>’</w:t>
      </w:r>
      <w:r w:rsidR="001E45D0" w:rsidRPr="009C651D">
        <w:rPr>
          <w:lang w:bidi="fa-IR"/>
        </w:rPr>
        <w:t>.</w:t>
      </w:r>
      <w:r w:rsidR="00F67D7B">
        <w:rPr>
          <w:rStyle w:val="FootnoteReference"/>
          <w:lang w:bidi="fa-IR"/>
        </w:rPr>
        <w:footnoteReference w:id="417"/>
      </w:r>
      <w:r w:rsidR="001E45D0" w:rsidRPr="009C651D">
        <w:rPr>
          <w:lang w:bidi="fa-IR"/>
        </w:rPr>
        <w:t xml:space="preserve"> </w:t>
      </w:r>
      <w:r w:rsidR="001E45D0">
        <w:rPr>
          <w:lang w:bidi="fa-IR"/>
        </w:rPr>
        <w:t>The mismatch is a reflection of the hypothetical willingness</w:t>
      </w:r>
      <w:r w:rsidR="0011342C">
        <w:rPr>
          <w:lang w:bidi="fa-IR"/>
        </w:rPr>
        <w:t xml:space="preserve"> to pay</w:t>
      </w:r>
      <w:r w:rsidR="001E45D0">
        <w:rPr>
          <w:lang w:bidi="fa-IR"/>
        </w:rPr>
        <w:t xml:space="preserve"> rather than an actual commitment.</w:t>
      </w:r>
      <w:r w:rsidR="00345E3E">
        <w:rPr>
          <w:rStyle w:val="FootnoteReference"/>
          <w:lang w:bidi="fa-IR"/>
        </w:rPr>
        <w:footnoteReference w:id="418"/>
      </w:r>
    </w:p>
    <w:p w14:paraId="4FB8989D" w14:textId="77777777" w:rsidR="001E45D0" w:rsidRDefault="001E45D0" w:rsidP="001E45D0">
      <w:pPr>
        <w:pStyle w:val="BodyText"/>
        <w:rPr>
          <w:lang w:bidi="fa-IR"/>
        </w:rPr>
      </w:pPr>
      <w:r>
        <w:rPr>
          <w:lang w:bidi="fa-IR"/>
        </w:rPr>
        <w:t>It might be the case that survey respondents ‘</w:t>
      </w:r>
      <w:r w:rsidRPr="0032761D">
        <w:rPr>
          <w:lang w:bidi="fa-IR"/>
        </w:rPr>
        <w:t>do not express their controversial views</w:t>
      </w:r>
      <w:r>
        <w:rPr>
          <w:lang w:bidi="fa-IR"/>
        </w:rPr>
        <w:t xml:space="preserve">, </w:t>
      </w:r>
      <w:r w:rsidRPr="0032761D">
        <w:rPr>
          <w:lang w:bidi="fa-IR"/>
        </w:rPr>
        <w:t>but they respond differently when it comes to dollars and if it hurts</w:t>
      </w:r>
      <w:r>
        <w:rPr>
          <w:lang w:bidi="fa-IR"/>
        </w:rPr>
        <w:t>’.</w:t>
      </w:r>
      <w:r w:rsidR="00844CB9">
        <w:rPr>
          <w:rStyle w:val="FootnoteReference"/>
          <w:lang w:bidi="fa-IR"/>
        </w:rPr>
        <w:footnoteReference w:id="419"/>
      </w:r>
    </w:p>
    <w:p w14:paraId="77C39114" w14:textId="77777777" w:rsidR="001E45D0" w:rsidRDefault="001E45D0" w:rsidP="001E45D0">
      <w:pPr>
        <w:pStyle w:val="BodyText"/>
        <w:rPr>
          <w:lang w:bidi="fa-IR"/>
        </w:rPr>
      </w:pPr>
      <w:r>
        <w:rPr>
          <w:lang w:bidi="fa-IR"/>
        </w:rPr>
        <w:t>Submissions</w:t>
      </w:r>
      <w:r w:rsidR="004B4968">
        <w:rPr>
          <w:rStyle w:val="FootnoteReference"/>
          <w:lang w:bidi="fa-IR"/>
        </w:rPr>
        <w:footnoteReference w:id="420"/>
      </w:r>
      <w:r>
        <w:rPr>
          <w:lang w:bidi="fa-IR"/>
        </w:rPr>
        <w:t xml:space="preserve"> also distinguish</w:t>
      </w:r>
      <w:r w:rsidR="007342A2">
        <w:rPr>
          <w:lang w:bidi="fa-IR"/>
        </w:rPr>
        <w:t>ed</w:t>
      </w:r>
      <w:r>
        <w:rPr>
          <w:lang w:bidi="fa-IR"/>
        </w:rPr>
        <w:t xml:space="preserve"> willingness to pay with </w:t>
      </w:r>
      <w:r w:rsidRPr="007342A2">
        <w:rPr>
          <w:lang w:bidi="fa-IR"/>
        </w:rPr>
        <w:t>capacity to pay</w:t>
      </w:r>
      <w:r>
        <w:rPr>
          <w:lang w:bidi="fa-IR"/>
        </w:rPr>
        <w:t xml:space="preserve"> as a reason for the mismatch. People with the needs may want to pay for the features, but in reality they cannot afford them.</w:t>
      </w:r>
    </w:p>
    <w:p w14:paraId="24A1A880" w14:textId="77777777" w:rsidR="001E45D0" w:rsidRDefault="001E45D0" w:rsidP="001E45D0">
      <w:pPr>
        <w:pStyle w:val="BodyText"/>
        <w:rPr>
          <w:lang w:bidi="fa-IR"/>
        </w:rPr>
      </w:pPr>
      <w:r w:rsidRPr="007342A2">
        <w:rPr>
          <w:lang w:bidi="fa-IR"/>
        </w:rPr>
        <w:t>Monopoly</w:t>
      </w:r>
      <w:r>
        <w:rPr>
          <w:lang w:bidi="fa-IR"/>
        </w:rPr>
        <w:t xml:space="preserve"> </w:t>
      </w:r>
      <w:r w:rsidR="00796984">
        <w:rPr>
          <w:lang w:bidi="fa-IR"/>
        </w:rPr>
        <w:t xml:space="preserve">was </w:t>
      </w:r>
      <w:r>
        <w:rPr>
          <w:lang w:bidi="fa-IR"/>
        </w:rPr>
        <w:t>also raised as a factor.</w:t>
      </w:r>
      <w:r w:rsidR="007A2C68">
        <w:rPr>
          <w:rStyle w:val="FootnoteReference"/>
          <w:lang w:bidi="fa-IR"/>
        </w:rPr>
        <w:footnoteReference w:id="421"/>
      </w:r>
    </w:p>
    <w:p w14:paraId="68C9F044" w14:textId="77777777" w:rsidR="001E45D0" w:rsidRDefault="001E45D0" w:rsidP="001E45D0">
      <w:pPr>
        <w:pStyle w:val="BodyText"/>
        <w:rPr>
          <w:lang w:bidi="fa-IR"/>
        </w:rPr>
      </w:pPr>
      <w:r>
        <w:rPr>
          <w:lang w:bidi="fa-IR"/>
        </w:rPr>
        <w:t xml:space="preserve">It </w:t>
      </w:r>
      <w:r w:rsidR="00F258B6">
        <w:rPr>
          <w:lang w:bidi="fa-IR"/>
        </w:rPr>
        <w:t>was suggest</w:t>
      </w:r>
      <w:r>
        <w:rPr>
          <w:lang w:bidi="fa-IR"/>
        </w:rPr>
        <w:t xml:space="preserve">ed that the mismatch might be due to the </w:t>
      </w:r>
      <w:r w:rsidRPr="007342A2">
        <w:rPr>
          <w:lang w:bidi="fa-IR"/>
        </w:rPr>
        <w:t>misperception</w:t>
      </w:r>
      <w:r>
        <w:rPr>
          <w:lang w:bidi="fa-IR"/>
        </w:rPr>
        <w:t xml:space="preserve"> that demand is high while the actual demand is low.</w:t>
      </w:r>
      <w:r w:rsidR="002E578D">
        <w:rPr>
          <w:rStyle w:val="FootnoteReference"/>
          <w:lang w:bidi="fa-IR"/>
        </w:rPr>
        <w:footnoteReference w:id="422"/>
      </w:r>
    </w:p>
    <w:p w14:paraId="261362A1" w14:textId="77777777" w:rsidR="001E45D0" w:rsidRDefault="001E45D0" w:rsidP="001E45D0">
      <w:pPr>
        <w:pStyle w:val="BodyText"/>
        <w:rPr>
          <w:lang w:bidi="fa-IR"/>
        </w:rPr>
      </w:pPr>
      <w:r>
        <w:rPr>
          <w:lang w:bidi="fa-IR"/>
        </w:rPr>
        <w:t xml:space="preserve">The mismatch could also be a result of the demand and costs not </w:t>
      </w:r>
      <w:r w:rsidR="00F258B6">
        <w:rPr>
          <w:lang w:bidi="fa-IR"/>
        </w:rPr>
        <w:t xml:space="preserve">being </w:t>
      </w:r>
      <w:r>
        <w:rPr>
          <w:lang w:bidi="fa-IR"/>
        </w:rPr>
        <w:t>well studied and the market respond</w:t>
      </w:r>
      <w:r w:rsidR="0011342C">
        <w:rPr>
          <w:lang w:bidi="fa-IR"/>
        </w:rPr>
        <w:t>ing</w:t>
      </w:r>
      <w:r>
        <w:rPr>
          <w:lang w:bidi="fa-IR"/>
        </w:rPr>
        <w:t xml:space="preserve"> accordingly,</w:t>
      </w:r>
      <w:r w:rsidR="0084552C">
        <w:rPr>
          <w:rStyle w:val="FootnoteReference"/>
          <w:lang w:bidi="fa-IR"/>
        </w:rPr>
        <w:footnoteReference w:id="423"/>
      </w:r>
      <w:r>
        <w:rPr>
          <w:lang w:bidi="fa-IR"/>
        </w:rPr>
        <w:t xml:space="preserve"> ending up with </w:t>
      </w:r>
      <w:r w:rsidRPr="00303223">
        <w:rPr>
          <w:lang w:bidi="fa-IR"/>
        </w:rPr>
        <w:t>limited choices.</w:t>
      </w:r>
      <w:r w:rsidR="007F310F">
        <w:rPr>
          <w:rStyle w:val="FootnoteReference"/>
          <w:lang w:bidi="fa-IR"/>
        </w:rPr>
        <w:footnoteReference w:id="424"/>
      </w:r>
    </w:p>
    <w:p w14:paraId="50BB92FA" w14:textId="77777777" w:rsidR="001E45D0" w:rsidRDefault="001E45D0" w:rsidP="001E45D0">
      <w:pPr>
        <w:pStyle w:val="BodyText"/>
        <w:rPr>
          <w:lang w:bidi="fa-IR"/>
        </w:rPr>
      </w:pPr>
      <w:r w:rsidRPr="00BF064F">
        <w:rPr>
          <w:lang w:bidi="fa-IR"/>
        </w:rPr>
        <w:lastRenderedPageBreak/>
        <w:t>Under</w:t>
      </w:r>
      <w:r w:rsidR="0011342C">
        <w:rPr>
          <w:lang w:bidi="fa-IR"/>
        </w:rPr>
        <w:t>-</w:t>
      </w:r>
      <w:r w:rsidRPr="00BF064F">
        <w:rPr>
          <w:lang w:bidi="fa-IR"/>
        </w:rPr>
        <w:t>reporting</w:t>
      </w:r>
      <w:r>
        <w:rPr>
          <w:lang w:bidi="fa-IR"/>
        </w:rPr>
        <w:t xml:space="preserve"> of the accessible housing in the market is also cited as one factor for this mismatch. Because there is no register of adaptable housing, it is possible that many adaptable units have been built and the purchasers do not know that they have purchased an adaptable unit.</w:t>
      </w:r>
      <w:r w:rsidR="005F1A31">
        <w:rPr>
          <w:rStyle w:val="FootnoteReference"/>
          <w:lang w:bidi="fa-IR"/>
        </w:rPr>
        <w:footnoteReference w:id="425"/>
      </w:r>
    </w:p>
    <w:p w14:paraId="47026E84" w14:textId="77777777" w:rsidR="001E45D0" w:rsidRDefault="001E45D0" w:rsidP="001E45D0">
      <w:pPr>
        <w:pStyle w:val="BodyText"/>
        <w:rPr>
          <w:lang w:bidi="fa-IR"/>
        </w:rPr>
      </w:pPr>
      <w:r>
        <w:rPr>
          <w:lang w:bidi="fa-IR"/>
        </w:rPr>
        <w:t>One submission attributed the mismatch to the survey contents (‘</w:t>
      </w:r>
      <w:r w:rsidRPr="00BF064F">
        <w:rPr>
          <w:lang w:bidi="fa-IR"/>
        </w:rPr>
        <w:t>flawed</w:t>
      </w:r>
      <w:r>
        <w:rPr>
          <w:lang w:bidi="fa-IR"/>
        </w:rPr>
        <w:t xml:space="preserve"> and </w:t>
      </w:r>
      <w:r w:rsidRPr="00BF064F">
        <w:rPr>
          <w:lang w:bidi="fa-IR"/>
        </w:rPr>
        <w:t>biased</w:t>
      </w:r>
      <w:r>
        <w:rPr>
          <w:lang w:bidi="fa-IR"/>
        </w:rPr>
        <w:t xml:space="preserve"> and its findings unreliable’) and to chronic undersupply of accessible homes in the market.</w:t>
      </w:r>
    </w:p>
    <w:p w14:paraId="435694CC" w14:textId="77777777" w:rsidR="001E45D0" w:rsidRDefault="001E45D0" w:rsidP="001E45D0">
      <w:pPr>
        <w:pStyle w:val="BodyText"/>
        <w:rPr>
          <w:lang w:bidi="fa-IR"/>
        </w:rPr>
      </w:pPr>
      <w:r>
        <w:rPr>
          <w:lang w:bidi="fa-IR"/>
        </w:rPr>
        <w:t xml:space="preserve">Another submission questioned the </w:t>
      </w:r>
      <w:r w:rsidRPr="00A837DE">
        <w:rPr>
          <w:lang w:bidi="fa-IR"/>
        </w:rPr>
        <w:t>representativeness</w:t>
      </w:r>
      <w:r>
        <w:rPr>
          <w:lang w:bidi="fa-IR"/>
        </w:rPr>
        <w:t xml:space="preserve"> of the survey sample.</w:t>
      </w:r>
      <w:r w:rsidR="005558F8">
        <w:rPr>
          <w:rStyle w:val="FootnoteReference"/>
          <w:lang w:bidi="fa-IR"/>
        </w:rPr>
        <w:footnoteReference w:id="426"/>
      </w:r>
    </w:p>
    <w:p w14:paraId="6B971D97" w14:textId="77777777" w:rsidR="001E45D0" w:rsidRPr="00F4477B" w:rsidRDefault="001E45D0" w:rsidP="00F4477B">
      <w:pPr>
        <w:pStyle w:val="Heading3-Appendix"/>
      </w:pPr>
      <w:r w:rsidRPr="00F4477B">
        <w:t>Benefits underestimated</w:t>
      </w:r>
    </w:p>
    <w:p w14:paraId="1F570EA3" w14:textId="77777777" w:rsidR="001E45D0" w:rsidRDefault="001E45D0" w:rsidP="001E45D0">
      <w:pPr>
        <w:pStyle w:val="BodyText"/>
        <w:rPr>
          <w:lang w:bidi="fa-IR"/>
        </w:rPr>
      </w:pPr>
      <w:r>
        <w:rPr>
          <w:lang w:bidi="fa-IR"/>
        </w:rPr>
        <w:t xml:space="preserve">Most </w:t>
      </w:r>
      <w:r w:rsidR="00CD28AF">
        <w:rPr>
          <w:lang w:bidi="fa-IR"/>
        </w:rPr>
        <w:t xml:space="preserve">submissions </w:t>
      </w:r>
      <w:r w:rsidR="00F258B6">
        <w:rPr>
          <w:lang w:bidi="fa-IR"/>
        </w:rPr>
        <w:t>that suggested there was an</w:t>
      </w:r>
      <w:r>
        <w:rPr>
          <w:lang w:bidi="fa-IR"/>
        </w:rPr>
        <w:t xml:space="preserve"> understate</w:t>
      </w:r>
      <w:r w:rsidR="00F258B6">
        <w:rPr>
          <w:lang w:bidi="fa-IR"/>
        </w:rPr>
        <w:t>ment of</w:t>
      </w:r>
      <w:r>
        <w:rPr>
          <w:lang w:bidi="fa-IR"/>
        </w:rPr>
        <w:t xml:space="preserve"> benefits in the </w:t>
      </w:r>
      <w:r w:rsidR="002877EB">
        <w:rPr>
          <w:lang w:bidi="fa-IR"/>
        </w:rPr>
        <w:t xml:space="preserve">Consultation </w:t>
      </w:r>
      <w:r>
        <w:rPr>
          <w:lang w:bidi="fa-IR"/>
        </w:rPr>
        <w:t xml:space="preserve">RIS </w:t>
      </w:r>
      <w:r w:rsidR="005F5151">
        <w:rPr>
          <w:lang w:bidi="fa-IR"/>
        </w:rPr>
        <w:t xml:space="preserve">stated that this </w:t>
      </w:r>
      <w:r w:rsidR="0011342C">
        <w:rPr>
          <w:lang w:bidi="fa-IR"/>
        </w:rPr>
        <w:t xml:space="preserve">was </w:t>
      </w:r>
      <w:r>
        <w:rPr>
          <w:lang w:bidi="fa-IR"/>
        </w:rPr>
        <w:t xml:space="preserve">related to </w:t>
      </w:r>
      <w:r w:rsidR="00F258B6">
        <w:rPr>
          <w:lang w:bidi="fa-IR"/>
        </w:rPr>
        <w:t xml:space="preserve">an </w:t>
      </w:r>
      <w:r>
        <w:rPr>
          <w:lang w:bidi="fa-IR"/>
        </w:rPr>
        <w:t>understate</w:t>
      </w:r>
      <w:r w:rsidR="00F258B6">
        <w:rPr>
          <w:lang w:bidi="fa-IR"/>
        </w:rPr>
        <w:t>ment of the</w:t>
      </w:r>
      <w:r>
        <w:rPr>
          <w:lang w:bidi="fa-IR"/>
        </w:rPr>
        <w:t xml:space="preserve"> size of the problem </w:t>
      </w:r>
      <w:r w:rsidR="005F5151">
        <w:rPr>
          <w:lang w:bidi="fa-IR"/>
        </w:rPr>
        <w:t>(</w:t>
      </w:r>
      <w:r w:rsidR="00F258B6">
        <w:rPr>
          <w:lang w:bidi="fa-IR"/>
        </w:rPr>
        <w:t xml:space="preserve">as </w:t>
      </w:r>
      <w:r>
        <w:rPr>
          <w:lang w:bidi="fa-IR"/>
        </w:rPr>
        <w:t>discussed in detail in the previous section</w:t>
      </w:r>
      <w:r w:rsidR="005F5151">
        <w:rPr>
          <w:lang w:bidi="fa-IR"/>
        </w:rPr>
        <w:t>)</w:t>
      </w:r>
      <w:r>
        <w:rPr>
          <w:lang w:bidi="fa-IR"/>
        </w:rPr>
        <w:t xml:space="preserve">. </w:t>
      </w:r>
    </w:p>
    <w:p w14:paraId="69D94287" w14:textId="77777777" w:rsidR="001E45D0" w:rsidRPr="00E03B96" w:rsidRDefault="001E45D0" w:rsidP="001E45D0">
      <w:pPr>
        <w:pStyle w:val="BodyText"/>
        <w:rPr>
          <w:lang w:bidi="fa-IR"/>
        </w:rPr>
      </w:pPr>
      <w:r>
        <w:rPr>
          <w:lang w:bidi="fa-IR"/>
        </w:rPr>
        <w:t xml:space="preserve">Some other submissions pointed out that the benefits may be underestimated because the </w:t>
      </w:r>
      <w:r w:rsidRPr="004832DB">
        <w:rPr>
          <w:lang w:bidi="fa-IR"/>
        </w:rPr>
        <w:t>flow-on impact on other policies</w:t>
      </w:r>
      <w:r>
        <w:rPr>
          <w:lang w:bidi="fa-IR"/>
        </w:rPr>
        <w:t xml:space="preserve"> is not considered. For example, </w:t>
      </w:r>
      <w:r>
        <w:t>changes to the NCC</w:t>
      </w:r>
      <w:r w:rsidR="008211FF">
        <w:rPr>
          <w:rStyle w:val="FootnoteReference"/>
        </w:rPr>
        <w:footnoteReference w:id="427"/>
      </w:r>
    </w:p>
    <w:p w14:paraId="4EDA218A" w14:textId="77777777" w:rsidR="001E45D0" w:rsidRPr="00077D29" w:rsidRDefault="001E45D0" w:rsidP="001E45D0">
      <w:pPr>
        <w:pStyle w:val="ListBullet"/>
        <w:rPr>
          <w:b/>
          <w:bCs/>
        </w:rPr>
      </w:pPr>
      <w:r>
        <w:t>may increase benefits of NDIS as NDIS is built on getting people into work</w:t>
      </w:r>
      <w:r>
        <w:rPr>
          <w:rStyle w:val="FootnoteReference"/>
        </w:rPr>
        <w:footnoteReference w:id="428"/>
      </w:r>
    </w:p>
    <w:p w14:paraId="21458593" w14:textId="77777777" w:rsidR="001E45D0" w:rsidRPr="007139FF" w:rsidRDefault="001E45D0" w:rsidP="001E45D0">
      <w:pPr>
        <w:pStyle w:val="ListBullet"/>
      </w:pPr>
      <w:r w:rsidRPr="007139FF">
        <w:t>avoid</w:t>
      </w:r>
      <w:r>
        <w:t xml:space="preserve"> </w:t>
      </w:r>
      <w:r w:rsidRPr="007139FF">
        <w:t xml:space="preserve">costs to implement reforms raised in </w:t>
      </w:r>
      <w:r w:rsidR="0011342C">
        <w:t xml:space="preserve">the </w:t>
      </w:r>
      <w:r w:rsidRPr="007139FF">
        <w:t>Royal Commission on aged care</w:t>
      </w:r>
      <w:r w:rsidR="000238B4">
        <w:t>,</w:t>
      </w:r>
      <w:r>
        <w:t xml:space="preserve"> and</w:t>
      </w:r>
    </w:p>
    <w:p w14:paraId="03221519" w14:textId="77777777" w:rsidR="001E45D0" w:rsidRPr="004D6465" w:rsidRDefault="001E45D0" w:rsidP="001E45D0">
      <w:pPr>
        <w:pStyle w:val="ListBullet"/>
      </w:pPr>
      <w:r>
        <w:t>reduce cost to Home Care Package and Commonwealth Home Support Program.</w:t>
      </w:r>
    </w:p>
    <w:p w14:paraId="4D901881" w14:textId="77777777" w:rsidR="001E45D0" w:rsidRPr="00F4477B" w:rsidRDefault="001E45D0" w:rsidP="00F4477B">
      <w:pPr>
        <w:pStyle w:val="Heading3-Appendix"/>
      </w:pPr>
      <w:r w:rsidRPr="00F4477B">
        <w:t>Benefits overestimated</w:t>
      </w:r>
    </w:p>
    <w:p w14:paraId="2C08DE17" w14:textId="77777777" w:rsidR="001E45D0" w:rsidRPr="00D20DF9" w:rsidRDefault="001E45D0" w:rsidP="001E45D0">
      <w:pPr>
        <w:pStyle w:val="BodyText"/>
      </w:pPr>
      <w:r>
        <w:t xml:space="preserve">By contrast, other submissions </w:t>
      </w:r>
      <w:r w:rsidR="00F258B6">
        <w:t>suggest</w:t>
      </w:r>
      <w:r>
        <w:t xml:space="preserve">ed that the benefits may be overestimated in the </w:t>
      </w:r>
      <w:r w:rsidR="002877EB">
        <w:rPr>
          <w:lang w:bidi="fa-IR"/>
        </w:rPr>
        <w:t xml:space="preserve">Consultation </w:t>
      </w:r>
      <w:r>
        <w:t>RIS.</w:t>
      </w:r>
    </w:p>
    <w:p w14:paraId="6B3CDEF0" w14:textId="77777777" w:rsidR="001E45D0" w:rsidRDefault="001E45D0" w:rsidP="001E45D0">
      <w:pPr>
        <w:pStyle w:val="BodyText"/>
      </w:pPr>
      <w:r>
        <w:t xml:space="preserve">One </w:t>
      </w:r>
      <w:r w:rsidR="00F258B6">
        <w:t xml:space="preserve">suggested </w:t>
      </w:r>
      <w:r>
        <w:t xml:space="preserve">reason for overstatement is that </w:t>
      </w:r>
      <w:r w:rsidR="00F258B6">
        <w:t xml:space="preserve">the </w:t>
      </w:r>
      <w:r>
        <w:t xml:space="preserve">proposed changes to NCC are </w:t>
      </w:r>
      <w:r w:rsidRPr="0011342C">
        <w:t xml:space="preserve">not </w:t>
      </w:r>
      <w:r w:rsidRPr="000F02C2">
        <w:rPr>
          <w:b/>
          <w:bCs/>
        </w:rPr>
        <w:t>accessible</w:t>
      </w:r>
      <w:r>
        <w:t xml:space="preserve"> and thus the benefits of achieving accessibility </w:t>
      </w:r>
      <w:r w:rsidR="00F258B6">
        <w:t>are</w:t>
      </w:r>
      <w:r>
        <w:t xml:space="preserve"> overestimated. For example, HIA notes</w:t>
      </w:r>
      <w:r w:rsidR="00D51DAC">
        <w:rPr>
          <w:rStyle w:val="FootnoteReference"/>
        </w:rPr>
        <w:footnoteReference w:id="429"/>
      </w:r>
    </w:p>
    <w:p w14:paraId="19417B13" w14:textId="77777777" w:rsidR="001E45D0" w:rsidRDefault="001E45D0" w:rsidP="001E45D0">
      <w:pPr>
        <w:pStyle w:val="ListBullet"/>
      </w:pPr>
      <w:r>
        <w:t xml:space="preserve">that proposed changes to NCC are less than the wheelchair standard AS1428.1, and </w:t>
      </w:r>
    </w:p>
    <w:p w14:paraId="001B524F" w14:textId="77777777" w:rsidR="001E45D0" w:rsidRDefault="001E45D0" w:rsidP="001E45D0">
      <w:pPr>
        <w:pStyle w:val="ListBullet"/>
      </w:pPr>
      <w:r>
        <w:t xml:space="preserve">that the single step entrance requirement does not meet community needs. </w:t>
      </w:r>
    </w:p>
    <w:p w14:paraId="33316256" w14:textId="77777777" w:rsidR="001E45D0" w:rsidRDefault="00F258B6" w:rsidP="001E45D0">
      <w:pPr>
        <w:pStyle w:val="BodyText"/>
      </w:pPr>
      <w:r>
        <w:lastRenderedPageBreak/>
        <w:t>A</w:t>
      </w:r>
      <w:r w:rsidR="001E45D0">
        <w:t>dvocate group</w:t>
      </w:r>
      <w:r>
        <w:t>s</w:t>
      </w:r>
      <w:r w:rsidR="001E45D0">
        <w:t xml:space="preserve"> such as ANUHD and Summer Foundation also noted that the proposed changes have been diluted down so much that they are no longer accessible.</w:t>
      </w:r>
      <w:r w:rsidR="00B23B52">
        <w:rPr>
          <w:rStyle w:val="FootnoteReference"/>
        </w:rPr>
        <w:footnoteReference w:id="430"/>
      </w:r>
    </w:p>
    <w:p w14:paraId="08965B95" w14:textId="77777777" w:rsidR="001E45D0" w:rsidRDefault="001E45D0" w:rsidP="001E45D0">
      <w:pPr>
        <w:pStyle w:val="BodyText"/>
      </w:pPr>
      <w:r>
        <w:t xml:space="preserve">Another reason for overstatement </w:t>
      </w:r>
      <w:r w:rsidR="0011342C">
        <w:t xml:space="preserve">of benefits </w:t>
      </w:r>
      <w:r>
        <w:t xml:space="preserve">is the </w:t>
      </w:r>
      <w:r w:rsidRPr="00AA0496">
        <w:t>difference between potential benefits and actual benefits</w:t>
      </w:r>
      <w:r>
        <w:t xml:space="preserve">, as noted by HIA. For example, accessibility standards do not require grab rails </w:t>
      </w:r>
      <w:r w:rsidR="00F21A63">
        <w:t xml:space="preserve">(only </w:t>
      </w:r>
      <w:r>
        <w:t xml:space="preserve">reinforced walls), therefore, </w:t>
      </w:r>
      <w:r w:rsidR="00F21A63">
        <w:t xml:space="preserve">the </w:t>
      </w:r>
      <w:r>
        <w:t xml:space="preserve">extent to which falls are prevented may be overstated (although acknowledging that </w:t>
      </w:r>
      <w:r w:rsidR="00F21A63">
        <w:t xml:space="preserve">a </w:t>
      </w:r>
      <w:r>
        <w:t xml:space="preserve">step free path and </w:t>
      </w:r>
      <w:r w:rsidR="00F21A63">
        <w:t xml:space="preserve">a </w:t>
      </w:r>
      <w:r>
        <w:t>flat shower will reduce falls).</w:t>
      </w:r>
      <w:r w:rsidR="00D81B63">
        <w:rPr>
          <w:rStyle w:val="FootnoteReference"/>
        </w:rPr>
        <w:footnoteReference w:id="431"/>
      </w:r>
    </w:p>
    <w:p w14:paraId="0B4418EE" w14:textId="77777777" w:rsidR="001E45D0" w:rsidRDefault="001E45D0" w:rsidP="001E45D0">
      <w:pPr>
        <w:pStyle w:val="BodyText"/>
      </w:pPr>
      <w:r>
        <w:t xml:space="preserve">Benefits may be overstated due to using </w:t>
      </w:r>
      <w:r w:rsidRPr="00AA0496">
        <w:t>home modification</w:t>
      </w:r>
      <w:r>
        <w:t xml:space="preserve"> as a proxy for the estimate of the size of the problem. As discussed above, Home Modification Information Clearing</w:t>
      </w:r>
      <w:r w:rsidR="00F21A63">
        <w:t>h</w:t>
      </w:r>
      <w:r>
        <w:t>ouse noted that home modifications (which are bespoke to users) and universal housing (which is general) may achieve different outcomes. They may be complements rather than substitutes.</w:t>
      </w:r>
      <w:r w:rsidR="00BA39E8">
        <w:rPr>
          <w:rStyle w:val="FootnoteReference"/>
        </w:rPr>
        <w:footnoteReference w:id="432"/>
      </w:r>
    </w:p>
    <w:p w14:paraId="4E7D25F9" w14:textId="77777777" w:rsidR="001E45D0" w:rsidRDefault="001E45D0" w:rsidP="001E45D0">
      <w:pPr>
        <w:pStyle w:val="BodyText"/>
      </w:pPr>
      <w:r>
        <w:t xml:space="preserve">A number of submissions </w:t>
      </w:r>
      <w:r w:rsidR="00F258B6">
        <w:t>suggest</w:t>
      </w:r>
      <w:r>
        <w:t xml:space="preserve">ed that </w:t>
      </w:r>
      <w:r w:rsidR="00F258B6">
        <w:t xml:space="preserve">a </w:t>
      </w:r>
      <w:r>
        <w:t xml:space="preserve">one-size-fits-all approach cannot capture </w:t>
      </w:r>
      <w:r w:rsidRPr="007C2120">
        <w:t>individual needs</w:t>
      </w:r>
      <w:r>
        <w:t xml:space="preserve"> and modifications are still required. </w:t>
      </w:r>
      <w:r w:rsidR="007033A7">
        <w:t>S</w:t>
      </w:r>
      <w:r>
        <w:t>ome results of the</w:t>
      </w:r>
      <w:r w:rsidR="00F21A63">
        <w:t xml:space="preserve"> </w:t>
      </w:r>
      <w:r>
        <w:t>survey</w:t>
      </w:r>
      <w:r w:rsidR="00F21A63">
        <w:t xml:space="preserve"> in the MDI and Summer Foundation submission</w:t>
      </w:r>
      <w:r>
        <w:t xml:space="preserve"> </w:t>
      </w:r>
      <w:r w:rsidR="00F258B6">
        <w:t>appear to</w:t>
      </w:r>
      <w:r>
        <w:t xml:space="preserve"> support this argument</w:t>
      </w:r>
      <w:r w:rsidR="00F21A63">
        <w:t>;</w:t>
      </w:r>
      <w:r>
        <w:t xml:space="preserve"> for example,</w:t>
      </w:r>
      <w:r w:rsidR="00213619">
        <w:rPr>
          <w:rStyle w:val="FootnoteReference"/>
        </w:rPr>
        <w:footnoteReference w:id="433"/>
      </w:r>
    </w:p>
    <w:p w14:paraId="32268E2F" w14:textId="77777777" w:rsidR="001E45D0" w:rsidRPr="005A1C63" w:rsidRDefault="001E45D0" w:rsidP="001E45D0">
      <w:pPr>
        <w:pStyle w:val="ListBullet"/>
      </w:pPr>
      <w:r>
        <w:t>a</w:t>
      </w:r>
      <w:r w:rsidRPr="005A1C63">
        <w:t>lthough significantly more accessible than mainstream housing, partial inaccessibility was surprisingly high even in specialist disability housing such as group homes (47.1 per cent) and supported residential services (46.2 per cent)</w:t>
      </w:r>
    </w:p>
    <w:p w14:paraId="0C297AEB" w14:textId="77777777" w:rsidR="001E45D0" w:rsidRDefault="001E45D0" w:rsidP="001E45D0">
      <w:pPr>
        <w:pStyle w:val="ListBullet"/>
      </w:pPr>
      <w:r>
        <w:t>a</w:t>
      </w:r>
      <w:r w:rsidRPr="00665AAB">
        <w:t>bility to afford home modifications remains a concern even for those living in accessible homes (47.5</w:t>
      </w:r>
      <w:r>
        <w:t xml:space="preserve"> per cent</w:t>
      </w:r>
      <w:r w:rsidRPr="00665AAB">
        <w:t xml:space="preserve"> of those with high support needs, and 44.2</w:t>
      </w:r>
      <w:r>
        <w:t xml:space="preserve"> per cent</w:t>
      </w:r>
      <w:r w:rsidRPr="00665AAB">
        <w:t xml:space="preserve"> of those with low support needs)</w:t>
      </w:r>
      <w:r>
        <w:t>,</w:t>
      </w:r>
      <w:r w:rsidRPr="00665AAB">
        <w:t xml:space="preserve"> i</w:t>
      </w:r>
      <w:r>
        <w:t>mply</w:t>
      </w:r>
      <w:r w:rsidRPr="00665AAB">
        <w:t>ing that needs change over time</w:t>
      </w:r>
      <w:r>
        <w:t xml:space="preserve"> and</w:t>
      </w:r>
      <w:r w:rsidRPr="00665AAB">
        <w:t xml:space="preserve"> </w:t>
      </w:r>
      <w:r>
        <w:t>that more modifications are required accordingly</w:t>
      </w:r>
      <w:r w:rsidRPr="00665AAB">
        <w:t>.</w:t>
      </w:r>
    </w:p>
    <w:p w14:paraId="2E5D34AE" w14:textId="77777777" w:rsidR="001E45D0" w:rsidRDefault="00B43A0B" w:rsidP="001E45D0">
      <w:pPr>
        <w:pStyle w:val="BodyText"/>
      </w:pPr>
      <w:r>
        <w:t>An i</w:t>
      </w:r>
      <w:r w:rsidR="001E45D0" w:rsidRPr="007033A7">
        <w:t>nformation problem</w:t>
      </w:r>
      <w:r w:rsidR="001E45D0">
        <w:t xml:space="preserve"> also impacts the realisation of accessibility benefits. People who need or prefer accessible housing need more information on accessibility features in housing. This is not achieved in the proposal and thus impacts the realised benefits.</w:t>
      </w:r>
    </w:p>
    <w:p w14:paraId="48BAD09A" w14:textId="77777777" w:rsidR="001E45D0" w:rsidRDefault="001E45D0" w:rsidP="001E45D0">
      <w:pPr>
        <w:pStyle w:val="BodyText"/>
      </w:pPr>
      <w:r>
        <w:t xml:space="preserve">HIA notes that accessible housing has been offered, but with </w:t>
      </w:r>
      <w:r w:rsidRPr="009D693E">
        <w:t>little uptake</w:t>
      </w:r>
      <w:r>
        <w:t>.</w:t>
      </w:r>
      <w:r w:rsidR="00213619">
        <w:rPr>
          <w:rStyle w:val="FootnoteReference"/>
        </w:rPr>
        <w:footnoteReference w:id="434"/>
      </w:r>
      <w:r>
        <w:t xml:space="preserve"> According to Meriton, buyers rarely </w:t>
      </w:r>
      <w:r w:rsidR="00853D3F">
        <w:t>provide feedback</w:t>
      </w:r>
      <w:r>
        <w:t xml:space="preserve"> about lack of accessibility features. Inner city apartments are mostly owned/rented by young workers, while older people have higher degrees of ownership than young people and thus better protected against accessibility issues.</w:t>
      </w:r>
      <w:r w:rsidR="003A64F6">
        <w:rPr>
          <w:rStyle w:val="FootnoteReference"/>
        </w:rPr>
        <w:footnoteReference w:id="435"/>
      </w:r>
    </w:p>
    <w:p w14:paraId="41E1722C" w14:textId="77777777" w:rsidR="001E45D0" w:rsidRDefault="001E45D0" w:rsidP="001E45D0">
      <w:pPr>
        <w:pStyle w:val="BodyText"/>
      </w:pPr>
      <w:r>
        <w:rPr>
          <w:lang w:bidi="fa-IR"/>
        </w:rPr>
        <w:lastRenderedPageBreak/>
        <w:t xml:space="preserve">A 2015 </w:t>
      </w:r>
      <w:r w:rsidR="000D4B80">
        <w:rPr>
          <w:lang w:bidi="fa-IR"/>
        </w:rPr>
        <w:t>Registered Accommodation Association of Victoria (</w:t>
      </w:r>
      <w:r>
        <w:rPr>
          <w:lang w:bidi="fa-IR"/>
        </w:rPr>
        <w:t>RAAV</w:t>
      </w:r>
      <w:r w:rsidR="000D4B80">
        <w:rPr>
          <w:lang w:bidi="fa-IR"/>
        </w:rPr>
        <w:t>)</w:t>
      </w:r>
      <w:r>
        <w:rPr>
          <w:lang w:bidi="fa-IR"/>
        </w:rPr>
        <w:t xml:space="preserve"> member survey to evaluate the performance of AS1428.1 standard found that only 6 members (out of 58 respondents) received 7 requests in total for disabled access facilities and 52 received no requests. Member feedback indicated that rooms with full disability access are the last rooms to be rented in a rooming house, and generally receive lower rentals as tenants prefer a standard bathroom.</w:t>
      </w:r>
      <w:r w:rsidR="003C1A0B">
        <w:rPr>
          <w:rStyle w:val="FootnoteReference"/>
          <w:lang w:bidi="fa-IR"/>
        </w:rPr>
        <w:footnoteReference w:id="436"/>
      </w:r>
    </w:p>
    <w:p w14:paraId="00E5CDBE" w14:textId="77777777" w:rsidR="001E45D0" w:rsidRDefault="001E45D0" w:rsidP="001E45D0">
      <w:pPr>
        <w:pStyle w:val="BodyText"/>
      </w:pPr>
      <w:r>
        <w:t xml:space="preserve">The benefits created by accessible housing will be a function of the </w:t>
      </w:r>
      <w:r w:rsidRPr="00E013A8">
        <w:t>location</w:t>
      </w:r>
      <w:r>
        <w:t xml:space="preserve"> of new accessible housing</w:t>
      </w:r>
      <w:r w:rsidR="00BF1D3A" w:rsidRPr="00BF1D3A">
        <w:t xml:space="preserve"> </w:t>
      </w:r>
      <w:r w:rsidR="00BF1D3A">
        <w:t>because, for accessible housing to meet its purpose, it must be built close to where people with mobility limitation live (or where they would prefer to live)</w:t>
      </w:r>
      <w:r>
        <w:t>.</w:t>
      </w:r>
      <w:r w:rsidR="00BF1D3A">
        <w:rPr>
          <w:rStyle w:val="FootnoteReference"/>
          <w:lang w:bidi="fa-IR"/>
        </w:rPr>
        <w:footnoteReference w:id="437"/>
      </w:r>
    </w:p>
    <w:p w14:paraId="0B1297A4" w14:textId="77777777" w:rsidR="001E45D0" w:rsidRPr="004B79EC" w:rsidRDefault="001E45D0" w:rsidP="004B79EC">
      <w:pPr>
        <w:pStyle w:val="Heading2-Appendix"/>
      </w:pPr>
      <w:bookmarkStart w:id="614" w:name="_Toc52383060"/>
      <w:r w:rsidRPr="004B79EC">
        <w:t>CBA approach</w:t>
      </w:r>
      <w:bookmarkEnd w:id="614"/>
    </w:p>
    <w:p w14:paraId="63502919" w14:textId="77777777" w:rsidR="001E45D0" w:rsidRPr="00F4477B" w:rsidRDefault="001E45D0" w:rsidP="00F4477B">
      <w:pPr>
        <w:pStyle w:val="Heading3-Appendix"/>
      </w:pPr>
      <w:r w:rsidRPr="00F4477B">
        <w:t>Symmetry in reporting costs and benefits</w:t>
      </w:r>
    </w:p>
    <w:p w14:paraId="1545841B" w14:textId="77777777" w:rsidR="001E45D0" w:rsidRDefault="005763D1" w:rsidP="001E45D0">
      <w:pPr>
        <w:pStyle w:val="BodyText"/>
        <w:rPr>
          <w:lang w:bidi="fa-IR"/>
        </w:rPr>
      </w:pPr>
      <w:r>
        <w:rPr>
          <w:lang w:bidi="fa-IR"/>
        </w:rPr>
        <w:t>The s</w:t>
      </w:r>
      <w:r w:rsidR="001E45D0">
        <w:rPr>
          <w:lang w:bidi="fa-IR"/>
        </w:rPr>
        <w:t xml:space="preserve">ubmission by Melbourne Disability Institute (MDI) and Summer Foundation included a </w:t>
      </w:r>
      <w:r w:rsidR="00B43A0B">
        <w:rPr>
          <w:lang w:bidi="fa-IR"/>
        </w:rPr>
        <w:t>report</w:t>
      </w:r>
      <w:r w:rsidR="001E45D0">
        <w:rPr>
          <w:lang w:bidi="fa-IR"/>
        </w:rPr>
        <w:t xml:space="preserve"> prepared by Associate Professor Andrew Dalton and Emeritus Professor Rob Carton from Deakin Health Economics, Deakin University (Dalton and Carter 2020),</w:t>
      </w:r>
      <w:r w:rsidR="001E45D0" w:rsidRPr="00BA707D">
        <w:rPr>
          <w:rStyle w:val="FootnoteReference"/>
          <w:lang w:bidi="fa-IR"/>
        </w:rPr>
        <w:t xml:space="preserve"> </w:t>
      </w:r>
      <w:r w:rsidR="001E45D0">
        <w:rPr>
          <w:rStyle w:val="FootnoteReference"/>
          <w:lang w:bidi="fa-IR"/>
        </w:rPr>
        <w:footnoteReference w:id="438"/>
      </w:r>
      <w:r w:rsidR="001E45D0">
        <w:rPr>
          <w:lang w:bidi="fa-IR"/>
        </w:rPr>
        <w:t xml:space="preserve"> </w:t>
      </w:r>
      <w:r w:rsidR="00F258B6">
        <w:rPr>
          <w:lang w:bidi="fa-IR"/>
        </w:rPr>
        <w:t>suggest</w:t>
      </w:r>
      <w:r w:rsidR="001E45D0">
        <w:rPr>
          <w:lang w:bidi="fa-IR"/>
        </w:rPr>
        <w:t>ing the costs and benefits should be reported in a symmetric way to avoid bias or confounding. Dalton and Carter (2020</w:t>
      </w:r>
      <w:r w:rsidR="00655F53">
        <w:rPr>
          <w:lang w:bidi="fa-IR"/>
        </w:rPr>
        <w:t>a</w:t>
      </w:r>
      <w:r w:rsidR="001E45D0">
        <w:rPr>
          <w:lang w:bidi="fa-IR"/>
        </w:rPr>
        <w:t xml:space="preserve">) </w:t>
      </w:r>
      <w:r w:rsidR="00D5696D">
        <w:rPr>
          <w:lang w:bidi="fa-IR"/>
        </w:rPr>
        <w:t>suggest</w:t>
      </w:r>
      <w:r w:rsidR="001E45D0">
        <w:rPr>
          <w:lang w:bidi="fa-IR"/>
        </w:rPr>
        <w:t xml:space="preserve"> the </w:t>
      </w:r>
      <w:r w:rsidR="002877EB">
        <w:rPr>
          <w:lang w:bidi="fa-IR"/>
        </w:rPr>
        <w:t xml:space="preserve">Consultation </w:t>
      </w:r>
      <w:r>
        <w:rPr>
          <w:lang w:bidi="fa-IR"/>
        </w:rPr>
        <w:t>RIS</w:t>
      </w:r>
      <w:r w:rsidR="001E45D0">
        <w:rPr>
          <w:lang w:bidi="fa-IR"/>
        </w:rPr>
        <w:t xml:space="preserve"> do</w:t>
      </w:r>
      <w:r>
        <w:rPr>
          <w:lang w:bidi="fa-IR"/>
        </w:rPr>
        <w:t>es</w:t>
      </w:r>
      <w:r w:rsidR="001E45D0">
        <w:rPr>
          <w:lang w:bidi="fa-IR"/>
        </w:rPr>
        <w:t xml:space="preserve"> not provide a symmetrical view of the benefits and costs in that the ‘problem reduction approach’ over-counts the cost side while the ‘willingness to pay’ approach under-counts the benefit side. They go on to </w:t>
      </w:r>
      <w:r w:rsidR="00D5696D">
        <w:rPr>
          <w:lang w:bidi="fa-IR"/>
        </w:rPr>
        <w:t>suggest</w:t>
      </w:r>
      <w:r w:rsidR="001E45D0">
        <w:rPr>
          <w:lang w:bidi="fa-IR"/>
        </w:rPr>
        <w:t xml:space="preserve"> that benefits in these two approaches are additive with less overlap: ‘we favour the no overlap/25% overlap results as most items listed are clearly different’.</w:t>
      </w:r>
      <w:r w:rsidR="001E45D0">
        <w:rPr>
          <w:rStyle w:val="FootnoteReference"/>
          <w:lang w:bidi="fa-IR"/>
        </w:rPr>
        <w:footnoteReference w:id="439"/>
      </w:r>
    </w:p>
    <w:p w14:paraId="26E9BDB4" w14:textId="77777777" w:rsidR="001E45D0" w:rsidRPr="00D76FF7" w:rsidRDefault="001E45D0" w:rsidP="001E45D0">
      <w:pPr>
        <w:pStyle w:val="BodyText"/>
        <w:rPr>
          <w:lang w:bidi="fa-IR"/>
        </w:rPr>
      </w:pPr>
      <w:r w:rsidRPr="009A5D90">
        <w:rPr>
          <w:lang w:bidi="fa-IR"/>
        </w:rPr>
        <w:t xml:space="preserve">Many advocate groups </w:t>
      </w:r>
      <w:r w:rsidR="00D5696D">
        <w:rPr>
          <w:lang w:bidi="fa-IR"/>
        </w:rPr>
        <w:t xml:space="preserve">also </w:t>
      </w:r>
      <w:r w:rsidRPr="009A5D90">
        <w:rPr>
          <w:lang w:bidi="fa-IR"/>
        </w:rPr>
        <w:t>quoted the Dalton and Carter report</w:t>
      </w:r>
      <w:r>
        <w:rPr>
          <w:lang w:bidi="fa-IR"/>
        </w:rPr>
        <w:t xml:space="preserve"> in their submissions.</w:t>
      </w:r>
    </w:p>
    <w:p w14:paraId="701F5736" w14:textId="77777777" w:rsidR="001E45D0" w:rsidRPr="00F4477B" w:rsidRDefault="001E45D0" w:rsidP="00F4477B">
      <w:pPr>
        <w:pStyle w:val="Heading3-Appendix"/>
      </w:pPr>
      <w:r w:rsidRPr="00F4477B">
        <w:t>Qualitative analysis</w:t>
      </w:r>
    </w:p>
    <w:p w14:paraId="7D61B4FD" w14:textId="77777777" w:rsidR="001E45D0" w:rsidRDefault="00D5696D" w:rsidP="001E45D0">
      <w:pPr>
        <w:pStyle w:val="BodyText"/>
        <w:rPr>
          <w:lang w:bidi="fa-IR"/>
        </w:rPr>
      </w:pPr>
      <w:r>
        <w:rPr>
          <w:lang w:bidi="fa-IR"/>
        </w:rPr>
        <w:t>Consultation feedback expressed concern about</w:t>
      </w:r>
      <w:r w:rsidR="001E45D0">
        <w:rPr>
          <w:lang w:bidi="fa-IR"/>
        </w:rPr>
        <w:t xml:space="preserve"> the Consultation RIS </w:t>
      </w:r>
      <w:r>
        <w:rPr>
          <w:lang w:bidi="fa-IR"/>
        </w:rPr>
        <w:t>for</w:t>
      </w:r>
      <w:r w:rsidR="001E45D0">
        <w:rPr>
          <w:lang w:bidi="fa-IR"/>
        </w:rPr>
        <w:t xml:space="preserve"> its lack of qualitative analysis. As pointed out by ANUHD,</w:t>
      </w:r>
      <w:r w:rsidR="001E45D0">
        <w:rPr>
          <w:rStyle w:val="FootnoteReference"/>
          <w:lang w:bidi="fa-IR"/>
        </w:rPr>
        <w:footnoteReference w:id="440"/>
      </w:r>
    </w:p>
    <w:p w14:paraId="28695036" w14:textId="77777777" w:rsidR="001E45D0" w:rsidRDefault="001E45D0" w:rsidP="001E45D0">
      <w:pPr>
        <w:pStyle w:val="Quote"/>
        <w:rPr>
          <w:lang w:bidi="fa-IR"/>
        </w:rPr>
      </w:pPr>
      <w:r>
        <w:rPr>
          <w:lang w:bidi="fa-IR"/>
        </w:rPr>
        <w:lastRenderedPageBreak/>
        <w:t>The consultation RIS repeatedly concedes that the available quantitative data are incomplete and unreliable. We share this concern and add that the Consultation RIS does not provide any qualitative analysis in these areas as required.</w:t>
      </w:r>
    </w:p>
    <w:p w14:paraId="6B36FCA9" w14:textId="77777777" w:rsidR="001E45D0" w:rsidRPr="00D76FF7" w:rsidRDefault="001E45D0" w:rsidP="001E45D0">
      <w:pPr>
        <w:pStyle w:val="BodyText"/>
        <w:rPr>
          <w:lang w:bidi="fa-IR"/>
        </w:rPr>
      </w:pPr>
      <w:r>
        <w:rPr>
          <w:lang w:bidi="fa-IR"/>
        </w:rPr>
        <w:t>The MDI and Summer Foundation submission echoes this criticism, ‘[i]t is notable, however, that they make limited reference to equity considerations and that their analysis does not include any qualitative analysis’.</w:t>
      </w:r>
      <w:r>
        <w:rPr>
          <w:rStyle w:val="FootnoteReference"/>
          <w:lang w:bidi="fa-IR"/>
        </w:rPr>
        <w:footnoteReference w:id="441"/>
      </w:r>
    </w:p>
    <w:p w14:paraId="3787BF74" w14:textId="77777777" w:rsidR="001E45D0" w:rsidRPr="00F4477B" w:rsidRDefault="001E45D0" w:rsidP="00F4477B">
      <w:pPr>
        <w:pStyle w:val="Heading3-Appendix"/>
      </w:pPr>
      <w:r w:rsidRPr="00F4477B">
        <w:t>Discount rate</w:t>
      </w:r>
    </w:p>
    <w:p w14:paraId="6DC899E2" w14:textId="77777777" w:rsidR="001E45D0" w:rsidRDefault="00D5696D" w:rsidP="001E45D0">
      <w:pPr>
        <w:pStyle w:val="BodyText"/>
        <w:rPr>
          <w:lang w:bidi="fa-IR"/>
        </w:rPr>
      </w:pPr>
      <w:r>
        <w:rPr>
          <w:lang w:bidi="fa-IR"/>
        </w:rPr>
        <w:t>A key</w:t>
      </w:r>
      <w:r w:rsidR="001E45D0">
        <w:rPr>
          <w:lang w:bidi="fa-IR"/>
        </w:rPr>
        <w:t xml:space="preserve"> issue raised by </w:t>
      </w:r>
      <w:r w:rsidR="0004032A">
        <w:rPr>
          <w:lang w:bidi="fa-IR"/>
        </w:rPr>
        <w:t>many</w:t>
      </w:r>
      <w:r w:rsidR="001E45D0">
        <w:rPr>
          <w:lang w:bidi="fa-IR"/>
        </w:rPr>
        <w:t xml:space="preserve"> submissions, for example ANUHD, Summer Foundation and MDI which refer to Dalton and Carter (2020</w:t>
      </w:r>
      <w:r w:rsidR="006A2468">
        <w:rPr>
          <w:lang w:bidi="fa-IR"/>
        </w:rPr>
        <w:t>a</w:t>
      </w:r>
      <w:r w:rsidR="001E45D0">
        <w:rPr>
          <w:lang w:bidi="fa-IR"/>
        </w:rPr>
        <w:t xml:space="preserve">), is that the central case discount rate of 7 per cent is too high. They </w:t>
      </w:r>
      <w:r w:rsidR="0004032A">
        <w:rPr>
          <w:lang w:bidi="fa-IR"/>
        </w:rPr>
        <w:t>suggest</w:t>
      </w:r>
      <w:r w:rsidR="001E45D0">
        <w:rPr>
          <w:lang w:bidi="fa-IR"/>
        </w:rPr>
        <w:t xml:space="preserve"> a rate </w:t>
      </w:r>
      <w:r>
        <w:rPr>
          <w:lang w:bidi="fa-IR"/>
        </w:rPr>
        <w:t xml:space="preserve">of </w:t>
      </w:r>
      <w:r w:rsidR="0004032A">
        <w:rPr>
          <w:lang w:bidi="fa-IR"/>
        </w:rPr>
        <w:t>at most</w:t>
      </w:r>
      <w:r w:rsidR="001E45D0">
        <w:rPr>
          <w:lang w:bidi="fa-IR"/>
        </w:rPr>
        <w:t xml:space="preserve"> 3 per cent would be preferable</w:t>
      </w:r>
      <w:r w:rsidR="0004032A">
        <w:rPr>
          <w:lang w:bidi="fa-IR"/>
        </w:rPr>
        <w:t>, citing the Australian bond rate and low discount rates used in other studies</w:t>
      </w:r>
      <w:r w:rsidR="001E45D0">
        <w:rPr>
          <w:lang w:bidi="fa-IR"/>
        </w:rPr>
        <w:t>.</w:t>
      </w:r>
    </w:p>
    <w:p w14:paraId="43C45DA6" w14:textId="77777777" w:rsidR="001E45D0" w:rsidRPr="00F4477B" w:rsidRDefault="001E45D0" w:rsidP="00F4477B">
      <w:pPr>
        <w:pStyle w:val="Heading3-Appendix"/>
      </w:pPr>
      <w:r w:rsidRPr="00F4477B">
        <w:t>Other approaches suggested</w:t>
      </w:r>
    </w:p>
    <w:p w14:paraId="5F498E88" w14:textId="77777777" w:rsidR="001E45D0" w:rsidRPr="004B79EC" w:rsidRDefault="004240F3" w:rsidP="004B79EC">
      <w:pPr>
        <w:pStyle w:val="Heading4-Appendix"/>
      </w:pPr>
      <w:r w:rsidRPr="004B79EC">
        <w:t>Cost-effectiveness analysis</w:t>
      </w:r>
    </w:p>
    <w:p w14:paraId="23EDE075" w14:textId="77777777" w:rsidR="004240F3" w:rsidRPr="004240F3" w:rsidRDefault="004240F3" w:rsidP="004240F3">
      <w:pPr>
        <w:pStyle w:val="BodyText"/>
        <w:rPr>
          <w:lang w:bidi="fa-IR"/>
        </w:rPr>
      </w:pPr>
      <w:r>
        <w:rPr>
          <w:lang w:bidi="fa-IR"/>
        </w:rPr>
        <w:t>SGS Economics and Planning suggested a cost-effectiveness analysis (CEA</w:t>
      </w:r>
      <w:r w:rsidR="00005B9E">
        <w:rPr>
          <w:lang w:bidi="fa-IR"/>
        </w:rPr>
        <w:t xml:space="preserve">). </w:t>
      </w:r>
      <w:r w:rsidR="00436886">
        <w:rPr>
          <w:lang w:bidi="fa-IR"/>
        </w:rPr>
        <w:t>Their submission noted that, u</w:t>
      </w:r>
      <w:r w:rsidR="00005B9E">
        <w:rPr>
          <w:lang w:bidi="fa-IR"/>
        </w:rPr>
        <w:t>nder the CEA approach, ‘the desired outcome or end-state is defined. With this outcome established, a range of implementation options can be compared based on their relative costs and effects. This approach, unlike CBA, does not require the benefits to be monetized.’</w:t>
      </w:r>
      <w:r w:rsidR="00005B9E">
        <w:rPr>
          <w:rStyle w:val="FootnoteReference"/>
          <w:lang w:bidi="fa-IR"/>
        </w:rPr>
        <w:footnoteReference w:id="442"/>
      </w:r>
    </w:p>
    <w:p w14:paraId="77C8B54D" w14:textId="77777777" w:rsidR="001E45D0" w:rsidRPr="004B79EC" w:rsidRDefault="001E45D0" w:rsidP="004B79EC">
      <w:pPr>
        <w:pStyle w:val="Heading4-Appendix"/>
      </w:pPr>
      <w:r w:rsidRPr="004B79EC">
        <w:t>Capability approach</w:t>
      </w:r>
    </w:p>
    <w:p w14:paraId="69E05224" w14:textId="77777777" w:rsidR="001E45D0" w:rsidRDefault="00B839A1" w:rsidP="001E45D0">
      <w:pPr>
        <w:pStyle w:val="BodyText"/>
        <w:rPr>
          <w:lang w:bidi="fa-IR"/>
        </w:rPr>
      </w:pPr>
      <w:r>
        <w:rPr>
          <w:lang w:bidi="fa-IR"/>
        </w:rPr>
        <w:t>An anonymous submission</w:t>
      </w:r>
      <w:r>
        <w:rPr>
          <w:rStyle w:val="FootnoteReference"/>
          <w:lang w:bidi="fa-IR"/>
        </w:rPr>
        <w:footnoteReference w:id="443"/>
      </w:r>
      <w:r w:rsidR="001E45D0">
        <w:rPr>
          <w:lang w:bidi="fa-IR"/>
        </w:rPr>
        <w:t xml:space="preserve"> argued that a</w:t>
      </w:r>
      <w:r w:rsidR="001E45D0" w:rsidRPr="00D73260">
        <w:rPr>
          <w:lang w:bidi="fa-IR"/>
        </w:rPr>
        <w:t xml:space="preserve"> cost-benefit methodology is not the only </w:t>
      </w:r>
      <w:r w:rsidR="001E45D0">
        <w:rPr>
          <w:lang w:bidi="fa-IR"/>
        </w:rPr>
        <w:t>way</w:t>
      </w:r>
      <w:r w:rsidR="001E45D0" w:rsidRPr="00D73260">
        <w:rPr>
          <w:lang w:bidi="fa-IR"/>
        </w:rPr>
        <w:t xml:space="preserve"> </w:t>
      </w:r>
      <w:r w:rsidR="00B43A0B">
        <w:rPr>
          <w:lang w:bidi="fa-IR"/>
        </w:rPr>
        <w:t>to evaluate</w:t>
      </w:r>
      <w:r w:rsidR="001E45D0">
        <w:rPr>
          <w:lang w:bidi="fa-IR"/>
        </w:rPr>
        <w:t xml:space="preserve"> </w:t>
      </w:r>
      <w:r w:rsidR="001E45D0" w:rsidRPr="00D73260">
        <w:rPr>
          <w:lang w:bidi="fa-IR"/>
        </w:rPr>
        <w:t>the provision of minimum standards for accessible housing.</w:t>
      </w:r>
    </w:p>
    <w:p w14:paraId="5DBC22FE" w14:textId="77777777" w:rsidR="001E45D0" w:rsidRDefault="00213222" w:rsidP="001E45D0">
      <w:pPr>
        <w:pStyle w:val="BodyText"/>
        <w:rPr>
          <w:lang w:bidi="fa-IR"/>
        </w:rPr>
      </w:pPr>
      <w:r>
        <w:rPr>
          <w:lang w:bidi="fa-IR"/>
        </w:rPr>
        <w:t>The submission suggested that a</w:t>
      </w:r>
      <w:r w:rsidR="001E45D0" w:rsidRPr="00D73260">
        <w:rPr>
          <w:lang w:bidi="fa-IR"/>
        </w:rPr>
        <w:t xml:space="preserve">ccessible housing needs to be seen as a human rights and social justice issue, not just an economic issue. </w:t>
      </w:r>
      <w:r w:rsidR="00D5696D">
        <w:rPr>
          <w:lang w:bidi="fa-IR"/>
        </w:rPr>
        <w:t>The submission proposed that a</w:t>
      </w:r>
      <w:r w:rsidR="001E45D0" w:rsidRPr="00D73260">
        <w:rPr>
          <w:lang w:bidi="fa-IR"/>
        </w:rPr>
        <w:t xml:space="preserve"> more appropriate empirical methodology relating to people with </w:t>
      </w:r>
      <w:r w:rsidR="00D870C0" w:rsidRPr="00D73260">
        <w:rPr>
          <w:lang w:bidi="fa-IR"/>
        </w:rPr>
        <w:t>disabilit</w:t>
      </w:r>
      <w:r w:rsidR="00D870C0">
        <w:rPr>
          <w:lang w:bidi="fa-IR"/>
        </w:rPr>
        <w:t>y</w:t>
      </w:r>
      <w:r w:rsidR="00D870C0" w:rsidRPr="00D73260">
        <w:rPr>
          <w:lang w:bidi="fa-IR"/>
        </w:rPr>
        <w:t xml:space="preserve"> </w:t>
      </w:r>
      <w:r w:rsidR="001E45D0" w:rsidRPr="00D73260">
        <w:rPr>
          <w:lang w:bidi="fa-IR"/>
        </w:rPr>
        <w:t xml:space="preserve">is the capability approach developed by Sen and Martha Nussbaum </w:t>
      </w:r>
      <w:r w:rsidR="001E45D0">
        <w:rPr>
          <w:lang w:bidi="fa-IR"/>
        </w:rPr>
        <w:t>(</w:t>
      </w:r>
      <w:r w:rsidR="001E45D0" w:rsidRPr="00D73260">
        <w:rPr>
          <w:lang w:bidi="fa-IR"/>
        </w:rPr>
        <w:t>2011</w:t>
      </w:r>
      <w:r w:rsidR="001E45D0">
        <w:rPr>
          <w:lang w:bidi="fa-IR"/>
        </w:rPr>
        <w:t>)</w:t>
      </w:r>
      <w:r w:rsidR="001E45D0" w:rsidRPr="00D73260">
        <w:rPr>
          <w:lang w:bidi="fa-IR"/>
        </w:rPr>
        <w:t>.</w:t>
      </w:r>
      <w:r>
        <w:rPr>
          <w:lang w:bidi="fa-IR"/>
        </w:rPr>
        <w:t xml:space="preserve"> </w:t>
      </w:r>
      <w:r w:rsidR="001E45D0" w:rsidRPr="00D73260">
        <w:rPr>
          <w:lang w:bidi="fa-IR"/>
        </w:rPr>
        <w:t>The capability approach can be developed into an alternative evaluative tool which can replace traditional social cost-benefit analysis. A nuanced development “Closing the Gap” empirical methodology that is applied to Aboriginal policy is more appropriate to policy relating to people with disability.</w:t>
      </w:r>
    </w:p>
    <w:p w14:paraId="1597440A" w14:textId="77777777" w:rsidR="001E45D0" w:rsidRPr="004B79EC" w:rsidRDefault="001E45D0" w:rsidP="004B79EC">
      <w:pPr>
        <w:pStyle w:val="Heading4-Appendix"/>
      </w:pPr>
      <w:r w:rsidRPr="004B79EC">
        <w:lastRenderedPageBreak/>
        <w:t>Social-ecological approach</w:t>
      </w:r>
    </w:p>
    <w:p w14:paraId="6719FE56" w14:textId="77777777" w:rsidR="001E45D0" w:rsidRPr="00C65F22" w:rsidRDefault="001E45D0" w:rsidP="001E45D0">
      <w:pPr>
        <w:pStyle w:val="BodyText"/>
        <w:rPr>
          <w:lang w:bidi="fa-IR"/>
        </w:rPr>
      </w:pPr>
      <w:r w:rsidRPr="00C65F22">
        <w:rPr>
          <w:lang w:bidi="fa-IR"/>
        </w:rPr>
        <w:t>Post-Polio Victoria Inc (PPV)</w:t>
      </w:r>
      <w:r w:rsidR="00A960EA">
        <w:rPr>
          <w:rStyle w:val="FootnoteReference"/>
          <w:lang w:bidi="fa-IR"/>
        </w:rPr>
        <w:footnoteReference w:id="444"/>
      </w:r>
      <w:r w:rsidRPr="00C65F22">
        <w:rPr>
          <w:lang w:bidi="fa-IR"/>
        </w:rPr>
        <w:t xml:space="preserve"> </w:t>
      </w:r>
      <w:r w:rsidR="003B5B4F">
        <w:rPr>
          <w:lang w:bidi="fa-IR"/>
        </w:rPr>
        <w:t>suggested</w:t>
      </w:r>
      <w:r w:rsidRPr="00C65F22">
        <w:rPr>
          <w:lang w:bidi="fa-IR"/>
        </w:rPr>
        <w:t xml:space="preserve"> that a socio-ecological framework </w:t>
      </w:r>
      <w:r w:rsidR="00D5696D">
        <w:rPr>
          <w:lang w:bidi="fa-IR"/>
        </w:rPr>
        <w:t>would provide</w:t>
      </w:r>
      <w:r w:rsidRPr="00C65F22">
        <w:rPr>
          <w:lang w:bidi="fa-IR"/>
        </w:rPr>
        <w:t xml:space="preserve"> a more balanced perspective on the needs of polio survivors</w:t>
      </w:r>
      <w:r w:rsidR="00582DB3">
        <w:rPr>
          <w:lang w:bidi="fa-IR"/>
        </w:rPr>
        <w:t>,</w:t>
      </w:r>
      <w:r w:rsidRPr="00C65F22">
        <w:rPr>
          <w:lang w:bidi="fa-IR"/>
        </w:rPr>
        <w:t xml:space="preserve"> people living with other disabilities</w:t>
      </w:r>
      <w:r w:rsidR="00582DB3">
        <w:rPr>
          <w:lang w:bidi="fa-IR"/>
        </w:rPr>
        <w:t>,</w:t>
      </w:r>
      <w:r w:rsidRPr="00C65F22">
        <w:rPr>
          <w:lang w:bidi="fa-IR"/>
        </w:rPr>
        <w:t xml:space="preserve"> their families, social networks, and health practitioners.</w:t>
      </w:r>
    </w:p>
    <w:p w14:paraId="6B3F06C0" w14:textId="77777777" w:rsidR="008639A0" w:rsidRDefault="003B5B4F" w:rsidP="001E45D0">
      <w:pPr>
        <w:pStyle w:val="BodyText"/>
        <w:rPr>
          <w:lang w:bidi="fa-IR"/>
        </w:rPr>
      </w:pPr>
      <w:r>
        <w:rPr>
          <w:lang w:bidi="fa-IR"/>
        </w:rPr>
        <w:t>According to PPV, p</w:t>
      </w:r>
      <w:r w:rsidR="001E45D0" w:rsidRPr="00825DCE">
        <w:rPr>
          <w:lang w:bidi="fa-IR"/>
        </w:rPr>
        <w:t>eople who actually have a disability are not the only people who are ‘living with disability’:</w:t>
      </w:r>
      <w:r w:rsidR="001E45D0">
        <w:rPr>
          <w:lang w:bidi="fa-IR"/>
        </w:rPr>
        <w:t xml:space="preserve"> </w:t>
      </w:r>
      <w:r w:rsidR="001E45D0" w:rsidRPr="00825DCE">
        <w:rPr>
          <w:lang w:bidi="fa-IR"/>
        </w:rPr>
        <w:t>their families, carers, and social networks; their healthcare practitioners; legislators, politicians</w:t>
      </w:r>
      <w:r w:rsidR="001E45D0">
        <w:rPr>
          <w:lang w:bidi="fa-IR"/>
        </w:rPr>
        <w:t xml:space="preserve"> </w:t>
      </w:r>
      <w:r w:rsidR="001E45D0" w:rsidRPr="00825DCE">
        <w:rPr>
          <w:lang w:bidi="fa-IR"/>
        </w:rPr>
        <w:t>and bureaucrats; and Australian society all join them in that space.</w:t>
      </w:r>
      <w:r>
        <w:rPr>
          <w:lang w:bidi="fa-IR"/>
        </w:rPr>
        <w:t xml:space="preserve"> </w:t>
      </w:r>
    </w:p>
    <w:p w14:paraId="6BF2E7F6" w14:textId="77777777" w:rsidR="001E45D0" w:rsidRPr="00694B1D" w:rsidRDefault="001E45D0" w:rsidP="001E45D0">
      <w:pPr>
        <w:pStyle w:val="BodyText"/>
        <w:rPr>
          <w:lang w:eastAsia="en-US"/>
        </w:rPr>
      </w:pPr>
      <w:r w:rsidRPr="00825DCE">
        <w:rPr>
          <w:lang w:bidi="fa-IR"/>
        </w:rPr>
        <w:t>The social-ecological approach ‘accounts for the impact of an individual’s social and</w:t>
      </w:r>
      <w:r>
        <w:rPr>
          <w:lang w:bidi="fa-IR"/>
        </w:rPr>
        <w:t xml:space="preserve"> </w:t>
      </w:r>
      <w:r w:rsidRPr="00825DCE">
        <w:rPr>
          <w:lang w:bidi="fa-IR"/>
        </w:rPr>
        <w:t>environmental context on their health outcomes’. For instance,</w:t>
      </w:r>
      <w:r>
        <w:rPr>
          <w:lang w:bidi="fa-IR"/>
        </w:rPr>
        <w:t xml:space="preserve"> </w:t>
      </w:r>
      <w:r w:rsidRPr="00441D6E">
        <w:rPr>
          <w:lang w:bidi="fa-IR"/>
        </w:rPr>
        <w:t>inability to access their ‘friends’ homes’ can impact on ‘their commitment to continue to build a life full of meaning’ and, due to their friends’ potential lack of understanding of their physical limitations, to diminished social relationships, or inclusion.</w:t>
      </w:r>
      <w:bookmarkEnd w:id="588"/>
    </w:p>
    <w:p w14:paraId="60B9BE14" w14:textId="77777777" w:rsidR="004E736E" w:rsidRPr="004B79EC" w:rsidRDefault="004E736E" w:rsidP="004B79EC">
      <w:pPr>
        <w:pStyle w:val="Heading1-Appendix"/>
      </w:pPr>
      <w:bookmarkStart w:id="615" w:name="_Ref55130725"/>
      <w:bookmarkStart w:id="616" w:name="_Toc32321774"/>
      <w:bookmarkStart w:id="617" w:name="_Toc44598463"/>
      <w:bookmarkStart w:id="618" w:name="_Toc45654094"/>
      <w:r w:rsidRPr="004B79EC">
        <w:lastRenderedPageBreak/>
        <w:t>Approach to estimating the safety impacts</w:t>
      </w:r>
      <w:bookmarkEnd w:id="615"/>
      <w:bookmarkEnd w:id="616"/>
      <w:bookmarkEnd w:id="617"/>
      <w:bookmarkEnd w:id="618"/>
    </w:p>
    <w:p w14:paraId="50BDECE4" w14:textId="77777777" w:rsidR="00ED748D" w:rsidRPr="004B79EC" w:rsidRDefault="00ED748D" w:rsidP="004B79EC">
      <w:pPr>
        <w:pStyle w:val="Heading2-Appendix"/>
      </w:pPr>
      <w:r w:rsidRPr="004B79EC">
        <w:t>People at risk of falls due to inaccessible housing</w:t>
      </w:r>
    </w:p>
    <w:p w14:paraId="2135C8B0" w14:textId="77777777" w:rsidR="00ED748D" w:rsidRDefault="00ED748D" w:rsidP="00ED748D">
      <w:pPr>
        <w:pStyle w:val="BodyText"/>
        <w:rPr>
          <w:lang w:bidi="fa-IR"/>
        </w:rPr>
      </w:pPr>
      <w:r>
        <w:rPr>
          <w:lang w:bidi="fa-IR"/>
        </w:rPr>
        <w:t xml:space="preserve">There is </w:t>
      </w:r>
      <w:r w:rsidRPr="006C3FC1">
        <w:rPr>
          <w:lang w:bidi="fa-IR"/>
        </w:rPr>
        <w:t>no comprehensive source of data on the extent to which accessibility needs are being met in existing dwellings.</w:t>
      </w:r>
      <w:r>
        <w:rPr>
          <w:lang w:bidi="fa-IR"/>
        </w:rPr>
        <w:t xml:space="preserve"> The SDAC does not explicitly ask respondents with mobility limitation whether their current residence meets their accessibility needs. Nevertheless, there are some relevant </w:t>
      </w:r>
      <w:r w:rsidRPr="006C3FC1">
        <w:rPr>
          <w:lang w:bidi="fa-IR"/>
        </w:rPr>
        <w:t>indicators</w:t>
      </w:r>
      <w:r>
        <w:rPr>
          <w:lang w:bidi="fa-IR"/>
        </w:rPr>
        <w:t>.</w:t>
      </w:r>
    </w:p>
    <w:p w14:paraId="2760C3F5" w14:textId="77777777" w:rsidR="00ED748D" w:rsidRDefault="00ED748D" w:rsidP="00ED748D">
      <w:pPr>
        <w:pStyle w:val="BodyText"/>
        <w:rPr>
          <w:lang w:bidi="fa-IR"/>
        </w:rPr>
      </w:pPr>
      <w:r w:rsidRPr="006C3FC1">
        <w:rPr>
          <w:lang w:bidi="fa-IR"/>
        </w:rPr>
        <w:t>One relevant indicator</w:t>
      </w:r>
      <w:r>
        <w:rPr>
          <w:lang w:bidi="fa-IR"/>
        </w:rPr>
        <w:t xml:space="preserve"> on the extent to which accessibility needs are being met is the level of assistance required moving around the residence. This question is relevant to accessibility features within the home, but not necessarily features relating to entering and leaving the residence (such as level access).</w:t>
      </w:r>
    </w:p>
    <w:p w14:paraId="464A5470" w14:textId="7AD57C2F" w:rsidR="00ED748D" w:rsidRDefault="00ED748D" w:rsidP="00ED748D">
      <w:pPr>
        <w:pStyle w:val="ListBullet"/>
        <w:numPr>
          <w:ilvl w:val="0"/>
          <w:numId w:val="16"/>
        </w:numPr>
        <w:rPr>
          <w:lang w:bidi="fa-IR"/>
        </w:rPr>
      </w:pPr>
      <w:r>
        <w:rPr>
          <w:lang w:bidi="fa-IR"/>
        </w:rPr>
        <w:t>The 2018 SDAC suggests that around 78 per cent of those identifying as having mobility limitation report having no difficulty moving around the residence (table </w:t>
      </w:r>
      <w:r w:rsidR="00362332">
        <w:rPr>
          <w:lang w:bidi="fa-IR"/>
        </w:rPr>
        <w:t>B.1</w:t>
      </w:r>
      <w:r>
        <w:rPr>
          <w:lang w:bidi="fa-IR"/>
        </w:rPr>
        <w:t xml:space="preserve">). </w:t>
      </w:r>
    </w:p>
    <w:p w14:paraId="2C961CA3" w14:textId="77777777" w:rsidR="00ED748D" w:rsidRDefault="00ED748D" w:rsidP="00ED748D">
      <w:pPr>
        <w:pStyle w:val="ListBullet2"/>
        <w:numPr>
          <w:ilvl w:val="1"/>
          <w:numId w:val="16"/>
        </w:numPr>
        <w:ind w:left="568" w:hanging="284"/>
        <w:rPr>
          <w:lang w:bidi="fa-IR"/>
        </w:rPr>
      </w:pPr>
      <w:r>
        <w:rPr>
          <w:lang w:bidi="fa-IR"/>
        </w:rPr>
        <w:t>In some cases, the disability may not be severe enough to restrict movement around the residence.</w:t>
      </w:r>
    </w:p>
    <w:p w14:paraId="15D56BCA" w14:textId="77777777" w:rsidR="00ED748D" w:rsidRDefault="00ED748D" w:rsidP="00ED748D">
      <w:pPr>
        <w:pStyle w:val="ListBullet2"/>
        <w:numPr>
          <w:ilvl w:val="1"/>
          <w:numId w:val="16"/>
        </w:numPr>
        <w:ind w:left="568" w:hanging="284"/>
        <w:rPr>
          <w:lang w:bidi="fa-IR"/>
        </w:rPr>
      </w:pPr>
      <w:r>
        <w:rPr>
          <w:lang w:bidi="fa-IR"/>
        </w:rPr>
        <w:t>Alternatively, this could reflect the home environment already meeting any accessibility needs.</w:t>
      </w:r>
    </w:p>
    <w:p w14:paraId="3794DE4E" w14:textId="77777777" w:rsidR="00ED748D" w:rsidRDefault="00ED748D" w:rsidP="00ED748D">
      <w:pPr>
        <w:pStyle w:val="ListBullet"/>
        <w:numPr>
          <w:ilvl w:val="0"/>
          <w:numId w:val="16"/>
        </w:numPr>
        <w:rPr>
          <w:lang w:bidi="fa-IR"/>
        </w:rPr>
      </w:pPr>
      <w:r>
        <w:rPr>
          <w:lang w:bidi="fa-IR"/>
        </w:rPr>
        <w:t>There are around 653 400 people that either require assistance moving around the residence, or have some difficulty.</w:t>
      </w:r>
    </w:p>
    <w:p w14:paraId="65211978" w14:textId="77777777" w:rsidR="00ED748D" w:rsidRDefault="00ED748D" w:rsidP="00ED748D">
      <w:pPr>
        <w:pStyle w:val="ListBullet2"/>
        <w:numPr>
          <w:ilvl w:val="1"/>
          <w:numId w:val="16"/>
        </w:numPr>
        <w:ind w:left="568" w:hanging="284"/>
        <w:rPr>
          <w:lang w:bidi="fa-IR"/>
        </w:rPr>
      </w:pPr>
      <w:r>
        <w:rPr>
          <w:lang w:bidi="fa-IR"/>
        </w:rPr>
        <w:t>Of these, around 163 100 live in establishments (including aged care facilities, retirement villages or hospitals).</w:t>
      </w:r>
    </w:p>
    <w:p w14:paraId="41DB0735" w14:textId="77777777" w:rsidR="00ED748D" w:rsidRDefault="00ED748D" w:rsidP="00ED748D">
      <w:pPr>
        <w:pStyle w:val="ListBullet2"/>
        <w:numPr>
          <w:ilvl w:val="1"/>
          <w:numId w:val="16"/>
        </w:numPr>
        <w:ind w:left="568" w:hanging="284"/>
        <w:rPr>
          <w:lang w:bidi="fa-IR"/>
        </w:rPr>
      </w:pPr>
      <w:r>
        <w:rPr>
          <w:lang w:bidi="fa-IR"/>
        </w:rPr>
        <w:t>The remaining 490 700 live in households.</w:t>
      </w:r>
    </w:p>
    <w:p w14:paraId="0AB04457" w14:textId="77777777" w:rsidR="00ED748D" w:rsidRDefault="00ED748D" w:rsidP="00ED748D">
      <w:pPr>
        <w:pStyle w:val="ListBullet3"/>
        <w:numPr>
          <w:ilvl w:val="2"/>
          <w:numId w:val="16"/>
        </w:numPr>
        <w:rPr>
          <w:lang w:bidi="fa-IR"/>
        </w:rPr>
      </w:pPr>
      <w:r>
        <w:rPr>
          <w:lang w:bidi="fa-IR"/>
        </w:rPr>
        <w:t>Of these, around 167 900 live in dwellings that have been modified because of the resident’s condition or age. This could indicate that the dwelling is accessible, but the disability is severe enough that they require assistance or have difficulty anyway. Alternatively, it is possible that the modifications were inadequate, such that the dwelling did not meet the resident’s accessibility needs.</w:t>
      </w:r>
    </w:p>
    <w:p w14:paraId="273A670B" w14:textId="77777777" w:rsidR="00ED748D" w:rsidRDefault="00ED748D" w:rsidP="00ED748D">
      <w:pPr>
        <w:pStyle w:val="ListBullet3"/>
        <w:numPr>
          <w:ilvl w:val="2"/>
          <w:numId w:val="16"/>
        </w:numPr>
        <w:rPr>
          <w:lang w:bidi="fa-IR"/>
        </w:rPr>
      </w:pPr>
      <w:r>
        <w:rPr>
          <w:lang w:bidi="fa-IR"/>
        </w:rPr>
        <w:t>The remaining 322 300 live in dwellings that have not been modified.</w:t>
      </w:r>
    </w:p>
    <w:p w14:paraId="068FD5A2" w14:textId="5E819C94" w:rsidR="00ED748D" w:rsidRDefault="00B27E24" w:rsidP="00ED748D">
      <w:pPr>
        <w:pStyle w:val="Caption"/>
      </w:pPr>
      <w:bookmarkStart w:id="619" w:name="_Toc44598561"/>
      <w:bookmarkStart w:id="620" w:name="_Toc44695933"/>
      <w:bookmarkStart w:id="621" w:name="_Toc57643668"/>
      <w:bookmarkStart w:id="622" w:name="_Toc70505615"/>
      <w:r>
        <w:lastRenderedPageBreak/>
        <w:t>B.1</w:t>
      </w:r>
      <w:r w:rsidR="00ED748D" w:rsidRPr="00695C93">
        <w:tab/>
      </w:r>
      <w:r w:rsidR="00ED748D">
        <w:t>Assistance required moving around residence</w:t>
      </w:r>
      <w:bookmarkEnd w:id="619"/>
      <w:bookmarkEnd w:id="620"/>
      <w:bookmarkEnd w:id="621"/>
      <w:bookmarkEnd w:id="622"/>
    </w:p>
    <w:tbl>
      <w:tblPr>
        <w:tblW w:w="7938" w:type="dxa"/>
        <w:tblLayout w:type="fixed"/>
        <w:tblLook w:val="0000" w:firstRow="0" w:lastRow="0" w:firstColumn="0" w:lastColumn="0" w:noHBand="0" w:noVBand="0"/>
        <w:tblCaption w:val="Table B.1: Assistance required moving around residence"/>
        <w:tblDescription w:val="Table B.1 lists the numbers of people requiring assistance to move around their residence, divided between those living in modified dwelling and those living in unmodified dwellings. In total, 21.9% of people with a mobility limitation either require help or have difficulty moving around their home."/>
      </w:tblPr>
      <w:tblGrid>
        <w:gridCol w:w="2172"/>
        <w:gridCol w:w="961"/>
        <w:gridCol w:w="961"/>
        <w:gridCol w:w="961"/>
        <w:gridCol w:w="961"/>
        <w:gridCol w:w="961"/>
        <w:gridCol w:w="961"/>
      </w:tblGrid>
      <w:tr w:rsidR="00696C70" w:rsidRPr="006D6FC6" w14:paraId="37EC6B6F" w14:textId="77777777" w:rsidTr="00D13F4A">
        <w:trPr>
          <w:trHeight w:val="461"/>
          <w:tblHeader/>
        </w:trPr>
        <w:tc>
          <w:tcPr>
            <w:tcW w:w="2172" w:type="dxa"/>
            <w:shd w:val="clear" w:color="auto" w:fill="6F6652"/>
            <w:tcMar>
              <w:left w:w="57" w:type="dxa"/>
              <w:right w:w="57" w:type="dxa"/>
            </w:tcMar>
          </w:tcPr>
          <w:p w14:paraId="57036A03" w14:textId="77777777" w:rsidR="00696C70" w:rsidRPr="006D6FC6" w:rsidRDefault="00A068A1" w:rsidP="002B23FD">
            <w:pPr>
              <w:pStyle w:val="TableDataColumnHeading"/>
              <w:jc w:val="left"/>
              <w:rPr>
                <w:lang w:val="en-GB"/>
              </w:rPr>
            </w:pPr>
            <w:r>
              <w:rPr>
                <w:lang w:val="en-GB"/>
              </w:rPr>
              <w:t>Assistance required</w:t>
            </w:r>
          </w:p>
        </w:tc>
        <w:tc>
          <w:tcPr>
            <w:tcW w:w="961" w:type="dxa"/>
            <w:vMerge w:val="restart"/>
            <w:shd w:val="clear" w:color="auto" w:fill="6F6652"/>
            <w:tcMar>
              <w:left w:w="57" w:type="dxa"/>
              <w:right w:w="57" w:type="dxa"/>
            </w:tcMar>
          </w:tcPr>
          <w:p w14:paraId="3906DDD7" w14:textId="77777777" w:rsidR="00696C70" w:rsidRPr="006D6FC6" w:rsidRDefault="00696C70" w:rsidP="002B23FD">
            <w:pPr>
              <w:pStyle w:val="TableDataColumnHeading"/>
              <w:rPr>
                <w:lang w:val="en-GB"/>
              </w:rPr>
            </w:pPr>
          </w:p>
        </w:tc>
        <w:tc>
          <w:tcPr>
            <w:tcW w:w="2883" w:type="dxa"/>
            <w:gridSpan w:val="3"/>
            <w:shd w:val="clear" w:color="auto" w:fill="6F6652"/>
            <w:tcMar>
              <w:left w:w="57" w:type="dxa"/>
              <w:right w:w="57" w:type="dxa"/>
            </w:tcMar>
          </w:tcPr>
          <w:p w14:paraId="57795865" w14:textId="77777777" w:rsidR="00696C70" w:rsidRPr="006D6FC6" w:rsidRDefault="00696C70" w:rsidP="002B23FD">
            <w:pPr>
              <w:pStyle w:val="TableDataColumnHeading"/>
              <w:jc w:val="center"/>
              <w:rPr>
                <w:lang w:val="en-GB"/>
              </w:rPr>
            </w:pPr>
            <w:r w:rsidRPr="006D6FC6">
              <w:rPr>
                <w:lang w:val="en-GB"/>
              </w:rPr>
              <w:t>Living in households</w:t>
            </w:r>
          </w:p>
        </w:tc>
        <w:tc>
          <w:tcPr>
            <w:tcW w:w="961" w:type="dxa"/>
            <w:vMerge w:val="restart"/>
            <w:shd w:val="clear" w:color="auto" w:fill="6F6652"/>
            <w:tcMar>
              <w:left w:w="57" w:type="dxa"/>
              <w:right w:w="57" w:type="dxa"/>
            </w:tcMar>
          </w:tcPr>
          <w:p w14:paraId="65410BFB" w14:textId="77777777" w:rsidR="00696C70" w:rsidRPr="006D6FC6" w:rsidRDefault="00696C70" w:rsidP="002B23FD">
            <w:pPr>
              <w:pStyle w:val="TableDataColumnHeading"/>
              <w:rPr>
                <w:lang w:val="en-GB"/>
              </w:rPr>
            </w:pPr>
            <w:r w:rsidRPr="006D6FC6">
              <w:rPr>
                <w:lang w:val="en-GB"/>
              </w:rPr>
              <w:t>Total requiring assistance</w:t>
            </w:r>
          </w:p>
        </w:tc>
        <w:tc>
          <w:tcPr>
            <w:tcW w:w="961" w:type="dxa"/>
            <w:vMerge w:val="restart"/>
            <w:shd w:val="clear" w:color="auto" w:fill="6F6652"/>
            <w:tcMar>
              <w:left w:w="57" w:type="dxa"/>
              <w:right w:w="57" w:type="dxa"/>
            </w:tcMar>
          </w:tcPr>
          <w:p w14:paraId="0B758E9A" w14:textId="77777777" w:rsidR="00696C70" w:rsidRPr="006D6FC6" w:rsidRDefault="00696C70" w:rsidP="002B23FD">
            <w:pPr>
              <w:pStyle w:val="TableDataColumnHeading"/>
              <w:rPr>
                <w:lang w:val="en-GB"/>
              </w:rPr>
            </w:pPr>
            <w:r w:rsidRPr="006D6FC6">
              <w:rPr>
                <w:lang w:val="en-GB"/>
              </w:rPr>
              <w:t>Share of total</w:t>
            </w:r>
          </w:p>
        </w:tc>
      </w:tr>
      <w:tr w:rsidR="00ED748D" w14:paraId="62EC818A" w14:textId="77777777" w:rsidTr="002B23FD">
        <w:trPr>
          <w:trHeight w:val="461"/>
          <w:tblHeader/>
        </w:trPr>
        <w:tc>
          <w:tcPr>
            <w:tcW w:w="2172" w:type="dxa"/>
            <w:shd w:val="clear" w:color="auto" w:fill="6F6652"/>
            <w:tcMar>
              <w:left w:w="57" w:type="dxa"/>
              <w:right w:w="57" w:type="dxa"/>
            </w:tcMar>
          </w:tcPr>
          <w:p w14:paraId="03E251BA" w14:textId="77777777" w:rsidR="00ED748D" w:rsidRDefault="00ED748D" w:rsidP="002B23FD">
            <w:pPr>
              <w:pStyle w:val="TableDataColumnHeading"/>
              <w:jc w:val="left"/>
              <w:rPr>
                <w:lang w:val="en-GB"/>
              </w:rPr>
            </w:pPr>
          </w:p>
        </w:tc>
        <w:tc>
          <w:tcPr>
            <w:tcW w:w="961" w:type="dxa"/>
            <w:vMerge/>
            <w:shd w:val="clear" w:color="auto" w:fill="6F6652"/>
            <w:tcMar>
              <w:left w:w="57" w:type="dxa"/>
              <w:right w:w="57" w:type="dxa"/>
            </w:tcMar>
          </w:tcPr>
          <w:p w14:paraId="1C65FC3A" w14:textId="77777777" w:rsidR="00ED748D" w:rsidRDefault="00ED748D" w:rsidP="002B23FD">
            <w:pPr>
              <w:pStyle w:val="TableDataColumnHeading"/>
              <w:rPr>
                <w:lang w:val="en-GB"/>
              </w:rPr>
            </w:pPr>
          </w:p>
        </w:tc>
        <w:tc>
          <w:tcPr>
            <w:tcW w:w="961" w:type="dxa"/>
            <w:shd w:val="clear" w:color="auto" w:fill="6F6652"/>
            <w:tcMar>
              <w:left w:w="57" w:type="dxa"/>
              <w:right w:w="57" w:type="dxa"/>
            </w:tcMar>
          </w:tcPr>
          <w:p w14:paraId="0F8A04A1" w14:textId="77777777" w:rsidR="00ED748D" w:rsidRDefault="00ED748D" w:rsidP="002B23FD">
            <w:pPr>
              <w:pStyle w:val="TableDataColumnHeading"/>
              <w:rPr>
                <w:lang w:val="en-GB"/>
              </w:rPr>
            </w:pPr>
            <w:r>
              <w:rPr>
                <w:lang w:val="en-GB"/>
              </w:rPr>
              <w:t>Dwelling modified</w:t>
            </w:r>
          </w:p>
        </w:tc>
        <w:tc>
          <w:tcPr>
            <w:tcW w:w="961" w:type="dxa"/>
            <w:shd w:val="clear" w:color="auto" w:fill="6F6652"/>
            <w:tcMar>
              <w:left w:w="57" w:type="dxa"/>
              <w:right w:w="57" w:type="dxa"/>
            </w:tcMar>
          </w:tcPr>
          <w:p w14:paraId="3CE059DF" w14:textId="77777777" w:rsidR="00ED748D" w:rsidRDefault="00ED748D" w:rsidP="002B23FD">
            <w:pPr>
              <w:pStyle w:val="TableDataColumnHeading"/>
              <w:rPr>
                <w:lang w:val="en-GB"/>
              </w:rPr>
            </w:pPr>
            <w:r>
              <w:rPr>
                <w:lang w:val="en-GB"/>
              </w:rPr>
              <w:t>Dwelling not modified</w:t>
            </w:r>
          </w:p>
        </w:tc>
        <w:tc>
          <w:tcPr>
            <w:tcW w:w="961" w:type="dxa"/>
            <w:shd w:val="clear" w:color="auto" w:fill="6F6652"/>
            <w:tcMar>
              <w:left w:w="57" w:type="dxa"/>
              <w:right w:w="57" w:type="dxa"/>
            </w:tcMar>
          </w:tcPr>
          <w:p w14:paraId="05E4A17F" w14:textId="77777777" w:rsidR="00ED748D" w:rsidRDefault="00ED748D" w:rsidP="002B23FD">
            <w:pPr>
              <w:pStyle w:val="TableDataColumnHeading"/>
              <w:rPr>
                <w:lang w:val="en-GB"/>
              </w:rPr>
            </w:pPr>
            <w:r>
              <w:rPr>
                <w:lang w:val="en-GB"/>
              </w:rPr>
              <w:t>Total</w:t>
            </w:r>
          </w:p>
        </w:tc>
        <w:tc>
          <w:tcPr>
            <w:tcW w:w="961" w:type="dxa"/>
            <w:vMerge/>
            <w:shd w:val="clear" w:color="auto" w:fill="6F6652"/>
            <w:tcMar>
              <w:left w:w="57" w:type="dxa"/>
              <w:right w:w="57" w:type="dxa"/>
            </w:tcMar>
          </w:tcPr>
          <w:p w14:paraId="2F1444AD" w14:textId="77777777" w:rsidR="00ED748D" w:rsidRDefault="00ED748D" w:rsidP="002B23FD">
            <w:pPr>
              <w:pStyle w:val="TableDataColumnHeading"/>
              <w:rPr>
                <w:lang w:val="en-GB"/>
              </w:rPr>
            </w:pPr>
          </w:p>
        </w:tc>
        <w:tc>
          <w:tcPr>
            <w:tcW w:w="961" w:type="dxa"/>
            <w:vMerge/>
            <w:shd w:val="clear" w:color="auto" w:fill="6F6652"/>
            <w:tcMar>
              <w:left w:w="57" w:type="dxa"/>
              <w:right w:w="57" w:type="dxa"/>
            </w:tcMar>
          </w:tcPr>
          <w:p w14:paraId="379B7BE3" w14:textId="77777777" w:rsidR="00ED748D" w:rsidRDefault="00ED748D" w:rsidP="002B23FD">
            <w:pPr>
              <w:pStyle w:val="TableDataColumnHeading"/>
              <w:rPr>
                <w:lang w:val="en-GB"/>
              </w:rPr>
            </w:pPr>
          </w:p>
        </w:tc>
      </w:tr>
      <w:tr w:rsidR="00ED748D" w14:paraId="63CF5B96" w14:textId="77777777" w:rsidTr="002B23FD">
        <w:trPr>
          <w:trHeight w:val="230"/>
          <w:tblHeader/>
        </w:trPr>
        <w:tc>
          <w:tcPr>
            <w:tcW w:w="2172" w:type="dxa"/>
            <w:tcBorders>
              <w:bottom w:val="single" w:sz="8" w:space="0" w:color="FFFFFF" w:themeColor="background1"/>
            </w:tcBorders>
            <w:shd w:val="clear" w:color="auto" w:fill="auto"/>
            <w:tcMar>
              <w:left w:w="57" w:type="dxa"/>
              <w:right w:w="57" w:type="dxa"/>
            </w:tcMar>
          </w:tcPr>
          <w:p w14:paraId="26326F50" w14:textId="77777777" w:rsidR="00ED748D" w:rsidRDefault="00ED748D" w:rsidP="002B23FD">
            <w:pPr>
              <w:pStyle w:val="TableUnit"/>
              <w:jc w:val="left"/>
              <w:rPr>
                <w:lang w:val="en-GB"/>
              </w:rPr>
            </w:pPr>
          </w:p>
        </w:tc>
        <w:tc>
          <w:tcPr>
            <w:tcW w:w="961" w:type="dxa"/>
            <w:tcBorders>
              <w:bottom w:val="single" w:sz="8" w:space="0" w:color="FFFFFF" w:themeColor="background1"/>
            </w:tcBorders>
            <w:shd w:val="clear" w:color="auto" w:fill="auto"/>
            <w:tcMar>
              <w:left w:w="57" w:type="dxa"/>
              <w:right w:w="57" w:type="dxa"/>
            </w:tcMar>
          </w:tcPr>
          <w:p w14:paraId="77E52447" w14:textId="77777777" w:rsidR="00ED748D" w:rsidRDefault="00ED748D" w:rsidP="002B23FD">
            <w:pPr>
              <w:pStyle w:val="TableUnit"/>
              <w:rPr>
                <w:lang w:val="en-GB"/>
              </w:rPr>
            </w:pPr>
            <w:r>
              <w:rPr>
                <w:lang w:val="en-GB"/>
              </w:rPr>
              <w:t>'000</w:t>
            </w:r>
          </w:p>
        </w:tc>
        <w:tc>
          <w:tcPr>
            <w:tcW w:w="961" w:type="dxa"/>
            <w:tcBorders>
              <w:bottom w:val="single" w:sz="8" w:space="0" w:color="FFFFFF" w:themeColor="background1"/>
            </w:tcBorders>
            <w:shd w:val="clear" w:color="auto" w:fill="auto"/>
            <w:tcMar>
              <w:left w:w="57" w:type="dxa"/>
              <w:right w:w="57" w:type="dxa"/>
            </w:tcMar>
          </w:tcPr>
          <w:p w14:paraId="2CADBE4A" w14:textId="77777777" w:rsidR="00ED748D" w:rsidRDefault="00ED748D" w:rsidP="002B23FD">
            <w:pPr>
              <w:pStyle w:val="TableUnit"/>
              <w:rPr>
                <w:lang w:val="en-GB"/>
              </w:rPr>
            </w:pPr>
            <w:r>
              <w:rPr>
                <w:lang w:val="en-GB"/>
              </w:rPr>
              <w:t>‘000</w:t>
            </w:r>
          </w:p>
        </w:tc>
        <w:tc>
          <w:tcPr>
            <w:tcW w:w="961" w:type="dxa"/>
            <w:tcBorders>
              <w:bottom w:val="single" w:sz="8" w:space="0" w:color="FFFFFF" w:themeColor="background1"/>
            </w:tcBorders>
            <w:shd w:val="clear" w:color="auto" w:fill="auto"/>
            <w:tcMar>
              <w:left w:w="57" w:type="dxa"/>
              <w:right w:w="57" w:type="dxa"/>
            </w:tcMar>
          </w:tcPr>
          <w:p w14:paraId="2069F886" w14:textId="77777777" w:rsidR="00ED748D" w:rsidRDefault="00ED748D" w:rsidP="002B23FD">
            <w:pPr>
              <w:pStyle w:val="TableUnit"/>
              <w:rPr>
                <w:lang w:val="en-GB"/>
              </w:rPr>
            </w:pPr>
            <w:r>
              <w:rPr>
                <w:lang w:val="en-GB"/>
              </w:rPr>
              <w:t>‘000</w:t>
            </w:r>
          </w:p>
        </w:tc>
        <w:tc>
          <w:tcPr>
            <w:tcW w:w="961" w:type="dxa"/>
            <w:tcBorders>
              <w:bottom w:val="single" w:sz="8" w:space="0" w:color="FFFFFF" w:themeColor="background1"/>
            </w:tcBorders>
            <w:shd w:val="clear" w:color="auto" w:fill="auto"/>
            <w:tcMar>
              <w:left w:w="57" w:type="dxa"/>
              <w:right w:w="57" w:type="dxa"/>
            </w:tcMar>
          </w:tcPr>
          <w:p w14:paraId="1C6FE5C7" w14:textId="77777777" w:rsidR="00ED748D" w:rsidRDefault="00ED748D" w:rsidP="002B23FD">
            <w:pPr>
              <w:pStyle w:val="TableUnit"/>
              <w:rPr>
                <w:lang w:val="en-GB"/>
              </w:rPr>
            </w:pPr>
            <w:r>
              <w:rPr>
                <w:lang w:val="en-GB"/>
              </w:rPr>
              <w:t>'000</w:t>
            </w:r>
          </w:p>
        </w:tc>
        <w:tc>
          <w:tcPr>
            <w:tcW w:w="961" w:type="dxa"/>
            <w:tcBorders>
              <w:bottom w:val="single" w:sz="8" w:space="0" w:color="FFFFFF" w:themeColor="background1"/>
            </w:tcBorders>
            <w:shd w:val="clear" w:color="auto" w:fill="auto"/>
            <w:tcMar>
              <w:left w:w="57" w:type="dxa"/>
              <w:right w:w="57" w:type="dxa"/>
            </w:tcMar>
          </w:tcPr>
          <w:p w14:paraId="0BCEC682" w14:textId="77777777" w:rsidR="00ED748D" w:rsidRDefault="00ED748D" w:rsidP="002B23FD">
            <w:pPr>
              <w:pStyle w:val="TableUnit"/>
              <w:rPr>
                <w:lang w:val="en-GB"/>
              </w:rPr>
            </w:pPr>
            <w:r>
              <w:rPr>
                <w:lang w:val="en-GB"/>
              </w:rPr>
              <w:t>'000</w:t>
            </w:r>
          </w:p>
        </w:tc>
        <w:tc>
          <w:tcPr>
            <w:tcW w:w="961" w:type="dxa"/>
            <w:tcBorders>
              <w:bottom w:val="single" w:sz="8" w:space="0" w:color="FFFFFF" w:themeColor="background1"/>
            </w:tcBorders>
            <w:shd w:val="clear" w:color="auto" w:fill="auto"/>
            <w:tcMar>
              <w:left w:w="57" w:type="dxa"/>
              <w:right w:w="57" w:type="dxa"/>
            </w:tcMar>
          </w:tcPr>
          <w:p w14:paraId="16A21A15" w14:textId="77777777" w:rsidR="00ED748D" w:rsidRDefault="00ED748D" w:rsidP="002B23FD">
            <w:pPr>
              <w:pStyle w:val="TableUnit"/>
              <w:rPr>
                <w:lang w:val="en-GB"/>
              </w:rPr>
            </w:pPr>
            <w:r>
              <w:rPr>
                <w:lang w:val="en-GB"/>
              </w:rPr>
              <w:t>Per cent</w:t>
            </w:r>
          </w:p>
        </w:tc>
      </w:tr>
      <w:tr w:rsidR="00ED748D" w14:paraId="6C0043ED"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F98008" w14:textId="77777777" w:rsidR="00ED748D" w:rsidRDefault="00ED748D" w:rsidP="002B23FD">
            <w:pPr>
              <w:pStyle w:val="TableDataEntries"/>
              <w:jc w:val="left"/>
              <w:rPr>
                <w:lang w:val="en-GB"/>
              </w:rPr>
            </w:pPr>
            <w:r>
              <w:rPr>
                <w:lang w:val="en-GB"/>
              </w:rPr>
              <w:t>Always needs help</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B17406" w14:textId="77777777" w:rsidR="00ED748D" w:rsidRDefault="00ED748D" w:rsidP="002B23FD">
            <w:pPr>
              <w:pStyle w:val="TableDataEntries"/>
              <w:rPr>
                <w:lang w:val="en-GB"/>
              </w:rPr>
            </w:pPr>
            <w:r>
              <w:rPr>
                <w:lang w:val="en-GB"/>
              </w:rPr>
              <w:t xml:space="preserve"> 121.6</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BCB7BD" w14:textId="77777777" w:rsidR="00ED748D" w:rsidRDefault="00ED748D" w:rsidP="002B23FD">
            <w:pPr>
              <w:pStyle w:val="TableDataEntries"/>
              <w:rPr>
                <w:lang w:val="en-GB"/>
              </w:rPr>
            </w:pPr>
            <w:r>
              <w:rPr>
                <w:lang w:val="en-GB"/>
              </w:rPr>
              <w:t xml:space="preserve"> 32.8</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E191EC" w14:textId="77777777" w:rsidR="00ED748D" w:rsidRDefault="00ED748D" w:rsidP="002B23FD">
            <w:pPr>
              <w:pStyle w:val="TableDataEntries"/>
              <w:rPr>
                <w:lang w:val="en-GB"/>
              </w:rPr>
            </w:pPr>
            <w:r>
              <w:rPr>
                <w:lang w:val="en-GB"/>
              </w:rPr>
              <w:t xml:space="preserve"> 40.1</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A7D06C" w14:textId="77777777" w:rsidR="00ED748D" w:rsidRDefault="00ED748D" w:rsidP="002B23FD">
            <w:pPr>
              <w:pStyle w:val="TableDataEntries"/>
              <w:rPr>
                <w:lang w:val="en-GB"/>
              </w:rPr>
            </w:pPr>
            <w:r>
              <w:rPr>
                <w:lang w:val="en-GB"/>
              </w:rPr>
              <w:t xml:space="preserve"> 71.3</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F36FDD" w14:textId="77777777" w:rsidR="00ED748D" w:rsidRDefault="00ED748D" w:rsidP="002B23FD">
            <w:pPr>
              <w:pStyle w:val="TableDataEntries"/>
              <w:rPr>
                <w:lang w:val="en-GB"/>
              </w:rPr>
            </w:pPr>
            <w:r>
              <w:rPr>
                <w:lang w:val="en-GB"/>
              </w:rPr>
              <w:t xml:space="preserve"> 194.2</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1746B4" w14:textId="77777777" w:rsidR="00ED748D" w:rsidRDefault="00ED748D" w:rsidP="002B23FD">
            <w:pPr>
              <w:pStyle w:val="TableDataEntries"/>
              <w:rPr>
                <w:lang w:val="en-GB"/>
              </w:rPr>
            </w:pPr>
            <w:r>
              <w:rPr>
                <w:lang w:val="en-GB"/>
              </w:rPr>
              <w:t xml:space="preserve"> 6.5</w:t>
            </w:r>
          </w:p>
        </w:tc>
      </w:tr>
      <w:tr w:rsidR="00ED748D" w14:paraId="46FA638F"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3AC173" w14:textId="77777777" w:rsidR="00ED748D" w:rsidRDefault="00ED748D" w:rsidP="002B23FD">
            <w:pPr>
              <w:pStyle w:val="TableDataEntries"/>
              <w:jc w:val="left"/>
              <w:rPr>
                <w:lang w:val="en-GB"/>
              </w:rPr>
            </w:pPr>
            <w:r>
              <w:rPr>
                <w:lang w:val="en-GB"/>
              </w:rPr>
              <w:t>Sometimes needs help</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1C376A" w14:textId="77777777" w:rsidR="00ED748D" w:rsidRDefault="00ED748D" w:rsidP="002B23FD">
            <w:pPr>
              <w:pStyle w:val="TableDataEntries"/>
              <w:rPr>
                <w:lang w:val="en-GB"/>
              </w:rPr>
            </w:pPr>
            <w:r>
              <w:rPr>
                <w:lang w:val="en-GB"/>
              </w:rPr>
              <w:t xml:space="preserve"> 35.1</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6A0CC" w14:textId="77777777" w:rsidR="00ED748D" w:rsidRDefault="00ED748D" w:rsidP="002B23FD">
            <w:pPr>
              <w:pStyle w:val="TableDataEntries"/>
              <w:rPr>
                <w:lang w:val="en-GB"/>
              </w:rPr>
            </w:pPr>
            <w:r>
              <w:rPr>
                <w:lang w:val="en-GB"/>
              </w:rPr>
              <w:t xml:space="preserve"> 58.0</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369ED" w14:textId="77777777" w:rsidR="00ED748D" w:rsidRDefault="00ED748D" w:rsidP="002B23FD">
            <w:pPr>
              <w:pStyle w:val="TableDataEntries"/>
              <w:rPr>
                <w:lang w:val="en-GB"/>
              </w:rPr>
            </w:pPr>
            <w:r>
              <w:rPr>
                <w:lang w:val="en-GB"/>
              </w:rPr>
              <w:t xml:space="preserve"> 113.0</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93B5AB" w14:textId="77777777" w:rsidR="00ED748D" w:rsidRDefault="00ED748D" w:rsidP="002B23FD">
            <w:pPr>
              <w:pStyle w:val="TableDataEntries"/>
              <w:rPr>
                <w:lang w:val="en-GB"/>
              </w:rPr>
            </w:pPr>
            <w:r>
              <w:rPr>
                <w:lang w:val="en-GB"/>
              </w:rPr>
              <w:t xml:space="preserve"> 171.0</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D0B4F" w14:textId="77777777" w:rsidR="00ED748D" w:rsidRDefault="00ED748D" w:rsidP="002B23FD">
            <w:pPr>
              <w:pStyle w:val="TableDataEntries"/>
              <w:rPr>
                <w:lang w:val="en-GB"/>
              </w:rPr>
            </w:pPr>
            <w:r>
              <w:rPr>
                <w:lang w:val="en-GB"/>
              </w:rPr>
              <w:t xml:space="preserve"> 205.7</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979349" w14:textId="77777777" w:rsidR="00ED748D" w:rsidRDefault="00ED748D" w:rsidP="002B23FD">
            <w:pPr>
              <w:pStyle w:val="TableDataEntries"/>
              <w:rPr>
                <w:lang w:val="en-GB"/>
              </w:rPr>
            </w:pPr>
            <w:r>
              <w:rPr>
                <w:lang w:val="en-GB"/>
              </w:rPr>
              <w:t xml:space="preserve"> 6.9</w:t>
            </w:r>
          </w:p>
        </w:tc>
      </w:tr>
      <w:tr w:rsidR="00ED748D" w14:paraId="7ABAB6FF"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CA5186" w14:textId="77777777" w:rsidR="00ED748D" w:rsidRDefault="00ED748D" w:rsidP="002B23FD">
            <w:pPr>
              <w:pStyle w:val="TableDataEntries"/>
              <w:jc w:val="left"/>
              <w:rPr>
                <w:lang w:val="en-GB"/>
              </w:rPr>
            </w:pPr>
            <w:r>
              <w:rPr>
                <w:lang w:val="en-GB"/>
              </w:rPr>
              <w:t>Does not need help, but has difficulty</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A63CBA" w14:textId="77777777" w:rsidR="00ED748D" w:rsidRDefault="00ED748D" w:rsidP="002B23FD">
            <w:pPr>
              <w:pStyle w:val="TableDataEntries"/>
              <w:rPr>
                <w:lang w:val="en-GB"/>
              </w:rPr>
            </w:pPr>
            <w:r>
              <w:rPr>
                <w:lang w:val="en-GB"/>
              </w:rPr>
              <w:t xml:space="preserve"> 6.4</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46424" w14:textId="77777777" w:rsidR="00ED748D" w:rsidRDefault="00ED748D" w:rsidP="002B23FD">
            <w:pPr>
              <w:pStyle w:val="TableDataEntries"/>
              <w:rPr>
                <w:lang w:val="en-GB"/>
              </w:rPr>
            </w:pPr>
            <w:r>
              <w:rPr>
                <w:lang w:val="en-GB"/>
              </w:rPr>
              <w:t xml:space="preserve"> 77.1</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32983E" w14:textId="77777777" w:rsidR="00ED748D" w:rsidRDefault="00ED748D" w:rsidP="002B23FD">
            <w:pPr>
              <w:pStyle w:val="TableDataEntries"/>
              <w:rPr>
                <w:lang w:val="en-GB"/>
              </w:rPr>
            </w:pPr>
            <w:r>
              <w:rPr>
                <w:lang w:val="en-GB"/>
              </w:rPr>
              <w:t xml:space="preserve"> 169.2</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0740DD" w14:textId="77777777" w:rsidR="00ED748D" w:rsidRDefault="00ED748D" w:rsidP="002B23FD">
            <w:pPr>
              <w:pStyle w:val="TableDataEntries"/>
              <w:rPr>
                <w:lang w:val="en-GB"/>
              </w:rPr>
            </w:pPr>
            <w:r>
              <w:rPr>
                <w:lang w:val="en-GB"/>
              </w:rPr>
              <w:t xml:space="preserve"> 248.4</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503CEB" w14:textId="77777777" w:rsidR="00ED748D" w:rsidRDefault="00ED748D" w:rsidP="002B23FD">
            <w:pPr>
              <w:pStyle w:val="TableDataEntries"/>
              <w:rPr>
                <w:lang w:val="en-GB"/>
              </w:rPr>
            </w:pPr>
            <w:r>
              <w:rPr>
                <w:lang w:val="en-GB"/>
              </w:rPr>
              <w:t xml:space="preserve"> 253.5</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DED04" w14:textId="77777777" w:rsidR="00ED748D" w:rsidRDefault="00ED748D" w:rsidP="002B23FD">
            <w:pPr>
              <w:pStyle w:val="TableDataEntries"/>
              <w:rPr>
                <w:lang w:val="en-GB"/>
              </w:rPr>
            </w:pPr>
            <w:r>
              <w:rPr>
                <w:lang w:val="en-GB"/>
              </w:rPr>
              <w:t xml:space="preserve"> 8.5</w:t>
            </w:r>
          </w:p>
        </w:tc>
      </w:tr>
      <w:tr w:rsidR="00ED748D" w14:paraId="63CB5D6E"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80B6146" w14:textId="77777777" w:rsidR="00ED748D" w:rsidRDefault="00ED748D" w:rsidP="002B23FD">
            <w:pPr>
              <w:pStyle w:val="TableDataEntries"/>
              <w:jc w:val="left"/>
              <w:rPr>
                <w:lang w:val="en-GB"/>
              </w:rPr>
            </w:pPr>
            <w:r>
              <w:rPr>
                <w:lang w:val="en-GB"/>
              </w:rPr>
              <w:t>Total requiring help or has difficulty</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79FB863" w14:textId="77777777" w:rsidR="00ED748D" w:rsidRDefault="00ED748D" w:rsidP="002B23FD">
            <w:pPr>
              <w:pStyle w:val="TableDataEntries"/>
              <w:rPr>
                <w:lang w:val="en-GB"/>
              </w:rPr>
            </w:pPr>
            <w:r>
              <w:rPr>
                <w:lang w:val="en-GB"/>
              </w:rPr>
              <w:t xml:space="preserve"> 163.1</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5716E67" w14:textId="77777777" w:rsidR="00ED748D" w:rsidRDefault="00ED748D" w:rsidP="002B23FD">
            <w:pPr>
              <w:pStyle w:val="TableDataEntries"/>
              <w:rPr>
                <w:lang w:val="en-GB"/>
              </w:rPr>
            </w:pPr>
            <w:r>
              <w:rPr>
                <w:lang w:val="en-GB"/>
              </w:rPr>
              <w:t xml:space="preserve"> 167.9</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4BA54759" w14:textId="77777777" w:rsidR="00ED748D" w:rsidRDefault="00ED748D" w:rsidP="002B23FD">
            <w:pPr>
              <w:pStyle w:val="TableDataEntries"/>
              <w:rPr>
                <w:lang w:val="en-GB"/>
              </w:rPr>
            </w:pPr>
            <w:r>
              <w:rPr>
                <w:lang w:val="en-GB"/>
              </w:rPr>
              <w:t xml:space="preserve"> 322.3</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EAF0AAF" w14:textId="77777777" w:rsidR="00ED748D" w:rsidRDefault="00ED748D" w:rsidP="002B23FD">
            <w:pPr>
              <w:pStyle w:val="TableDataEntries"/>
              <w:rPr>
                <w:lang w:val="en-GB"/>
              </w:rPr>
            </w:pPr>
            <w:r>
              <w:rPr>
                <w:lang w:val="en-GB"/>
              </w:rPr>
              <w:t xml:space="preserve"> 490.7</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C399DE3" w14:textId="77777777" w:rsidR="00ED748D" w:rsidRDefault="00ED748D" w:rsidP="002B23FD">
            <w:pPr>
              <w:pStyle w:val="TableDataEntries"/>
              <w:rPr>
                <w:lang w:val="en-GB"/>
              </w:rPr>
            </w:pPr>
            <w:r>
              <w:rPr>
                <w:lang w:val="en-GB"/>
              </w:rPr>
              <w:t xml:space="preserve"> 653.4</w:t>
            </w:r>
          </w:p>
        </w:tc>
        <w:tc>
          <w:tcPr>
            <w:tcW w:w="9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96ADDCB" w14:textId="77777777" w:rsidR="00ED748D" w:rsidRDefault="00ED748D" w:rsidP="002B23FD">
            <w:pPr>
              <w:pStyle w:val="TableDataEntries"/>
              <w:rPr>
                <w:lang w:val="en-GB"/>
              </w:rPr>
            </w:pPr>
            <w:r>
              <w:rPr>
                <w:lang w:val="en-GB"/>
              </w:rPr>
              <w:t xml:space="preserve"> 21.9</w:t>
            </w:r>
          </w:p>
        </w:tc>
      </w:tr>
      <w:tr w:rsidR="00ED748D" w14:paraId="3F772563"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CC3701" w14:textId="77777777" w:rsidR="00ED748D" w:rsidRDefault="00ED748D" w:rsidP="002B23FD">
            <w:pPr>
              <w:pStyle w:val="TableDataEntries"/>
              <w:jc w:val="left"/>
              <w:rPr>
                <w:lang w:val="en-GB"/>
              </w:rPr>
            </w:pPr>
            <w:r>
              <w:rPr>
                <w:lang w:val="en-GB"/>
              </w:rPr>
              <w:t>Does not move around residence</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66E660" w14:textId="77777777" w:rsidR="00ED748D" w:rsidRDefault="00ED748D" w:rsidP="002B23FD">
            <w:pPr>
              <w:pStyle w:val="TableDataEntries"/>
              <w:rPr>
                <w:lang w:val="en-GB"/>
              </w:rPr>
            </w:pPr>
            <w:r>
              <w:rPr>
                <w:lang w:val="en-GB"/>
              </w:rPr>
              <w:t xml:space="preserve"> 9.5</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A0AF83" w14:textId="77777777" w:rsidR="00ED748D" w:rsidRDefault="00ED748D" w:rsidP="002B23FD">
            <w:pPr>
              <w:pStyle w:val="TableDataEntries"/>
              <w:rPr>
                <w:lang w:val="en-GB"/>
              </w:rPr>
            </w:pPr>
            <w:r>
              <w:rPr>
                <w:lang w:val="en-GB"/>
              </w:rPr>
              <w:t xml:space="preserve"> 0.0</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7A2F19" w14:textId="77777777" w:rsidR="00ED748D" w:rsidRDefault="00ED748D" w:rsidP="002B23FD">
            <w:pPr>
              <w:pStyle w:val="TableDataEntries"/>
              <w:rPr>
                <w:lang w:val="en-GB"/>
              </w:rPr>
            </w:pPr>
            <w:r>
              <w:rPr>
                <w:lang w:val="en-GB"/>
              </w:rPr>
              <w:t xml:space="preserve"> 7.2</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6DAB3F" w14:textId="77777777" w:rsidR="00ED748D" w:rsidRDefault="00ED748D" w:rsidP="002B23FD">
            <w:pPr>
              <w:pStyle w:val="TableDataEntries"/>
              <w:rPr>
                <w:lang w:val="en-GB"/>
              </w:rPr>
            </w:pPr>
            <w:r>
              <w:rPr>
                <w:lang w:val="en-GB"/>
              </w:rPr>
              <w:t xml:space="preserve"> 4.8</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4F6F93" w14:textId="77777777" w:rsidR="00ED748D" w:rsidRDefault="00ED748D" w:rsidP="002B23FD">
            <w:pPr>
              <w:pStyle w:val="TableDataEntries"/>
              <w:rPr>
                <w:lang w:val="en-GB"/>
              </w:rPr>
            </w:pPr>
            <w:r>
              <w:rPr>
                <w:lang w:val="en-GB"/>
              </w:rPr>
              <w:t xml:space="preserve"> 15.6</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780C27" w14:textId="77777777" w:rsidR="00ED748D" w:rsidRDefault="00ED748D" w:rsidP="002B23FD">
            <w:pPr>
              <w:pStyle w:val="TableDataEntries"/>
              <w:rPr>
                <w:lang w:val="en-GB"/>
              </w:rPr>
            </w:pPr>
            <w:r>
              <w:rPr>
                <w:lang w:val="en-GB"/>
              </w:rPr>
              <w:t xml:space="preserve"> 0.5</w:t>
            </w:r>
          </w:p>
        </w:tc>
      </w:tr>
      <w:tr w:rsidR="00ED748D" w14:paraId="19A6549B" w14:textId="77777777" w:rsidTr="002B23FD">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20C0C" w14:textId="77777777" w:rsidR="00ED748D" w:rsidRDefault="00ED748D" w:rsidP="002B23FD">
            <w:pPr>
              <w:pStyle w:val="TableDataEntries"/>
              <w:jc w:val="left"/>
              <w:rPr>
                <w:lang w:val="en-GB"/>
              </w:rPr>
            </w:pPr>
            <w:r>
              <w:rPr>
                <w:lang w:val="en-GB"/>
              </w:rPr>
              <w:t>Has no difficulty</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51454" w14:textId="77777777" w:rsidR="00ED748D" w:rsidRDefault="00ED748D" w:rsidP="002B23FD">
            <w:pPr>
              <w:pStyle w:val="TableDataEntries"/>
              <w:rPr>
                <w:lang w:val="en-GB"/>
              </w:rPr>
            </w:pPr>
            <w:r>
              <w:rPr>
                <w:lang w:val="en-GB"/>
              </w:rPr>
              <w:t xml:space="preserve"> 11.7</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19D0E7" w14:textId="77777777" w:rsidR="00ED748D" w:rsidRDefault="00ED748D" w:rsidP="002B23FD">
            <w:pPr>
              <w:pStyle w:val="TableDataEntries"/>
              <w:rPr>
                <w:lang w:val="en-GB"/>
              </w:rPr>
            </w:pPr>
            <w:r>
              <w:rPr>
                <w:lang w:val="en-GB"/>
              </w:rPr>
              <w:t xml:space="preserve"> 309.9</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700775" w14:textId="77777777" w:rsidR="00ED748D" w:rsidRDefault="00ED748D" w:rsidP="002B23FD">
            <w:pPr>
              <w:pStyle w:val="TableDataEntries"/>
              <w:rPr>
                <w:lang w:val="en-GB"/>
              </w:rPr>
            </w:pPr>
            <w:r>
              <w:rPr>
                <w:lang w:val="en-GB"/>
              </w:rPr>
              <w:t>1 992.3</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DAEFAA" w14:textId="77777777" w:rsidR="00ED748D" w:rsidRDefault="00ED748D" w:rsidP="002B23FD">
            <w:pPr>
              <w:pStyle w:val="TableDataEntries"/>
              <w:rPr>
                <w:lang w:val="en-GB"/>
              </w:rPr>
            </w:pPr>
            <w:r>
              <w:rPr>
                <w:lang w:val="en-GB"/>
              </w:rPr>
              <w:t>2 301.9</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2936A1" w14:textId="77777777" w:rsidR="00ED748D" w:rsidRDefault="00ED748D" w:rsidP="002B23FD">
            <w:pPr>
              <w:pStyle w:val="TableDataEntries"/>
              <w:rPr>
                <w:lang w:val="en-GB"/>
              </w:rPr>
            </w:pPr>
            <w:r>
              <w:rPr>
                <w:lang w:val="en-GB"/>
              </w:rPr>
              <w:t>2 313.9</w:t>
            </w:r>
          </w:p>
        </w:tc>
        <w:tc>
          <w:tcPr>
            <w:tcW w:w="9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21B195" w14:textId="77777777" w:rsidR="00ED748D" w:rsidRDefault="00ED748D" w:rsidP="002B23FD">
            <w:pPr>
              <w:pStyle w:val="TableDataEntries"/>
              <w:rPr>
                <w:lang w:val="en-GB"/>
              </w:rPr>
            </w:pPr>
            <w:r>
              <w:rPr>
                <w:lang w:val="en-GB"/>
              </w:rPr>
              <w:t xml:space="preserve"> 77.6</w:t>
            </w:r>
          </w:p>
        </w:tc>
      </w:tr>
      <w:tr w:rsidR="00ED748D" w:rsidRPr="00B308C0" w14:paraId="15EBC1E8" w14:textId="77777777" w:rsidTr="002B23FD">
        <w:trPr>
          <w:trHeight w:val="230"/>
        </w:trPr>
        <w:tc>
          <w:tcPr>
            <w:tcW w:w="217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D088FFC" w14:textId="77777777" w:rsidR="00ED748D" w:rsidRPr="0053773C" w:rsidRDefault="00ED748D" w:rsidP="002B23FD">
            <w:pPr>
              <w:pStyle w:val="TableDataEntries"/>
              <w:jc w:val="left"/>
              <w:rPr>
                <w:rFonts w:ascii="Franklin Gothic Demi" w:hAnsi="Franklin Gothic Demi"/>
                <w:lang w:val="en-GB"/>
              </w:rPr>
            </w:pPr>
            <w:r w:rsidRPr="0053773C">
              <w:rPr>
                <w:rFonts w:ascii="Franklin Gothic Demi" w:hAnsi="Franklin Gothic Demi"/>
                <w:lang w:val="en-GB"/>
              </w:rPr>
              <w:t>Total</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C886992"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 xml:space="preserve"> 184.3</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846FAA1"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 xml:space="preserve"> 477.8</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609BE3D"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2 321.8</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ED41C81"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2 797.4</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A563B62"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2 982.9</w:t>
            </w:r>
          </w:p>
        </w:tc>
        <w:tc>
          <w:tcPr>
            <w:tcW w:w="9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930F31E" w14:textId="77777777" w:rsidR="00ED748D" w:rsidRPr="0053773C" w:rsidRDefault="00ED748D" w:rsidP="002B23FD">
            <w:pPr>
              <w:pStyle w:val="TableDataEntries"/>
              <w:rPr>
                <w:rFonts w:ascii="Franklin Gothic Demi" w:hAnsi="Franklin Gothic Demi"/>
                <w:lang w:val="en-GB"/>
              </w:rPr>
            </w:pPr>
            <w:r w:rsidRPr="0053773C">
              <w:rPr>
                <w:rFonts w:ascii="Franklin Gothic Demi" w:hAnsi="Franklin Gothic Demi"/>
                <w:lang w:val="en-GB"/>
              </w:rPr>
              <w:t xml:space="preserve"> 100.0</w:t>
            </w:r>
          </w:p>
        </w:tc>
      </w:tr>
    </w:tbl>
    <w:p w14:paraId="107AAC5D" w14:textId="77777777" w:rsidR="00ED748D" w:rsidRPr="00E94313" w:rsidRDefault="00ED748D" w:rsidP="00ED748D">
      <w:pPr>
        <w:pStyle w:val="Source"/>
        <w:rPr>
          <w:iCs/>
          <w:lang w:bidi="fa-IR"/>
        </w:rPr>
      </w:pPr>
      <w:r w:rsidRPr="00E94313">
        <w:rPr>
          <w:iCs/>
          <w:lang w:bidi="fa-IR"/>
        </w:rPr>
        <w:t xml:space="preserve">Source: </w:t>
      </w:r>
      <w:r w:rsidRPr="00E94313">
        <w:rPr>
          <w:iCs/>
        </w:rPr>
        <w:t>ABS, Survey of Disabilities, Ageing and Carers, 2018, TableBuilder.</w:t>
      </w:r>
    </w:p>
    <w:p w14:paraId="4D331F69" w14:textId="77777777" w:rsidR="008639A0" w:rsidRDefault="00ED748D" w:rsidP="00ED748D">
      <w:pPr>
        <w:pStyle w:val="BodyText"/>
        <w:rPr>
          <w:lang w:eastAsia="en-US" w:bidi="fa-IR"/>
        </w:rPr>
      </w:pPr>
      <w:r>
        <w:rPr>
          <w:lang w:eastAsia="en-US" w:bidi="fa-IR"/>
        </w:rPr>
        <w:t xml:space="preserve">The SDAC survey suggests that for most people with mobility limitation, their residence meets their accessibility needs (at least internally). </w:t>
      </w:r>
    </w:p>
    <w:p w14:paraId="3D48DEC1" w14:textId="77777777" w:rsidR="00ED748D" w:rsidRDefault="00ED748D" w:rsidP="00ED748D">
      <w:pPr>
        <w:pStyle w:val="BodyText"/>
        <w:rPr>
          <w:lang w:eastAsia="en-US" w:bidi="fa-IR"/>
        </w:rPr>
      </w:pPr>
      <w:r>
        <w:rPr>
          <w:lang w:eastAsia="en-US" w:bidi="fa-IR"/>
        </w:rPr>
        <w:t xml:space="preserve">A </w:t>
      </w:r>
      <w:r w:rsidR="00D5696D">
        <w:rPr>
          <w:lang w:eastAsia="en-US" w:bidi="fa-IR"/>
        </w:rPr>
        <w:t>Council on the Ageing (</w:t>
      </w:r>
      <w:r>
        <w:rPr>
          <w:lang w:eastAsia="en-US" w:bidi="fa-IR"/>
        </w:rPr>
        <w:t>COTA</w:t>
      </w:r>
      <w:r w:rsidR="00D5696D">
        <w:rPr>
          <w:lang w:eastAsia="en-US" w:bidi="fa-IR"/>
        </w:rPr>
        <w:t>)</w:t>
      </w:r>
      <w:r>
        <w:rPr>
          <w:lang w:eastAsia="en-US" w:bidi="fa-IR"/>
        </w:rPr>
        <w:t xml:space="preserve"> survey of people over the age of 50 provides some support for these findings. An unpublished analysis of the survey data suggests the following:</w:t>
      </w:r>
      <w:r>
        <w:rPr>
          <w:rStyle w:val="FootnoteReference"/>
          <w:lang w:eastAsia="en-US" w:bidi="fa-IR"/>
        </w:rPr>
        <w:footnoteReference w:id="445"/>
      </w:r>
    </w:p>
    <w:p w14:paraId="2F966343" w14:textId="77777777" w:rsidR="00ED748D" w:rsidRDefault="00ED748D" w:rsidP="00ED748D">
      <w:pPr>
        <w:pStyle w:val="ListBullet"/>
        <w:numPr>
          <w:ilvl w:val="0"/>
          <w:numId w:val="16"/>
        </w:numPr>
        <w:spacing w:before="50"/>
        <w:rPr>
          <w:lang w:eastAsia="en-US" w:bidi="fa-IR"/>
        </w:rPr>
      </w:pPr>
      <w:r>
        <w:rPr>
          <w:lang w:eastAsia="en-US" w:bidi="fa-IR"/>
        </w:rPr>
        <w:t>27.6 per cent of respondents did not think their home would meet their needs in the future (</w:t>
      </w:r>
      <w:r w:rsidRPr="00FF3A4A">
        <w:rPr>
          <w:lang w:eastAsia="en-US" w:bidi="fa-IR"/>
        </w:rPr>
        <w:t>although close to 20 per cent indicated that they did not know</w:t>
      </w:r>
      <w:r>
        <w:rPr>
          <w:lang w:eastAsia="en-US" w:bidi="fa-IR"/>
        </w:rPr>
        <w:t>)</w:t>
      </w:r>
    </w:p>
    <w:p w14:paraId="376AD051" w14:textId="77777777" w:rsidR="00ED748D" w:rsidRDefault="00ED748D" w:rsidP="00ED748D">
      <w:pPr>
        <w:pStyle w:val="ListBullet"/>
        <w:numPr>
          <w:ilvl w:val="0"/>
          <w:numId w:val="16"/>
        </w:numPr>
        <w:spacing w:before="50"/>
        <w:rPr>
          <w:lang w:eastAsia="en-US" w:bidi="fa-IR"/>
        </w:rPr>
      </w:pPr>
      <w:r>
        <w:rPr>
          <w:lang w:eastAsia="en-US" w:bidi="fa-IR"/>
        </w:rPr>
        <w:t>of the people who indicated that their home would not meet their needs, around 44 per cent indicated that poor access/accessibility was a reason why</w:t>
      </w:r>
    </w:p>
    <w:p w14:paraId="17C67823" w14:textId="77777777" w:rsidR="00ED748D" w:rsidRDefault="00ED748D" w:rsidP="00ED748D">
      <w:pPr>
        <w:pStyle w:val="ListBullet"/>
        <w:numPr>
          <w:ilvl w:val="0"/>
          <w:numId w:val="16"/>
        </w:numPr>
        <w:spacing w:before="50"/>
        <w:rPr>
          <w:lang w:eastAsia="en-US" w:bidi="fa-IR"/>
        </w:rPr>
      </w:pPr>
      <w:r>
        <w:rPr>
          <w:lang w:eastAsia="en-US" w:bidi="fa-IR"/>
        </w:rPr>
        <w:t xml:space="preserve">this implies that only around 12 per cent </w:t>
      </w:r>
      <w:r w:rsidR="00A63776">
        <w:rPr>
          <w:lang w:eastAsia="en-US" w:bidi="fa-IR"/>
        </w:rPr>
        <w:t xml:space="preserve">of </w:t>
      </w:r>
      <w:r>
        <w:rPr>
          <w:lang w:eastAsia="en-US" w:bidi="fa-IR"/>
        </w:rPr>
        <w:t>people believed their house would not meet their future needs due to poor access/accessibility.</w:t>
      </w:r>
    </w:p>
    <w:p w14:paraId="33FB9FD9" w14:textId="77777777" w:rsidR="00ED748D" w:rsidRDefault="00ED748D" w:rsidP="00ED748D">
      <w:pPr>
        <w:pStyle w:val="BodyText"/>
        <w:rPr>
          <w:lang w:eastAsia="en-US" w:bidi="fa-IR"/>
        </w:rPr>
      </w:pPr>
      <w:r>
        <w:rPr>
          <w:lang w:eastAsia="en-US" w:bidi="fa-IR"/>
        </w:rPr>
        <w:t>As these survey results are based on future expectations, rather than actual experience they need to be treated with some caution. Many people may not be able to accurately foresee their future accessibility needs.</w:t>
      </w:r>
    </w:p>
    <w:p w14:paraId="57300619" w14:textId="77777777" w:rsidR="00ED748D" w:rsidRDefault="00AD75C3" w:rsidP="00F11742">
      <w:pPr>
        <w:pStyle w:val="KeyPoint"/>
        <w:numPr>
          <w:ilvl w:val="0"/>
          <w:numId w:val="11"/>
        </w:numPr>
        <w:rPr>
          <w:lang w:bidi="fa-IR"/>
        </w:rPr>
      </w:pPr>
      <w:r w:rsidRPr="00A62CD5">
        <w:rPr>
          <w:lang w:bidi="fa-IR"/>
        </w:rPr>
        <w:t xml:space="preserve">It is </w:t>
      </w:r>
      <w:r w:rsidR="00ED748D" w:rsidRPr="00A62CD5">
        <w:rPr>
          <w:lang w:bidi="fa-IR"/>
        </w:rPr>
        <w:t>assume</w:t>
      </w:r>
      <w:r w:rsidRPr="00A62CD5">
        <w:rPr>
          <w:lang w:bidi="fa-IR"/>
        </w:rPr>
        <w:t>d</w:t>
      </w:r>
      <w:r w:rsidR="00ED748D">
        <w:rPr>
          <w:lang w:bidi="fa-IR"/>
        </w:rPr>
        <w:t xml:space="preserve"> that the population at greater risk of falling due to housing that lacks accessibility features are those </w:t>
      </w:r>
      <w:r w:rsidR="00A63776">
        <w:rPr>
          <w:lang w:bidi="fa-IR"/>
        </w:rPr>
        <w:t xml:space="preserve">people </w:t>
      </w:r>
      <w:r w:rsidR="00ED748D">
        <w:rPr>
          <w:lang w:bidi="fa-IR"/>
        </w:rPr>
        <w:t>that:</w:t>
      </w:r>
    </w:p>
    <w:p w14:paraId="6866C4BF" w14:textId="77777777" w:rsidR="00ED748D" w:rsidRDefault="00ED748D" w:rsidP="00F11742">
      <w:pPr>
        <w:pStyle w:val="KeyPoint2"/>
        <w:numPr>
          <w:ilvl w:val="1"/>
          <w:numId w:val="11"/>
        </w:numPr>
        <w:rPr>
          <w:lang w:bidi="fa-IR"/>
        </w:rPr>
      </w:pPr>
      <w:r>
        <w:rPr>
          <w:lang w:bidi="fa-IR"/>
        </w:rPr>
        <w:t>have mobility limitation</w:t>
      </w:r>
    </w:p>
    <w:p w14:paraId="4996C128" w14:textId="77777777" w:rsidR="00ED748D" w:rsidRDefault="00ED748D" w:rsidP="00F11742">
      <w:pPr>
        <w:pStyle w:val="KeyPoint2"/>
        <w:numPr>
          <w:ilvl w:val="1"/>
          <w:numId w:val="11"/>
        </w:numPr>
        <w:rPr>
          <w:lang w:bidi="fa-IR"/>
        </w:rPr>
      </w:pPr>
      <w:r>
        <w:rPr>
          <w:lang w:bidi="fa-IR"/>
        </w:rPr>
        <w:t>live in households</w:t>
      </w:r>
    </w:p>
    <w:p w14:paraId="377CF958" w14:textId="77777777" w:rsidR="00ED748D" w:rsidRDefault="00ED748D" w:rsidP="00F11742">
      <w:pPr>
        <w:pStyle w:val="KeyPoint2"/>
        <w:numPr>
          <w:ilvl w:val="1"/>
          <w:numId w:val="11"/>
        </w:numPr>
        <w:rPr>
          <w:lang w:bidi="fa-IR"/>
        </w:rPr>
      </w:pPr>
      <w:r>
        <w:rPr>
          <w:lang w:bidi="fa-IR"/>
        </w:rPr>
        <w:t>live in a dwelling that has not been modified as a result of their age or condition</w:t>
      </w:r>
    </w:p>
    <w:p w14:paraId="50766854" w14:textId="77777777" w:rsidR="00ED748D" w:rsidRDefault="00ED748D" w:rsidP="00F11742">
      <w:pPr>
        <w:pStyle w:val="KeyPoint2"/>
        <w:numPr>
          <w:ilvl w:val="1"/>
          <w:numId w:val="11"/>
        </w:numPr>
        <w:rPr>
          <w:lang w:bidi="fa-IR"/>
        </w:rPr>
      </w:pPr>
      <w:r>
        <w:rPr>
          <w:lang w:bidi="fa-IR"/>
        </w:rPr>
        <w:t>either require assistance or have trouble moving around their residence.</w:t>
      </w:r>
    </w:p>
    <w:p w14:paraId="698D43AB" w14:textId="77777777" w:rsidR="00ED748D" w:rsidRDefault="00ED748D" w:rsidP="00F11742">
      <w:pPr>
        <w:pStyle w:val="KeyPoint"/>
        <w:numPr>
          <w:ilvl w:val="0"/>
          <w:numId w:val="11"/>
        </w:numPr>
        <w:rPr>
          <w:lang w:bidi="fa-IR"/>
        </w:rPr>
      </w:pPr>
      <w:r>
        <w:rPr>
          <w:lang w:bidi="fa-IR"/>
        </w:rPr>
        <w:lastRenderedPageBreak/>
        <w:t xml:space="preserve">Based on these criteria, the 2018 SDAC survey suggests there were </w:t>
      </w:r>
      <w:r w:rsidRPr="00F8781E">
        <w:rPr>
          <w:lang w:bidi="fa-IR"/>
        </w:rPr>
        <w:t>around 325 100 people</w:t>
      </w:r>
      <w:r>
        <w:rPr>
          <w:rStyle w:val="FootnoteReference"/>
          <w:lang w:bidi="fa-IR"/>
        </w:rPr>
        <w:footnoteReference w:id="446"/>
      </w:r>
      <w:r>
        <w:rPr>
          <w:lang w:bidi="fa-IR"/>
        </w:rPr>
        <w:t xml:space="preserve"> that are at higher risk of falls due to inaccessible housing</w:t>
      </w:r>
      <w:r w:rsidRPr="00F8781E">
        <w:rPr>
          <w:lang w:bidi="fa-IR"/>
        </w:rPr>
        <w:t>.</w:t>
      </w:r>
    </w:p>
    <w:p w14:paraId="6B69D933" w14:textId="77777777" w:rsidR="00ED748D" w:rsidRPr="004B79EC" w:rsidRDefault="00775E85" w:rsidP="004B79EC">
      <w:pPr>
        <w:pStyle w:val="Heading2-Appendix"/>
      </w:pPr>
      <w:r w:rsidRPr="004B79EC">
        <w:t>Impact of accessible housing on s</w:t>
      </w:r>
      <w:r w:rsidR="00ED748D" w:rsidRPr="004B79EC">
        <w:t>afety outcomes</w:t>
      </w:r>
    </w:p>
    <w:p w14:paraId="56BE70D0" w14:textId="77777777" w:rsidR="00775E85" w:rsidRDefault="00775E85" w:rsidP="00775E85">
      <w:pPr>
        <w:pStyle w:val="BodyText"/>
        <w:rPr>
          <w:rStyle w:val="DraftingNote"/>
          <w:b w:val="0"/>
          <w:color w:val="auto"/>
          <w:u w:val="none"/>
        </w:rPr>
      </w:pPr>
      <w:r>
        <w:rPr>
          <w:rStyle w:val="DraftingNote"/>
          <w:b w:val="0"/>
          <w:color w:val="auto"/>
          <w:u w:val="none"/>
        </w:rPr>
        <w:t>Based on</w:t>
      </w:r>
      <w:r w:rsidR="00ED748D" w:rsidRPr="00F11742">
        <w:rPr>
          <w:rStyle w:val="DraftingNote"/>
          <w:b w:val="0"/>
          <w:color w:val="auto"/>
          <w:u w:val="none"/>
        </w:rPr>
        <w:t xml:space="preserve"> the </w:t>
      </w:r>
      <w:r>
        <w:rPr>
          <w:rStyle w:val="DraftingNote"/>
          <w:b w:val="0"/>
          <w:color w:val="auto"/>
          <w:u w:val="none"/>
        </w:rPr>
        <w:t xml:space="preserve">results of several studies on the impact of home modifications (and other interventions) on the number of falls in older people, in the Consultation RIS </w:t>
      </w:r>
      <w:r w:rsidR="001B598B">
        <w:rPr>
          <w:rStyle w:val="DraftingNote"/>
          <w:b w:val="0"/>
          <w:color w:val="auto"/>
          <w:u w:val="none"/>
        </w:rPr>
        <w:t>CIE</w:t>
      </w:r>
      <w:r>
        <w:rPr>
          <w:rStyle w:val="DraftingNote"/>
          <w:b w:val="0"/>
          <w:color w:val="auto"/>
          <w:u w:val="none"/>
        </w:rPr>
        <w:t xml:space="preserve"> </w:t>
      </w:r>
      <w:r w:rsidRPr="008C5F16">
        <w:rPr>
          <w:rStyle w:val="DraftingNote"/>
          <w:b w:val="0"/>
          <w:color w:val="auto"/>
          <w:u w:val="none"/>
        </w:rPr>
        <w:t>assume</w:t>
      </w:r>
      <w:r>
        <w:rPr>
          <w:rStyle w:val="DraftingNote"/>
          <w:b w:val="0"/>
          <w:color w:val="auto"/>
          <w:u w:val="none"/>
        </w:rPr>
        <w:t>d</w:t>
      </w:r>
      <w:r w:rsidRPr="008C5F16">
        <w:rPr>
          <w:rStyle w:val="DraftingNote"/>
          <w:b w:val="0"/>
          <w:color w:val="auto"/>
          <w:u w:val="none"/>
        </w:rPr>
        <w:t xml:space="preserve"> that the number of falls is </w:t>
      </w:r>
      <w:r>
        <w:rPr>
          <w:rStyle w:val="DraftingNote"/>
          <w:b w:val="0"/>
          <w:color w:val="auto"/>
          <w:u w:val="none"/>
        </w:rPr>
        <w:t xml:space="preserve">between 27 per cent and 46 per cent higher in housing without accessibility features, with a central case estimate of </w:t>
      </w:r>
      <w:r w:rsidRPr="008C5F16">
        <w:rPr>
          <w:rStyle w:val="DraftingNote"/>
          <w:b w:val="0"/>
          <w:color w:val="auto"/>
          <w:u w:val="none"/>
        </w:rPr>
        <w:t>around 37 per cent</w:t>
      </w:r>
      <w:r>
        <w:rPr>
          <w:rStyle w:val="DraftingNote"/>
          <w:b w:val="0"/>
          <w:color w:val="auto"/>
          <w:u w:val="none"/>
        </w:rPr>
        <w:t>.</w:t>
      </w:r>
    </w:p>
    <w:p w14:paraId="62FABBFE" w14:textId="77777777" w:rsidR="00775E85" w:rsidRDefault="00775E85" w:rsidP="00775E85">
      <w:pPr>
        <w:pStyle w:val="BodyText"/>
        <w:rPr>
          <w:lang w:eastAsia="en-US" w:bidi="fa-IR"/>
        </w:rPr>
      </w:pPr>
      <w:r>
        <w:rPr>
          <w:lang w:eastAsia="en-US" w:bidi="fa-IR"/>
        </w:rPr>
        <w:t>However, CIE also noted the following caveats.</w:t>
      </w:r>
    </w:p>
    <w:p w14:paraId="480AF6B5" w14:textId="77777777" w:rsidR="00ED748D" w:rsidRDefault="00ED748D" w:rsidP="00ED748D">
      <w:pPr>
        <w:pStyle w:val="ListBullet"/>
        <w:numPr>
          <w:ilvl w:val="0"/>
          <w:numId w:val="16"/>
        </w:numPr>
        <w:rPr>
          <w:lang w:eastAsia="en-US" w:bidi="fa-IR"/>
        </w:rPr>
      </w:pPr>
      <w:r>
        <w:rPr>
          <w:lang w:eastAsia="en-US" w:bidi="fa-IR"/>
        </w:rPr>
        <w:t>The results in these studies are driven by occupational therapy interventions in general (which includes home modifications) and not home modifications specifically.</w:t>
      </w:r>
    </w:p>
    <w:p w14:paraId="67A76C1F" w14:textId="77777777" w:rsidR="00775E85" w:rsidRPr="005362A0" w:rsidRDefault="00ED748D" w:rsidP="00775E85">
      <w:pPr>
        <w:pStyle w:val="ListBullet"/>
        <w:numPr>
          <w:ilvl w:val="0"/>
          <w:numId w:val="16"/>
        </w:numPr>
        <w:rPr>
          <w:lang w:eastAsia="en-US" w:bidi="fa-IR"/>
        </w:rPr>
      </w:pPr>
      <w:r w:rsidRPr="005362A0">
        <w:rPr>
          <w:lang w:eastAsia="en-US" w:bidi="fa-IR"/>
        </w:rPr>
        <w:t xml:space="preserve">Some studies find no effect. </w:t>
      </w:r>
      <w:r w:rsidR="00775E85" w:rsidRPr="005362A0">
        <w:rPr>
          <w:lang w:eastAsia="en-US" w:bidi="fa-IR"/>
        </w:rPr>
        <w:t xml:space="preserve">For example, Day et al </w:t>
      </w:r>
      <w:r w:rsidR="001B598B" w:rsidRPr="005362A0">
        <w:rPr>
          <w:lang w:eastAsia="en-US" w:bidi="fa-IR"/>
        </w:rPr>
        <w:t>(</w:t>
      </w:r>
      <w:r w:rsidR="00775E85" w:rsidRPr="005362A0">
        <w:rPr>
          <w:lang w:eastAsia="en-US" w:bidi="fa-IR"/>
        </w:rPr>
        <w:t>2002</w:t>
      </w:r>
      <w:r w:rsidR="001B598B" w:rsidRPr="005362A0">
        <w:rPr>
          <w:lang w:eastAsia="en-US" w:bidi="fa-IR"/>
        </w:rPr>
        <w:t>)</w:t>
      </w:r>
      <w:r w:rsidR="00553A65">
        <w:rPr>
          <w:rStyle w:val="FootnoteReference"/>
          <w:lang w:eastAsia="en-US" w:bidi="fa-IR"/>
        </w:rPr>
        <w:footnoteReference w:id="447"/>
      </w:r>
      <w:r w:rsidR="00A81539">
        <w:rPr>
          <w:lang w:eastAsia="en-US" w:bidi="fa-IR"/>
        </w:rPr>
        <w:t xml:space="preserve"> </w:t>
      </w:r>
      <w:r w:rsidR="00775E85" w:rsidRPr="005362A0">
        <w:rPr>
          <w:lang w:eastAsia="en-US" w:bidi="fa-IR"/>
        </w:rPr>
        <w:t xml:space="preserve">finds that “home hazard reduction” reduces falls in combination with exercise and vision improvement, but does not have a significant impact in isolation. </w:t>
      </w:r>
    </w:p>
    <w:p w14:paraId="1CEBD075" w14:textId="77777777" w:rsidR="00775E85" w:rsidRDefault="00775E85" w:rsidP="00775E85">
      <w:pPr>
        <w:pStyle w:val="BodyText"/>
        <w:rPr>
          <w:lang w:eastAsia="en-US" w:bidi="fa-IR"/>
        </w:rPr>
      </w:pPr>
      <w:r>
        <w:rPr>
          <w:lang w:eastAsia="en-US" w:bidi="fa-IR"/>
        </w:rPr>
        <w:t>There were also several relevant comments from submissions, including the following.</w:t>
      </w:r>
    </w:p>
    <w:p w14:paraId="1DA8E143" w14:textId="77777777" w:rsidR="00775E85" w:rsidRDefault="00775E85" w:rsidP="00775E85">
      <w:pPr>
        <w:pStyle w:val="ListBullet"/>
        <w:rPr>
          <w:lang w:eastAsia="en-US" w:bidi="fa-IR"/>
        </w:rPr>
      </w:pPr>
      <w:r>
        <w:rPr>
          <w:lang w:eastAsia="en-US" w:bidi="fa-IR"/>
        </w:rPr>
        <w:t xml:space="preserve">The submission from the Home Modification </w:t>
      </w:r>
      <w:r w:rsidR="001B598B">
        <w:rPr>
          <w:lang w:eastAsia="en-US" w:bidi="fa-IR"/>
        </w:rPr>
        <w:t xml:space="preserve">Information </w:t>
      </w:r>
      <w:r>
        <w:rPr>
          <w:lang w:eastAsia="en-US" w:bidi="fa-IR"/>
        </w:rPr>
        <w:t xml:space="preserve">Clearinghouse noted that unlike universal design features, home modifications are tailored to meet specific </w:t>
      </w:r>
      <w:r w:rsidR="00ED748D">
        <w:rPr>
          <w:lang w:eastAsia="en-US" w:bidi="fa-IR"/>
        </w:rPr>
        <w:t>needs</w:t>
      </w:r>
      <w:r>
        <w:rPr>
          <w:lang w:eastAsia="en-US" w:bidi="fa-IR"/>
        </w:rPr>
        <w:t>. Therefore, the results from studies showing the benefits of home modifications are not necessarily a good indicator of the benefits of universal design.</w:t>
      </w:r>
    </w:p>
    <w:p w14:paraId="72D68920" w14:textId="77777777" w:rsidR="00775E85" w:rsidRDefault="00775E85" w:rsidP="00775E85">
      <w:pPr>
        <w:pStyle w:val="ListBullet"/>
        <w:rPr>
          <w:lang w:eastAsia="en-US" w:bidi="fa-IR"/>
        </w:rPr>
      </w:pPr>
      <w:r>
        <w:rPr>
          <w:lang w:eastAsia="en-US" w:bidi="fa-IR"/>
        </w:rPr>
        <w:t>The HIA submission also questioned the assumptions in relation to safety on several grounds.</w:t>
      </w:r>
    </w:p>
    <w:p w14:paraId="2B577CE6" w14:textId="77777777" w:rsidR="00775E85" w:rsidRDefault="00775E85" w:rsidP="00775E85">
      <w:pPr>
        <w:pStyle w:val="ListBullet2"/>
        <w:rPr>
          <w:lang w:eastAsia="en-US" w:bidi="fa-IR"/>
        </w:rPr>
      </w:pPr>
      <w:r>
        <w:rPr>
          <w:lang w:eastAsia="en-US" w:bidi="fa-IR"/>
        </w:rPr>
        <w:t xml:space="preserve">Excluding studies showing no impact may have </w:t>
      </w:r>
      <w:r w:rsidR="006B1DC6">
        <w:rPr>
          <w:lang w:eastAsia="en-US" w:bidi="fa-IR"/>
        </w:rPr>
        <w:t>introduced bias to</w:t>
      </w:r>
      <w:r>
        <w:rPr>
          <w:lang w:eastAsia="en-US" w:bidi="fa-IR"/>
        </w:rPr>
        <w:t xml:space="preserve"> the estimate.</w:t>
      </w:r>
    </w:p>
    <w:p w14:paraId="565F4929" w14:textId="77777777" w:rsidR="00775E85" w:rsidRDefault="00775E85" w:rsidP="00775E85">
      <w:pPr>
        <w:pStyle w:val="ListBullet2"/>
        <w:rPr>
          <w:lang w:eastAsia="en-US" w:bidi="fa-IR"/>
        </w:rPr>
      </w:pPr>
      <w:r>
        <w:rPr>
          <w:lang w:eastAsia="en-US" w:bidi="fa-IR"/>
        </w:rPr>
        <w:t>There is limited evidence to support the assumption that the incidence of falls among those with limited mobility that are younger than 65 are the same as for the 65</w:t>
      </w:r>
      <w:r>
        <w:rPr>
          <w:lang w:eastAsia="en-US" w:bidi="fa-IR"/>
        </w:rPr>
        <w:noBreakHyphen/>
        <w:t>74 age bracket.</w:t>
      </w:r>
    </w:p>
    <w:p w14:paraId="2086A049" w14:textId="77777777" w:rsidR="00775E85" w:rsidRDefault="00775E85" w:rsidP="00775E85">
      <w:pPr>
        <w:pStyle w:val="ListBullet2"/>
        <w:rPr>
          <w:lang w:eastAsia="en-US" w:bidi="fa-IR"/>
        </w:rPr>
      </w:pPr>
      <w:r>
        <w:rPr>
          <w:lang w:eastAsia="en-US" w:bidi="fa-IR"/>
        </w:rPr>
        <w:t>The NCC proposals do not include the installation of handrails in bathrooms (only the reinforcement of walls).</w:t>
      </w:r>
    </w:p>
    <w:p w14:paraId="67BFC3B2" w14:textId="77777777" w:rsidR="00775E85" w:rsidRPr="00F4477B" w:rsidRDefault="00775E85" w:rsidP="00F4477B">
      <w:pPr>
        <w:pStyle w:val="Heading3-Appendix"/>
      </w:pPr>
      <w:r w:rsidRPr="00F4477B">
        <w:t>Linking design features to falls</w:t>
      </w:r>
    </w:p>
    <w:p w14:paraId="42C35FD3" w14:textId="77777777" w:rsidR="00775E85" w:rsidRDefault="00775E85" w:rsidP="00775E85">
      <w:pPr>
        <w:pStyle w:val="BodyText"/>
        <w:rPr>
          <w:lang w:eastAsia="en-US" w:bidi="fa-IR"/>
        </w:rPr>
      </w:pPr>
      <w:r>
        <w:rPr>
          <w:lang w:eastAsia="en-US" w:bidi="fa-IR"/>
        </w:rPr>
        <w:t>As noted in the HIA submission the features typically provided in home modifications do not necessarily directly align with the features covered by the NCC proposal. The accessible design features included in the NCC proposal could potentially reduce falls:</w:t>
      </w:r>
    </w:p>
    <w:p w14:paraId="5C400B86" w14:textId="77777777" w:rsidR="00775E85" w:rsidRDefault="004F52AC" w:rsidP="00775E85">
      <w:pPr>
        <w:pStyle w:val="ListBullet"/>
        <w:rPr>
          <w:lang w:eastAsia="en-US" w:bidi="fa-IR"/>
        </w:rPr>
      </w:pPr>
      <w:r>
        <w:rPr>
          <w:lang w:eastAsia="en-US" w:bidi="fa-IR"/>
        </w:rPr>
        <w:lastRenderedPageBreak/>
        <w:t xml:space="preserve">directly by </w:t>
      </w:r>
      <w:r w:rsidR="00775E85">
        <w:rPr>
          <w:lang w:eastAsia="en-US" w:bidi="fa-IR"/>
        </w:rPr>
        <w:t>reducing potential tripping hazards — the main features that would reduce tripping hazards are:</w:t>
      </w:r>
    </w:p>
    <w:p w14:paraId="200706C6" w14:textId="77777777" w:rsidR="00775E85" w:rsidRDefault="00775E85" w:rsidP="00775E85">
      <w:pPr>
        <w:pStyle w:val="ListBullet2"/>
        <w:rPr>
          <w:lang w:eastAsia="en-US" w:bidi="fa-IR"/>
        </w:rPr>
      </w:pPr>
      <w:r>
        <w:rPr>
          <w:lang w:eastAsia="en-US" w:bidi="fa-IR"/>
        </w:rPr>
        <w:t>step-free access</w:t>
      </w:r>
    </w:p>
    <w:p w14:paraId="489B8D68" w14:textId="77777777" w:rsidR="00775E85" w:rsidRDefault="00775E85" w:rsidP="00775E85">
      <w:pPr>
        <w:pStyle w:val="ListBullet2"/>
        <w:rPr>
          <w:lang w:eastAsia="en-US" w:bidi="fa-IR"/>
        </w:rPr>
      </w:pPr>
      <w:r>
        <w:rPr>
          <w:lang w:eastAsia="en-US" w:bidi="fa-IR"/>
        </w:rPr>
        <w:t>hobless shower</w:t>
      </w:r>
    </w:p>
    <w:p w14:paraId="128CA075" w14:textId="77777777" w:rsidR="00C311AE" w:rsidRDefault="004F52AC" w:rsidP="00775E85">
      <w:pPr>
        <w:pStyle w:val="ListBullet"/>
        <w:rPr>
          <w:lang w:eastAsia="en-US" w:bidi="fa-IR"/>
        </w:rPr>
      </w:pPr>
      <w:r>
        <w:rPr>
          <w:lang w:eastAsia="en-US" w:bidi="fa-IR"/>
        </w:rPr>
        <w:t xml:space="preserve">indirectly by </w:t>
      </w:r>
      <w:r w:rsidR="00775E85">
        <w:rPr>
          <w:lang w:eastAsia="en-US" w:bidi="fa-IR"/>
        </w:rPr>
        <w:t>allowing the use of aids that reduce falls</w:t>
      </w:r>
      <w:r>
        <w:rPr>
          <w:lang w:eastAsia="en-US" w:bidi="fa-IR"/>
        </w:rPr>
        <w:t xml:space="preserve"> </w:t>
      </w:r>
      <w:r w:rsidR="00775E85">
        <w:rPr>
          <w:lang w:eastAsia="en-US" w:bidi="fa-IR"/>
        </w:rPr>
        <w:t>— for example</w:t>
      </w:r>
      <w:r w:rsidR="009C53D0">
        <w:rPr>
          <w:lang w:eastAsia="en-US" w:bidi="fa-IR"/>
        </w:rPr>
        <w:t>,</w:t>
      </w:r>
      <w:r w:rsidR="00C738BB">
        <w:rPr>
          <w:lang w:eastAsia="en-US" w:bidi="fa-IR"/>
        </w:rPr>
        <w:t xml:space="preserve"> allowing use of</w:t>
      </w:r>
    </w:p>
    <w:p w14:paraId="37F45B88" w14:textId="77777777" w:rsidR="00C311AE" w:rsidRDefault="00775E85" w:rsidP="00C311AE">
      <w:pPr>
        <w:pStyle w:val="ListBullet2"/>
        <w:rPr>
          <w:lang w:eastAsia="en-US" w:bidi="fa-IR"/>
        </w:rPr>
      </w:pPr>
      <w:r>
        <w:rPr>
          <w:lang w:eastAsia="en-US" w:bidi="fa-IR"/>
        </w:rPr>
        <w:t>a wheelchair in the dwelling,</w:t>
      </w:r>
    </w:p>
    <w:p w14:paraId="34683EA2" w14:textId="77777777" w:rsidR="00C311AE" w:rsidRDefault="00775E85" w:rsidP="00C311AE">
      <w:pPr>
        <w:pStyle w:val="ListBullet2"/>
        <w:rPr>
          <w:lang w:eastAsia="en-US" w:bidi="fa-IR"/>
        </w:rPr>
      </w:pPr>
      <w:r>
        <w:rPr>
          <w:lang w:eastAsia="en-US" w:bidi="fa-IR"/>
        </w:rPr>
        <w:t xml:space="preserve">showering aids (where the shower is too small), </w:t>
      </w:r>
      <w:r w:rsidR="009C53D0">
        <w:rPr>
          <w:lang w:eastAsia="en-US" w:bidi="fa-IR"/>
        </w:rPr>
        <w:t>or</w:t>
      </w:r>
    </w:p>
    <w:p w14:paraId="1E37989B" w14:textId="77777777" w:rsidR="00775E85" w:rsidRDefault="00775E85" w:rsidP="00C311AE">
      <w:pPr>
        <w:pStyle w:val="ListBullet2"/>
        <w:rPr>
          <w:lang w:eastAsia="en-US" w:bidi="fa-IR"/>
        </w:rPr>
      </w:pPr>
      <w:r>
        <w:rPr>
          <w:lang w:eastAsia="en-US" w:bidi="fa-IR"/>
        </w:rPr>
        <w:t>other aids</w:t>
      </w:r>
      <w:r w:rsidR="00C311AE">
        <w:rPr>
          <w:lang w:eastAsia="en-US" w:bidi="fa-IR"/>
        </w:rPr>
        <w:t>.</w:t>
      </w:r>
    </w:p>
    <w:p w14:paraId="55E63E49" w14:textId="77777777" w:rsidR="00775E85" w:rsidRDefault="00775E85" w:rsidP="00775E85">
      <w:pPr>
        <w:pStyle w:val="BodyText"/>
        <w:rPr>
          <w:lang w:eastAsia="en-US" w:bidi="fa-IR"/>
        </w:rPr>
      </w:pPr>
      <w:r>
        <w:rPr>
          <w:lang w:eastAsia="en-US" w:bidi="fa-IR"/>
        </w:rPr>
        <w:t>The AIHW reports various data on hospitalised falls (a subset of total falls). In 2016</w:t>
      </w:r>
      <w:r>
        <w:rPr>
          <w:lang w:eastAsia="en-US" w:bidi="fa-IR"/>
        </w:rPr>
        <w:noBreakHyphen/>
        <w:t>17, the AIHW reports that:</w:t>
      </w:r>
    </w:p>
    <w:p w14:paraId="7CF05766" w14:textId="77777777" w:rsidR="00775E85" w:rsidRDefault="00775E85" w:rsidP="00775E85">
      <w:pPr>
        <w:pStyle w:val="ListBullet"/>
        <w:rPr>
          <w:lang w:eastAsia="en-US" w:bidi="fa-IR"/>
        </w:rPr>
      </w:pPr>
      <w:r>
        <w:rPr>
          <w:lang w:eastAsia="en-US" w:bidi="fa-IR"/>
        </w:rPr>
        <w:t>around 12 per cent of all hospitalised falls that occurred in the home, occurred in the bathroom</w:t>
      </w:r>
      <w:r>
        <w:rPr>
          <w:rStyle w:val="FootnoteReference"/>
          <w:lang w:eastAsia="en-US" w:bidi="fa-IR"/>
        </w:rPr>
        <w:footnoteReference w:id="448"/>
      </w:r>
    </w:p>
    <w:p w14:paraId="2B55DEF0" w14:textId="77777777" w:rsidR="00775E85" w:rsidRDefault="00775E85" w:rsidP="00775E85">
      <w:pPr>
        <w:pStyle w:val="ListBullet"/>
        <w:rPr>
          <w:lang w:eastAsia="en-US" w:bidi="fa-IR"/>
        </w:rPr>
      </w:pPr>
      <w:r>
        <w:rPr>
          <w:lang w:eastAsia="en-US" w:bidi="fa-IR"/>
        </w:rPr>
        <w:t>around 6.3 per cent of all falls were on or from stairs or steps (this is equivalent to around 12 per cent of all falls within the home, but some falls on or from stairs or steps may have occurred outside the home).</w:t>
      </w:r>
      <w:r>
        <w:rPr>
          <w:rStyle w:val="FootnoteReference"/>
          <w:lang w:eastAsia="en-US" w:bidi="fa-IR"/>
        </w:rPr>
        <w:footnoteReference w:id="449"/>
      </w:r>
    </w:p>
    <w:p w14:paraId="185672D5" w14:textId="77777777" w:rsidR="00775E85" w:rsidRDefault="00775E85" w:rsidP="00775E85">
      <w:pPr>
        <w:pStyle w:val="BodyText"/>
        <w:rPr>
          <w:lang w:eastAsia="en-US" w:bidi="fa-IR"/>
        </w:rPr>
      </w:pPr>
      <w:bookmarkStart w:id="623" w:name="_Hlk59460317"/>
      <w:r>
        <w:rPr>
          <w:lang w:eastAsia="en-US" w:bidi="fa-IR"/>
        </w:rPr>
        <w:t>This data suggests that it is unlikely that the proposed measures in the NCC proposal would directly reduce falls by 37 per cent as assumed in the Consultation RIS</w:t>
      </w:r>
      <w:r w:rsidRPr="00D92781">
        <w:rPr>
          <w:lang w:eastAsia="en-US" w:bidi="fa-IR"/>
        </w:rPr>
        <w:t>.</w:t>
      </w:r>
    </w:p>
    <w:bookmarkEnd w:id="623"/>
    <w:p w14:paraId="47802075" w14:textId="77777777" w:rsidR="00775E85" w:rsidRPr="00F4477B" w:rsidRDefault="00775E85" w:rsidP="00F4477B">
      <w:pPr>
        <w:pStyle w:val="Heading3-Appendix"/>
      </w:pPr>
      <w:r w:rsidRPr="00F4477B">
        <w:t xml:space="preserve">Review of empirical </w:t>
      </w:r>
      <w:r w:rsidR="00ED748D" w:rsidRPr="00F4477B">
        <w:t>evidence</w:t>
      </w:r>
    </w:p>
    <w:p w14:paraId="196A027F" w14:textId="77777777" w:rsidR="00775E85" w:rsidRDefault="00775E85" w:rsidP="00775E85">
      <w:pPr>
        <w:pStyle w:val="BodyText"/>
        <w:rPr>
          <w:lang w:eastAsia="en-US" w:bidi="fa-IR"/>
        </w:rPr>
      </w:pPr>
      <w:r>
        <w:t>According</w:t>
      </w:r>
      <w:r w:rsidR="00ED748D">
        <w:rPr>
          <w:lang w:eastAsia="en-US" w:bidi="fa-IR"/>
        </w:rPr>
        <w:t xml:space="preserve"> to </w:t>
      </w:r>
      <w:r>
        <w:t>Pynoos et. al. (2010), it is estimated</w:t>
      </w:r>
      <w:r w:rsidR="00ED748D">
        <w:rPr>
          <w:lang w:eastAsia="en-US" w:bidi="fa-IR"/>
        </w:rPr>
        <w:t xml:space="preserve"> that </w:t>
      </w:r>
      <w:r>
        <w:t>between 35 per cent and 40 per cent</w:t>
      </w:r>
      <w:r w:rsidR="00ED748D">
        <w:rPr>
          <w:lang w:eastAsia="en-US" w:bidi="fa-IR"/>
        </w:rPr>
        <w:t xml:space="preserve"> of falls</w:t>
      </w:r>
      <w:r>
        <w:t xml:space="preserve"> result from factors that are related to </w:t>
      </w:r>
      <w:r w:rsidR="00ED748D">
        <w:rPr>
          <w:lang w:eastAsia="en-US" w:bidi="fa-IR"/>
        </w:rPr>
        <w:t xml:space="preserve">the </w:t>
      </w:r>
      <w:r>
        <w:t>environment, although the role of the environment interacts with other factors.</w:t>
      </w:r>
      <w:r>
        <w:rPr>
          <w:rStyle w:val="FootnoteReference"/>
        </w:rPr>
        <w:footnoteReference w:id="450"/>
      </w:r>
      <w:r>
        <w:t xml:space="preserve"> </w:t>
      </w:r>
      <w:r>
        <w:rPr>
          <w:lang w:eastAsia="en-US" w:bidi="fa-IR"/>
        </w:rPr>
        <w:t>There are a range of environmental factors that can contribute to falls in the home.</w:t>
      </w:r>
    </w:p>
    <w:p w14:paraId="12EE7B63" w14:textId="77777777" w:rsidR="00775E85" w:rsidRDefault="00775E85" w:rsidP="00775E85">
      <w:pPr>
        <w:pStyle w:val="ListBullet"/>
        <w:rPr>
          <w:lang w:eastAsia="en-US" w:bidi="fa-IR"/>
        </w:rPr>
      </w:pPr>
      <w:r>
        <w:rPr>
          <w:lang w:eastAsia="en-US" w:bidi="fa-IR"/>
        </w:rPr>
        <w:t xml:space="preserve">As discussed above, the </w:t>
      </w:r>
      <w:r w:rsidR="001B598B">
        <w:rPr>
          <w:lang w:eastAsia="en-US" w:bidi="fa-IR"/>
        </w:rPr>
        <w:t xml:space="preserve">NCC </w:t>
      </w:r>
      <w:r>
        <w:rPr>
          <w:lang w:eastAsia="en-US" w:bidi="fa-IR"/>
        </w:rPr>
        <w:t>proposal would remove some environmental risks, including:</w:t>
      </w:r>
    </w:p>
    <w:p w14:paraId="62002FBF" w14:textId="77777777" w:rsidR="00775E85" w:rsidRDefault="00775E85" w:rsidP="00775E85">
      <w:pPr>
        <w:pStyle w:val="ListBullet2"/>
        <w:rPr>
          <w:lang w:eastAsia="en-US" w:bidi="fa-IR"/>
        </w:rPr>
      </w:pPr>
      <w:r>
        <w:rPr>
          <w:lang w:eastAsia="en-US" w:bidi="fa-IR"/>
        </w:rPr>
        <w:t>one or more steps to (and at) the entrance of the dwelling</w:t>
      </w:r>
    </w:p>
    <w:p w14:paraId="3C34A7BA" w14:textId="77777777" w:rsidR="00775E85" w:rsidRPr="00C95D79" w:rsidRDefault="00775E85" w:rsidP="00775E85">
      <w:pPr>
        <w:pStyle w:val="ListBullet2"/>
        <w:rPr>
          <w:lang w:eastAsia="en-US" w:bidi="fa-IR"/>
        </w:rPr>
      </w:pPr>
      <w:r>
        <w:rPr>
          <w:lang w:eastAsia="en-US" w:bidi="fa-IR"/>
        </w:rPr>
        <w:t>the shower hob (or the need to step into a bathtub).</w:t>
      </w:r>
    </w:p>
    <w:p w14:paraId="4B134F47" w14:textId="77777777" w:rsidR="00775E85" w:rsidRDefault="00775E85" w:rsidP="00775E85">
      <w:pPr>
        <w:pStyle w:val="ListBullet"/>
        <w:rPr>
          <w:lang w:eastAsia="en-US" w:bidi="fa-IR"/>
        </w:rPr>
      </w:pPr>
      <w:r>
        <w:rPr>
          <w:lang w:eastAsia="en-US" w:bidi="fa-IR"/>
        </w:rPr>
        <w:t>Environmental hazards within the home can also include: rugs, worn carpets, clutter etc. These environmental hazards could still exist within an accessible home.</w:t>
      </w:r>
    </w:p>
    <w:p w14:paraId="3ED54649" w14:textId="77777777" w:rsidR="00ED748D" w:rsidRDefault="00775E85" w:rsidP="00ED748D">
      <w:pPr>
        <w:pStyle w:val="BodyText"/>
        <w:rPr>
          <w:lang w:eastAsia="en-US" w:bidi="fa-IR"/>
        </w:rPr>
      </w:pPr>
      <w:r>
        <w:rPr>
          <w:lang w:eastAsia="en-US" w:bidi="fa-IR"/>
        </w:rPr>
        <w:t>In general, the evidence on the impact of environmental factors on the incidence of falls in homes is mixed.</w:t>
      </w:r>
      <w:r>
        <w:rPr>
          <w:rStyle w:val="FootnoteReference"/>
          <w:lang w:eastAsia="en-US" w:bidi="fa-IR"/>
        </w:rPr>
        <w:footnoteReference w:id="451"/>
      </w:r>
      <w:r>
        <w:rPr>
          <w:lang w:eastAsia="en-US" w:bidi="fa-IR"/>
        </w:rPr>
        <w:t xml:space="preserve"> As noted in the Consultation RIS</w:t>
      </w:r>
      <w:r w:rsidR="00ED748D">
        <w:rPr>
          <w:lang w:eastAsia="en-US" w:bidi="fa-IR"/>
        </w:rPr>
        <w:t xml:space="preserve">, the World Health Organisation (WHO) assessed that the strength of evidence that people with functional impairments </w:t>
      </w:r>
      <w:r w:rsidR="00ED748D">
        <w:rPr>
          <w:lang w:eastAsia="en-US" w:bidi="fa-IR"/>
        </w:rPr>
        <w:lastRenderedPageBreak/>
        <w:t xml:space="preserve">have reduced fall and injury rates in homes that have been modified is </w:t>
      </w:r>
      <w:r w:rsidR="00ED748D" w:rsidRPr="00F11742">
        <w:rPr>
          <w:b/>
        </w:rPr>
        <w:t>moderate</w:t>
      </w:r>
      <w:r>
        <w:rPr>
          <w:b/>
          <w:bCs/>
          <w:lang w:eastAsia="en-US" w:bidi="fa-IR"/>
        </w:rPr>
        <w:t xml:space="preserve"> </w:t>
      </w:r>
      <w:r>
        <w:rPr>
          <w:lang w:eastAsia="en-US" w:bidi="fa-IR"/>
        </w:rPr>
        <w:t>based on a review of the literature.</w:t>
      </w:r>
      <w:r w:rsidR="00C15E45">
        <w:rPr>
          <w:rStyle w:val="FootnoteReference"/>
          <w:lang w:eastAsia="en-US" w:bidi="fa-IR"/>
        </w:rPr>
        <w:footnoteReference w:id="452"/>
      </w:r>
      <w:r w:rsidR="00ED748D">
        <w:rPr>
          <w:lang w:eastAsia="en-US" w:bidi="fa-IR"/>
        </w:rPr>
        <w:t xml:space="preserve"> </w:t>
      </w:r>
    </w:p>
    <w:p w14:paraId="16F64327" w14:textId="77777777" w:rsidR="00775E85" w:rsidRDefault="00775E85" w:rsidP="00775E85">
      <w:pPr>
        <w:pStyle w:val="BodyText"/>
      </w:pPr>
      <w:r>
        <w:t>An older (2006) review of the evidence for the (then) Australian Government Department of Health and Ageing by the National Ageing Research Institute concluded that:</w:t>
      </w:r>
    </w:p>
    <w:p w14:paraId="007AE07A" w14:textId="77777777" w:rsidR="00775E85" w:rsidRDefault="00775E85" w:rsidP="00775E85">
      <w:pPr>
        <w:pStyle w:val="Quote"/>
      </w:pPr>
      <w:r>
        <w:t xml:space="preserve">“There is growing evidence that home hazard assessment and modification programs may be effective in reducing falls, particularly when undertaken by trained health professionals such as occupational therapists, and when targeting those at increased risk of falls. These approaches are more likely to be effective when combined with strategies to modify risky behaviours, and maximise adherence with recommended hazard modifications. </w:t>
      </w:r>
      <w:r w:rsidRPr="008D5DBA">
        <w:rPr>
          <w:b/>
          <w:bCs/>
        </w:rPr>
        <w:t>To date there is no strong evidence that modifications to reduce environmental fall hazards within the home or public areas in isolation are effective in reducing fall rates.</w:t>
      </w:r>
      <w:r>
        <w:t xml:space="preserve"> [emphasis added]”</w:t>
      </w:r>
      <w:r>
        <w:rPr>
          <w:rStyle w:val="FootnoteReference"/>
        </w:rPr>
        <w:footnoteReference w:id="453"/>
      </w:r>
    </w:p>
    <w:p w14:paraId="0502495E" w14:textId="77777777" w:rsidR="00775E85" w:rsidRDefault="00775E85" w:rsidP="00775E85">
      <w:pPr>
        <w:pStyle w:val="BodyText"/>
      </w:pPr>
      <w:r>
        <w:t xml:space="preserve">The implication is that there is limited evidence to suggest that the universal design features would significantly reduce falls. That said, some of the evidence reviewed relates to the efficacy of home assessment and modification programs, rather than home modifications </w:t>
      </w:r>
      <w:r w:rsidRPr="008D5DBA">
        <w:rPr>
          <w:i/>
          <w:iCs/>
        </w:rPr>
        <w:t>per se</w:t>
      </w:r>
      <w:r>
        <w:t xml:space="preserve">. One of the reasons why these programs did not significantly reduce falls is the limited uptake of the recommendations, rather than the effectiveness of the recommended modifications </w:t>
      </w:r>
      <w:r w:rsidRPr="00BB631D">
        <w:rPr>
          <w:i/>
        </w:rPr>
        <w:t>per se</w:t>
      </w:r>
      <w:r>
        <w:t>.</w:t>
      </w:r>
      <w:r>
        <w:rPr>
          <w:rStyle w:val="FootnoteReference"/>
        </w:rPr>
        <w:footnoteReference w:id="454"/>
      </w:r>
    </w:p>
    <w:p w14:paraId="43C55299" w14:textId="77777777" w:rsidR="00775E85" w:rsidRDefault="00775E85" w:rsidP="00775E85">
      <w:pPr>
        <w:pStyle w:val="BodyText"/>
        <w:rPr>
          <w:lang w:eastAsia="en-US" w:bidi="fa-IR"/>
        </w:rPr>
      </w:pPr>
      <w:r>
        <w:rPr>
          <w:lang w:eastAsia="en-US" w:bidi="fa-IR"/>
        </w:rPr>
        <w:t>Lord et. al. (200</w:t>
      </w:r>
      <w:r w:rsidR="00494836">
        <w:rPr>
          <w:lang w:eastAsia="en-US" w:bidi="fa-IR"/>
        </w:rPr>
        <w:t>6</w:t>
      </w:r>
      <w:r>
        <w:rPr>
          <w:lang w:eastAsia="en-US" w:bidi="fa-IR"/>
        </w:rPr>
        <w:t>) reviewed two groups of studies, including the following.</w:t>
      </w:r>
      <w:r>
        <w:rPr>
          <w:rStyle w:val="FootnoteReference"/>
          <w:lang w:eastAsia="en-US" w:bidi="fa-IR"/>
        </w:rPr>
        <w:footnoteReference w:id="455"/>
      </w:r>
    </w:p>
    <w:p w14:paraId="03FE8672" w14:textId="77777777" w:rsidR="00775E85" w:rsidRDefault="00775E85" w:rsidP="00775E85">
      <w:pPr>
        <w:pStyle w:val="ListBullet"/>
        <w:rPr>
          <w:lang w:eastAsia="en-US" w:bidi="fa-IR"/>
        </w:rPr>
      </w:pPr>
      <w:r>
        <w:rPr>
          <w:lang w:eastAsia="en-US" w:bidi="fa-IR"/>
        </w:rPr>
        <w:t>Six case</w:t>
      </w:r>
      <w:r>
        <w:rPr>
          <w:lang w:eastAsia="en-US" w:bidi="fa-IR"/>
        </w:rPr>
        <w:noBreakHyphen/>
        <w:t>control studies that examined the association between environmental hazards and falls.</w:t>
      </w:r>
    </w:p>
    <w:p w14:paraId="567862E2" w14:textId="77777777" w:rsidR="00775E85" w:rsidRDefault="00775E85" w:rsidP="00775E85">
      <w:pPr>
        <w:pStyle w:val="ListBullet2"/>
        <w:rPr>
          <w:lang w:eastAsia="en-US" w:bidi="fa-IR"/>
        </w:rPr>
      </w:pPr>
      <w:r>
        <w:rPr>
          <w:lang w:eastAsia="en-US" w:bidi="fa-IR"/>
        </w:rPr>
        <w:t>Two of these studies found differences in the prevalence of household hazards between faller and non</w:t>
      </w:r>
      <w:r>
        <w:rPr>
          <w:lang w:eastAsia="en-US" w:bidi="fa-IR"/>
        </w:rPr>
        <w:noBreakHyphen/>
        <w:t>faller</w:t>
      </w:r>
      <w:r w:rsidR="00C856DA">
        <w:rPr>
          <w:lang w:eastAsia="en-US" w:bidi="fa-IR"/>
        </w:rPr>
        <w:t xml:space="preserve"> groups</w:t>
      </w:r>
      <w:r>
        <w:rPr>
          <w:lang w:eastAsia="en-US" w:bidi="fa-IR"/>
        </w:rPr>
        <w:t>.</w:t>
      </w:r>
    </w:p>
    <w:p w14:paraId="63765D07" w14:textId="77777777" w:rsidR="00775E85" w:rsidRDefault="00775E85" w:rsidP="00775E85">
      <w:pPr>
        <w:pStyle w:val="ListBullet2"/>
        <w:rPr>
          <w:lang w:eastAsia="en-US" w:bidi="fa-IR"/>
        </w:rPr>
      </w:pPr>
      <w:r>
        <w:rPr>
          <w:lang w:eastAsia="en-US" w:bidi="fa-IR"/>
        </w:rPr>
        <w:t>The remaining four studies found no differences in home hazards between faller and non</w:t>
      </w:r>
      <w:r>
        <w:rPr>
          <w:lang w:eastAsia="en-US" w:bidi="fa-IR"/>
        </w:rPr>
        <w:noBreakHyphen/>
        <w:t>faller groups.</w:t>
      </w:r>
    </w:p>
    <w:p w14:paraId="4EDBC915" w14:textId="77777777" w:rsidR="00775E85" w:rsidRDefault="00775E85" w:rsidP="00775E85">
      <w:pPr>
        <w:pStyle w:val="ListBullet"/>
        <w:rPr>
          <w:lang w:eastAsia="en-US" w:bidi="fa-IR"/>
        </w:rPr>
      </w:pPr>
      <w:r>
        <w:rPr>
          <w:lang w:eastAsia="en-US" w:bidi="fa-IR"/>
        </w:rPr>
        <w:t>Five prospective cohort studies, in which household hazards are assessed first and falls are monitored subsequently over a defined period.</w:t>
      </w:r>
    </w:p>
    <w:p w14:paraId="60BE07EA" w14:textId="77777777" w:rsidR="00775E85" w:rsidRDefault="00775E85" w:rsidP="00775E85">
      <w:pPr>
        <w:pStyle w:val="ListBullet2"/>
        <w:rPr>
          <w:lang w:eastAsia="en-US" w:bidi="fa-IR"/>
        </w:rPr>
      </w:pPr>
      <w:r>
        <w:rPr>
          <w:lang w:eastAsia="en-US" w:bidi="fa-IR"/>
        </w:rPr>
        <w:t>Of the five studies reviewed, none found household hazards to be associated with falls in primary analyses.</w:t>
      </w:r>
    </w:p>
    <w:p w14:paraId="75427B50" w14:textId="77777777" w:rsidR="00775E85" w:rsidRDefault="00775E85" w:rsidP="00775E85">
      <w:pPr>
        <w:pStyle w:val="ListBullet2"/>
        <w:rPr>
          <w:lang w:eastAsia="en-US" w:bidi="fa-IR"/>
        </w:rPr>
      </w:pPr>
      <w:r>
        <w:rPr>
          <w:lang w:eastAsia="en-US" w:bidi="fa-IR"/>
        </w:rPr>
        <w:t>However, secondary analyses tended to find that (perhaps counter</w:t>
      </w:r>
      <w:r>
        <w:rPr>
          <w:lang w:eastAsia="en-US" w:bidi="fa-IR"/>
        </w:rPr>
        <w:noBreakHyphen/>
        <w:t xml:space="preserve">intuitively), household hazards were more likely to contribute to falls in more </w:t>
      </w:r>
      <w:r w:rsidR="005A71B5">
        <w:rPr>
          <w:lang w:eastAsia="en-US" w:bidi="fa-IR"/>
        </w:rPr>
        <w:t>active</w:t>
      </w:r>
      <w:r>
        <w:rPr>
          <w:lang w:eastAsia="en-US" w:bidi="fa-IR"/>
        </w:rPr>
        <w:t xml:space="preserve"> older people.</w:t>
      </w:r>
    </w:p>
    <w:p w14:paraId="1281AE11" w14:textId="77777777" w:rsidR="00775E85" w:rsidRDefault="00775E85" w:rsidP="00775E85">
      <w:pPr>
        <w:pStyle w:val="ListBullet"/>
        <w:rPr>
          <w:lang w:eastAsia="en-US" w:bidi="fa-IR"/>
        </w:rPr>
      </w:pPr>
      <w:r>
        <w:rPr>
          <w:lang w:eastAsia="en-US" w:bidi="fa-IR"/>
        </w:rPr>
        <w:lastRenderedPageBreak/>
        <w:t>Five randomised control trials of the impacts of home assessment and modification interventions. The results were also mixed.</w:t>
      </w:r>
    </w:p>
    <w:p w14:paraId="13FF7B59" w14:textId="77777777" w:rsidR="00775E85" w:rsidRDefault="00775E85" w:rsidP="00ED748D">
      <w:pPr>
        <w:pStyle w:val="BodyText"/>
        <w:rPr>
          <w:lang w:eastAsia="en-US" w:bidi="fa-IR"/>
        </w:rPr>
      </w:pPr>
      <w:r>
        <w:rPr>
          <w:rStyle w:val="DraftingNote"/>
          <w:b w:val="0"/>
          <w:color w:val="auto"/>
          <w:u w:val="none"/>
        </w:rPr>
        <w:t xml:space="preserve">Note that the first two groups of studies do not rely on extrapolating from the impacts of home modifications. As such, the general concerns set out in the submission from the Home Modifications </w:t>
      </w:r>
      <w:r w:rsidR="00972FED">
        <w:rPr>
          <w:rStyle w:val="DraftingNote"/>
          <w:b w:val="0"/>
          <w:color w:val="auto"/>
          <w:u w:val="none"/>
        </w:rPr>
        <w:t xml:space="preserve">Information </w:t>
      </w:r>
      <w:r>
        <w:rPr>
          <w:rStyle w:val="DraftingNote"/>
          <w:b w:val="0"/>
          <w:color w:val="auto"/>
          <w:u w:val="none"/>
        </w:rPr>
        <w:t>Clearinghouse are less important for these studies</w:t>
      </w:r>
      <w:r w:rsidR="00972FED">
        <w:rPr>
          <w:rStyle w:val="DraftingNote"/>
          <w:b w:val="0"/>
          <w:color w:val="auto"/>
          <w:u w:val="none"/>
        </w:rPr>
        <w:t xml:space="preserve"> reviewed by Lord et al (200</w:t>
      </w:r>
      <w:r w:rsidR="004F61E1">
        <w:rPr>
          <w:rStyle w:val="DraftingNote"/>
          <w:b w:val="0"/>
          <w:color w:val="auto"/>
          <w:u w:val="none"/>
        </w:rPr>
        <w:t>6</w:t>
      </w:r>
      <w:r w:rsidR="00972FED">
        <w:rPr>
          <w:rStyle w:val="DraftingNote"/>
          <w:b w:val="0"/>
          <w:color w:val="auto"/>
          <w:u w:val="none"/>
        </w:rPr>
        <w:t>)</w:t>
      </w:r>
      <w:r>
        <w:rPr>
          <w:rStyle w:val="DraftingNote"/>
          <w:b w:val="0"/>
          <w:color w:val="auto"/>
          <w:u w:val="none"/>
        </w:rPr>
        <w:t>.</w:t>
      </w:r>
    </w:p>
    <w:p w14:paraId="4B2BCF83" w14:textId="77777777" w:rsidR="00ED748D" w:rsidRDefault="00ED748D" w:rsidP="00ED748D">
      <w:pPr>
        <w:pStyle w:val="BodyText"/>
        <w:rPr>
          <w:lang w:eastAsia="en-US" w:bidi="fa-IR"/>
        </w:rPr>
      </w:pPr>
      <w:r w:rsidRPr="00317781">
        <w:rPr>
          <w:lang w:eastAsia="en-US" w:bidi="fa-IR"/>
        </w:rPr>
        <w:t>Table </w:t>
      </w:r>
      <w:r w:rsidR="00775E85">
        <w:rPr>
          <w:lang w:eastAsia="en-US" w:bidi="fa-IR"/>
        </w:rPr>
        <w:t>B</w:t>
      </w:r>
      <w:r w:rsidRPr="00317781">
        <w:rPr>
          <w:lang w:eastAsia="en-US" w:bidi="fa-IR"/>
        </w:rPr>
        <w:t>.2</w:t>
      </w:r>
      <w:r>
        <w:rPr>
          <w:lang w:eastAsia="en-US" w:bidi="fa-IR"/>
        </w:rPr>
        <w:t xml:space="preserve"> summarises some key studies on the impact of home modifications (and other interventions) on the number of falls.</w:t>
      </w:r>
    </w:p>
    <w:p w14:paraId="6AC4A7AF" w14:textId="2F9662B3" w:rsidR="00ED748D" w:rsidRDefault="00B27E24" w:rsidP="00ED748D">
      <w:pPr>
        <w:pStyle w:val="Caption"/>
        <w:spacing w:before="200"/>
        <w:ind w:left="568" w:hanging="568"/>
      </w:pPr>
      <w:bookmarkStart w:id="624" w:name="_Toc45654193"/>
      <w:bookmarkStart w:id="625" w:name="_Toc31986668"/>
      <w:bookmarkStart w:id="626" w:name="_Toc44598562"/>
      <w:bookmarkStart w:id="627" w:name="_Toc44695934"/>
      <w:bookmarkStart w:id="628" w:name="_Toc57643669"/>
      <w:bookmarkStart w:id="629" w:name="_Toc70505616"/>
      <w:r>
        <w:t>B.2</w:t>
      </w:r>
      <w:r w:rsidR="00ED748D" w:rsidRPr="00695C93">
        <w:tab/>
      </w:r>
      <w:bookmarkStart w:id="630" w:name="_Hlk59460351"/>
      <w:r w:rsidR="00ED748D">
        <w:t>Key results of randomised controlled trials that establish that home modifications and other factors reduce falls</w:t>
      </w:r>
      <w:bookmarkEnd w:id="624"/>
      <w:bookmarkEnd w:id="625"/>
      <w:bookmarkEnd w:id="626"/>
      <w:bookmarkEnd w:id="627"/>
      <w:bookmarkEnd w:id="628"/>
      <w:bookmarkEnd w:id="629"/>
      <w:bookmarkEnd w:id="630"/>
    </w:p>
    <w:tbl>
      <w:tblPr>
        <w:tblW w:w="0" w:type="auto"/>
        <w:tblLayout w:type="fixed"/>
        <w:tblLook w:val="0000" w:firstRow="0" w:lastRow="0" w:firstColumn="0" w:lastColumn="0" w:noHBand="0" w:noVBand="0"/>
        <w:tblCaption w:val="Table B.2: Key results of randomised controlled trials that establish that home modifications and other factors reduce falls"/>
        <w:tblDescription w:val="Table B.2 summarises some key studies on the impact of home modifications (and other interventions) on the number of falls."/>
      </w:tblPr>
      <w:tblGrid>
        <w:gridCol w:w="993"/>
        <w:gridCol w:w="2268"/>
        <w:gridCol w:w="4676"/>
      </w:tblGrid>
      <w:tr w:rsidR="00ED748D" w14:paraId="6D49414A" w14:textId="77777777" w:rsidTr="002B23FD">
        <w:trPr>
          <w:tblHeader/>
        </w:trPr>
        <w:tc>
          <w:tcPr>
            <w:tcW w:w="993" w:type="dxa"/>
            <w:tcBorders>
              <w:bottom w:val="single" w:sz="8" w:space="0" w:color="FFFFFF" w:themeColor="background1"/>
            </w:tcBorders>
            <w:shd w:val="clear" w:color="auto" w:fill="6F6652"/>
            <w:tcMar>
              <w:left w:w="57" w:type="dxa"/>
              <w:right w:w="57" w:type="dxa"/>
            </w:tcMar>
          </w:tcPr>
          <w:p w14:paraId="1561CF46" w14:textId="77777777" w:rsidR="00ED748D" w:rsidRDefault="00ED748D" w:rsidP="002B23FD">
            <w:pPr>
              <w:pStyle w:val="TableTextColumnHeading"/>
              <w:rPr>
                <w:lang w:bidi="fa-IR"/>
              </w:rPr>
            </w:pPr>
            <w:r>
              <w:rPr>
                <w:lang w:bidi="fa-IR"/>
              </w:rPr>
              <w:t>Study (location)</w:t>
            </w:r>
          </w:p>
        </w:tc>
        <w:tc>
          <w:tcPr>
            <w:tcW w:w="2268" w:type="dxa"/>
            <w:tcBorders>
              <w:bottom w:val="single" w:sz="8" w:space="0" w:color="FFFFFF" w:themeColor="background1"/>
            </w:tcBorders>
            <w:shd w:val="clear" w:color="auto" w:fill="6F6652"/>
            <w:tcMar>
              <w:left w:w="57" w:type="dxa"/>
              <w:right w:w="57" w:type="dxa"/>
            </w:tcMar>
          </w:tcPr>
          <w:p w14:paraId="64597D14" w14:textId="77777777" w:rsidR="00ED748D" w:rsidRDefault="00ED748D" w:rsidP="002B23FD">
            <w:pPr>
              <w:pStyle w:val="TableTextColumnHeading"/>
              <w:rPr>
                <w:lang w:bidi="fa-IR"/>
              </w:rPr>
            </w:pPr>
            <w:r>
              <w:rPr>
                <w:lang w:bidi="fa-IR"/>
              </w:rPr>
              <w:t xml:space="preserve">Key result </w:t>
            </w:r>
            <w:r w:rsidRPr="00E4232C">
              <w:rPr>
                <w:rStyle w:val="NoteLabel"/>
              </w:rPr>
              <w:t>a</w:t>
            </w:r>
          </w:p>
        </w:tc>
        <w:tc>
          <w:tcPr>
            <w:tcW w:w="4676" w:type="dxa"/>
            <w:tcBorders>
              <w:bottom w:val="single" w:sz="8" w:space="0" w:color="FFFFFF" w:themeColor="background1"/>
            </w:tcBorders>
            <w:shd w:val="clear" w:color="auto" w:fill="6F6652"/>
            <w:tcMar>
              <w:left w:w="57" w:type="dxa"/>
              <w:right w:w="57" w:type="dxa"/>
            </w:tcMar>
          </w:tcPr>
          <w:p w14:paraId="58206180" w14:textId="77777777" w:rsidR="00ED748D" w:rsidRDefault="00ED748D" w:rsidP="002B23FD">
            <w:pPr>
              <w:pStyle w:val="TableTextColumnHeading"/>
              <w:rPr>
                <w:lang w:bidi="fa-IR"/>
              </w:rPr>
            </w:pPr>
            <w:r>
              <w:rPr>
                <w:lang w:bidi="fa-IR"/>
              </w:rPr>
              <w:t>Comment/note</w:t>
            </w:r>
          </w:p>
        </w:tc>
      </w:tr>
      <w:tr w:rsidR="00ED748D" w14:paraId="328A3CB2" w14:textId="77777777" w:rsidTr="002B23FD">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5AB343" w14:textId="77777777" w:rsidR="00ED748D" w:rsidRDefault="00ED748D" w:rsidP="002B23FD">
            <w:pPr>
              <w:pStyle w:val="TableTextEntries"/>
              <w:spacing w:before="40" w:after="40"/>
              <w:rPr>
                <w:lang w:bidi="fa-IR"/>
              </w:rPr>
            </w:pPr>
            <w:r>
              <w:rPr>
                <w:lang w:bidi="fa-IR"/>
              </w:rPr>
              <w:t xml:space="preserve">Cumming et al 1999 </w:t>
            </w:r>
          </w:p>
        </w:tc>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9BE316" w14:textId="77777777" w:rsidR="00ED748D" w:rsidRDefault="00ED748D" w:rsidP="002B23FD">
            <w:pPr>
              <w:pStyle w:val="TableTextEntries"/>
              <w:spacing w:before="40" w:after="40"/>
              <w:rPr>
                <w:lang w:bidi="fa-IR"/>
              </w:rPr>
            </w:pPr>
            <w:r>
              <w:rPr>
                <w:lang w:bidi="fa-IR"/>
              </w:rPr>
              <w:t>Falls reduce by 44 per cent.</w:t>
            </w:r>
          </w:p>
        </w:tc>
        <w:tc>
          <w:tcPr>
            <w:tcW w:w="4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63A35A" w14:textId="77777777" w:rsidR="00ED748D" w:rsidRDefault="00ED748D" w:rsidP="002B23FD">
            <w:pPr>
              <w:pStyle w:val="TableListBullet"/>
              <w:spacing w:before="40" w:after="20"/>
              <w:rPr>
                <w:lang w:bidi="fa-IR"/>
              </w:rPr>
            </w:pPr>
            <w:r>
              <w:rPr>
                <w:lang w:bidi="fa-IR"/>
              </w:rPr>
              <w:t>Study for 65yo and above</w:t>
            </w:r>
          </w:p>
          <w:p w14:paraId="6C7E7DCC" w14:textId="77777777" w:rsidR="00ED748D" w:rsidRDefault="00ED748D" w:rsidP="002B23FD">
            <w:pPr>
              <w:pStyle w:val="TableListBullet"/>
              <w:spacing w:before="40" w:after="20"/>
              <w:rPr>
                <w:lang w:bidi="fa-IR"/>
              </w:rPr>
            </w:pPr>
            <w:r>
              <w:rPr>
                <w:lang w:bidi="fa-IR"/>
              </w:rPr>
              <w:t xml:space="preserve">Intervention that drives result: </w:t>
            </w:r>
            <w:r>
              <w:t xml:space="preserve">visit and follow-up by </w:t>
            </w:r>
            <w:r w:rsidR="00352237">
              <w:t>occupational therapists</w:t>
            </w:r>
            <w:r>
              <w:t>, including home modifications</w:t>
            </w:r>
          </w:p>
          <w:p w14:paraId="4BACED99" w14:textId="77777777" w:rsidR="00ED748D" w:rsidRDefault="00ED748D" w:rsidP="002B23FD">
            <w:pPr>
              <w:pStyle w:val="TableListBullet"/>
              <w:spacing w:before="40" w:after="20"/>
              <w:rPr>
                <w:lang w:bidi="fa-IR"/>
              </w:rPr>
            </w:pPr>
            <w:r>
              <w:rPr>
                <w:lang w:bidi="fa-IR"/>
              </w:rPr>
              <w:t>Result is for sub-group that had a fall prior to study. No significant impact for sub-group that did not have a fall prior to study.</w:t>
            </w:r>
          </w:p>
          <w:p w14:paraId="4423F567" w14:textId="77777777" w:rsidR="00ED748D" w:rsidRDefault="00ED748D" w:rsidP="002B23FD">
            <w:pPr>
              <w:pStyle w:val="TableListBullet"/>
              <w:spacing w:before="40" w:after="20"/>
              <w:rPr>
                <w:lang w:bidi="fa-IR"/>
              </w:rPr>
            </w:pPr>
            <w:r>
              <w:rPr>
                <w:lang w:bidi="fa-IR"/>
              </w:rPr>
              <w:t xml:space="preserve">Authors attribute reduction in falls to </w:t>
            </w:r>
            <w:r w:rsidR="00352237">
              <w:rPr>
                <w:lang w:bidi="fa-IR"/>
              </w:rPr>
              <w:t>o</w:t>
            </w:r>
            <w:r>
              <w:rPr>
                <w:lang w:bidi="fa-IR"/>
              </w:rPr>
              <w:t xml:space="preserve">ccupational </w:t>
            </w:r>
            <w:r w:rsidR="00352237">
              <w:rPr>
                <w:lang w:bidi="fa-IR"/>
              </w:rPr>
              <w:t>t</w:t>
            </w:r>
            <w:r>
              <w:rPr>
                <w:lang w:bidi="fa-IR"/>
              </w:rPr>
              <w:t>herapy in general (including home modifications) not to home modifications specifically, because falls outside home also fell</w:t>
            </w:r>
          </w:p>
        </w:tc>
      </w:tr>
      <w:tr w:rsidR="00ED748D" w14:paraId="4079DE0A" w14:textId="77777777" w:rsidTr="002B23FD">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474F0E" w14:textId="77777777" w:rsidR="00ED748D" w:rsidRDefault="00ED748D" w:rsidP="002B23FD">
            <w:pPr>
              <w:pStyle w:val="TableTextEntries"/>
              <w:spacing w:before="40" w:after="40"/>
              <w:rPr>
                <w:lang w:bidi="fa-IR"/>
              </w:rPr>
            </w:pPr>
            <w:r>
              <w:rPr>
                <w:lang w:bidi="fa-IR"/>
              </w:rPr>
              <w:t>Palvanen et al 2014</w:t>
            </w:r>
          </w:p>
        </w:tc>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B0B67C" w14:textId="77777777" w:rsidR="00ED748D" w:rsidRDefault="00ED748D" w:rsidP="002B23FD">
            <w:pPr>
              <w:pStyle w:val="TableTextEntries"/>
              <w:spacing w:before="40" w:after="40"/>
              <w:rPr>
                <w:lang w:bidi="fa-IR"/>
              </w:rPr>
            </w:pPr>
            <w:r>
              <w:rPr>
                <w:lang w:bidi="fa-IR"/>
              </w:rPr>
              <w:t>Falls are estimated to reduce by 27 per cent.</w:t>
            </w:r>
          </w:p>
        </w:tc>
        <w:tc>
          <w:tcPr>
            <w:tcW w:w="4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58A30" w14:textId="77777777" w:rsidR="00ED748D" w:rsidRDefault="00ED748D" w:rsidP="002B23FD">
            <w:pPr>
              <w:pStyle w:val="TableListBullet"/>
              <w:spacing w:before="40" w:after="20"/>
              <w:rPr>
                <w:lang w:bidi="fa-IR"/>
              </w:rPr>
            </w:pPr>
            <w:r>
              <w:rPr>
                <w:lang w:bidi="fa-IR"/>
              </w:rPr>
              <w:t xml:space="preserve">Study for 70yo and above, who have a high risk of falling </w:t>
            </w:r>
          </w:p>
          <w:p w14:paraId="70A336CA" w14:textId="77777777" w:rsidR="00ED748D" w:rsidRDefault="00ED748D" w:rsidP="002B23FD">
            <w:pPr>
              <w:pStyle w:val="TableListBullet"/>
              <w:spacing w:before="40" w:after="20"/>
              <w:rPr>
                <w:lang w:bidi="fa-IR"/>
              </w:rPr>
            </w:pPr>
            <w:r>
              <w:rPr>
                <w:lang w:bidi="fa-IR"/>
              </w:rPr>
              <w:t xml:space="preserve">Intervention that drives result: </w:t>
            </w:r>
            <w:r>
              <w:t>12 months, multifactorial falls prevention program: strength and balance training, medical review and referrals, medication review, proper nutrition, home hazard assessment and modifications</w:t>
            </w:r>
          </w:p>
        </w:tc>
      </w:tr>
      <w:tr w:rsidR="00ED748D" w14:paraId="705B4F29" w14:textId="77777777" w:rsidTr="002B23FD">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480CD0" w14:textId="77777777" w:rsidR="00ED748D" w:rsidRDefault="00ED748D" w:rsidP="002B23FD">
            <w:pPr>
              <w:pStyle w:val="TableTextEntries"/>
              <w:spacing w:before="40" w:after="40"/>
              <w:rPr>
                <w:lang w:bidi="fa-IR"/>
              </w:rPr>
            </w:pPr>
            <w:r>
              <w:rPr>
                <w:lang w:bidi="fa-IR"/>
              </w:rPr>
              <w:t>Nikolaus &amp; Bach 2003</w:t>
            </w:r>
          </w:p>
        </w:tc>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203F9C" w14:textId="77777777" w:rsidR="00ED748D" w:rsidRDefault="00ED748D" w:rsidP="002B23FD">
            <w:pPr>
              <w:pStyle w:val="TableTextEntries"/>
              <w:spacing w:before="40" w:after="40"/>
              <w:rPr>
                <w:lang w:bidi="fa-IR"/>
              </w:rPr>
            </w:pPr>
            <w:r>
              <w:rPr>
                <w:lang w:bidi="fa-IR"/>
              </w:rPr>
              <w:t>Falls are estimated to reduce by 37 per cent.</w:t>
            </w:r>
          </w:p>
        </w:tc>
        <w:tc>
          <w:tcPr>
            <w:tcW w:w="4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5186A" w14:textId="77777777" w:rsidR="00ED748D" w:rsidRDefault="00ED748D" w:rsidP="002B23FD">
            <w:pPr>
              <w:pStyle w:val="TableListBullet"/>
              <w:spacing w:before="40" w:after="20"/>
              <w:rPr>
                <w:lang w:bidi="fa-IR"/>
              </w:rPr>
            </w:pPr>
            <w:r>
              <w:t>Study of subjects admitted from home to geriatric hospital showing functional decline, especially in mobility</w:t>
            </w:r>
          </w:p>
          <w:p w14:paraId="34F6850F" w14:textId="77777777" w:rsidR="00ED748D" w:rsidRDefault="00ED748D" w:rsidP="002B23FD">
            <w:pPr>
              <w:pStyle w:val="TableListBullet"/>
              <w:spacing w:before="40" w:after="20"/>
              <w:rPr>
                <w:lang w:bidi="fa-IR"/>
              </w:rPr>
            </w:pPr>
            <w:r>
              <w:rPr>
                <w:lang w:bidi="fa-IR"/>
              </w:rPr>
              <w:t xml:space="preserve">Intervention that drives result: </w:t>
            </w:r>
            <w:r>
              <w:t>diagnostic home visit and home intervention (diagnostic home visit, assessing home for environmental hazards, advice about possible changes, offer of facilities for any necessary home modifications, training on the use of technical and mobility aids); an additional home visit after 3 months to reinforce the recommendations</w:t>
            </w:r>
          </w:p>
        </w:tc>
      </w:tr>
      <w:tr w:rsidR="00ED748D" w14:paraId="1A038146" w14:textId="77777777" w:rsidTr="00C13DC2">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F8D95E" w14:textId="77777777" w:rsidR="00ED748D" w:rsidRDefault="00ED748D" w:rsidP="002B23FD">
            <w:pPr>
              <w:pStyle w:val="TableTextEntries"/>
              <w:spacing w:before="40" w:after="40"/>
              <w:rPr>
                <w:lang w:bidi="fa-IR"/>
              </w:rPr>
            </w:pPr>
            <w:r>
              <w:rPr>
                <w:lang w:bidi="fa-IR"/>
              </w:rPr>
              <w:t>Pighils et al 2011</w:t>
            </w:r>
          </w:p>
        </w:tc>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B7E68E" w14:textId="77777777" w:rsidR="00ED748D" w:rsidRDefault="00ED748D" w:rsidP="002B23FD">
            <w:pPr>
              <w:pStyle w:val="TableTextEntries"/>
              <w:spacing w:before="40" w:after="40"/>
              <w:rPr>
                <w:lang w:bidi="fa-IR"/>
              </w:rPr>
            </w:pPr>
            <w:r>
              <w:rPr>
                <w:lang w:bidi="fa-IR"/>
              </w:rPr>
              <w:t>Falls are estimated to reduce by 46 per cent.</w:t>
            </w:r>
          </w:p>
        </w:tc>
        <w:tc>
          <w:tcPr>
            <w:tcW w:w="4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14B5B8" w14:textId="77777777" w:rsidR="00ED748D" w:rsidRDefault="00ED748D" w:rsidP="002B23FD">
            <w:pPr>
              <w:pStyle w:val="TableListBullet"/>
              <w:spacing w:before="40" w:after="20"/>
              <w:rPr>
                <w:lang w:bidi="fa-IR"/>
              </w:rPr>
            </w:pPr>
            <w:r>
              <w:t>Study of subject 70yo and above, with a history of falls in the previous year.</w:t>
            </w:r>
          </w:p>
          <w:p w14:paraId="218C2F69" w14:textId="77777777" w:rsidR="00ED748D" w:rsidRDefault="00ED748D" w:rsidP="002B23FD">
            <w:pPr>
              <w:pStyle w:val="TableListBullet"/>
              <w:spacing w:before="40" w:after="20"/>
              <w:rPr>
                <w:lang w:bidi="fa-IR"/>
              </w:rPr>
            </w:pPr>
            <w:r>
              <w:t xml:space="preserve">Intervention: environmental falls prevention intervention from </w:t>
            </w:r>
            <w:r w:rsidR="009C017A">
              <w:t>occupational therap</w:t>
            </w:r>
            <w:r w:rsidR="009C53D0">
              <w:t>ist</w:t>
            </w:r>
          </w:p>
        </w:tc>
      </w:tr>
      <w:tr w:rsidR="00C13DC2" w14:paraId="1669F1F7" w14:textId="77777777" w:rsidTr="002B23FD">
        <w:tc>
          <w:tcPr>
            <w:tcW w:w="993" w:type="dxa"/>
            <w:tcBorders>
              <w:top w:val="single" w:sz="8" w:space="0" w:color="FFFFFF" w:themeColor="background1"/>
              <w:bottom w:val="single" w:sz="6" w:space="0" w:color="6F6652"/>
            </w:tcBorders>
            <w:shd w:val="clear" w:color="auto" w:fill="E9E8E5" w:themeFill="background2"/>
            <w:tcMar>
              <w:left w:w="57" w:type="dxa"/>
              <w:right w:w="57" w:type="dxa"/>
            </w:tcMar>
          </w:tcPr>
          <w:p w14:paraId="138321C4" w14:textId="77777777" w:rsidR="00C13DC2" w:rsidRDefault="00C13DC2" w:rsidP="002B23FD">
            <w:pPr>
              <w:pStyle w:val="TableTextEntries"/>
              <w:spacing w:before="40" w:after="40"/>
              <w:rPr>
                <w:lang w:bidi="fa-IR"/>
              </w:rPr>
            </w:pPr>
            <w:r>
              <w:rPr>
                <w:lang w:bidi="fa-IR"/>
              </w:rPr>
              <w:t>Lord et. al. (2006)</w:t>
            </w:r>
          </w:p>
        </w:tc>
        <w:tc>
          <w:tcPr>
            <w:tcW w:w="2268" w:type="dxa"/>
            <w:tcBorders>
              <w:top w:val="single" w:sz="8" w:space="0" w:color="FFFFFF" w:themeColor="background1"/>
              <w:bottom w:val="single" w:sz="6" w:space="0" w:color="6F6652"/>
            </w:tcBorders>
            <w:shd w:val="clear" w:color="auto" w:fill="E9E8E5" w:themeFill="background2"/>
            <w:tcMar>
              <w:left w:w="57" w:type="dxa"/>
              <w:right w:w="57" w:type="dxa"/>
            </w:tcMar>
          </w:tcPr>
          <w:p w14:paraId="28B30CAF" w14:textId="77777777" w:rsidR="00C13DC2" w:rsidRDefault="00C13DC2" w:rsidP="002B23FD">
            <w:pPr>
              <w:pStyle w:val="TableTextEntries"/>
              <w:spacing w:before="40" w:after="40"/>
              <w:rPr>
                <w:lang w:bidi="fa-IR"/>
              </w:rPr>
            </w:pPr>
            <w:r>
              <w:rPr>
                <w:lang w:bidi="fa-IR"/>
              </w:rPr>
              <w:t>Studies find no association or no consistent association between trip hazards and falls</w:t>
            </w:r>
          </w:p>
        </w:tc>
        <w:tc>
          <w:tcPr>
            <w:tcW w:w="4676" w:type="dxa"/>
            <w:tcBorders>
              <w:top w:val="single" w:sz="8" w:space="0" w:color="FFFFFF" w:themeColor="background1"/>
              <w:bottom w:val="single" w:sz="6" w:space="0" w:color="6F6652"/>
            </w:tcBorders>
            <w:shd w:val="clear" w:color="auto" w:fill="E9E8E5" w:themeFill="background2"/>
            <w:tcMar>
              <w:left w:w="57" w:type="dxa"/>
              <w:right w:w="57" w:type="dxa"/>
            </w:tcMar>
          </w:tcPr>
          <w:p w14:paraId="77FA5D0D" w14:textId="77777777" w:rsidR="00C13DC2" w:rsidRDefault="00C13DC2" w:rsidP="002B23FD">
            <w:pPr>
              <w:pStyle w:val="TableListBullet"/>
              <w:spacing w:before="40" w:after="20"/>
            </w:pPr>
            <w:r>
              <w:t>Other factors may be significant, for example, removal of environmental hazards such as hallway rugs may reduce falls in older people</w:t>
            </w:r>
          </w:p>
          <w:p w14:paraId="5AD0C6DD" w14:textId="77777777" w:rsidR="00C13DC2" w:rsidRDefault="00C13DC2" w:rsidP="002B23FD">
            <w:pPr>
              <w:pStyle w:val="TableListBullet"/>
              <w:spacing w:before="40" w:after="20"/>
            </w:pPr>
            <w:r>
              <w:t>Notes 3 further studies that do not find a significant reduction in falls resulting from interventions including home modifications</w:t>
            </w:r>
          </w:p>
        </w:tc>
      </w:tr>
    </w:tbl>
    <w:p w14:paraId="797456DC" w14:textId="77777777" w:rsidR="00ED748D" w:rsidRDefault="00ED748D" w:rsidP="00ED748D">
      <w:pPr>
        <w:pStyle w:val="Note"/>
      </w:pPr>
      <w:r w:rsidRPr="00E4232C">
        <w:rPr>
          <w:rStyle w:val="NoteLabel"/>
        </w:rPr>
        <w:t>a</w:t>
      </w:r>
      <w:r>
        <w:t xml:space="preserve"> </w:t>
      </w:r>
      <w:r w:rsidRPr="00E94313">
        <w:t>The key result taken from each study is the r</w:t>
      </w:r>
      <w:r w:rsidRPr="00E94313">
        <w:rPr>
          <w:lang w:bidi="fa-IR"/>
        </w:rPr>
        <w:t>ate of falls in in an environment with home modifications and other factors</w:t>
      </w:r>
      <w:r w:rsidRPr="00E94313">
        <w:t>, relative to not being such an environment. All noted results are statistically significant. Note: In each RCT, the control group generally receives ‘normal’ treatment, which does not involve occupational therapy and home modifications. The specific interventions that drive the results are noted.</w:t>
      </w:r>
      <w:r>
        <w:t xml:space="preserve"> </w:t>
      </w:r>
    </w:p>
    <w:p w14:paraId="7F3536B8" w14:textId="77777777" w:rsidR="00ED748D" w:rsidRPr="005409C5" w:rsidRDefault="00ED748D" w:rsidP="00ED748D">
      <w:pPr>
        <w:pStyle w:val="Source"/>
        <w:rPr>
          <w:lang w:bidi="fa-IR"/>
        </w:rPr>
      </w:pPr>
      <w:r w:rsidRPr="00E94313">
        <w:rPr>
          <w:iCs/>
          <w:lang w:bidi="fa-IR"/>
        </w:rPr>
        <w:lastRenderedPageBreak/>
        <w:t>Source: Cumming et</w:t>
      </w:r>
      <w:r>
        <w:rPr>
          <w:lang w:bidi="fa-IR"/>
        </w:rPr>
        <w:t xml:space="preserve"> al 1999, </w:t>
      </w:r>
      <w:r>
        <w:rPr>
          <w:i/>
          <w:iCs/>
          <w:lang w:bidi="fa-IR"/>
        </w:rPr>
        <w:t>Home visits by an Occupational Therapist for Assessment and modification of Environmental Hazards: A Randomised Trial of Falls Prevention</w:t>
      </w:r>
      <w:r>
        <w:rPr>
          <w:lang w:bidi="fa-IR"/>
        </w:rPr>
        <w:t xml:space="preserve">; JAGS 47:1397-1402; Palvanen et al 2014, </w:t>
      </w:r>
      <w:r>
        <w:rPr>
          <w:i/>
          <w:iCs/>
          <w:lang w:bidi="fa-IR"/>
        </w:rPr>
        <w:t>Effectiveness of the Chaos Falls Clinic in preventing falls and injuries of home-dwelling older adults: a randomised controlled trial</w:t>
      </w:r>
      <w:r>
        <w:rPr>
          <w:lang w:bidi="fa-IR"/>
        </w:rPr>
        <w:t xml:space="preserve">, </w:t>
      </w:r>
      <w:hyperlink r:id="rId79" w:tooltip="Injury." w:history="1">
        <w:r w:rsidRPr="00F03117">
          <w:rPr>
            <w:lang w:bidi="fa-IR"/>
          </w:rPr>
          <w:t>Injury.</w:t>
        </w:r>
      </w:hyperlink>
      <w:r w:rsidRPr="00F03117">
        <w:rPr>
          <w:lang w:bidi="fa-IR"/>
        </w:rPr>
        <w:t> 2014 Jan;45(1):265-71. doi: 10.1016/j.injury.2013.03.010</w:t>
      </w:r>
      <w:r>
        <w:rPr>
          <w:lang w:bidi="fa-IR"/>
        </w:rPr>
        <w:t xml:space="preserve">; Nikolaus T and Bach M 2003, </w:t>
      </w:r>
      <w:r>
        <w:rPr>
          <w:i/>
          <w:iCs/>
          <w:lang w:bidi="fa-IR"/>
        </w:rPr>
        <w:t>Preventing falls in community-dwelling frail older people using a home intervention team (HIT): results from the randomised Falls-HIT trial</w:t>
      </w:r>
      <w:r>
        <w:rPr>
          <w:lang w:bidi="fa-IR"/>
        </w:rPr>
        <w:t xml:space="preserve">, </w:t>
      </w:r>
      <w:hyperlink r:id="rId80" w:tooltip="Journal of the American Geriatrics Society." w:history="1">
        <w:r w:rsidRPr="00F03117">
          <w:rPr>
            <w:lang w:bidi="fa-IR"/>
          </w:rPr>
          <w:t>J Am Geriatr Soc.</w:t>
        </w:r>
      </w:hyperlink>
      <w:r w:rsidRPr="00F03117">
        <w:rPr>
          <w:lang w:bidi="fa-IR"/>
        </w:rPr>
        <w:t> 2003 Mar;51(3):300-5</w:t>
      </w:r>
      <w:r>
        <w:rPr>
          <w:lang w:bidi="fa-IR"/>
        </w:rPr>
        <w:t xml:space="preserve">; Pighills et al 2011, </w:t>
      </w:r>
      <w:r>
        <w:rPr>
          <w:i/>
          <w:iCs/>
          <w:lang w:bidi="fa-IR"/>
        </w:rPr>
        <w:t>Envrionmental Assessment and modification to prevent falls in older people</w:t>
      </w:r>
      <w:r>
        <w:rPr>
          <w:lang w:bidi="fa-IR"/>
        </w:rPr>
        <w:t xml:space="preserve">, </w:t>
      </w:r>
      <w:hyperlink r:id="rId81" w:tooltip="Journal of the American Geriatrics Society." w:history="1">
        <w:r w:rsidRPr="00F03117">
          <w:rPr>
            <w:i/>
            <w:iCs/>
            <w:lang w:bidi="fa-IR"/>
          </w:rPr>
          <w:t>J Am Geriatr Soc.</w:t>
        </w:r>
      </w:hyperlink>
      <w:r w:rsidRPr="00F03117">
        <w:rPr>
          <w:i/>
          <w:iCs/>
          <w:lang w:bidi="fa-IR"/>
        </w:rPr>
        <w:t> 2011 Jan;59(1):26-33. doi: 10.1111/j.1532-5415.2010.03221</w:t>
      </w:r>
      <w:r w:rsidR="005409C5">
        <w:rPr>
          <w:lang w:bidi="fa-IR"/>
        </w:rPr>
        <w:t xml:space="preserve">; Lord et al 2006, </w:t>
      </w:r>
      <w:r w:rsidR="005409C5">
        <w:rPr>
          <w:i/>
          <w:iCs/>
          <w:lang w:bidi="fa-IR"/>
        </w:rPr>
        <w:t>Home environment risk factors for falls in older people and the efficacy of home modifications</w:t>
      </w:r>
      <w:r w:rsidR="005409C5">
        <w:rPr>
          <w:lang w:bidi="fa-IR"/>
        </w:rPr>
        <w:t xml:space="preserve">, Age and Ageing </w:t>
      </w:r>
      <w:r w:rsidR="005409C5" w:rsidRPr="005409C5">
        <w:rPr>
          <w:b/>
          <w:bCs/>
          <w:lang w:bidi="fa-IR"/>
        </w:rPr>
        <w:t>35-S2</w:t>
      </w:r>
      <w:r w:rsidR="005409C5">
        <w:rPr>
          <w:lang w:bidi="fa-IR"/>
        </w:rPr>
        <w:t>, ii55-ii59, doi:</w:t>
      </w:r>
      <w:r w:rsidR="005409C5" w:rsidRPr="005409C5">
        <w:t xml:space="preserve"> </w:t>
      </w:r>
      <w:r w:rsidR="005409C5" w:rsidRPr="005409C5">
        <w:rPr>
          <w:lang w:bidi="fa-IR"/>
        </w:rPr>
        <w:t>10.1093/ageing/afl088</w:t>
      </w:r>
      <w:r w:rsidR="005409C5">
        <w:rPr>
          <w:lang w:bidi="fa-IR"/>
        </w:rPr>
        <w:t>.</w:t>
      </w:r>
    </w:p>
    <w:p w14:paraId="37813A57" w14:textId="77777777" w:rsidR="00972FED" w:rsidRDefault="00972FED" w:rsidP="00972FED">
      <w:pPr>
        <w:pStyle w:val="KeyPoint"/>
        <w:numPr>
          <w:ilvl w:val="0"/>
          <w:numId w:val="11"/>
        </w:numPr>
        <w:rPr>
          <w:lang w:bidi="fa-IR"/>
        </w:rPr>
      </w:pPr>
      <w:r>
        <w:rPr>
          <w:lang w:bidi="fa-IR"/>
        </w:rPr>
        <w:t>In summary, there is limited direct evidence on the extent to which universal design features would decrease falls in the home for older people and people with disabilit</w:t>
      </w:r>
      <w:r w:rsidR="00D870C0">
        <w:rPr>
          <w:lang w:bidi="fa-IR"/>
        </w:rPr>
        <w:t>y</w:t>
      </w:r>
      <w:r>
        <w:rPr>
          <w:lang w:bidi="fa-IR"/>
        </w:rPr>
        <w:t>.</w:t>
      </w:r>
    </w:p>
    <w:p w14:paraId="73A7DB11" w14:textId="77777777" w:rsidR="00972FED" w:rsidRDefault="00972FED" w:rsidP="00972FED">
      <w:pPr>
        <w:pStyle w:val="KeyPoint"/>
        <w:numPr>
          <w:ilvl w:val="0"/>
          <w:numId w:val="11"/>
        </w:numPr>
        <w:rPr>
          <w:lang w:bidi="fa-IR"/>
        </w:rPr>
      </w:pPr>
      <w:r>
        <w:rPr>
          <w:lang w:bidi="fa-IR"/>
        </w:rPr>
        <w:t>Other related evidence is mixed.</w:t>
      </w:r>
    </w:p>
    <w:p w14:paraId="098C159D" w14:textId="77777777" w:rsidR="00ED748D" w:rsidRDefault="00972FED" w:rsidP="00F11742">
      <w:pPr>
        <w:pStyle w:val="KeyPoint"/>
        <w:numPr>
          <w:ilvl w:val="0"/>
          <w:numId w:val="11"/>
        </w:numPr>
        <w:rPr>
          <w:lang w:bidi="fa-IR"/>
        </w:rPr>
      </w:pPr>
      <w:r>
        <w:rPr>
          <w:lang w:bidi="fa-IR"/>
        </w:rPr>
        <w:t>For the purposes of the CBA</w:t>
      </w:r>
      <w:r w:rsidR="00ED748D">
        <w:rPr>
          <w:lang w:bidi="fa-IR"/>
        </w:rPr>
        <w:t xml:space="preserve">, the following </w:t>
      </w:r>
      <w:r>
        <w:rPr>
          <w:lang w:bidi="fa-IR"/>
        </w:rPr>
        <w:t>assumptions</w:t>
      </w:r>
      <w:r w:rsidR="008E0867">
        <w:rPr>
          <w:lang w:bidi="fa-IR"/>
        </w:rPr>
        <w:t xml:space="preserve"> are made</w:t>
      </w:r>
      <w:r w:rsidR="00ED748D">
        <w:rPr>
          <w:lang w:bidi="fa-IR"/>
        </w:rPr>
        <w:t>.</w:t>
      </w:r>
    </w:p>
    <w:p w14:paraId="5E25D404" w14:textId="77777777" w:rsidR="00ED748D" w:rsidRPr="00565327" w:rsidRDefault="00972FED" w:rsidP="00F11742">
      <w:pPr>
        <w:pStyle w:val="KeyPoint2"/>
        <w:numPr>
          <w:ilvl w:val="1"/>
          <w:numId w:val="11"/>
        </w:numPr>
      </w:pPr>
      <w:r>
        <w:rPr>
          <w:lang w:bidi="fa-IR"/>
        </w:rPr>
        <w:t xml:space="preserve">As a </w:t>
      </w:r>
      <w:r w:rsidR="00ED748D">
        <w:rPr>
          <w:lang w:bidi="fa-IR"/>
        </w:rPr>
        <w:t xml:space="preserve">significant </w:t>
      </w:r>
      <w:r>
        <w:rPr>
          <w:lang w:bidi="fa-IR"/>
        </w:rPr>
        <w:t xml:space="preserve">number of studies suggest that environmental factors have a minimal </w:t>
      </w:r>
      <w:r w:rsidR="00ED748D">
        <w:rPr>
          <w:lang w:bidi="fa-IR"/>
        </w:rPr>
        <w:t xml:space="preserve">impact </w:t>
      </w:r>
      <w:r>
        <w:rPr>
          <w:lang w:bidi="fa-IR"/>
        </w:rPr>
        <w:t>on falls, a reasonable lower bound would be to assume</w:t>
      </w:r>
      <w:r w:rsidR="00ED748D">
        <w:rPr>
          <w:lang w:bidi="fa-IR"/>
        </w:rPr>
        <w:t xml:space="preserve"> that the </w:t>
      </w:r>
      <w:r>
        <w:rPr>
          <w:lang w:bidi="fa-IR"/>
        </w:rPr>
        <w:t xml:space="preserve">universal design features on their own could have minimal impact on </w:t>
      </w:r>
      <w:r w:rsidR="00ED748D">
        <w:rPr>
          <w:lang w:bidi="fa-IR"/>
        </w:rPr>
        <w:t>falls.</w:t>
      </w:r>
    </w:p>
    <w:p w14:paraId="6C438F31" w14:textId="77777777" w:rsidR="00972FED" w:rsidRDefault="00972FED" w:rsidP="00972FED">
      <w:pPr>
        <w:pStyle w:val="KeyPoint2"/>
        <w:numPr>
          <w:ilvl w:val="1"/>
          <w:numId w:val="11"/>
        </w:numPr>
        <w:rPr>
          <w:lang w:bidi="fa-IR"/>
        </w:rPr>
      </w:pPr>
      <w:r>
        <w:rPr>
          <w:lang w:bidi="fa-IR"/>
        </w:rPr>
        <w:t>As an upper bound estimate, we use the same impact estimated for the Consultation RIS (i.e. lack of universal design features increases falls by around 37 per cent).</w:t>
      </w:r>
    </w:p>
    <w:p w14:paraId="76D940A9" w14:textId="77777777" w:rsidR="00972FED" w:rsidRDefault="00972FED" w:rsidP="00972FED">
      <w:pPr>
        <w:pStyle w:val="KeyPoint2"/>
        <w:numPr>
          <w:ilvl w:val="1"/>
          <w:numId w:val="11"/>
        </w:numPr>
        <w:rPr>
          <w:lang w:bidi="fa-IR"/>
        </w:rPr>
      </w:pPr>
      <w:r>
        <w:rPr>
          <w:lang w:bidi="fa-IR"/>
        </w:rPr>
        <w:t>For the central case, we assume that the lack of universal design features increase falls by around 10 per cent. We consider that the impact of the NCC is more likely to be towards the lower end of the range for the following reasons.</w:t>
      </w:r>
    </w:p>
    <w:p w14:paraId="079288F6" w14:textId="77777777" w:rsidR="00972FED" w:rsidRDefault="00972FED" w:rsidP="00972FED">
      <w:pPr>
        <w:pStyle w:val="KeyPoint3"/>
        <w:numPr>
          <w:ilvl w:val="2"/>
          <w:numId w:val="11"/>
        </w:numPr>
        <w:rPr>
          <w:lang w:bidi="fa-IR"/>
        </w:rPr>
      </w:pPr>
      <w:r>
        <w:rPr>
          <w:lang w:bidi="fa-IR"/>
        </w:rPr>
        <w:t>Most (but not all) studies that look at the number of hazards in the home (without other interventions) tend to find that the number of environmental hazards has little to no impact on the number of falls.</w:t>
      </w:r>
    </w:p>
    <w:p w14:paraId="1B9CF8B2" w14:textId="77777777" w:rsidR="00972FED" w:rsidRDefault="00972FED" w:rsidP="00972FED">
      <w:pPr>
        <w:pStyle w:val="KeyPoint3"/>
        <w:numPr>
          <w:ilvl w:val="2"/>
          <w:numId w:val="11"/>
        </w:numPr>
        <w:rPr>
          <w:lang w:bidi="fa-IR"/>
        </w:rPr>
      </w:pPr>
      <w:bookmarkStart w:id="631" w:name="_Hlk59460278"/>
      <w:r>
        <w:rPr>
          <w:lang w:bidi="fa-IR"/>
        </w:rPr>
        <w:t xml:space="preserve">Most studies at the upper end of the range tend to include either home assessments (which could assist in removing environmental hazards unrelated to the dwelling design such as rugs, worn carpets, inappropriate furniture placement etc.); or other types of interventions </w:t>
      </w:r>
      <w:r w:rsidRPr="00BD7150">
        <w:rPr>
          <w:lang w:bidi="fa-IR"/>
        </w:rPr>
        <w:t xml:space="preserve">(such as </w:t>
      </w:r>
      <w:r w:rsidR="00BD7150" w:rsidRPr="00BD7150">
        <w:rPr>
          <w:lang w:bidi="fa-IR"/>
        </w:rPr>
        <w:t>e</w:t>
      </w:r>
      <w:r w:rsidRPr="00BD7150">
        <w:rPr>
          <w:lang w:bidi="fa-IR"/>
        </w:rPr>
        <w:t>x</w:t>
      </w:r>
      <w:r w:rsidR="00BD7150" w:rsidRPr="00BD7150">
        <w:rPr>
          <w:lang w:bidi="fa-IR"/>
        </w:rPr>
        <w:t>ercises and physio tre</w:t>
      </w:r>
      <w:r w:rsidR="00BD7150">
        <w:rPr>
          <w:lang w:bidi="fa-IR"/>
        </w:rPr>
        <w:t>atment</w:t>
      </w:r>
      <w:r>
        <w:rPr>
          <w:lang w:bidi="fa-IR"/>
        </w:rPr>
        <w:t>).</w:t>
      </w:r>
      <w:bookmarkEnd w:id="631"/>
      <w:r>
        <w:rPr>
          <w:lang w:bidi="fa-IR"/>
        </w:rPr>
        <w:t xml:space="preserve"> As such, these studies are likely to overstate the impact of universal design features.</w:t>
      </w:r>
    </w:p>
    <w:p w14:paraId="6FFD8866" w14:textId="77777777" w:rsidR="00ED748D" w:rsidRPr="004B79EC" w:rsidRDefault="00ED748D" w:rsidP="004B79EC">
      <w:pPr>
        <w:pStyle w:val="Heading2-Appendix"/>
      </w:pPr>
      <w:r w:rsidRPr="004B79EC">
        <w:t>Estimating the health</w:t>
      </w:r>
      <w:r w:rsidRPr="004B79EC">
        <w:noBreakHyphen/>
        <w:t>related cost of falls</w:t>
      </w:r>
    </w:p>
    <w:p w14:paraId="6C6692AF" w14:textId="77777777" w:rsidR="00ED748D" w:rsidRPr="0072081C" w:rsidRDefault="00ED748D" w:rsidP="00ED748D">
      <w:pPr>
        <w:pStyle w:val="BodyText"/>
        <w:spacing w:before="100"/>
        <w:rPr>
          <w:lang w:eastAsia="en-US" w:bidi="fa-IR"/>
        </w:rPr>
      </w:pPr>
      <w:r>
        <w:rPr>
          <w:lang w:eastAsia="en-US" w:bidi="fa-IR"/>
        </w:rPr>
        <w:t>Various studies report the prevalence of falls among older people (typically over the age of 65)</w:t>
      </w:r>
      <w:r w:rsidR="005B0F58">
        <w:rPr>
          <w:lang w:eastAsia="en-US" w:bidi="fa-IR"/>
        </w:rPr>
        <w:t>.</w:t>
      </w:r>
      <w:r>
        <w:rPr>
          <w:lang w:eastAsia="en-US" w:bidi="fa-IR"/>
        </w:rPr>
        <w:t xml:space="preserve"> </w:t>
      </w:r>
      <w:r w:rsidR="005B0F58">
        <w:rPr>
          <w:lang w:eastAsia="en-US" w:bidi="fa-IR"/>
        </w:rPr>
        <w:t>At the national level, the AIHW reports the number of hospitalised falls only. There are also several state</w:t>
      </w:r>
      <w:r w:rsidR="005B0F58">
        <w:rPr>
          <w:lang w:eastAsia="en-US" w:bidi="fa-IR"/>
        </w:rPr>
        <w:noBreakHyphen/>
        <w:t>based studies that include all falls</w:t>
      </w:r>
      <w:r>
        <w:rPr>
          <w:lang w:eastAsia="en-US" w:bidi="fa-IR"/>
        </w:rPr>
        <w:t xml:space="preserve"> (including data from NSW, Victoria and Queensland).</w:t>
      </w:r>
    </w:p>
    <w:p w14:paraId="3616377D" w14:textId="77777777" w:rsidR="00ED748D" w:rsidRDefault="00ED748D" w:rsidP="00ED748D">
      <w:pPr>
        <w:pStyle w:val="BodyText"/>
        <w:spacing w:before="100"/>
        <w:rPr>
          <w:lang w:eastAsia="en-US" w:bidi="fa-IR"/>
        </w:rPr>
      </w:pPr>
      <w:r>
        <w:rPr>
          <w:lang w:eastAsia="en-US" w:bidi="fa-IR"/>
        </w:rPr>
        <w:t xml:space="preserve">Although the way the data is reported across the various reports is </w:t>
      </w:r>
      <w:r w:rsidRPr="00FF3A4A">
        <w:rPr>
          <w:lang w:eastAsia="en-US" w:bidi="fa-IR"/>
        </w:rPr>
        <w:t>not always directly comparable</w:t>
      </w:r>
      <w:r>
        <w:rPr>
          <w:lang w:eastAsia="en-US" w:bidi="fa-IR"/>
        </w:rPr>
        <w:t xml:space="preserve"> (i.e. based on different time periods, different age brackets etc.), the hospitalisation rates across age groups appear broadly comparable across states (</w:t>
      </w:r>
      <w:r w:rsidR="00062855">
        <w:rPr>
          <w:lang w:eastAsia="en-US" w:bidi="fa-IR"/>
        </w:rPr>
        <w:t xml:space="preserve">table </w:t>
      </w:r>
      <w:r w:rsidR="00B13B7D">
        <w:rPr>
          <w:lang w:eastAsia="en-US" w:bidi="fa-IR"/>
        </w:rPr>
        <w:t>B</w:t>
      </w:r>
      <w:r>
        <w:rPr>
          <w:lang w:eastAsia="en-US" w:bidi="fa-IR"/>
        </w:rPr>
        <w:t>.3). This suggests that using data from any of these studies should be broadly representative of national outcomes.</w:t>
      </w:r>
    </w:p>
    <w:p w14:paraId="0D5B9041" w14:textId="08E67189" w:rsidR="00ED748D" w:rsidRDefault="00B27E24" w:rsidP="00ED748D">
      <w:pPr>
        <w:pStyle w:val="Caption"/>
        <w:spacing w:before="200"/>
      </w:pPr>
      <w:bookmarkStart w:id="632" w:name="_Toc31986669"/>
      <w:bookmarkStart w:id="633" w:name="_Toc44598563"/>
      <w:bookmarkStart w:id="634" w:name="_Toc44695935"/>
      <w:bookmarkStart w:id="635" w:name="_Toc57643670"/>
      <w:bookmarkStart w:id="636" w:name="_Toc70505617"/>
      <w:r>
        <w:lastRenderedPageBreak/>
        <w:t>B.3</w:t>
      </w:r>
      <w:r w:rsidR="00ED748D" w:rsidRPr="00695C93">
        <w:tab/>
      </w:r>
      <w:r w:rsidR="00ED748D">
        <w:t>Hospitalisation rates from falls for older Australians</w:t>
      </w:r>
      <w:bookmarkEnd w:id="632"/>
      <w:bookmarkEnd w:id="633"/>
      <w:bookmarkEnd w:id="634"/>
      <w:bookmarkEnd w:id="635"/>
      <w:bookmarkEnd w:id="636"/>
    </w:p>
    <w:tbl>
      <w:tblPr>
        <w:tblW w:w="7937" w:type="dxa"/>
        <w:tblLayout w:type="fixed"/>
        <w:tblLook w:val="0000" w:firstRow="0" w:lastRow="0" w:firstColumn="0" w:lastColumn="0" w:noHBand="0" w:noVBand="0"/>
        <w:tblCaption w:val="Table B.3: Hospitalisation rates from falls for older Australians"/>
        <w:tblDescription w:val="Table B.3 lists the hospitalisation rates from falls for older Australians (divided into 5-year age groups from 65 to 95+) in NSW, Queensland and Victoria. The rates roughly correspond across the states, and clearly show an upward trend with increasing age."/>
      </w:tblPr>
      <w:tblGrid>
        <w:gridCol w:w="3761"/>
        <w:gridCol w:w="1392"/>
        <w:gridCol w:w="1392"/>
        <w:gridCol w:w="1392"/>
      </w:tblGrid>
      <w:tr w:rsidR="00ED748D" w14:paraId="448F8041" w14:textId="77777777" w:rsidTr="002B23FD">
        <w:trPr>
          <w:trHeight w:val="230"/>
          <w:tblHeader/>
        </w:trPr>
        <w:tc>
          <w:tcPr>
            <w:tcW w:w="3761" w:type="dxa"/>
            <w:shd w:val="clear" w:color="auto" w:fill="6F6652"/>
            <w:tcMar>
              <w:left w:w="57" w:type="dxa"/>
              <w:right w:w="57" w:type="dxa"/>
            </w:tcMar>
          </w:tcPr>
          <w:p w14:paraId="0CB9B8ED" w14:textId="77777777" w:rsidR="00ED748D" w:rsidRDefault="00F96C3E" w:rsidP="002B23FD">
            <w:pPr>
              <w:pStyle w:val="TableDataColumnHeading"/>
              <w:jc w:val="left"/>
              <w:rPr>
                <w:lang w:val="en-GB"/>
              </w:rPr>
            </w:pPr>
            <w:r>
              <w:rPr>
                <w:lang w:val="en-GB"/>
              </w:rPr>
              <w:t>Age group</w:t>
            </w:r>
          </w:p>
        </w:tc>
        <w:tc>
          <w:tcPr>
            <w:tcW w:w="1392" w:type="dxa"/>
            <w:shd w:val="clear" w:color="auto" w:fill="6F6652"/>
            <w:tcMar>
              <w:left w:w="57" w:type="dxa"/>
              <w:right w:w="57" w:type="dxa"/>
            </w:tcMar>
          </w:tcPr>
          <w:p w14:paraId="4BF80F20" w14:textId="77777777" w:rsidR="00ED748D" w:rsidRDefault="00ED748D" w:rsidP="002B23FD">
            <w:pPr>
              <w:pStyle w:val="TableDataColumnHeading"/>
              <w:rPr>
                <w:lang w:val="en-GB"/>
              </w:rPr>
            </w:pPr>
            <w:r>
              <w:rPr>
                <w:lang w:val="en-GB"/>
              </w:rPr>
              <w:t>NSW</w:t>
            </w:r>
          </w:p>
        </w:tc>
        <w:tc>
          <w:tcPr>
            <w:tcW w:w="1392" w:type="dxa"/>
            <w:shd w:val="clear" w:color="auto" w:fill="6F6652"/>
            <w:tcMar>
              <w:left w:w="57" w:type="dxa"/>
              <w:right w:w="57" w:type="dxa"/>
            </w:tcMar>
          </w:tcPr>
          <w:p w14:paraId="06690CDB" w14:textId="77777777" w:rsidR="00ED748D" w:rsidRDefault="00ED748D" w:rsidP="002B23FD">
            <w:pPr>
              <w:pStyle w:val="TableDataColumnHeading"/>
              <w:rPr>
                <w:lang w:val="en-GB"/>
              </w:rPr>
            </w:pPr>
            <w:r>
              <w:rPr>
                <w:lang w:val="en-GB"/>
              </w:rPr>
              <w:t>Queensland</w:t>
            </w:r>
          </w:p>
        </w:tc>
        <w:tc>
          <w:tcPr>
            <w:tcW w:w="1392" w:type="dxa"/>
            <w:shd w:val="clear" w:color="auto" w:fill="6F6652"/>
            <w:tcMar>
              <w:left w:w="57" w:type="dxa"/>
              <w:right w:w="57" w:type="dxa"/>
            </w:tcMar>
          </w:tcPr>
          <w:p w14:paraId="071ED2F4" w14:textId="77777777" w:rsidR="00ED748D" w:rsidRDefault="00ED748D" w:rsidP="002B23FD">
            <w:pPr>
              <w:pStyle w:val="TableDataColumnHeading"/>
              <w:rPr>
                <w:lang w:val="en-GB"/>
              </w:rPr>
            </w:pPr>
            <w:r>
              <w:rPr>
                <w:lang w:val="en-GB"/>
              </w:rPr>
              <w:t>Victoria</w:t>
            </w:r>
          </w:p>
        </w:tc>
      </w:tr>
      <w:tr w:rsidR="00ED748D" w14:paraId="271E353D" w14:textId="77777777" w:rsidTr="002B23FD">
        <w:trPr>
          <w:trHeight w:val="230"/>
          <w:tblHeader/>
        </w:trPr>
        <w:tc>
          <w:tcPr>
            <w:tcW w:w="3761" w:type="dxa"/>
            <w:tcBorders>
              <w:bottom w:val="single" w:sz="8" w:space="0" w:color="FFFFFF" w:themeColor="background1"/>
            </w:tcBorders>
            <w:shd w:val="clear" w:color="auto" w:fill="auto"/>
            <w:tcMar>
              <w:left w:w="57" w:type="dxa"/>
              <w:right w:w="57" w:type="dxa"/>
            </w:tcMar>
          </w:tcPr>
          <w:p w14:paraId="50381E7F" w14:textId="77777777" w:rsidR="00ED748D" w:rsidRDefault="00ED748D" w:rsidP="002B23FD">
            <w:pPr>
              <w:pStyle w:val="TableUnit"/>
              <w:jc w:val="left"/>
              <w:rPr>
                <w:lang w:val="en-GB"/>
              </w:rPr>
            </w:pPr>
          </w:p>
        </w:tc>
        <w:tc>
          <w:tcPr>
            <w:tcW w:w="1392" w:type="dxa"/>
            <w:tcBorders>
              <w:bottom w:val="single" w:sz="8" w:space="0" w:color="FFFFFF" w:themeColor="background1"/>
            </w:tcBorders>
            <w:shd w:val="clear" w:color="auto" w:fill="auto"/>
            <w:tcMar>
              <w:left w:w="57" w:type="dxa"/>
              <w:right w:w="57" w:type="dxa"/>
            </w:tcMar>
          </w:tcPr>
          <w:p w14:paraId="13F6C2A9" w14:textId="77777777" w:rsidR="00ED748D" w:rsidRDefault="00ED748D" w:rsidP="002B23FD">
            <w:pPr>
              <w:pStyle w:val="TableUnit"/>
              <w:rPr>
                <w:lang w:val="en-GB"/>
              </w:rPr>
            </w:pPr>
            <w:r>
              <w:rPr>
                <w:lang w:val="en-GB"/>
              </w:rPr>
              <w:t>Rate per 100 000</w:t>
            </w:r>
          </w:p>
        </w:tc>
        <w:tc>
          <w:tcPr>
            <w:tcW w:w="1392" w:type="dxa"/>
            <w:tcBorders>
              <w:bottom w:val="single" w:sz="8" w:space="0" w:color="FFFFFF" w:themeColor="background1"/>
            </w:tcBorders>
            <w:shd w:val="clear" w:color="auto" w:fill="auto"/>
            <w:tcMar>
              <w:left w:w="57" w:type="dxa"/>
              <w:right w:w="57" w:type="dxa"/>
            </w:tcMar>
          </w:tcPr>
          <w:p w14:paraId="7C967CAC" w14:textId="77777777" w:rsidR="00ED748D" w:rsidRDefault="00ED748D" w:rsidP="002B23FD">
            <w:pPr>
              <w:pStyle w:val="TableUnit"/>
              <w:rPr>
                <w:lang w:val="en-GB"/>
              </w:rPr>
            </w:pPr>
            <w:r>
              <w:rPr>
                <w:lang w:val="en-GB"/>
              </w:rPr>
              <w:t>Rate per 100 000</w:t>
            </w:r>
          </w:p>
        </w:tc>
        <w:tc>
          <w:tcPr>
            <w:tcW w:w="1392" w:type="dxa"/>
            <w:tcBorders>
              <w:bottom w:val="single" w:sz="8" w:space="0" w:color="FFFFFF" w:themeColor="background1"/>
            </w:tcBorders>
            <w:shd w:val="clear" w:color="auto" w:fill="auto"/>
            <w:tcMar>
              <w:left w:w="57" w:type="dxa"/>
              <w:right w:w="57" w:type="dxa"/>
            </w:tcMar>
          </w:tcPr>
          <w:p w14:paraId="3439C3ED" w14:textId="77777777" w:rsidR="00ED748D" w:rsidRDefault="00ED748D" w:rsidP="002B23FD">
            <w:pPr>
              <w:pStyle w:val="TableUnit"/>
              <w:rPr>
                <w:lang w:val="en-GB"/>
              </w:rPr>
            </w:pPr>
            <w:r>
              <w:rPr>
                <w:lang w:val="en-GB"/>
              </w:rPr>
              <w:t>Rate per 100 000</w:t>
            </w:r>
          </w:p>
        </w:tc>
      </w:tr>
      <w:tr w:rsidR="00ED748D" w14:paraId="4FEC42D1"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ED2C57" w14:textId="77777777" w:rsidR="00ED748D" w:rsidRDefault="00ED748D" w:rsidP="002B23FD">
            <w:pPr>
              <w:pStyle w:val="TableDataEntries"/>
              <w:jc w:val="left"/>
              <w:rPr>
                <w:lang w:val="en-GB"/>
              </w:rPr>
            </w:pPr>
            <w:r>
              <w:rPr>
                <w:lang w:val="en-GB"/>
              </w:rPr>
              <w:t>65</w:t>
            </w:r>
            <w:r w:rsidR="00BF7B44">
              <w:rPr>
                <w:lang w:val="en-GB"/>
              </w:rPr>
              <w:t xml:space="preserve"> to </w:t>
            </w:r>
            <w:r>
              <w:rPr>
                <w:lang w:val="en-GB"/>
              </w:rPr>
              <w:t>69</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CAF4E0" w14:textId="77777777" w:rsidR="00ED748D" w:rsidRDefault="00ED748D" w:rsidP="002B23FD">
            <w:pPr>
              <w:pStyle w:val="TableDataEntries"/>
              <w:rPr>
                <w:lang w:val="en-GB"/>
              </w:rPr>
            </w:pPr>
            <w:r>
              <w:rPr>
                <w:lang w:val="en-GB"/>
              </w:rPr>
              <w:t xml:space="preserve"> 841.7</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1051A" w14:textId="77777777" w:rsidR="00ED748D" w:rsidRDefault="00ED748D" w:rsidP="002B23FD">
            <w:pPr>
              <w:pStyle w:val="TableDataEntries"/>
              <w:rPr>
                <w:lang w:val="en-GB"/>
              </w:rPr>
            </w:pPr>
            <w:r>
              <w:rPr>
                <w:lang w:val="en-GB"/>
              </w:rPr>
              <w:t xml:space="preserve"> 883.0</w:t>
            </w:r>
          </w:p>
        </w:tc>
        <w:tc>
          <w:tcPr>
            <w:tcW w:w="1392" w:type="dxa"/>
            <w:vMerge w:val="restart"/>
            <w:tcBorders>
              <w:top w:val="single" w:sz="8" w:space="0" w:color="FFFFFF" w:themeColor="background1"/>
            </w:tcBorders>
            <w:shd w:val="clear" w:color="auto" w:fill="E9E8E5" w:themeFill="background2"/>
            <w:tcMar>
              <w:left w:w="57" w:type="dxa"/>
              <w:right w:w="57" w:type="dxa"/>
            </w:tcMar>
          </w:tcPr>
          <w:p w14:paraId="67CD741C" w14:textId="77777777" w:rsidR="00ED748D" w:rsidRDefault="00ED748D" w:rsidP="002B23FD">
            <w:pPr>
              <w:pStyle w:val="TableDataEntries"/>
              <w:rPr>
                <w:lang w:val="en-GB"/>
              </w:rPr>
            </w:pPr>
            <w:r>
              <w:rPr>
                <w:lang w:val="en-GB"/>
              </w:rPr>
              <w:t xml:space="preserve"> 984.2</w:t>
            </w:r>
            <w:r w:rsidRPr="00441D06">
              <w:rPr>
                <w:rStyle w:val="NoteLabel"/>
              </w:rPr>
              <w:t xml:space="preserve"> </w:t>
            </w:r>
            <w:r>
              <w:rPr>
                <w:rStyle w:val="NoteLabel"/>
              </w:rPr>
              <w:t>b</w:t>
            </w:r>
          </w:p>
        </w:tc>
      </w:tr>
      <w:tr w:rsidR="00ED748D" w14:paraId="2F97152C"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C344D" w14:textId="77777777" w:rsidR="00ED748D" w:rsidRDefault="00ED748D" w:rsidP="002B23FD">
            <w:pPr>
              <w:pStyle w:val="TableDataEntries"/>
              <w:jc w:val="left"/>
              <w:rPr>
                <w:lang w:val="en-GB"/>
              </w:rPr>
            </w:pPr>
            <w:r>
              <w:rPr>
                <w:lang w:val="en-GB"/>
              </w:rPr>
              <w:t>70</w:t>
            </w:r>
            <w:r w:rsidR="00BF7B44">
              <w:rPr>
                <w:lang w:val="en-GB"/>
              </w:rPr>
              <w:t xml:space="preserve"> to </w:t>
            </w:r>
            <w:r>
              <w:rPr>
                <w:lang w:val="en-GB"/>
              </w:rPr>
              <w:t>74</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FF48C8" w14:textId="77777777" w:rsidR="00ED748D" w:rsidRDefault="00ED748D" w:rsidP="002B23FD">
            <w:pPr>
              <w:pStyle w:val="TableDataEntries"/>
              <w:rPr>
                <w:lang w:val="en-GB"/>
              </w:rPr>
            </w:pPr>
            <w:r>
              <w:rPr>
                <w:lang w:val="en-GB"/>
              </w:rPr>
              <w:t>1 222.4</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98268D" w14:textId="77777777" w:rsidR="00ED748D" w:rsidRDefault="00ED748D" w:rsidP="002B23FD">
            <w:pPr>
              <w:pStyle w:val="TableDataEntries"/>
              <w:rPr>
                <w:lang w:val="en-GB"/>
              </w:rPr>
            </w:pPr>
            <w:r>
              <w:rPr>
                <w:lang w:val="en-GB"/>
              </w:rPr>
              <w:t>1 227.8</w:t>
            </w:r>
          </w:p>
        </w:tc>
        <w:tc>
          <w:tcPr>
            <w:tcW w:w="1392" w:type="dxa"/>
            <w:vMerge/>
            <w:tcBorders>
              <w:bottom w:val="single" w:sz="8" w:space="0" w:color="FFFFFF" w:themeColor="background1"/>
            </w:tcBorders>
            <w:shd w:val="clear" w:color="auto" w:fill="E9E8E5" w:themeFill="background2"/>
            <w:tcMar>
              <w:left w:w="57" w:type="dxa"/>
              <w:right w:w="57" w:type="dxa"/>
            </w:tcMar>
          </w:tcPr>
          <w:p w14:paraId="310BDFD7" w14:textId="77777777" w:rsidR="00ED748D" w:rsidRDefault="00ED748D" w:rsidP="002B23FD">
            <w:pPr>
              <w:pStyle w:val="TableDataEntries"/>
              <w:rPr>
                <w:lang w:val="en-GB"/>
              </w:rPr>
            </w:pPr>
          </w:p>
        </w:tc>
      </w:tr>
      <w:tr w:rsidR="00ED748D" w14:paraId="674AD9E9"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13F932" w14:textId="77777777" w:rsidR="00ED748D" w:rsidRDefault="00ED748D" w:rsidP="002B23FD">
            <w:pPr>
              <w:pStyle w:val="TableDataEntries"/>
              <w:jc w:val="left"/>
              <w:rPr>
                <w:lang w:val="en-GB"/>
              </w:rPr>
            </w:pPr>
            <w:r>
              <w:rPr>
                <w:lang w:val="en-GB"/>
              </w:rPr>
              <w:t>75</w:t>
            </w:r>
            <w:r w:rsidR="00BF7B44">
              <w:rPr>
                <w:lang w:val="en-GB"/>
              </w:rPr>
              <w:t xml:space="preserve"> to </w:t>
            </w:r>
            <w:r>
              <w:rPr>
                <w:lang w:val="en-GB"/>
              </w:rPr>
              <w:t>79</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4BE68D" w14:textId="77777777" w:rsidR="00ED748D" w:rsidRDefault="00ED748D" w:rsidP="002B23FD">
            <w:pPr>
              <w:pStyle w:val="TableDataEntries"/>
              <w:rPr>
                <w:lang w:val="en-GB"/>
              </w:rPr>
            </w:pPr>
            <w:r>
              <w:rPr>
                <w:lang w:val="en-GB"/>
              </w:rPr>
              <w:t>2 293.6</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D8A4EF" w14:textId="77777777" w:rsidR="00ED748D" w:rsidRDefault="00ED748D" w:rsidP="002B23FD">
            <w:pPr>
              <w:pStyle w:val="TableDataEntries"/>
              <w:rPr>
                <w:lang w:val="en-GB"/>
              </w:rPr>
            </w:pPr>
            <w:r>
              <w:rPr>
                <w:lang w:val="en-GB"/>
              </w:rPr>
              <w:t>2 164.6</w:t>
            </w:r>
          </w:p>
        </w:tc>
        <w:tc>
          <w:tcPr>
            <w:tcW w:w="1392" w:type="dxa"/>
            <w:vMerge w:val="restart"/>
            <w:tcBorders>
              <w:top w:val="single" w:sz="8" w:space="0" w:color="FFFFFF" w:themeColor="background1"/>
            </w:tcBorders>
            <w:shd w:val="clear" w:color="auto" w:fill="E9E8E5" w:themeFill="background2"/>
            <w:tcMar>
              <w:left w:w="57" w:type="dxa"/>
              <w:right w:w="57" w:type="dxa"/>
            </w:tcMar>
          </w:tcPr>
          <w:p w14:paraId="1F3C4C61" w14:textId="77777777" w:rsidR="00ED748D" w:rsidRDefault="00ED748D" w:rsidP="002B23FD">
            <w:pPr>
              <w:pStyle w:val="TableDataEntries"/>
              <w:rPr>
                <w:lang w:val="en-GB"/>
              </w:rPr>
            </w:pPr>
            <w:r>
              <w:rPr>
                <w:lang w:val="en-GB"/>
              </w:rPr>
              <w:t>2 917.0</w:t>
            </w:r>
            <w:r w:rsidRPr="00441D06">
              <w:rPr>
                <w:rStyle w:val="NoteLabel"/>
              </w:rPr>
              <w:t xml:space="preserve"> </w:t>
            </w:r>
            <w:r>
              <w:rPr>
                <w:rStyle w:val="NoteLabel"/>
              </w:rPr>
              <w:t>c</w:t>
            </w:r>
          </w:p>
        </w:tc>
      </w:tr>
      <w:tr w:rsidR="00ED748D" w14:paraId="3E9328ED"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96B415" w14:textId="77777777" w:rsidR="00ED748D" w:rsidRDefault="00ED748D" w:rsidP="002B23FD">
            <w:pPr>
              <w:pStyle w:val="TableDataEntries"/>
              <w:jc w:val="left"/>
              <w:rPr>
                <w:lang w:val="en-GB"/>
              </w:rPr>
            </w:pPr>
            <w:r>
              <w:rPr>
                <w:lang w:val="en-GB"/>
              </w:rPr>
              <w:t>80</w:t>
            </w:r>
            <w:r w:rsidR="00BF7B44">
              <w:rPr>
                <w:lang w:val="en-GB"/>
              </w:rPr>
              <w:t xml:space="preserve"> to </w:t>
            </w:r>
            <w:r>
              <w:rPr>
                <w:lang w:val="en-GB"/>
              </w:rPr>
              <w:t>84</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876DCF" w14:textId="77777777" w:rsidR="00ED748D" w:rsidRDefault="00ED748D" w:rsidP="002B23FD">
            <w:pPr>
              <w:pStyle w:val="TableDataEntries"/>
              <w:rPr>
                <w:lang w:val="en-GB"/>
              </w:rPr>
            </w:pPr>
            <w:r>
              <w:rPr>
                <w:lang w:val="en-GB"/>
              </w:rPr>
              <w:t>4 281.4</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8C726B" w14:textId="77777777" w:rsidR="00ED748D" w:rsidRDefault="00ED748D" w:rsidP="002B23FD">
            <w:pPr>
              <w:pStyle w:val="TableDataEntries"/>
              <w:rPr>
                <w:lang w:val="en-GB"/>
              </w:rPr>
            </w:pPr>
            <w:r>
              <w:rPr>
                <w:lang w:val="en-GB"/>
              </w:rPr>
              <w:t>4 150.1</w:t>
            </w:r>
          </w:p>
        </w:tc>
        <w:tc>
          <w:tcPr>
            <w:tcW w:w="1392" w:type="dxa"/>
            <w:vMerge/>
            <w:tcBorders>
              <w:bottom w:val="single" w:sz="8" w:space="0" w:color="FFFFFF" w:themeColor="background1"/>
            </w:tcBorders>
            <w:shd w:val="clear" w:color="auto" w:fill="E9E8E5" w:themeFill="background2"/>
            <w:tcMar>
              <w:left w:w="57" w:type="dxa"/>
              <w:right w:w="57" w:type="dxa"/>
            </w:tcMar>
          </w:tcPr>
          <w:p w14:paraId="160E5302" w14:textId="77777777" w:rsidR="00ED748D" w:rsidRDefault="00ED748D" w:rsidP="002B23FD">
            <w:pPr>
              <w:pStyle w:val="TableDataEntries"/>
              <w:rPr>
                <w:lang w:val="en-GB"/>
              </w:rPr>
            </w:pPr>
          </w:p>
        </w:tc>
      </w:tr>
      <w:tr w:rsidR="00ED748D" w14:paraId="36E972FF"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95E497" w14:textId="77777777" w:rsidR="00ED748D" w:rsidRDefault="00ED748D" w:rsidP="002B23FD">
            <w:pPr>
              <w:pStyle w:val="TableDataEntries"/>
              <w:jc w:val="left"/>
              <w:rPr>
                <w:lang w:val="en-GB"/>
              </w:rPr>
            </w:pPr>
            <w:r>
              <w:rPr>
                <w:lang w:val="en-GB"/>
              </w:rPr>
              <w:t>85</w:t>
            </w:r>
            <w:r w:rsidR="00BF7B44">
              <w:rPr>
                <w:lang w:val="en-GB"/>
              </w:rPr>
              <w:t xml:space="preserve"> to </w:t>
            </w:r>
            <w:r>
              <w:rPr>
                <w:lang w:val="en-GB"/>
              </w:rPr>
              <w:t>89</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6F3C30" w14:textId="77777777" w:rsidR="00ED748D" w:rsidRDefault="00ED748D" w:rsidP="002B23FD">
            <w:pPr>
              <w:pStyle w:val="TableDataEntries"/>
              <w:rPr>
                <w:lang w:val="en-GB"/>
              </w:rPr>
            </w:pPr>
            <w:r>
              <w:rPr>
                <w:lang w:val="en-GB"/>
              </w:rPr>
              <w:t>7 390.1</w:t>
            </w:r>
          </w:p>
        </w:tc>
        <w:tc>
          <w:tcPr>
            <w:tcW w:w="1392" w:type="dxa"/>
            <w:vMerge w:val="restart"/>
            <w:tcBorders>
              <w:top w:val="single" w:sz="8" w:space="0" w:color="FFFFFF" w:themeColor="background1"/>
            </w:tcBorders>
            <w:shd w:val="clear" w:color="auto" w:fill="E9E8E5" w:themeFill="background2"/>
            <w:tcMar>
              <w:left w:w="57" w:type="dxa"/>
              <w:right w:w="57" w:type="dxa"/>
            </w:tcMar>
          </w:tcPr>
          <w:p w14:paraId="1164D448" w14:textId="77777777" w:rsidR="00ED748D" w:rsidRDefault="00ED748D" w:rsidP="002B23FD">
            <w:pPr>
              <w:pStyle w:val="TableDataEntries"/>
              <w:rPr>
                <w:lang w:val="en-GB"/>
              </w:rPr>
            </w:pPr>
            <w:r>
              <w:rPr>
                <w:lang w:val="en-GB"/>
              </w:rPr>
              <w:t xml:space="preserve">8 209.0 </w:t>
            </w:r>
            <w:r w:rsidRPr="00441D06">
              <w:rPr>
                <w:rStyle w:val="NoteLabel"/>
              </w:rPr>
              <w:t>a</w:t>
            </w:r>
          </w:p>
        </w:tc>
        <w:tc>
          <w:tcPr>
            <w:tcW w:w="1392" w:type="dxa"/>
            <w:vMerge w:val="restart"/>
            <w:tcBorders>
              <w:top w:val="single" w:sz="8" w:space="0" w:color="FFFFFF" w:themeColor="background1"/>
            </w:tcBorders>
            <w:shd w:val="clear" w:color="auto" w:fill="E9E8E5" w:themeFill="background2"/>
            <w:tcMar>
              <w:left w:w="57" w:type="dxa"/>
              <w:right w:w="57" w:type="dxa"/>
            </w:tcMar>
          </w:tcPr>
          <w:p w14:paraId="643095A3" w14:textId="77777777" w:rsidR="00ED748D" w:rsidRDefault="00ED748D" w:rsidP="002B23FD">
            <w:pPr>
              <w:pStyle w:val="TableDataEntries"/>
              <w:rPr>
                <w:lang w:val="en-GB"/>
              </w:rPr>
            </w:pPr>
            <w:r>
              <w:rPr>
                <w:lang w:val="en-GB"/>
              </w:rPr>
              <w:t>7 951.9</w:t>
            </w:r>
            <w:r w:rsidRPr="00441D06">
              <w:rPr>
                <w:rStyle w:val="NoteLabel"/>
              </w:rPr>
              <w:t xml:space="preserve"> </w:t>
            </w:r>
            <w:r>
              <w:rPr>
                <w:rStyle w:val="NoteLabel"/>
              </w:rPr>
              <w:t>d</w:t>
            </w:r>
          </w:p>
        </w:tc>
      </w:tr>
      <w:tr w:rsidR="00ED748D" w14:paraId="2DB1BA4F"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ED5FE1" w14:textId="77777777" w:rsidR="00ED748D" w:rsidRDefault="00ED748D" w:rsidP="002B23FD">
            <w:pPr>
              <w:pStyle w:val="TableDataEntries"/>
              <w:jc w:val="left"/>
              <w:rPr>
                <w:lang w:val="en-GB"/>
              </w:rPr>
            </w:pPr>
            <w:r>
              <w:rPr>
                <w:lang w:val="en-GB"/>
              </w:rPr>
              <w:t>90</w:t>
            </w:r>
            <w:r w:rsidR="00BF7B44">
              <w:rPr>
                <w:lang w:val="en-GB"/>
              </w:rPr>
              <w:t xml:space="preserve"> to </w:t>
            </w:r>
            <w:r>
              <w:rPr>
                <w:lang w:val="en-GB"/>
              </w:rPr>
              <w:t>94</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83F9E8" w14:textId="77777777" w:rsidR="00ED748D" w:rsidRDefault="00ED748D" w:rsidP="002B23FD">
            <w:pPr>
              <w:pStyle w:val="TableDataEntries"/>
              <w:rPr>
                <w:lang w:val="en-GB"/>
              </w:rPr>
            </w:pPr>
            <w:r>
              <w:rPr>
                <w:lang w:val="en-GB"/>
              </w:rPr>
              <w:t>11 373.3</w:t>
            </w:r>
          </w:p>
        </w:tc>
        <w:tc>
          <w:tcPr>
            <w:tcW w:w="1392" w:type="dxa"/>
            <w:vMerge/>
            <w:shd w:val="clear" w:color="auto" w:fill="E9E8E5" w:themeFill="background2"/>
            <w:tcMar>
              <w:left w:w="57" w:type="dxa"/>
              <w:right w:w="57" w:type="dxa"/>
            </w:tcMar>
          </w:tcPr>
          <w:p w14:paraId="0F16F17B" w14:textId="77777777" w:rsidR="00ED748D" w:rsidRDefault="00ED748D" w:rsidP="002B23FD">
            <w:pPr>
              <w:pStyle w:val="TableDataEntries"/>
              <w:rPr>
                <w:lang w:val="en-GB"/>
              </w:rPr>
            </w:pPr>
          </w:p>
        </w:tc>
        <w:tc>
          <w:tcPr>
            <w:tcW w:w="1392" w:type="dxa"/>
            <w:vMerge/>
            <w:tcBorders>
              <w:bottom w:val="single" w:sz="8" w:space="0" w:color="FFFFFF" w:themeColor="background1"/>
            </w:tcBorders>
            <w:shd w:val="clear" w:color="auto" w:fill="E9E8E5" w:themeFill="background2"/>
            <w:tcMar>
              <w:left w:w="57" w:type="dxa"/>
              <w:right w:w="57" w:type="dxa"/>
            </w:tcMar>
          </w:tcPr>
          <w:p w14:paraId="7E3AB7FF" w14:textId="77777777" w:rsidR="00ED748D" w:rsidRDefault="00ED748D" w:rsidP="002B23FD">
            <w:pPr>
              <w:pStyle w:val="TableDataEntries"/>
              <w:rPr>
                <w:lang w:val="en-GB"/>
              </w:rPr>
            </w:pPr>
          </w:p>
        </w:tc>
      </w:tr>
      <w:tr w:rsidR="00ED748D" w14:paraId="15BFE559" w14:textId="77777777" w:rsidTr="002B23FD">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45282B" w14:textId="77777777" w:rsidR="00ED748D" w:rsidRDefault="00ED748D" w:rsidP="002B23FD">
            <w:pPr>
              <w:pStyle w:val="TableDataEntries"/>
              <w:jc w:val="left"/>
              <w:rPr>
                <w:lang w:val="en-GB"/>
              </w:rPr>
            </w:pPr>
            <w:r>
              <w:rPr>
                <w:lang w:val="en-GB"/>
              </w:rPr>
              <w:t>95+</w:t>
            </w: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22A753" w14:textId="77777777" w:rsidR="00ED748D" w:rsidRDefault="00ED748D" w:rsidP="002B23FD">
            <w:pPr>
              <w:pStyle w:val="TableDataEntries"/>
              <w:rPr>
                <w:lang w:val="en-GB"/>
              </w:rPr>
            </w:pPr>
            <w:r>
              <w:rPr>
                <w:lang w:val="en-GB"/>
              </w:rPr>
              <w:t>13 582.6</w:t>
            </w:r>
          </w:p>
        </w:tc>
        <w:tc>
          <w:tcPr>
            <w:tcW w:w="1392" w:type="dxa"/>
            <w:vMerge/>
            <w:tcBorders>
              <w:bottom w:val="single" w:sz="8" w:space="0" w:color="FFFFFF" w:themeColor="background1"/>
            </w:tcBorders>
            <w:shd w:val="clear" w:color="auto" w:fill="E9E8E5" w:themeFill="background2"/>
            <w:tcMar>
              <w:left w:w="57" w:type="dxa"/>
              <w:right w:w="57" w:type="dxa"/>
            </w:tcMar>
          </w:tcPr>
          <w:p w14:paraId="2A7A13B7" w14:textId="77777777" w:rsidR="00ED748D" w:rsidRDefault="00ED748D" w:rsidP="002B23FD">
            <w:pPr>
              <w:pStyle w:val="TableDataEntries"/>
              <w:rPr>
                <w:lang w:val="en-GB"/>
              </w:rPr>
            </w:pPr>
          </w:p>
        </w:tc>
        <w:tc>
          <w:tcPr>
            <w:tcW w:w="13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531100" w14:textId="77777777" w:rsidR="00ED748D" w:rsidRDefault="00ED748D" w:rsidP="002B23FD">
            <w:pPr>
              <w:pStyle w:val="TableDataEntries"/>
              <w:rPr>
                <w:lang w:val="en-GB"/>
              </w:rPr>
            </w:pPr>
            <w:r>
              <w:rPr>
                <w:lang w:val="en-GB"/>
              </w:rPr>
              <w:t>13 279.3</w:t>
            </w:r>
          </w:p>
        </w:tc>
      </w:tr>
      <w:tr w:rsidR="00ED748D" w:rsidRPr="004D0ED8" w14:paraId="344B0E86" w14:textId="77777777" w:rsidTr="002B23FD">
        <w:trPr>
          <w:trHeight w:val="230"/>
        </w:trPr>
        <w:tc>
          <w:tcPr>
            <w:tcW w:w="37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DCE5195" w14:textId="77777777" w:rsidR="00ED748D" w:rsidRPr="004D0ED8" w:rsidRDefault="00ED748D" w:rsidP="002B23FD">
            <w:pPr>
              <w:pStyle w:val="TableDataEntries"/>
              <w:jc w:val="left"/>
              <w:rPr>
                <w:rFonts w:ascii="Franklin Gothic Demi" w:hAnsi="Franklin Gothic Demi"/>
                <w:lang w:val="en-GB"/>
              </w:rPr>
            </w:pPr>
            <w:r w:rsidRPr="004D0ED8">
              <w:rPr>
                <w:rFonts w:ascii="Franklin Gothic Demi" w:hAnsi="Franklin Gothic Demi"/>
                <w:lang w:val="en-GB"/>
              </w:rPr>
              <w:t>Total</w:t>
            </w:r>
          </w:p>
        </w:tc>
        <w:tc>
          <w:tcPr>
            <w:tcW w:w="13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F1CC18E" w14:textId="77777777" w:rsidR="00ED748D" w:rsidRPr="004D0ED8" w:rsidRDefault="00ED748D" w:rsidP="002B23FD">
            <w:pPr>
              <w:pStyle w:val="TableDataEntries"/>
              <w:rPr>
                <w:rFonts w:ascii="Franklin Gothic Demi" w:hAnsi="Franklin Gothic Demi"/>
                <w:lang w:val="en-GB"/>
              </w:rPr>
            </w:pPr>
            <w:r w:rsidRPr="004D0ED8">
              <w:rPr>
                <w:rFonts w:ascii="Franklin Gothic Demi" w:hAnsi="Franklin Gothic Demi"/>
                <w:lang w:val="en-GB"/>
              </w:rPr>
              <w:t>2 744.6</w:t>
            </w:r>
          </w:p>
        </w:tc>
        <w:tc>
          <w:tcPr>
            <w:tcW w:w="13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D3A4B50" w14:textId="77777777" w:rsidR="00ED748D" w:rsidRPr="004D0ED8" w:rsidRDefault="00ED748D" w:rsidP="002B23FD">
            <w:pPr>
              <w:pStyle w:val="TableDataEntries"/>
              <w:rPr>
                <w:rFonts w:ascii="Franklin Gothic Demi" w:hAnsi="Franklin Gothic Demi"/>
                <w:lang w:val="en-GB"/>
              </w:rPr>
            </w:pPr>
            <w:r w:rsidRPr="004D0ED8">
              <w:rPr>
                <w:rFonts w:ascii="Franklin Gothic Demi" w:hAnsi="Franklin Gothic Demi"/>
                <w:lang w:val="en-GB"/>
              </w:rPr>
              <w:t>2 548.6</w:t>
            </w:r>
          </w:p>
        </w:tc>
        <w:tc>
          <w:tcPr>
            <w:tcW w:w="13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068171B" w14:textId="77777777" w:rsidR="00ED748D" w:rsidRPr="004D0ED8" w:rsidRDefault="00ED748D" w:rsidP="002B23FD">
            <w:pPr>
              <w:pStyle w:val="TableDataEntries"/>
              <w:rPr>
                <w:rFonts w:ascii="Franklin Gothic Demi" w:hAnsi="Franklin Gothic Demi"/>
                <w:lang w:val="en-GB"/>
              </w:rPr>
            </w:pPr>
            <w:r w:rsidRPr="004D0ED8">
              <w:rPr>
                <w:rFonts w:ascii="Franklin Gothic Demi" w:hAnsi="Franklin Gothic Demi"/>
                <w:lang w:val="en-GB"/>
              </w:rPr>
              <w:t>2 597.2</w:t>
            </w:r>
          </w:p>
        </w:tc>
      </w:tr>
    </w:tbl>
    <w:p w14:paraId="3E78E87F" w14:textId="77777777" w:rsidR="00ED748D" w:rsidRPr="00E4232C" w:rsidRDefault="00ED748D" w:rsidP="00ED748D">
      <w:pPr>
        <w:pStyle w:val="Note"/>
      </w:pPr>
      <w:r w:rsidRPr="00E4232C">
        <w:rPr>
          <w:rStyle w:val="NoteLabel"/>
        </w:rPr>
        <w:t>a</w:t>
      </w:r>
      <w:r>
        <w:t xml:space="preserve"> Relates to 85+ age group. </w:t>
      </w:r>
      <w:r w:rsidRPr="00441D06">
        <w:rPr>
          <w:rStyle w:val="NoteLabel"/>
        </w:rPr>
        <w:t>b</w:t>
      </w:r>
      <w:r>
        <w:t xml:space="preserve"> Relates to 65</w:t>
      </w:r>
      <w:r>
        <w:noBreakHyphen/>
        <w:t xml:space="preserve">74 age group. </w:t>
      </w:r>
      <w:r w:rsidRPr="00441D06">
        <w:rPr>
          <w:rStyle w:val="NoteLabel"/>
        </w:rPr>
        <w:t>c</w:t>
      </w:r>
      <w:r>
        <w:t xml:space="preserve"> Relates to 75</w:t>
      </w:r>
      <w:r>
        <w:noBreakHyphen/>
        <w:t xml:space="preserve">84 age group. </w:t>
      </w:r>
      <w:r w:rsidRPr="00441D06">
        <w:rPr>
          <w:rStyle w:val="NoteLabel"/>
        </w:rPr>
        <w:t>d</w:t>
      </w:r>
      <w:r>
        <w:t xml:space="preserve"> Relates to 85</w:t>
      </w:r>
      <w:r>
        <w:noBreakHyphen/>
        <w:t>94 age group.</w:t>
      </w:r>
    </w:p>
    <w:p w14:paraId="3F7C32BE" w14:textId="77777777" w:rsidR="00ED748D" w:rsidRPr="00280175" w:rsidRDefault="00ED748D" w:rsidP="00ED748D">
      <w:pPr>
        <w:pStyle w:val="Source"/>
        <w:rPr>
          <w:lang w:bidi="fa-IR"/>
        </w:rPr>
      </w:pPr>
      <w:r w:rsidRPr="00280175">
        <w:rPr>
          <w:iCs/>
          <w:lang w:bidi="fa-IR"/>
        </w:rPr>
        <w:t xml:space="preserve">Source: </w:t>
      </w:r>
      <w:r w:rsidRPr="00280175">
        <w:rPr>
          <w:iCs/>
        </w:rPr>
        <w:t>Stathakis</w:t>
      </w:r>
      <w:r w:rsidRPr="00CB25B0">
        <w:t>, V. Gray, S. and Berecki</w:t>
      </w:r>
      <w:r w:rsidRPr="00CB25B0">
        <w:noBreakHyphen/>
        <w:t>Gisolf, J. 2015, “Fall</w:t>
      </w:r>
      <w:r w:rsidRPr="00CB25B0">
        <w:noBreakHyphen/>
        <w:t xml:space="preserve">related injury profile for </w:t>
      </w:r>
      <w:r w:rsidRPr="00280175">
        <w:t>Victorians aged 65 years and older”, Hazard, Edition No. 80, Summer 2015, Victorian Injury Surveillance Unit, Monash University Accident Research Centre; University of NSW, The Incidence and Cost of Falls Injury Among Older People in New South Wales 2006/07, A Report to NSW Health, September 2010,</w:t>
      </w:r>
    </w:p>
    <w:p w14:paraId="1AB37E5D" w14:textId="77777777" w:rsidR="00ED748D" w:rsidRPr="00F4477B" w:rsidRDefault="00ED748D" w:rsidP="00F4477B">
      <w:pPr>
        <w:pStyle w:val="Heading3-Appendix"/>
      </w:pPr>
      <w:bookmarkStart w:id="637" w:name="_Ref64927053"/>
      <w:r w:rsidRPr="00F4477B">
        <w:t>Deaths</w:t>
      </w:r>
      <w:bookmarkEnd w:id="637"/>
    </w:p>
    <w:p w14:paraId="7303795E" w14:textId="77777777" w:rsidR="00ED748D" w:rsidRDefault="006E3DC4" w:rsidP="00ED748D">
      <w:pPr>
        <w:pStyle w:val="BodyText"/>
        <w:rPr>
          <w:lang w:bidi="fa-IR"/>
        </w:rPr>
      </w:pPr>
      <w:r>
        <w:rPr>
          <w:lang w:bidi="fa-IR"/>
        </w:rPr>
        <w:t>The</w:t>
      </w:r>
      <w:r w:rsidR="00ED748D">
        <w:rPr>
          <w:lang w:bidi="fa-IR"/>
        </w:rPr>
        <w:t xml:space="preserve"> approach to estimating the cost to the community of additional deaths from falls due to people with accessibility needs living in inaccessible housing is set out below.</w:t>
      </w:r>
    </w:p>
    <w:p w14:paraId="67540534" w14:textId="77777777" w:rsidR="00ED748D" w:rsidRPr="004B79EC" w:rsidRDefault="00ED748D" w:rsidP="004B79EC">
      <w:pPr>
        <w:pStyle w:val="Heading4-Appendix"/>
      </w:pPr>
      <w:r w:rsidRPr="004B79EC">
        <w:t>Additional fall</w:t>
      </w:r>
      <w:r w:rsidR="000A4089" w:rsidRPr="004B79EC">
        <w:t xml:space="preserve"> </w:t>
      </w:r>
      <w:r w:rsidRPr="004B79EC">
        <w:t>related deaths due to inaccessible housing</w:t>
      </w:r>
    </w:p>
    <w:p w14:paraId="1D58980D" w14:textId="77777777" w:rsidR="00893E33" w:rsidRDefault="005B035D" w:rsidP="00ED748D">
      <w:pPr>
        <w:pStyle w:val="BodyText"/>
        <w:rPr>
          <w:lang w:eastAsia="en-US" w:bidi="fa-IR"/>
        </w:rPr>
      </w:pPr>
      <w:r>
        <w:rPr>
          <w:lang w:eastAsia="en-US" w:bidi="fa-IR"/>
        </w:rPr>
        <w:t xml:space="preserve">It is </w:t>
      </w:r>
      <w:r w:rsidR="00ED748D">
        <w:rPr>
          <w:lang w:eastAsia="en-US" w:bidi="fa-IR"/>
        </w:rPr>
        <w:t>estimate</w:t>
      </w:r>
      <w:r>
        <w:rPr>
          <w:lang w:eastAsia="en-US" w:bidi="fa-IR"/>
        </w:rPr>
        <w:t>d</w:t>
      </w:r>
      <w:r w:rsidR="00ED748D">
        <w:rPr>
          <w:lang w:eastAsia="en-US" w:bidi="fa-IR"/>
        </w:rPr>
        <w:t xml:space="preserve"> that there could be between around 15 and 27 additional deaths from falls per year as a result of people with accessibility needs living in inaccessible housing, with a central case estimate of around 21 additional deaths per year (table </w:t>
      </w:r>
      <w:r w:rsidR="000F7E27">
        <w:rPr>
          <w:lang w:eastAsia="en-US" w:bidi="fa-IR"/>
        </w:rPr>
        <w:t>B</w:t>
      </w:r>
      <w:r w:rsidR="00ED748D">
        <w:rPr>
          <w:lang w:eastAsia="en-US" w:bidi="fa-IR"/>
        </w:rPr>
        <w:t xml:space="preserve">.4). </w:t>
      </w:r>
    </w:p>
    <w:p w14:paraId="6ACDDD5F" w14:textId="77777777" w:rsidR="00ED748D" w:rsidRDefault="00ED748D" w:rsidP="00ED748D">
      <w:pPr>
        <w:pStyle w:val="BodyText"/>
        <w:rPr>
          <w:lang w:eastAsia="en-US" w:bidi="fa-IR"/>
        </w:rPr>
      </w:pPr>
      <w:r>
        <w:rPr>
          <w:lang w:eastAsia="en-US" w:bidi="fa-IR"/>
        </w:rPr>
        <w:t>These estimates are based on the following.</w:t>
      </w:r>
    </w:p>
    <w:p w14:paraId="76B27D9E" w14:textId="77777777" w:rsidR="00ED748D" w:rsidRDefault="00ED748D" w:rsidP="00ED748D">
      <w:pPr>
        <w:pStyle w:val="ListBullet"/>
        <w:numPr>
          <w:ilvl w:val="0"/>
          <w:numId w:val="16"/>
        </w:numPr>
        <w:rPr>
          <w:lang w:bidi="fa-IR"/>
        </w:rPr>
      </w:pPr>
      <w:r>
        <w:rPr>
          <w:lang w:bidi="fa-IR"/>
        </w:rPr>
        <w:t xml:space="preserve">The population at risk of falls due to inaccessible housing </w:t>
      </w:r>
      <w:r w:rsidR="00F87F28">
        <w:rPr>
          <w:lang w:bidi="fa-IR"/>
        </w:rPr>
        <w:t>is</w:t>
      </w:r>
      <w:r>
        <w:rPr>
          <w:lang w:bidi="fa-IR"/>
        </w:rPr>
        <w:t xml:space="preserve"> as defined above.</w:t>
      </w:r>
    </w:p>
    <w:p w14:paraId="388A1D32" w14:textId="77777777" w:rsidR="00ED748D" w:rsidRDefault="00ED748D" w:rsidP="00ED748D">
      <w:pPr>
        <w:pStyle w:val="ListBullet"/>
        <w:numPr>
          <w:ilvl w:val="0"/>
          <w:numId w:val="16"/>
        </w:numPr>
        <w:rPr>
          <w:lang w:bidi="fa-IR"/>
        </w:rPr>
      </w:pPr>
      <w:r>
        <w:rPr>
          <w:lang w:bidi="fa-IR"/>
        </w:rPr>
        <w:t>The incidence of falls causing death is based on Victorian data from the 2010</w:t>
      </w:r>
      <w:r>
        <w:rPr>
          <w:lang w:bidi="fa-IR"/>
        </w:rPr>
        <w:noBreakHyphen/>
        <w:t>12 period reported by the Victorian Injury Surveillance Unit (VISU) within the Monash University Accident Research Centre (MUARC).</w:t>
      </w:r>
      <w:r>
        <w:rPr>
          <w:rStyle w:val="FootnoteReference"/>
          <w:lang w:bidi="fa-IR"/>
        </w:rPr>
        <w:footnoteReference w:id="456"/>
      </w:r>
    </w:p>
    <w:p w14:paraId="258ED850" w14:textId="77777777" w:rsidR="00ED748D" w:rsidRDefault="00ED748D" w:rsidP="00ED748D">
      <w:pPr>
        <w:pStyle w:val="ListBullet2"/>
        <w:numPr>
          <w:ilvl w:val="1"/>
          <w:numId w:val="16"/>
        </w:numPr>
        <w:ind w:left="568" w:hanging="284"/>
        <w:rPr>
          <w:lang w:bidi="fa-IR"/>
        </w:rPr>
      </w:pPr>
      <w:r>
        <w:rPr>
          <w:lang w:bidi="fa-IR"/>
        </w:rPr>
        <w:t>Actual data, as reported by VISU, is used for age groups over 65.</w:t>
      </w:r>
    </w:p>
    <w:p w14:paraId="740D4409" w14:textId="77777777" w:rsidR="00ED748D" w:rsidRDefault="00ED748D" w:rsidP="00ED748D">
      <w:pPr>
        <w:pStyle w:val="ListBullet2"/>
        <w:numPr>
          <w:ilvl w:val="1"/>
          <w:numId w:val="16"/>
        </w:numPr>
        <w:ind w:left="568" w:hanging="284"/>
        <w:rPr>
          <w:lang w:bidi="fa-IR"/>
        </w:rPr>
      </w:pPr>
      <w:r>
        <w:rPr>
          <w:lang w:bidi="fa-IR"/>
        </w:rPr>
        <w:t xml:space="preserve">The incidence of falls causing death among people under the age of 65 with mobility limitations is not reported. </w:t>
      </w:r>
      <w:r w:rsidR="005B035D">
        <w:rPr>
          <w:lang w:bidi="fa-IR"/>
        </w:rPr>
        <w:t>It is</w:t>
      </w:r>
      <w:r>
        <w:rPr>
          <w:lang w:bidi="fa-IR"/>
        </w:rPr>
        <w:t xml:space="preserve"> assumed that the incidence of falls was around the same as for the broader population in the 65</w:t>
      </w:r>
      <w:r>
        <w:rPr>
          <w:lang w:bidi="fa-IR"/>
        </w:rPr>
        <w:noBreakHyphen/>
        <w:t>74 year age bracket, as reported by VISU. Adults with disabilities reportedly have the same risk of falling as people in the general population over the age of 65.</w:t>
      </w:r>
      <w:r>
        <w:rPr>
          <w:rStyle w:val="FootnoteReference"/>
          <w:lang w:bidi="fa-IR"/>
        </w:rPr>
        <w:footnoteReference w:id="457"/>
      </w:r>
    </w:p>
    <w:p w14:paraId="3BF7F858" w14:textId="77777777" w:rsidR="00ED748D" w:rsidRDefault="00ED748D" w:rsidP="00ED748D">
      <w:pPr>
        <w:pStyle w:val="ListBullet2"/>
        <w:numPr>
          <w:ilvl w:val="1"/>
          <w:numId w:val="16"/>
        </w:numPr>
        <w:ind w:left="568" w:hanging="284"/>
        <w:rPr>
          <w:lang w:bidi="fa-IR"/>
        </w:rPr>
      </w:pPr>
      <w:r>
        <w:rPr>
          <w:lang w:bidi="fa-IR"/>
        </w:rPr>
        <w:lastRenderedPageBreak/>
        <w:t>As not all falls occur at home, this was adjusted to take into account the fact that 32.8 per cent of falls resulting in death occur in the home.</w:t>
      </w:r>
      <w:r>
        <w:rPr>
          <w:rStyle w:val="FootnoteReference"/>
          <w:lang w:bidi="fa-IR"/>
        </w:rPr>
        <w:footnoteReference w:id="458"/>
      </w:r>
    </w:p>
    <w:p w14:paraId="32FF112D" w14:textId="7B649174" w:rsidR="00ED748D" w:rsidRDefault="00B27E24" w:rsidP="00ED748D">
      <w:pPr>
        <w:pStyle w:val="Caption"/>
      </w:pPr>
      <w:bookmarkStart w:id="638" w:name="_Toc45654195"/>
      <w:bookmarkStart w:id="639" w:name="_Toc44598564"/>
      <w:bookmarkStart w:id="640" w:name="_Toc44695936"/>
      <w:bookmarkStart w:id="641" w:name="_Toc57643671"/>
      <w:bookmarkStart w:id="642" w:name="_Toc70505618"/>
      <w:bookmarkStart w:id="643" w:name="_Toc31986670"/>
      <w:r>
        <w:t>B.4</w:t>
      </w:r>
      <w:r w:rsidR="00ED748D" w:rsidRPr="00695C93">
        <w:tab/>
      </w:r>
      <w:r w:rsidR="00ED748D">
        <w:t>Additional deaths from falls due to inaccessible housing</w:t>
      </w:r>
      <w:bookmarkEnd w:id="638"/>
      <w:bookmarkEnd w:id="639"/>
      <w:bookmarkEnd w:id="640"/>
      <w:bookmarkEnd w:id="641"/>
      <w:bookmarkEnd w:id="642"/>
    </w:p>
    <w:tbl>
      <w:tblPr>
        <w:tblW w:w="7938" w:type="dxa"/>
        <w:tblLayout w:type="fixed"/>
        <w:tblLook w:val="0000" w:firstRow="0" w:lastRow="0" w:firstColumn="0" w:lastColumn="0" w:noHBand="0" w:noVBand="0"/>
        <w:tblCaption w:val="Table B.4: Additional deaths from falls due to inaccessible housing"/>
        <w:tblDescription w:val="Table B.4 lists the numbers of people who die as a result of falls due to inaccessible housing, grouped by age. It is estimated that there could be between around 15 and 27 additional deaths from falls per year as a result of people with accessibility needs living in inaccessible housing, with a central case estimate of around 21 additional deaths per year."/>
      </w:tblPr>
      <w:tblGrid>
        <w:gridCol w:w="982"/>
        <w:gridCol w:w="1032"/>
        <w:gridCol w:w="1032"/>
        <w:gridCol w:w="1032"/>
        <w:gridCol w:w="1025"/>
        <w:gridCol w:w="841"/>
        <w:gridCol w:w="1153"/>
        <w:gridCol w:w="841"/>
      </w:tblGrid>
      <w:tr w:rsidR="00696C70" w14:paraId="41D5B6D4" w14:textId="77777777" w:rsidTr="00D13F4A">
        <w:trPr>
          <w:trHeight w:val="1030"/>
        </w:trPr>
        <w:tc>
          <w:tcPr>
            <w:tcW w:w="982" w:type="dxa"/>
            <w:shd w:val="clear" w:color="auto" w:fill="6F6652"/>
            <w:tcMar>
              <w:left w:w="57" w:type="dxa"/>
              <w:right w:w="57" w:type="dxa"/>
            </w:tcMar>
          </w:tcPr>
          <w:p w14:paraId="7E42B094" w14:textId="77777777" w:rsidR="00696C70" w:rsidRDefault="00E8472A" w:rsidP="002B23FD">
            <w:pPr>
              <w:pStyle w:val="TableDataColumnHeading"/>
              <w:jc w:val="left"/>
              <w:rPr>
                <w:lang w:val="en-GB"/>
              </w:rPr>
            </w:pPr>
            <w:r>
              <w:rPr>
                <w:lang w:val="en-GB"/>
              </w:rPr>
              <w:t>Age group</w:t>
            </w:r>
          </w:p>
        </w:tc>
        <w:tc>
          <w:tcPr>
            <w:tcW w:w="1032" w:type="dxa"/>
            <w:shd w:val="clear" w:color="auto" w:fill="6F6652"/>
            <w:tcMar>
              <w:left w:w="57" w:type="dxa"/>
              <w:right w:w="57" w:type="dxa"/>
            </w:tcMar>
          </w:tcPr>
          <w:p w14:paraId="5F7D17AC" w14:textId="77777777" w:rsidR="00696C70" w:rsidRDefault="00696C70" w:rsidP="002B23FD">
            <w:pPr>
              <w:pStyle w:val="TableDataColumnHeading"/>
              <w:rPr>
                <w:lang w:val="en-GB"/>
              </w:rPr>
            </w:pPr>
            <w:r>
              <w:rPr>
                <w:lang w:val="en-GB"/>
              </w:rPr>
              <w:t>Population affected</w:t>
            </w:r>
            <w:r w:rsidRPr="00F36A14">
              <w:rPr>
                <w:rStyle w:val="NoteLabel"/>
              </w:rPr>
              <w:t>a</w:t>
            </w:r>
          </w:p>
        </w:tc>
        <w:tc>
          <w:tcPr>
            <w:tcW w:w="1032" w:type="dxa"/>
            <w:shd w:val="clear" w:color="auto" w:fill="6F6652"/>
            <w:tcMar>
              <w:left w:w="57" w:type="dxa"/>
              <w:right w:w="57" w:type="dxa"/>
            </w:tcMar>
          </w:tcPr>
          <w:p w14:paraId="5D020FB4" w14:textId="77777777" w:rsidR="00696C70" w:rsidRDefault="00696C70" w:rsidP="002B23FD">
            <w:pPr>
              <w:pStyle w:val="TableDataColumnHeading"/>
              <w:rPr>
                <w:lang w:val="en-GB"/>
              </w:rPr>
            </w:pPr>
            <w:r>
              <w:rPr>
                <w:lang w:val="en-GB"/>
              </w:rPr>
              <w:t>Death rate from falls</w:t>
            </w:r>
            <w:r>
              <w:rPr>
                <w:rStyle w:val="NoteLabel"/>
              </w:rPr>
              <w:t>b</w:t>
            </w:r>
          </w:p>
        </w:tc>
        <w:tc>
          <w:tcPr>
            <w:tcW w:w="1032" w:type="dxa"/>
            <w:shd w:val="clear" w:color="auto" w:fill="6F6652"/>
            <w:tcMar>
              <w:left w:w="57" w:type="dxa"/>
              <w:right w:w="57" w:type="dxa"/>
            </w:tcMar>
          </w:tcPr>
          <w:p w14:paraId="33214DA6" w14:textId="77777777" w:rsidR="00696C70" w:rsidRDefault="00696C70" w:rsidP="002B23FD">
            <w:pPr>
              <w:pStyle w:val="TableDataColumnHeading"/>
              <w:rPr>
                <w:lang w:val="en-GB"/>
              </w:rPr>
            </w:pPr>
            <w:r>
              <w:rPr>
                <w:lang w:val="en-GB"/>
              </w:rPr>
              <w:t>Death rate from falls at home</w:t>
            </w:r>
            <w:r>
              <w:rPr>
                <w:rStyle w:val="NoteLabel"/>
              </w:rPr>
              <w:t>c</w:t>
            </w:r>
          </w:p>
        </w:tc>
        <w:tc>
          <w:tcPr>
            <w:tcW w:w="1025" w:type="dxa"/>
            <w:shd w:val="clear" w:color="auto" w:fill="6F6652"/>
            <w:tcMar>
              <w:left w:w="57" w:type="dxa"/>
              <w:right w:w="57" w:type="dxa"/>
            </w:tcMar>
          </w:tcPr>
          <w:p w14:paraId="1FACAA4E" w14:textId="77777777" w:rsidR="00696C70" w:rsidRDefault="00696C70" w:rsidP="002B23FD">
            <w:pPr>
              <w:pStyle w:val="TableDataColumnHeading"/>
              <w:rPr>
                <w:lang w:val="en-GB"/>
              </w:rPr>
            </w:pPr>
            <w:r>
              <w:rPr>
                <w:lang w:val="en-GB"/>
              </w:rPr>
              <w:t>Implied number of falls - baseline</w:t>
            </w:r>
          </w:p>
        </w:tc>
        <w:tc>
          <w:tcPr>
            <w:tcW w:w="2835" w:type="dxa"/>
            <w:gridSpan w:val="3"/>
            <w:shd w:val="clear" w:color="auto" w:fill="6F6652"/>
            <w:tcMar>
              <w:left w:w="57" w:type="dxa"/>
              <w:right w:w="57" w:type="dxa"/>
            </w:tcMar>
          </w:tcPr>
          <w:p w14:paraId="3E0E3360" w14:textId="77777777" w:rsidR="00696C70" w:rsidRDefault="00696C70" w:rsidP="002B23FD">
            <w:pPr>
              <w:pStyle w:val="TableDataColumnHeading"/>
              <w:jc w:val="center"/>
              <w:rPr>
                <w:lang w:val="en-GB"/>
              </w:rPr>
            </w:pPr>
            <w:r>
              <w:rPr>
                <w:lang w:val="en-GB"/>
              </w:rPr>
              <w:t>Additional deaths due to inaccessible housing</w:t>
            </w:r>
          </w:p>
        </w:tc>
      </w:tr>
      <w:tr w:rsidR="00ED748D" w14:paraId="19232B57" w14:textId="77777777" w:rsidTr="002B23FD">
        <w:trPr>
          <w:trHeight w:val="579"/>
        </w:trPr>
        <w:tc>
          <w:tcPr>
            <w:tcW w:w="982" w:type="dxa"/>
            <w:shd w:val="clear" w:color="auto" w:fill="6F6652"/>
            <w:tcMar>
              <w:left w:w="57" w:type="dxa"/>
              <w:right w:w="57" w:type="dxa"/>
            </w:tcMar>
          </w:tcPr>
          <w:p w14:paraId="3ED3AB66" w14:textId="77777777" w:rsidR="00ED748D" w:rsidRDefault="00ED748D" w:rsidP="002B23FD">
            <w:pPr>
              <w:pStyle w:val="TableDataColumnHeading"/>
              <w:jc w:val="left"/>
              <w:rPr>
                <w:lang w:val="en-GB"/>
              </w:rPr>
            </w:pPr>
          </w:p>
        </w:tc>
        <w:tc>
          <w:tcPr>
            <w:tcW w:w="1032" w:type="dxa"/>
            <w:shd w:val="clear" w:color="auto" w:fill="6F6652"/>
            <w:tcMar>
              <w:left w:w="57" w:type="dxa"/>
              <w:right w:w="57" w:type="dxa"/>
            </w:tcMar>
          </w:tcPr>
          <w:p w14:paraId="59632D5D" w14:textId="77777777" w:rsidR="00ED748D" w:rsidRDefault="00ED748D" w:rsidP="002B23FD">
            <w:pPr>
              <w:pStyle w:val="TableDataColumnHeading"/>
              <w:rPr>
                <w:lang w:val="en-GB"/>
              </w:rPr>
            </w:pPr>
          </w:p>
        </w:tc>
        <w:tc>
          <w:tcPr>
            <w:tcW w:w="1032" w:type="dxa"/>
            <w:shd w:val="clear" w:color="auto" w:fill="6F6652"/>
            <w:tcMar>
              <w:left w:w="57" w:type="dxa"/>
              <w:right w:w="57" w:type="dxa"/>
            </w:tcMar>
          </w:tcPr>
          <w:p w14:paraId="4CD0234C" w14:textId="77777777" w:rsidR="00ED748D" w:rsidRDefault="00ED748D" w:rsidP="002B23FD">
            <w:pPr>
              <w:pStyle w:val="TableDataColumnHeading"/>
              <w:rPr>
                <w:lang w:val="en-GB"/>
              </w:rPr>
            </w:pPr>
          </w:p>
        </w:tc>
        <w:tc>
          <w:tcPr>
            <w:tcW w:w="1032" w:type="dxa"/>
            <w:shd w:val="clear" w:color="auto" w:fill="6F6652"/>
            <w:tcMar>
              <w:left w:w="57" w:type="dxa"/>
              <w:right w:w="57" w:type="dxa"/>
            </w:tcMar>
          </w:tcPr>
          <w:p w14:paraId="67E704A1" w14:textId="77777777" w:rsidR="00ED748D" w:rsidRDefault="00ED748D" w:rsidP="002B23FD">
            <w:pPr>
              <w:pStyle w:val="TableDataColumnHeading"/>
              <w:rPr>
                <w:lang w:val="en-GB"/>
              </w:rPr>
            </w:pPr>
          </w:p>
        </w:tc>
        <w:tc>
          <w:tcPr>
            <w:tcW w:w="1025" w:type="dxa"/>
            <w:shd w:val="clear" w:color="auto" w:fill="6F6652"/>
            <w:tcMar>
              <w:left w:w="57" w:type="dxa"/>
              <w:right w:w="57" w:type="dxa"/>
            </w:tcMar>
          </w:tcPr>
          <w:p w14:paraId="24A99584" w14:textId="77777777" w:rsidR="00ED748D" w:rsidRDefault="00ED748D" w:rsidP="002B23FD">
            <w:pPr>
              <w:pStyle w:val="TableDataColumnHeading"/>
              <w:rPr>
                <w:lang w:val="en-GB"/>
              </w:rPr>
            </w:pPr>
          </w:p>
        </w:tc>
        <w:tc>
          <w:tcPr>
            <w:tcW w:w="841" w:type="dxa"/>
            <w:shd w:val="clear" w:color="auto" w:fill="6F6652"/>
            <w:tcMar>
              <w:left w:w="57" w:type="dxa"/>
              <w:right w:w="57" w:type="dxa"/>
            </w:tcMar>
          </w:tcPr>
          <w:p w14:paraId="18D9BA8E" w14:textId="77777777" w:rsidR="00ED748D" w:rsidRDefault="00ED748D" w:rsidP="002B23FD">
            <w:pPr>
              <w:pStyle w:val="TableDataColumnHeading"/>
              <w:rPr>
                <w:lang w:val="en-GB"/>
              </w:rPr>
            </w:pPr>
            <w:r>
              <w:rPr>
                <w:lang w:val="en-GB"/>
              </w:rPr>
              <w:t>Low estimate</w:t>
            </w:r>
            <w:r>
              <w:rPr>
                <w:rStyle w:val="NoteLabel"/>
              </w:rPr>
              <w:t>d</w:t>
            </w:r>
          </w:p>
        </w:tc>
        <w:tc>
          <w:tcPr>
            <w:tcW w:w="1153" w:type="dxa"/>
            <w:shd w:val="clear" w:color="auto" w:fill="6F6652"/>
            <w:tcMar>
              <w:left w:w="57" w:type="dxa"/>
              <w:right w:w="57" w:type="dxa"/>
            </w:tcMar>
          </w:tcPr>
          <w:p w14:paraId="73D685A4" w14:textId="77777777" w:rsidR="00ED748D" w:rsidRDefault="00ED748D" w:rsidP="002B23FD">
            <w:pPr>
              <w:pStyle w:val="TableDataColumnHeading"/>
              <w:rPr>
                <w:lang w:val="en-GB"/>
              </w:rPr>
            </w:pPr>
            <w:r>
              <w:rPr>
                <w:lang w:val="en-GB"/>
              </w:rPr>
              <w:t>Central case</w:t>
            </w:r>
            <w:r w:rsidR="00763F1D">
              <w:rPr>
                <w:rStyle w:val="NoteLabel"/>
              </w:rPr>
              <w:t>e</w:t>
            </w:r>
          </w:p>
        </w:tc>
        <w:tc>
          <w:tcPr>
            <w:tcW w:w="841" w:type="dxa"/>
            <w:shd w:val="clear" w:color="auto" w:fill="6F6652"/>
            <w:tcMar>
              <w:left w:w="57" w:type="dxa"/>
              <w:right w:w="57" w:type="dxa"/>
            </w:tcMar>
          </w:tcPr>
          <w:p w14:paraId="07D1DD4B" w14:textId="77777777" w:rsidR="00ED748D" w:rsidRDefault="00ED748D" w:rsidP="002B23FD">
            <w:pPr>
              <w:pStyle w:val="TableDataColumnHeading"/>
              <w:rPr>
                <w:lang w:val="en-GB"/>
              </w:rPr>
            </w:pPr>
            <w:r>
              <w:rPr>
                <w:lang w:val="en-GB"/>
              </w:rPr>
              <w:t>High estimate</w:t>
            </w:r>
            <w:r>
              <w:rPr>
                <w:rStyle w:val="NoteLabel"/>
              </w:rPr>
              <w:t>f</w:t>
            </w:r>
          </w:p>
        </w:tc>
      </w:tr>
      <w:tr w:rsidR="00ED748D" w14:paraId="6B85C0E2" w14:textId="77777777" w:rsidTr="002B23FD">
        <w:trPr>
          <w:trHeight w:val="461"/>
        </w:trPr>
        <w:tc>
          <w:tcPr>
            <w:tcW w:w="982" w:type="dxa"/>
            <w:tcBorders>
              <w:bottom w:val="single" w:sz="8" w:space="0" w:color="FFFFFF" w:themeColor="background1"/>
            </w:tcBorders>
            <w:shd w:val="clear" w:color="auto" w:fill="auto"/>
            <w:tcMar>
              <w:left w:w="57" w:type="dxa"/>
              <w:right w:w="57" w:type="dxa"/>
            </w:tcMar>
          </w:tcPr>
          <w:p w14:paraId="754258B5" w14:textId="77777777" w:rsidR="00ED748D" w:rsidRDefault="00ED748D" w:rsidP="002B23FD">
            <w:pPr>
              <w:pStyle w:val="TableUnit"/>
              <w:jc w:val="left"/>
              <w:rPr>
                <w:lang w:val="en-GB"/>
              </w:rPr>
            </w:pPr>
          </w:p>
        </w:tc>
        <w:tc>
          <w:tcPr>
            <w:tcW w:w="1032" w:type="dxa"/>
            <w:tcBorders>
              <w:bottom w:val="single" w:sz="8" w:space="0" w:color="FFFFFF" w:themeColor="background1"/>
            </w:tcBorders>
            <w:shd w:val="clear" w:color="auto" w:fill="auto"/>
            <w:tcMar>
              <w:left w:w="57" w:type="dxa"/>
              <w:right w:w="57" w:type="dxa"/>
            </w:tcMar>
          </w:tcPr>
          <w:p w14:paraId="0D520920" w14:textId="77777777" w:rsidR="00ED748D" w:rsidRDefault="00ED748D" w:rsidP="002B23FD">
            <w:pPr>
              <w:pStyle w:val="TableUnit"/>
              <w:rPr>
                <w:lang w:val="en-GB"/>
              </w:rPr>
            </w:pPr>
            <w:r>
              <w:rPr>
                <w:lang w:val="en-GB"/>
              </w:rPr>
              <w:t>'000</w:t>
            </w:r>
          </w:p>
        </w:tc>
        <w:tc>
          <w:tcPr>
            <w:tcW w:w="1032" w:type="dxa"/>
            <w:tcBorders>
              <w:bottom w:val="single" w:sz="8" w:space="0" w:color="FFFFFF" w:themeColor="background1"/>
            </w:tcBorders>
            <w:shd w:val="clear" w:color="auto" w:fill="auto"/>
            <w:tcMar>
              <w:left w:w="57" w:type="dxa"/>
              <w:right w:w="57" w:type="dxa"/>
            </w:tcMar>
          </w:tcPr>
          <w:p w14:paraId="1F34BD5C" w14:textId="77777777" w:rsidR="00ED748D" w:rsidRDefault="00ED748D" w:rsidP="002B23FD">
            <w:pPr>
              <w:pStyle w:val="TableUnit"/>
              <w:rPr>
                <w:lang w:val="en-GB"/>
              </w:rPr>
            </w:pPr>
            <w:r>
              <w:rPr>
                <w:lang w:val="en-GB"/>
              </w:rPr>
              <w:t>Rate per 100,000</w:t>
            </w:r>
          </w:p>
        </w:tc>
        <w:tc>
          <w:tcPr>
            <w:tcW w:w="1032" w:type="dxa"/>
            <w:tcBorders>
              <w:bottom w:val="single" w:sz="8" w:space="0" w:color="FFFFFF" w:themeColor="background1"/>
            </w:tcBorders>
            <w:shd w:val="clear" w:color="auto" w:fill="auto"/>
            <w:tcMar>
              <w:left w:w="57" w:type="dxa"/>
              <w:right w:w="57" w:type="dxa"/>
            </w:tcMar>
          </w:tcPr>
          <w:p w14:paraId="455136C2" w14:textId="77777777" w:rsidR="00ED748D" w:rsidRDefault="00ED748D" w:rsidP="002B23FD">
            <w:pPr>
              <w:pStyle w:val="TableUnit"/>
              <w:rPr>
                <w:lang w:val="en-GB"/>
              </w:rPr>
            </w:pPr>
            <w:r>
              <w:rPr>
                <w:lang w:val="en-GB"/>
              </w:rPr>
              <w:t>Rate per 100,000</w:t>
            </w:r>
          </w:p>
        </w:tc>
        <w:tc>
          <w:tcPr>
            <w:tcW w:w="1025" w:type="dxa"/>
            <w:tcBorders>
              <w:bottom w:val="single" w:sz="8" w:space="0" w:color="FFFFFF" w:themeColor="background1"/>
            </w:tcBorders>
            <w:shd w:val="clear" w:color="auto" w:fill="auto"/>
            <w:tcMar>
              <w:left w:w="57" w:type="dxa"/>
              <w:right w:w="57" w:type="dxa"/>
            </w:tcMar>
          </w:tcPr>
          <w:p w14:paraId="57AE7D21" w14:textId="77777777" w:rsidR="00ED748D" w:rsidRDefault="00ED748D" w:rsidP="002B23FD">
            <w:pPr>
              <w:pStyle w:val="TableUnit"/>
              <w:rPr>
                <w:lang w:val="en-GB"/>
              </w:rPr>
            </w:pPr>
            <w:r>
              <w:rPr>
                <w:lang w:val="en-GB"/>
              </w:rPr>
              <w:t>No.</w:t>
            </w:r>
          </w:p>
        </w:tc>
        <w:tc>
          <w:tcPr>
            <w:tcW w:w="841" w:type="dxa"/>
            <w:tcBorders>
              <w:bottom w:val="single" w:sz="8" w:space="0" w:color="FFFFFF" w:themeColor="background1"/>
            </w:tcBorders>
            <w:shd w:val="clear" w:color="auto" w:fill="auto"/>
            <w:tcMar>
              <w:left w:w="57" w:type="dxa"/>
              <w:right w:w="57" w:type="dxa"/>
            </w:tcMar>
          </w:tcPr>
          <w:p w14:paraId="5C032DDC" w14:textId="77777777" w:rsidR="00ED748D" w:rsidRDefault="00ED748D" w:rsidP="002B23FD">
            <w:pPr>
              <w:pStyle w:val="TableUnit"/>
              <w:rPr>
                <w:lang w:val="en-GB"/>
              </w:rPr>
            </w:pPr>
            <w:r>
              <w:rPr>
                <w:lang w:val="en-GB"/>
              </w:rPr>
              <w:t>No.</w:t>
            </w:r>
          </w:p>
        </w:tc>
        <w:tc>
          <w:tcPr>
            <w:tcW w:w="1153" w:type="dxa"/>
            <w:tcBorders>
              <w:bottom w:val="single" w:sz="8" w:space="0" w:color="FFFFFF" w:themeColor="background1"/>
            </w:tcBorders>
            <w:shd w:val="clear" w:color="auto" w:fill="auto"/>
            <w:tcMar>
              <w:left w:w="57" w:type="dxa"/>
              <w:right w:w="57" w:type="dxa"/>
            </w:tcMar>
          </w:tcPr>
          <w:p w14:paraId="010326B8" w14:textId="77777777" w:rsidR="00ED748D" w:rsidRDefault="00ED748D" w:rsidP="002B23FD">
            <w:pPr>
              <w:pStyle w:val="TableUnit"/>
              <w:rPr>
                <w:lang w:val="en-GB"/>
              </w:rPr>
            </w:pPr>
            <w:r>
              <w:rPr>
                <w:lang w:val="en-GB"/>
              </w:rPr>
              <w:t>No.</w:t>
            </w:r>
          </w:p>
        </w:tc>
        <w:tc>
          <w:tcPr>
            <w:tcW w:w="841" w:type="dxa"/>
            <w:tcBorders>
              <w:bottom w:val="single" w:sz="8" w:space="0" w:color="FFFFFF" w:themeColor="background1"/>
            </w:tcBorders>
            <w:shd w:val="clear" w:color="auto" w:fill="auto"/>
            <w:tcMar>
              <w:left w:w="57" w:type="dxa"/>
              <w:right w:w="57" w:type="dxa"/>
            </w:tcMar>
          </w:tcPr>
          <w:p w14:paraId="70F1137E" w14:textId="77777777" w:rsidR="00ED748D" w:rsidRDefault="00ED748D" w:rsidP="002B23FD">
            <w:pPr>
              <w:pStyle w:val="TableUnit"/>
              <w:rPr>
                <w:lang w:val="en-GB"/>
              </w:rPr>
            </w:pPr>
            <w:r>
              <w:rPr>
                <w:lang w:val="en-GB"/>
              </w:rPr>
              <w:t>No.</w:t>
            </w:r>
          </w:p>
        </w:tc>
      </w:tr>
      <w:tr w:rsidR="004502AA" w14:paraId="109872FE"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458A14" w14:textId="77777777" w:rsidR="004502AA" w:rsidRDefault="004502AA" w:rsidP="004502AA">
            <w:pPr>
              <w:pStyle w:val="TableDataEntries"/>
              <w:jc w:val="left"/>
              <w:rPr>
                <w:lang w:val="en-GB"/>
              </w:rPr>
            </w:pPr>
            <w:r>
              <w:rPr>
                <w:lang w:val="en-GB"/>
              </w:rPr>
              <w:t>0</w:t>
            </w:r>
            <w:r w:rsidR="008C2448">
              <w:rPr>
                <w:lang w:val="en-GB"/>
              </w:rPr>
              <w:t xml:space="preserve"> to </w:t>
            </w:r>
            <w:r>
              <w:rPr>
                <w:lang w:val="en-GB"/>
              </w:rPr>
              <w:t>14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CECB00" w14:textId="77777777" w:rsidR="004502AA" w:rsidRDefault="004502AA" w:rsidP="004502AA">
            <w:pPr>
              <w:pStyle w:val="TableDataEntries"/>
              <w:rPr>
                <w:lang w:val="en-GB"/>
              </w:rPr>
            </w:pPr>
            <w:r>
              <w:rPr>
                <w:lang w:val="en-GB"/>
              </w:rPr>
              <w:t xml:space="preserve"> 19.9</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4E9F82"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4A1644"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4518F4" w14:textId="77777777" w:rsidR="004502AA" w:rsidRDefault="004502AA" w:rsidP="004502AA">
            <w:pPr>
              <w:pStyle w:val="TableDataEntries"/>
              <w:rPr>
                <w:lang w:val="en-GB"/>
              </w:rPr>
            </w:pPr>
            <w:r>
              <w:rPr>
                <w:lang w:val="en-GB"/>
              </w:rPr>
              <w:t xml:space="preserve"> 0.7</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DB11D8"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487711" w14:textId="77777777" w:rsidR="004502AA" w:rsidRDefault="004502AA" w:rsidP="004502AA">
            <w:pPr>
              <w:pStyle w:val="TableDataEntries"/>
              <w:rPr>
                <w:lang w:val="en-GB"/>
              </w:rPr>
            </w:pPr>
            <w:r>
              <w:rPr>
                <w:szCs w:val="16"/>
              </w:rPr>
              <w:t>0.1</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0C9AB9" w14:textId="77777777" w:rsidR="004502AA" w:rsidRDefault="004502AA" w:rsidP="004502AA">
            <w:pPr>
              <w:pStyle w:val="TableDataEntries"/>
              <w:rPr>
                <w:lang w:val="en-GB"/>
              </w:rPr>
            </w:pPr>
            <w:r>
              <w:rPr>
                <w:lang w:val="en-GB"/>
              </w:rPr>
              <w:t xml:space="preserve"> 0.3</w:t>
            </w:r>
          </w:p>
        </w:tc>
      </w:tr>
      <w:tr w:rsidR="004502AA" w14:paraId="4F709BB3"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802E33" w14:textId="77777777" w:rsidR="004502AA" w:rsidRDefault="004502AA" w:rsidP="004502AA">
            <w:pPr>
              <w:pStyle w:val="TableDataEntries"/>
              <w:jc w:val="left"/>
              <w:rPr>
                <w:lang w:val="en-GB"/>
              </w:rPr>
            </w:pPr>
            <w:r>
              <w:rPr>
                <w:lang w:val="en-GB"/>
              </w:rPr>
              <w:t>15</w:t>
            </w:r>
            <w:r w:rsidR="008C2448">
              <w:rPr>
                <w:lang w:val="en-GB"/>
              </w:rPr>
              <w:t xml:space="preserve"> to </w:t>
            </w:r>
            <w:r>
              <w:rPr>
                <w:lang w:val="en-GB"/>
              </w:rPr>
              <w:t>24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792FA6" w14:textId="77777777" w:rsidR="004502AA" w:rsidRDefault="004502AA" w:rsidP="004502AA">
            <w:pPr>
              <w:pStyle w:val="TableDataEntries"/>
              <w:rPr>
                <w:lang w:val="en-GB"/>
              </w:rPr>
            </w:pPr>
            <w:r>
              <w:rPr>
                <w:lang w:val="en-GB"/>
              </w:rPr>
              <w:t xml:space="preserve"> 14.2</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25B3F7"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760192"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26F4D1" w14:textId="77777777" w:rsidR="004502AA" w:rsidRDefault="004502AA" w:rsidP="004502AA">
            <w:pPr>
              <w:pStyle w:val="TableDataEntries"/>
              <w:rPr>
                <w:lang w:val="en-GB"/>
              </w:rPr>
            </w:pPr>
            <w:r>
              <w:rPr>
                <w:lang w:val="en-GB"/>
              </w:rPr>
              <w:t xml:space="preserve"> 0.5</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8AA0F0"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4CD4B4" w14:textId="77777777" w:rsidR="004502AA" w:rsidRDefault="004502AA" w:rsidP="004502AA">
            <w:pPr>
              <w:pStyle w:val="TableDataEntries"/>
              <w:rPr>
                <w:lang w:val="en-GB"/>
              </w:rPr>
            </w:pPr>
            <w:r>
              <w:rPr>
                <w:szCs w:val="16"/>
              </w:rPr>
              <w:t>0.0</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8DC19" w14:textId="77777777" w:rsidR="004502AA" w:rsidRDefault="004502AA" w:rsidP="004502AA">
            <w:pPr>
              <w:pStyle w:val="TableDataEntries"/>
              <w:rPr>
                <w:lang w:val="en-GB"/>
              </w:rPr>
            </w:pPr>
            <w:r>
              <w:rPr>
                <w:lang w:val="en-GB"/>
              </w:rPr>
              <w:t xml:space="preserve"> 0.2</w:t>
            </w:r>
          </w:p>
        </w:tc>
      </w:tr>
      <w:tr w:rsidR="004502AA" w14:paraId="420472B8"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11FC18" w14:textId="77777777" w:rsidR="004502AA" w:rsidRDefault="004502AA" w:rsidP="004502AA">
            <w:pPr>
              <w:pStyle w:val="TableDataEntries"/>
              <w:jc w:val="left"/>
              <w:rPr>
                <w:lang w:val="en-GB"/>
              </w:rPr>
            </w:pPr>
            <w:r>
              <w:rPr>
                <w:lang w:val="en-GB"/>
              </w:rPr>
              <w:t>25</w:t>
            </w:r>
            <w:r w:rsidR="008C2448">
              <w:rPr>
                <w:lang w:val="en-GB"/>
              </w:rPr>
              <w:t xml:space="preserve"> to </w:t>
            </w:r>
            <w:r>
              <w:rPr>
                <w:lang w:val="en-GB"/>
              </w:rPr>
              <w:t>34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00E4F0" w14:textId="77777777" w:rsidR="004502AA" w:rsidRDefault="004502AA" w:rsidP="004502AA">
            <w:pPr>
              <w:pStyle w:val="TableDataEntries"/>
              <w:rPr>
                <w:lang w:val="en-GB"/>
              </w:rPr>
            </w:pPr>
            <w:r>
              <w:rPr>
                <w:lang w:val="en-GB"/>
              </w:rPr>
              <w:t xml:space="preserve"> 20.3</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B71D9"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2B878C"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FBDE0D" w14:textId="77777777" w:rsidR="004502AA" w:rsidRDefault="004502AA" w:rsidP="004502AA">
            <w:pPr>
              <w:pStyle w:val="TableDataEntries"/>
              <w:rPr>
                <w:lang w:val="en-GB"/>
              </w:rPr>
            </w:pPr>
            <w:r>
              <w:rPr>
                <w:lang w:val="en-GB"/>
              </w:rPr>
              <w:t xml:space="preserve"> 0.7</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826A8C"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3E3DD3" w14:textId="77777777" w:rsidR="004502AA" w:rsidRDefault="004502AA" w:rsidP="004502AA">
            <w:pPr>
              <w:pStyle w:val="TableDataEntries"/>
              <w:rPr>
                <w:lang w:val="en-GB"/>
              </w:rPr>
            </w:pPr>
            <w:r>
              <w:rPr>
                <w:szCs w:val="16"/>
              </w:rPr>
              <w:t>0.1</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68DA4" w14:textId="77777777" w:rsidR="004502AA" w:rsidRDefault="004502AA" w:rsidP="004502AA">
            <w:pPr>
              <w:pStyle w:val="TableDataEntries"/>
              <w:rPr>
                <w:lang w:val="en-GB"/>
              </w:rPr>
            </w:pPr>
            <w:r>
              <w:rPr>
                <w:lang w:val="en-GB"/>
              </w:rPr>
              <w:t xml:space="preserve"> 0.3</w:t>
            </w:r>
          </w:p>
        </w:tc>
      </w:tr>
      <w:tr w:rsidR="004502AA" w14:paraId="33BC20A0"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B1C1C7" w14:textId="77777777" w:rsidR="004502AA" w:rsidRDefault="004502AA" w:rsidP="004502AA">
            <w:pPr>
              <w:pStyle w:val="TableDataEntries"/>
              <w:jc w:val="left"/>
              <w:rPr>
                <w:lang w:val="en-GB"/>
              </w:rPr>
            </w:pPr>
            <w:r>
              <w:rPr>
                <w:lang w:val="en-GB"/>
              </w:rPr>
              <w:t>35</w:t>
            </w:r>
            <w:r w:rsidR="008C2448">
              <w:rPr>
                <w:lang w:val="en-GB"/>
              </w:rPr>
              <w:t xml:space="preserve"> to </w:t>
            </w:r>
            <w:r>
              <w:rPr>
                <w:lang w:val="en-GB"/>
              </w:rPr>
              <w:t>44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63D8CB" w14:textId="77777777" w:rsidR="004502AA" w:rsidRDefault="004502AA" w:rsidP="004502AA">
            <w:pPr>
              <w:pStyle w:val="TableDataEntries"/>
              <w:rPr>
                <w:lang w:val="en-GB"/>
              </w:rPr>
            </w:pPr>
            <w:r>
              <w:rPr>
                <w:lang w:val="en-GB"/>
              </w:rPr>
              <w:t xml:space="preserve"> 28.2</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80B3FF"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8605B7"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9633A5" w14:textId="77777777" w:rsidR="004502AA" w:rsidRDefault="004502AA" w:rsidP="004502AA">
            <w:pPr>
              <w:pStyle w:val="TableDataEntries"/>
              <w:rPr>
                <w:lang w:val="en-GB"/>
              </w:rPr>
            </w:pPr>
            <w:r>
              <w:rPr>
                <w:lang w:val="en-GB"/>
              </w:rPr>
              <w:t xml:space="preserve"> 1.0</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4805A6"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0DA0CE" w14:textId="77777777" w:rsidR="004502AA" w:rsidRDefault="004502AA" w:rsidP="004502AA">
            <w:pPr>
              <w:pStyle w:val="TableDataEntries"/>
              <w:rPr>
                <w:lang w:val="en-GB"/>
              </w:rPr>
            </w:pPr>
            <w:r>
              <w:rPr>
                <w:szCs w:val="16"/>
              </w:rPr>
              <w:t>0.1</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DEADBF" w14:textId="77777777" w:rsidR="004502AA" w:rsidRDefault="004502AA" w:rsidP="004502AA">
            <w:pPr>
              <w:pStyle w:val="TableDataEntries"/>
              <w:rPr>
                <w:lang w:val="en-GB"/>
              </w:rPr>
            </w:pPr>
            <w:r>
              <w:rPr>
                <w:lang w:val="en-GB"/>
              </w:rPr>
              <w:t xml:space="preserve"> 0.4</w:t>
            </w:r>
          </w:p>
        </w:tc>
      </w:tr>
      <w:tr w:rsidR="004502AA" w14:paraId="7FDD32D8"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3C6DDB" w14:textId="77777777" w:rsidR="004502AA" w:rsidRDefault="004502AA" w:rsidP="004502AA">
            <w:pPr>
              <w:pStyle w:val="TableDataEntries"/>
              <w:jc w:val="left"/>
              <w:rPr>
                <w:lang w:val="en-GB"/>
              </w:rPr>
            </w:pPr>
            <w:r>
              <w:rPr>
                <w:lang w:val="en-GB"/>
              </w:rPr>
              <w:t>45</w:t>
            </w:r>
            <w:r w:rsidR="008C2448">
              <w:rPr>
                <w:lang w:val="en-GB"/>
              </w:rPr>
              <w:t xml:space="preserve"> to </w:t>
            </w:r>
            <w:r>
              <w:rPr>
                <w:lang w:val="en-GB"/>
              </w:rPr>
              <w:t>54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4F3FF0" w14:textId="77777777" w:rsidR="004502AA" w:rsidRDefault="004502AA" w:rsidP="004502AA">
            <w:pPr>
              <w:pStyle w:val="TableDataEntries"/>
              <w:rPr>
                <w:lang w:val="en-GB"/>
              </w:rPr>
            </w:pPr>
            <w:r>
              <w:rPr>
                <w:lang w:val="en-GB"/>
              </w:rPr>
              <w:t xml:space="preserve"> 48.4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54C663"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4B8288"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DB6895" w14:textId="77777777" w:rsidR="004502AA" w:rsidRDefault="004502AA" w:rsidP="004502AA">
            <w:pPr>
              <w:pStyle w:val="TableDataEntries"/>
              <w:rPr>
                <w:lang w:val="en-GB"/>
              </w:rPr>
            </w:pPr>
            <w:r>
              <w:rPr>
                <w:lang w:val="en-GB"/>
              </w:rPr>
              <w:t xml:space="preserve"> 1.7</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47F96B"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3836D0" w14:textId="77777777" w:rsidR="004502AA" w:rsidRDefault="004502AA" w:rsidP="004502AA">
            <w:pPr>
              <w:pStyle w:val="TableDataEntries"/>
              <w:rPr>
                <w:lang w:val="en-GB"/>
              </w:rPr>
            </w:pPr>
            <w:r>
              <w:rPr>
                <w:szCs w:val="16"/>
              </w:rPr>
              <w:t>0.2</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9BCB8F" w14:textId="77777777" w:rsidR="004502AA" w:rsidRDefault="004502AA" w:rsidP="004502AA">
            <w:pPr>
              <w:pStyle w:val="TableDataEntries"/>
              <w:rPr>
                <w:lang w:val="en-GB"/>
              </w:rPr>
            </w:pPr>
            <w:r>
              <w:rPr>
                <w:lang w:val="en-GB"/>
              </w:rPr>
              <w:t xml:space="preserve"> 0.6</w:t>
            </w:r>
          </w:p>
        </w:tc>
      </w:tr>
      <w:tr w:rsidR="004502AA" w14:paraId="7586CFA5"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F47916" w14:textId="77777777" w:rsidR="004502AA" w:rsidRDefault="004502AA" w:rsidP="004502AA">
            <w:pPr>
              <w:pStyle w:val="TableDataEntries"/>
              <w:jc w:val="left"/>
              <w:rPr>
                <w:lang w:val="en-GB"/>
              </w:rPr>
            </w:pPr>
            <w:r>
              <w:rPr>
                <w:lang w:val="en-GB"/>
              </w:rPr>
              <w:t>55</w:t>
            </w:r>
            <w:r w:rsidR="008C2448">
              <w:rPr>
                <w:lang w:val="en-GB"/>
              </w:rPr>
              <w:t xml:space="preserve"> to </w:t>
            </w:r>
            <w:r>
              <w:rPr>
                <w:lang w:val="en-GB"/>
              </w:rPr>
              <w:t>64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D61B22" w14:textId="77777777" w:rsidR="004502AA" w:rsidRDefault="004502AA" w:rsidP="004502AA">
            <w:pPr>
              <w:pStyle w:val="TableDataEntries"/>
              <w:rPr>
                <w:lang w:val="en-GB"/>
              </w:rPr>
            </w:pPr>
            <w:r>
              <w:rPr>
                <w:lang w:val="en-GB"/>
              </w:rPr>
              <w:t xml:space="preserve"> 66.6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DBAE89"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C386AD"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126A92" w14:textId="77777777" w:rsidR="004502AA" w:rsidRDefault="004502AA" w:rsidP="004502AA">
            <w:pPr>
              <w:pStyle w:val="TableDataEntries"/>
              <w:rPr>
                <w:lang w:val="en-GB"/>
              </w:rPr>
            </w:pPr>
            <w:r>
              <w:rPr>
                <w:lang w:val="en-GB"/>
              </w:rPr>
              <w:t xml:space="preserve"> 2.3</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8F4712"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A643D2" w14:textId="77777777" w:rsidR="004502AA" w:rsidRDefault="004502AA" w:rsidP="004502AA">
            <w:pPr>
              <w:pStyle w:val="TableDataEntries"/>
              <w:rPr>
                <w:lang w:val="en-GB"/>
              </w:rPr>
            </w:pPr>
            <w:r>
              <w:rPr>
                <w:szCs w:val="16"/>
              </w:rPr>
              <w:t>0.2</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84B7AA" w14:textId="77777777" w:rsidR="004502AA" w:rsidRDefault="004502AA" w:rsidP="004502AA">
            <w:pPr>
              <w:pStyle w:val="TableDataEntries"/>
              <w:rPr>
                <w:lang w:val="en-GB"/>
              </w:rPr>
            </w:pPr>
            <w:r>
              <w:rPr>
                <w:lang w:val="en-GB"/>
              </w:rPr>
              <w:t xml:space="preserve"> 0.9</w:t>
            </w:r>
          </w:p>
        </w:tc>
      </w:tr>
      <w:tr w:rsidR="004502AA" w14:paraId="75F43C09"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D8D371" w14:textId="77777777" w:rsidR="004502AA" w:rsidRDefault="004502AA" w:rsidP="004502AA">
            <w:pPr>
              <w:pStyle w:val="TableDataEntries"/>
              <w:jc w:val="left"/>
              <w:rPr>
                <w:lang w:val="en-GB"/>
              </w:rPr>
            </w:pPr>
            <w:r>
              <w:rPr>
                <w:lang w:val="en-GB"/>
              </w:rPr>
              <w:t>65</w:t>
            </w:r>
            <w:r w:rsidR="008C2448">
              <w:rPr>
                <w:lang w:val="en-GB"/>
              </w:rPr>
              <w:t xml:space="preserve"> to </w:t>
            </w:r>
            <w:r>
              <w:rPr>
                <w:lang w:val="en-GB"/>
              </w:rPr>
              <w:t>74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348279" w14:textId="77777777" w:rsidR="004502AA" w:rsidRDefault="004502AA" w:rsidP="004502AA">
            <w:pPr>
              <w:pStyle w:val="TableDataEntries"/>
              <w:rPr>
                <w:lang w:val="en-GB"/>
              </w:rPr>
            </w:pPr>
            <w:r>
              <w:rPr>
                <w:lang w:val="en-GB"/>
              </w:rPr>
              <w:t xml:space="preserve"> 58.7</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7E2F6E" w14:textId="77777777" w:rsidR="004502AA" w:rsidRDefault="004502AA" w:rsidP="004502AA">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EE4FC7" w14:textId="77777777" w:rsidR="004502AA" w:rsidRDefault="004502AA" w:rsidP="004502AA">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773D56" w14:textId="77777777" w:rsidR="004502AA" w:rsidRDefault="004502AA" w:rsidP="004502AA">
            <w:pPr>
              <w:pStyle w:val="TableDataEntries"/>
              <w:rPr>
                <w:lang w:val="en-GB"/>
              </w:rPr>
            </w:pPr>
            <w:r>
              <w:rPr>
                <w:lang w:val="en-GB"/>
              </w:rPr>
              <w:t xml:space="preserve"> 2.0</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79075A"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1BCBE2" w14:textId="77777777" w:rsidR="004502AA" w:rsidRDefault="004502AA" w:rsidP="004502AA">
            <w:pPr>
              <w:pStyle w:val="TableDataEntries"/>
              <w:rPr>
                <w:lang w:val="en-GB"/>
              </w:rPr>
            </w:pPr>
            <w:r>
              <w:rPr>
                <w:szCs w:val="16"/>
              </w:rPr>
              <w:t>0.2</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95BD1" w14:textId="77777777" w:rsidR="004502AA" w:rsidRDefault="004502AA" w:rsidP="004502AA">
            <w:pPr>
              <w:pStyle w:val="TableDataEntries"/>
              <w:rPr>
                <w:lang w:val="en-GB"/>
              </w:rPr>
            </w:pPr>
            <w:r>
              <w:rPr>
                <w:lang w:val="en-GB"/>
              </w:rPr>
              <w:t xml:space="preserve"> 0.8</w:t>
            </w:r>
          </w:p>
        </w:tc>
      </w:tr>
      <w:tr w:rsidR="004502AA" w14:paraId="7FA4D7EF"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B02F10" w14:textId="77777777" w:rsidR="004502AA" w:rsidRDefault="004502AA" w:rsidP="004502AA">
            <w:pPr>
              <w:pStyle w:val="TableDataEntries"/>
              <w:jc w:val="left"/>
              <w:rPr>
                <w:lang w:val="en-GB"/>
              </w:rPr>
            </w:pPr>
            <w:r>
              <w:rPr>
                <w:lang w:val="en-GB"/>
              </w:rPr>
              <w:t>75</w:t>
            </w:r>
            <w:r w:rsidR="008C2448">
              <w:rPr>
                <w:lang w:val="en-GB"/>
              </w:rPr>
              <w:t xml:space="preserve"> to </w:t>
            </w:r>
            <w:r>
              <w:rPr>
                <w:lang w:val="en-GB"/>
              </w:rPr>
              <w:t>84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0A5426" w14:textId="77777777" w:rsidR="004502AA" w:rsidRDefault="004502AA" w:rsidP="004502AA">
            <w:pPr>
              <w:pStyle w:val="TableDataEntries"/>
              <w:rPr>
                <w:lang w:val="en-GB"/>
              </w:rPr>
            </w:pPr>
            <w:r>
              <w:rPr>
                <w:lang w:val="en-GB"/>
              </w:rPr>
              <w:t xml:space="preserve"> 44.1</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B1FC0" w14:textId="77777777" w:rsidR="004502AA" w:rsidRDefault="004502AA" w:rsidP="004502AA">
            <w:pPr>
              <w:pStyle w:val="TableDataEntries"/>
              <w:rPr>
                <w:lang w:val="en-GB"/>
              </w:rPr>
            </w:pPr>
            <w:r>
              <w:rPr>
                <w:lang w:val="en-GB"/>
              </w:rPr>
              <w:t xml:space="preserve"> 69.6</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E02CF" w14:textId="77777777" w:rsidR="004502AA" w:rsidRDefault="004502AA" w:rsidP="004502AA">
            <w:pPr>
              <w:pStyle w:val="TableDataEntries"/>
              <w:rPr>
                <w:lang w:val="en-GB"/>
              </w:rPr>
            </w:pPr>
            <w:r>
              <w:rPr>
                <w:lang w:val="en-GB"/>
              </w:rPr>
              <w:t xml:space="preserve"> 22.8</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8E94FD" w14:textId="77777777" w:rsidR="004502AA" w:rsidRDefault="004502AA" w:rsidP="004502AA">
            <w:pPr>
              <w:pStyle w:val="TableDataEntries"/>
              <w:rPr>
                <w:lang w:val="en-GB"/>
              </w:rPr>
            </w:pPr>
            <w:r>
              <w:rPr>
                <w:lang w:val="en-GB"/>
              </w:rPr>
              <w:t xml:space="preserve"> 10.1</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F6AD4A"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62C1A2" w14:textId="77777777" w:rsidR="004502AA" w:rsidRDefault="004502AA" w:rsidP="004502AA">
            <w:pPr>
              <w:pStyle w:val="TableDataEntries"/>
              <w:rPr>
                <w:lang w:val="en-GB"/>
              </w:rPr>
            </w:pPr>
            <w:r>
              <w:rPr>
                <w:szCs w:val="16"/>
              </w:rPr>
              <w:t>1.0</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AB1DD9" w14:textId="77777777" w:rsidR="004502AA" w:rsidRDefault="004502AA" w:rsidP="004502AA">
            <w:pPr>
              <w:pStyle w:val="TableDataEntries"/>
              <w:rPr>
                <w:lang w:val="en-GB"/>
              </w:rPr>
            </w:pPr>
            <w:r>
              <w:rPr>
                <w:lang w:val="en-GB"/>
              </w:rPr>
              <w:t xml:space="preserve"> 3.7</w:t>
            </w:r>
          </w:p>
        </w:tc>
      </w:tr>
      <w:tr w:rsidR="004502AA" w14:paraId="0A9E46B8"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FCDE50" w14:textId="77777777" w:rsidR="004502AA" w:rsidRDefault="004502AA" w:rsidP="004502AA">
            <w:pPr>
              <w:pStyle w:val="TableDataEntries"/>
              <w:jc w:val="left"/>
              <w:rPr>
                <w:lang w:val="en-GB"/>
              </w:rPr>
            </w:pPr>
            <w:r>
              <w:rPr>
                <w:lang w:val="en-GB"/>
              </w:rPr>
              <w:t>85</w:t>
            </w:r>
            <w:r w:rsidR="008C2448">
              <w:rPr>
                <w:lang w:val="en-GB"/>
              </w:rPr>
              <w:t xml:space="preserve"> to </w:t>
            </w:r>
            <w:r>
              <w:rPr>
                <w:lang w:val="en-GB"/>
              </w:rPr>
              <w:t>94</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E991E3" w14:textId="77777777" w:rsidR="004502AA" w:rsidRDefault="004502AA" w:rsidP="004502AA">
            <w:pPr>
              <w:pStyle w:val="TableDataEntries"/>
              <w:rPr>
                <w:lang w:val="en-GB"/>
              </w:rPr>
            </w:pPr>
            <w:r>
              <w:rPr>
                <w:lang w:val="en-GB"/>
              </w:rPr>
              <w:t xml:space="preserve"> 20.7</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8E5773" w14:textId="77777777" w:rsidR="004502AA" w:rsidRDefault="004502AA" w:rsidP="004502AA">
            <w:pPr>
              <w:pStyle w:val="TableDataEntries"/>
              <w:rPr>
                <w:lang w:val="en-GB"/>
              </w:rPr>
            </w:pPr>
            <w:r>
              <w:rPr>
                <w:lang w:val="en-GB"/>
              </w:rPr>
              <w:t xml:space="preserve"> 345.8</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BDDA81" w14:textId="77777777" w:rsidR="004502AA" w:rsidRDefault="004502AA" w:rsidP="004502AA">
            <w:pPr>
              <w:pStyle w:val="TableDataEntries"/>
              <w:rPr>
                <w:lang w:val="en-GB"/>
              </w:rPr>
            </w:pPr>
            <w:r>
              <w:rPr>
                <w:lang w:val="en-GB"/>
              </w:rPr>
              <w:t xml:space="preserve"> 113.4</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7446ED" w14:textId="77777777" w:rsidR="004502AA" w:rsidRDefault="004502AA" w:rsidP="004502AA">
            <w:pPr>
              <w:pStyle w:val="TableDataEntries"/>
              <w:rPr>
                <w:lang w:val="en-GB"/>
              </w:rPr>
            </w:pPr>
            <w:r>
              <w:rPr>
                <w:lang w:val="en-GB"/>
              </w:rPr>
              <w:t xml:space="preserve"> 23.5</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D1D78E"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4713D0" w14:textId="77777777" w:rsidR="004502AA" w:rsidRDefault="004502AA" w:rsidP="004502AA">
            <w:pPr>
              <w:pStyle w:val="TableDataEntries"/>
              <w:rPr>
                <w:lang w:val="en-GB"/>
              </w:rPr>
            </w:pPr>
            <w:r>
              <w:rPr>
                <w:szCs w:val="16"/>
              </w:rPr>
              <w:t>2.3</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CFF95E" w14:textId="77777777" w:rsidR="004502AA" w:rsidRDefault="004502AA" w:rsidP="004502AA">
            <w:pPr>
              <w:pStyle w:val="TableDataEntries"/>
              <w:rPr>
                <w:lang w:val="en-GB"/>
              </w:rPr>
            </w:pPr>
            <w:r>
              <w:rPr>
                <w:lang w:val="en-GB"/>
              </w:rPr>
              <w:t xml:space="preserve"> 8.7</w:t>
            </w:r>
          </w:p>
        </w:tc>
      </w:tr>
      <w:tr w:rsidR="004502AA" w14:paraId="3740EC4D" w14:textId="77777777" w:rsidTr="007E6E80">
        <w:trPr>
          <w:trHeight w:val="230"/>
        </w:trPr>
        <w:tc>
          <w:tcPr>
            <w:tcW w:w="9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0BC3D4" w14:textId="77777777" w:rsidR="004502AA" w:rsidRDefault="004502AA" w:rsidP="004502AA">
            <w:pPr>
              <w:pStyle w:val="TableDataEntries"/>
              <w:jc w:val="left"/>
              <w:rPr>
                <w:lang w:val="en-GB"/>
              </w:rPr>
            </w:pPr>
            <w:r>
              <w:rPr>
                <w:lang w:val="en-GB"/>
              </w:rPr>
              <w:t>95+</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6484B0" w14:textId="77777777" w:rsidR="004502AA" w:rsidRDefault="004502AA" w:rsidP="004502AA">
            <w:pPr>
              <w:pStyle w:val="TableDataEntries"/>
              <w:rPr>
                <w:lang w:val="en-GB"/>
              </w:rPr>
            </w:pPr>
            <w:r>
              <w:rPr>
                <w:lang w:val="en-GB"/>
              </w:rPr>
              <w:t xml:space="preserve"> 4.0</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434AB3" w14:textId="77777777" w:rsidR="004502AA" w:rsidRDefault="004502AA" w:rsidP="004502AA">
            <w:pPr>
              <w:pStyle w:val="TableDataEntries"/>
              <w:rPr>
                <w:lang w:val="en-GB"/>
              </w:rPr>
            </w:pPr>
            <w:r>
              <w:rPr>
                <w:lang w:val="en-GB"/>
              </w:rPr>
              <w:t>1 139.2</w:t>
            </w:r>
          </w:p>
        </w:tc>
        <w:tc>
          <w:tcPr>
            <w:tcW w:w="10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958B0B" w14:textId="77777777" w:rsidR="004502AA" w:rsidRDefault="004502AA" w:rsidP="004502AA">
            <w:pPr>
              <w:pStyle w:val="TableDataEntries"/>
              <w:rPr>
                <w:lang w:val="en-GB"/>
              </w:rPr>
            </w:pPr>
            <w:r>
              <w:rPr>
                <w:lang w:val="en-GB"/>
              </w:rPr>
              <w:t xml:space="preserve"> 373.7</w:t>
            </w:r>
          </w:p>
        </w:tc>
        <w:tc>
          <w:tcPr>
            <w:tcW w:w="10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0412EB" w14:textId="77777777" w:rsidR="004502AA" w:rsidRDefault="004502AA" w:rsidP="004502AA">
            <w:pPr>
              <w:pStyle w:val="TableDataEntries"/>
              <w:rPr>
                <w:lang w:val="en-GB"/>
              </w:rPr>
            </w:pPr>
            <w:r>
              <w:rPr>
                <w:lang w:val="en-GB"/>
              </w:rPr>
              <w:t xml:space="preserve"> 14.9</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5686C1" w14:textId="77777777" w:rsidR="004502AA" w:rsidRDefault="004502AA" w:rsidP="004502AA">
            <w:pPr>
              <w:pStyle w:val="TableDataEntries"/>
              <w:rPr>
                <w:lang w:val="en-GB"/>
              </w:rPr>
            </w:pPr>
            <w:r>
              <w:rPr>
                <w:szCs w:val="16"/>
              </w:rPr>
              <w:t>0.0</w:t>
            </w:r>
          </w:p>
        </w:tc>
        <w:tc>
          <w:tcPr>
            <w:tcW w:w="11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7C7B99" w14:textId="77777777" w:rsidR="004502AA" w:rsidRDefault="004502AA" w:rsidP="004502AA">
            <w:pPr>
              <w:pStyle w:val="TableDataEntries"/>
              <w:rPr>
                <w:lang w:val="en-GB"/>
              </w:rPr>
            </w:pPr>
            <w:r>
              <w:rPr>
                <w:szCs w:val="16"/>
              </w:rPr>
              <w:t>1.5</w:t>
            </w:r>
          </w:p>
        </w:tc>
        <w:tc>
          <w:tcPr>
            <w:tcW w:w="8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9E5C1F" w14:textId="77777777" w:rsidR="004502AA" w:rsidRDefault="004502AA" w:rsidP="004502AA">
            <w:pPr>
              <w:pStyle w:val="TableDataEntries"/>
              <w:rPr>
                <w:lang w:val="en-GB"/>
              </w:rPr>
            </w:pPr>
            <w:r>
              <w:rPr>
                <w:lang w:val="en-GB"/>
              </w:rPr>
              <w:t xml:space="preserve"> 5.5</w:t>
            </w:r>
          </w:p>
        </w:tc>
      </w:tr>
      <w:tr w:rsidR="004502AA" w:rsidRPr="00C87D2E" w14:paraId="29C357FB" w14:textId="77777777" w:rsidTr="007E6E80">
        <w:trPr>
          <w:trHeight w:val="230"/>
        </w:trPr>
        <w:tc>
          <w:tcPr>
            <w:tcW w:w="98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0B6140C" w14:textId="77777777" w:rsidR="004502AA" w:rsidRPr="00C87D2E" w:rsidRDefault="004502AA" w:rsidP="004502AA">
            <w:pPr>
              <w:pStyle w:val="TableDataEntries"/>
              <w:jc w:val="left"/>
              <w:rPr>
                <w:rFonts w:ascii="Franklin Gothic Demi" w:hAnsi="Franklin Gothic Demi"/>
                <w:lang w:val="en-GB"/>
              </w:rPr>
            </w:pPr>
            <w:r w:rsidRPr="00C87D2E">
              <w:rPr>
                <w:rFonts w:ascii="Franklin Gothic Demi" w:hAnsi="Franklin Gothic Demi"/>
                <w:lang w:val="en-GB"/>
              </w:rPr>
              <w:t>Total</w:t>
            </w:r>
          </w:p>
        </w:tc>
        <w:tc>
          <w:tcPr>
            <w:tcW w:w="103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42BF489" w14:textId="77777777" w:rsidR="004502AA" w:rsidRPr="00C87D2E" w:rsidRDefault="004502AA" w:rsidP="004502AA">
            <w:pPr>
              <w:pStyle w:val="TableDataEntries"/>
              <w:rPr>
                <w:rFonts w:ascii="Franklin Gothic Demi" w:hAnsi="Franklin Gothic Demi"/>
                <w:lang w:val="en-GB"/>
              </w:rPr>
            </w:pPr>
            <w:r w:rsidRPr="00C87D2E">
              <w:rPr>
                <w:rFonts w:ascii="Franklin Gothic Demi" w:hAnsi="Franklin Gothic Demi"/>
                <w:lang w:val="en-GB"/>
              </w:rPr>
              <w:t xml:space="preserve"> 325.1</w:t>
            </w:r>
          </w:p>
        </w:tc>
        <w:tc>
          <w:tcPr>
            <w:tcW w:w="103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551265A" w14:textId="77777777" w:rsidR="004502AA" w:rsidRPr="00C87D2E" w:rsidRDefault="004502AA" w:rsidP="004502AA">
            <w:pPr>
              <w:pStyle w:val="TableDataEntries"/>
              <w:rPr>
                <w:rFonts w:ascii="Franklin Gothic Demi" w:hAnsi="Franklin Gothic Demi"/>
                <w:lang w:val="en-GB"/>
              </w:rPr>
            </w:pPr>
          </w:p>
        </w:tc>
        <w:tc>
          <w:tcPr>
            <w:tcW w:w="103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5392AD5" w14:textId="77777777" w:rsidR="004502AA" w:rsidRPr="00C87D2E" w:rsidRDefault="004502AA" w:rsidP="004502AA">
            <w:pPr>
              <w:pStyle w:val="TableDataEntries"/>
              <w:rPr>
                <w:rFonts w:ascii="Franklin Gothic Demi" w:hAnsi="Franklin Gothic Demi"/>
                <w:lang w:val="en-GB"/>
              </w:rPr>
            </w:pPr>
          </w:p>
        </w:tc>
        <w:tc>
          <w:tcPr>
            <w:tcW w:w="102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D2CE295" w14:textId="77777777" w:rsidR="004502AA" w:rsidRPr="00C87D2E" w:rsidRDefault="004502AA" w:rsidP="004502AA">
            <w:pPr>
              <w:pStyle w:val="TableDataEntries"/>
              <w:rPr>
                <w:rFonts w:ascii="Franklin Gothic Demi" w:hAnsi="Franklin Gothic Demi"/>
                <w:lang w:val="en-GB"/>
              </w:rPr>
            </w:pPr>
            <w:r w:rsidRPr="00C87D2E">
              <w:rPr>
                <w:rFonts w:ascii="Franklin Gothic Demi" w:hAnsi="Franklin Gothic Demi"/>
                <w:lang w:val="en-GB"/>
              </w:rPr>
              <w:t xml:space="preserve"> 57.4</w:t>
            </w:r>
          </w:p>
        </w:tc>
        <w:tc>
          <w:tcPr>
            <w:tcW w:w="84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DFD2041" w14:textId="77777777" w:rsidR="004502AA" w:rsidRPr="004502AA" w:rsidRDefault="004502AA" w:rsidP="004502AA">
            <w:pPr>
              <w:pStyle w:val="TableDataEntries"/>
              <w:rPr>
                <w:rFonts w:ascii="Franklin Gothic Demi" w:hAnsi="Franklin Gothic Demi"/>
                <w:lang w:val="en-GB"/>
              </w:rPr>
            </w:pPr>
            <w:r w:rsidRPr="004502AA">
              <w:rPr>
                <w:rFonts w:ascii="Franklin Gothic Demi" w:hAnsi="Franklin Gothic Demi"/>
                <w:szCs w:val="16"/>
              </w:rPr>
              <w:t>0.0</w:t>
            </w:r>
          </w:p>
        </w:tc>
        <w:tc>
          <w:tcPr>
            <w:tcW w:w="115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2CB4B4F" w14:textId="77777777" w:rsidR="004502AA" w:rsidRPr="004502AA" w:rsidRDefault="004502AA" w:rsidP="004502AA">
            <w:pPr>
              <w:pStyle w:val="TableDataEntries"/>
              <w:rPr>
                <w:rFonts w:ascii="Franklin Gothic Demi" w:hAnsi="Franklin Gothic Demi"/>
                <w:lang w:val="en-GB"/>
              </w:rPr>
            </w:pPr>
            <w:r w:rsidRPr="004502AA">
              <w:rPr>
                <w:rFonts w:ascii="Franklin Gothic Demi" w:hAnsi="Franklin Gothic Demi"/>
                <w:szCs w:val="16"/>
              </w:rPr>
              <w:t>5.7</w:t>
            </w:r>
          </w:p>
        </w:tc>
        <w:tc>
          <w:tcPr>
            <w:tcW w:w="84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C14EC8A" w14:textId="77777777" w:rsidR="004502AA" w:rsidRPr="00C87D2E" w:rsidRDefault="004502AA" w:rsidP="004502AA">
            <w:pPr>
              <w:pStyle w:val="TableDataEntries"/>
              <w:rPr>
                <w:rFonts w:ascii="Franklin Gothic Demi" w:hAnsi="Franklin Gothic Demi"/>
                <w:lang w:val="en-GB"/>
              </w:rPr>
            </w:pPr>
            <w:r w:rsidRPr="00C87D2E">
              <w:rPr>
                <w:rFonts w:ascii="Franklin Gothic Demi" w:hAnsi="Franklin Gothic Demi"/>
                <w:lang w:val="en-GB"/>
              </w:rPr>
              <w:t xml:space="preserve"> 21.2</w:t>
            </w:r>
          </w:p>
        </w:tc>
      </w:tr>
    </w:tbl>
    <w:p w14:paraId="4612F699" w14:textId="77777777" w:rsidR="00ED748D" w:rsidRPr="00E4232C" w:rsidRDefault="00ED748D" w:rsidP="00ED748D">
      <w:pPr>
        <w:pStyle w:val="Note"/>
      </w:pPr>
      <w:r w:rsidRPr="00E4232C">
        <w:rPr>
          <w:rStyle w:val="NoteLabel"/>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845C4B">
        <w:rPr>
          <w:rStyle w:val="NoteLabel"/>
        </w:rPr>
        <w:t>b</w:t>
      </w:r>
      <w:r>
        <w:t xml:space="preserve"> Based on data from Victoria from 2010</w:t>
      </w:r>
      <w:r>
        <w:noBreakHyphen/>
        <w:t>12 reported in Stathakis, V. Gray, S. and Berecki</w:t>
      </w:r>
      <w:r>
        <w:noBreakHyphen/>
        <w:t xml:space="preserve">Gisolf, J. 2015, p. 6. </w:t>
      </w:r>
      <w:r w:rsidRPr="00845C4B">
        <w:rPr>
          <w:rStyle w:val="NoteLabel"/>
        </w:rPr>
        <w:t>c</w:t>
      </w:r>
      <w:r>
        <w:t xml:space="preserve"> Adjusted based on 32.8 per cent of falls causing death occurring at home as reported in Stathakis, V. Gray, S. and Berecki</w:t>
      </w:r>
      <w:r>
        <w:noBreakHyphen/>
        <w:t xml:space="preserve">Gisolf, J. 2015, p. 2. </w:t>
      </w:r>
      <w:r w:rsidRPr="00845C4B">
        <w:rPr>
          <w:rStyle w:val="NoteLabel"/>
        </w:rPr>
        <w:t>d</w:t>
      </w:r>
      <w:r>
        <w:t xml:space="preserve"> Assumes falls are </w:t>
      </w:r>
      <w:r w:rsidR="00763F1D">
        <w:t>not</w:t>
      </w:r>
      <w:r>
        <w:t xml:space="preserve"> higher in inaccessible housing. </w:t>
      </w:r>
      <w:r>
        <w:rPr>
          <w:rStyle w:val="NoteLabel"/>
        </w:rPr>
        <w:t>e</w:t>
      </w:r>
      <w:r>
        <w:t xml:space="preserve"> Assumes falls are </w:t>
      </w:r>
      <w:r w:rsidR="00763F1D">
        <w:t>10</w:t>
      </w:r>
      <w:r>
        <w:t xml:space="preserve"> per cent higher in inaccessible housing.  </w:t>
      </w:r>
      <w:r w:rsidR="00763F1D">
        <w:rPr>
          <w:rStyle w:val="NoteLabel"/>
        </w:rPr>
        <w:t>f</w:t>
      </w:r>
      <w:r>
        <w:t xml:space="preserve"> Assumes falls are </w:t>
      </w:r>
      <w:r w:rsidR="00763F1D">
        <w:t>27</w:t>
      </w:r>
      <w:r>
        <w:t> per cent high</w:t>
      </w:r>
      <w:r w:rsidR="00763F1D">
        <w:t>er</w:t>
      </w:r>
      <w:r>
        <w:t xml:space="preserve"> in inaccessible housing</w:t>
      </w:r>
      <w:r w:rsidR="009C53D0">
        <w:t>.</w:t>
      </w:r>
      <w:r>
        <w:t xml:space="preserve"> </w:t>
      </w:r>
    </w:p>
    <w:p w14:paraId="608B312F" w14:textId="77777777" w:rsidR="00ED748D" w:rsidRDefault="00ED748D" w:rsidP="00ED748D">
      <w:pPr>
        <w:pStyle w:val="Source"/>
      </w:pPr>
      <w:r w:rsidRPr="00280175">
        <w:rPr>
          <w:iCs/>
        </w:rPr>
        <w:t>Source: ABS</w:t>
      </w:r>
      <w:r>
        <w:t xml:space="preserve"> Survey of Disability, Ageing and Carers 2018, TableBuilder;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6, CIE.</w:t>
      </w:r>
    </w:p>
    <w:p w14:paraId="56EABD9A" w14:textId="77777777" w:rsidR="00ED748D" w:rsidRPr="004B79EC" w:rsidRDefault="00ED748D" w:rsidP="004B79EC">
      <w:pPr>
        <w:pStyle w:val="Heading4-Appendix"/>
      </w:pPr>
      <w:bookmarkStart w:id="644" w:name="_Ref59458198"/>
      <w:r w:rsidRPr="004B79EC">
        <w:t>Valuing deaths and other health</w:t>
      </w:r>
      <w:r w:rsidRPr="004B79EC">
        <w:noBreakHyphen/>
        <w:t>related outcomes</w:t>
      </w:r>
      <w:bookmarkEnd w:id="644"/>
    </w:p>
    <w:p w14:paraId="06789B82" w14:textId="77777777" w:rsidR="00ED748D" w:rsidRDefault="00ED748D" w:rsidP="00ED748D">
      <w:pPr>
        <w:pStyle w:val="BodyText"/>
        <w:rPr>
          <w:lang w:bidi="fa-IR"/>
        </w:rPr>
      </w:pPr>
      <w:r>
        <w:rPr>
          <w:lang w:bidi="fa-IR"/>
        </w:rPr>
        <w:t>The costs associated with poor health</w:t>
      </w:r>
      <w:r>
        <w:rPr>
          <w:lang w:bidi="fa-IR"/>
        </w:rPr>
        <w:noBreakHyphen/>
        <w:t>related outcomes (such as injuries from slips, trips and falls and depression associated with social isolation), include:</w:t>
      </w:r>
    </w:p>
    <w:p w14:paraId="5BF2868B" w14:textId="77777777" w:rsidR="00ED748D" w:rsidRDefault="00ED748D" w:rsidP="00ED748D">
      <w:pPr>
        <w:pStyle w:val="ListBullet"/>
        <w:numPr>
          <w:ilvl w:val="0"/>
          <w:numId w:val="16"/>
        </w:numPr>
        <w:rPr>
          <w:lang w:bidi="fa-IR"/>
        </w:rPr>
      </w:pPr>
      <w:r>
        <w:rPr>
          <w:lang w:bidi="fa-IR"/>
        </w:rPr>
        <w:t>the cost of treatment</w:t>
      </w:r>
    </w:p>
    <w:p w14:paraId="022064CE" w14:textId="77777777" w:rsidR="00ED748D" w:rsidRPr="00B31D8C" w:rsidRDefault="00ED748D" w:rsidP="00ED748D">
      <w:pPr>
        <w:pStyle w:val="ListBullet"/>
        <w:numPr>
          <w:ilvl w:val="0"/>
          <w:numId w:val="16"/>
        </w:numPr>
        <w:rPr>
          <w:lang w:bidi="fa-IR"/>
        </w:rPr>
      </w:pPr>
      <w:r>
        <w:rPr>
          <w:lang w:bidi="fa-IR"/>
        </w:rPr>
        <w:t>morbidity (and in some cases mortality) costs.</w:t>
      </w:r>
    </w:p>
    <w:p w14:paraId="2FC7F24D" w14:textId="77777777" w:rsidR="00ED748D" w:rsidRDefault="00ED748D" w:rsidP="00ED748D">
      <w:pPr>
        <w:pStyle w:val="BodyText"/>
      </w:pPr>
      <w:r>
        <w:t>Morbidity costs associated with various health outcomes are typically using the concept of years lost to disability (YLD). This is a measure of the ‘healthy’ years lost to disability. This is usually measured by applying a disability weight (a measure of the extent to which a medical condition affects a person’s quality of life) to the value of a life year (OBPR recommend using a value of around $</w:t>
      </w:r>
      <w:r w:rsidR="00AB5D83">
        <w:t>213</w:t>
      </w:r>
      <w:r>
        <w:t> </w:t>
      </w:r>
      <w:r w:rsidR="00AB5D83">
        <w:t>0</w:t>
      </w:r>
      <w:r>
        <w:t xml:space="preserve">00 in 2019 dollars — see </w:t>
      </w:r>
      <w:r w:rsidRPr="00317781">
        <w:t>box </w:t>
      </w:r>
      <w:r w:rsidR="00E053FD">
        <w:rPr>
          <w:noProof/>
        </w:rPr>
        <w:t>B</w:t>
      </w:r>
      <w:r w:rsidRPr="00317781">
        <w:rPr>
          <w:noProof/>
        </w:rPr>
        <w:t>.</w:t>
      </w:r>
      <w:r>
        <w:rPr>
          <w:noProof/>
        </w:rPr>
        <w:t>5</w:t>
      </w:r>
      <w:r>
        <w:t xml:space="preserve">) over the duration of the injury/disability. </w:t>
      </w:r>
    </w:p>
    <w:p w14:paraId="24A7480C" w14:textId="77777777" w:rsidR="00ED748D" w:rsidRDefault="00ED748D" w:rsidP="00ED748D">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B.5: Valuing human health outcomes"/>
        <w:tblDescription w:val="An explanation of the terms VSL (value of a statistical life) and VLY (value of a life year), and how they are used to establish a monetary value for lives."/>
      </w:tblPr>
      <w:tblGrid>
        <w:gridCol w:w="7938"/>
      </w:tblGrid>
      <w:tr w:rsidR="00ED748D" w:rsidRPr="00CE7135" w14:paraId="1817D3E8" w14:textId="77777777" w:rsidTr="002B23FD">
        <w:trPr>
          <w:cantSplit/>
        </w:trPr>
        <w:tc>
          <w:tcPr>
            <w:tcW w:w="7938" w:type="dxa"/>
            <w:tcBorders>
              <w:top w:val="nil"/>
              <w:left w:val="nil"/>
              <w:bottom w:val="nil"/>
              <w:right w:val="nil"/>
            </w:tcBorders>
            <w:shd w:val="clear" w:color="auto" w:fill="C6BFAB" w:themeFill="accent3"/>
          </w:tcPr>
          <w:p w14:paraId="4083B732" w14:textId="47735AF4" w:rsidR="00ED748D" w:rsidRPr="00CE7135" w:rsidRDefault="00B27E24" w:rsidP="002B23FD">
            <w:pPr>
              <w:pStyle w:val="Caption"/>
              <w:numPr>
                <w:ilvl w:val="0"/>
                <w:numId w:val="13"/>
              </w:numPr>
              <w:spacing w:before="120" w:after="100"/>
            </w:pPr>
            <w:bookmarkStart w:id="645" w:name="_Toc44598565"/>
            <w:bookmarkStart w:id="646" w:name="_Toc44695937"/>
            <w:bookmarkStart w:id="647" w:name="_Toc57643672"/>
            <w:bookmarkStart w:id="648" w:name="_Toc70505619"/>
            <w:r>
              <w:t>B.5</w:t>
            </w:r>
            <w:r w:rsidR="00ED748D" w:rsidRPr="00CE7135">
              <w:tab/>
              <w:t>Valuing human health outcomes</w:t>
            </w:r>
            <w:bookmarkEnd w:id="645"/>
            <w:bookmarkEnd w:id="646"/>
            <w:bookmarkEnd w:id="647"/>
            <w:bookmarkEnd w:id="648"/>
          </w:p>
        </w:tc>
      </w:tr>
      <w:tr w:rsidR="00ED748D" w14:paraId="502189DE" w14:textId="77777777" w:rsidTr="002B23FD">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65291D7B" w14:textId="77777777" w:rsidR="00ED748D" w:rsidRPr="00CE7135" w:rsidRDefault="00ED748D" w:rsidP="002B23FD">
            <w:pPr>
              <w:pStyle w:val="BodyText"/>
            </w:pPr>
            <w:r w:rsidRPr="00CE7135">
              <w:t>A key concept in establishing a monetary value for lives lost is the value of a statistical life (VSL). This is a notional value that individuals place on reducing the risk of death.</w:t>
            </w:r>
          </w:p>
          <w:p w14:paraId="755CEC58" w14:textId="77777777" w:rsidR="00ED748D" w:rsidRPr="00CE7135" w:rsidRDefault="00ED748D" w:rsidP="002B23FD">
            <w:pPr>
              <w:pStyle w:val="BodyText"/>
            </w:pPr>
            <w:r w:rsidRPr="00CE7135">
              <w:t>A related concept is the value of a life year (VLY), which refers to the notional value an individual places on each additional year of life. The two concepts are related because the VSL should reflect the discounted value of expected future life years. This implies that the VSL will vary depending on age (and other factors), since younger individuals would be expected to have more life years ahead of them. VSL is usually assumed to refer to the life of a young adult with at least 40 years of life ahead of them.</w:t>
            </w:r>
          </w:p>
          <w:p w14:paraId="08E3E50E" w14:textId="77777777" w:rsidR="00ED748D" w:rsidRPr="00CE7135" w:rsidRDefault="00ED748D" w:rsidP="002B23FD">
            <w:pPr>
              <w:pStyle w:val="BodyText"/>
            </w:pPr>
            <w:r w:rsidRPr="00CE7135">
              <w:t>Abelson (2008) reviewed research into VSL and VLY and international guidelines for life and health values for the Commonwealth Office of Best Practice Regulation. Based on this review, Abelson (2008) recommended that public agencies in Australia adopt:</w:t>
            </w:r>
          </w:p>
          <w:p w14:paraId="29D711F2" w14:textId="77777777" w:rsidR="00ED748D" w:rsidRPr="00CE7135" w:rsidRDefault="00ED748D" w:rsidP="00ED748D">
            <w:pPr>
              <w:pStyle w:val="ListBullet"/>
              <w:numPr>
                <w:ilvl w:val="0"/>
                <w:numId w:val="16"/>
              </w:numPr>
            </w:pPr>
            <w:r w:rsidRPr="00CE7135">
              <w:t>a VSL of $3.5 million (in 2007 dollars) for avoiding an immediate death of a healthy individual in middle age (about 50) or younger</w:t>
            </w:r>
          </w:p>
          <w:p w14:paraId="3AD82BCF" w14:textId="77777777" w:rsidR="00ED748D" w:rsidRPr="00CE7135" w:rsidRDefault="00ED748D" w:rsidP="00ED748D">
            <w:pPr>
              <w:pStyle w:val="ListBullet"/>
              <w:numPr>
                <w:ilvl w:val="0"/>
                <w:numId w:val="16"/>
              </w:numPr>
            </w:pPr>
            <w:r w:rsidRPr="00CE7135">
              <w:t>a constant VLY of $151 000 (in 2007 dollars) which is independent of age</w:t>
            </w:r>
          </w:p>
          <w:p w14:paraId="12157533" w14:textId="77777777" w:rsidR="00ED748D" w:rsidRPr="00CE7135" w:rsidRDefault="00ED748D" w:rsidP="002B23FD">
            <w:pPr>
              <w:pStyle w:val="BodyText"/>
              <w:rPr>
                <w:lang w:bidi="fa-IR"/>
              </w:rPr>
            </w:pPr>
            <w:r w:rsidRPr="00CE7135">
              <w:rPr>
                <w:lang w:bidi="fa-IR"/>
              </w:rPr>
              <w:t>Inflating to 201</w:t>
            </w:r>
            <w:r>
              <w:rPr>
                <w:lang w:bidi="fa-IR"/>
              </w:rPr>
              <w:t>9</w:t>
            </w:r>
            <w:r w:rsidRPr="00CE7135">
              <w:rPr>
                <w:lang w:bidi="fa-IR"/>
              </w:rPr>
              <w:t xml:space="preserve"> dollars using the national Consumer Price Index (published by the ABS) this equates to:</w:t>
            </w:r>
            <w:r w:rsidR="00C42D1A">
              <w:rPr>
                <w:rStyle w:val="FootnoteReference"/>
                <w:lang w:bidi="fa-IR"/>
              </w:rPr>
              <w:footnoteReference w:id="459"/>
            </w:r>
          </w:p>
          <w:p w14:paraId="5C3DE690" w14:textId="77777777" w:rsidR="00ED748D" w:rsidRPr="00CE7135" w:rsidRDefault="00ED748D" w:rsidP="00ED748D">
            <w:pPr>
              <w:pStyle w:val="ListBullet"/>
              <w:numPr>
                <w:ilvl w:val="0"/>
                <w:numId w:val="16"/>
              </w:numPr>
              <w:rPr>
                <w:lang w:bidi="fa-IR"/>
              </w:rPr>
            </w:pPr>
            <w:r w:rsidRPr="00CE7135">
              <w:rPr>
                <w:lang w:bidi="fa-IR"/>
              </w:rPr>
              <w:t>a VSL of $4.</w:t>
            </w:r>
            <w:r w:rsidR="00C42D1A">
              <w:rPr>
                <w:lang w:bidi="fa-IR"/>
              </w:rPr>
              <w:t>9</w:t>
            </w:r>
            <w:r w:rsidRPr="00CE7135">
              <w:rPr>
                <w:lang w:bidi="fa-IR"/>
              </w:rPr>
              <w:t> million</w:t>
            </w:r>
            <w:r>
              <w:rPr>
                <w:lang w:bidi="fa-IR"/>
              </w:rPr>
              <w:t xml:space="preserve">, </w:t>
            </w:r>
            <w:r w:rsidRPr="00CE7135">
              <w:rPr>
                <w:lang w:bidi="fa-IR"/>
              </w:rPr>
              <w:t>and</w:t>
            </w:r>
          </w:p>
          <w:p w14:paraId="4DC315A0" w14:textId="77777777" w:rsidR="00ED748D" w:rsidRPr="00CE7135" w:rsidRDefault="00ED748D" w:rsidP="00ED748D">
            <w:pPr>
              <w:pStyle w:val="ListBullet"/>
              <w:numPr>
                <w:ilvl w:val="0"/>
                <w:numId w:val="16"/>
              </w:numPr>
            </w:pPr>
            <w:r w:rsidRPr="00CE7135">
              <w:rPr>
                <w:lang w:bidi="fa-IR"/>
              </w:rPr>
              <w:t>a VLY of around $</w:t>
            </w:r>
            <w:r w:rsidR="00C42D1A">
              <w:rPr>
                <w:lang w:bidi="fa-IR"/>
              </w:rPr>
              <w:t>2</w:t>
            </w:r>
            <w:r w:rsidRPr="00CE7135">
              <w:rPr>
                <w:lang w:bidi="fa-IR"/>
              </w:rPr>
              <w:t>1</w:t>
            </w:r>
            <w:r w:rsidR="00C42D1A">
              <w:rPr>
                <w:lang w:bidi="fa-IR"/>
              </w:rPr>
              <w:t>3</w:t>
            </w:r>
            <w:r w:rsidRPr="00CE7135">
              <w:rPr>
                <w:lang w:bidi="fa-IR"/>
              </w:rPr>
              <w:t> 000.</w:t>
            </w:r>
          </w:p>
        </w:tc>
      </w:tr>
      <w:tr w:rsidR="00ED748D" w14:paraId="397A254E" w14:textId="77777777" w:rsidTr="002B23F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31B2F552" w14:textId="77777777" w:rsidR="00ED748D" w:rsidRDefault="00ED748D" w:rsidP="002B23FD"/>
        </w:tc>
      </w:tr>
      <w:tr w:rsidR="00ED748D" w14:paraId="7D5EE54C" w14:textId="77777777" w:rsidTr="002B23F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1DF5E500" w14:textId="77777777" w:rsidR="00ED748D" w:rsidRDefault="00ED748D" w:rsidP="002B23FD"/>
        </w:tc>
      </w:tr>
    </w:tbl>
    <w:p w14:paraId="3C8F8C92" w14:textId="77777777" w:rsidR="00D701C2" w:rsidRDefault="00ED748D" w:rsidP="00ED748D">
      <w:pPr>
        <w:pStyle w:val="BodyText"/>
        <w:rPr>
          <w:lang w:bidi="fa-IR"/>
        </w:rPr>
      </w:pPr>
      <w:r>
        <w:rPr>
          <w:lang w:bidi="fa-IR"/>
        </w:rPr>
        <w:t>The VSL recommended by OBPR of around $4.</w:t>
      </w:r>
      <w:r w:rsidR="008A0296">
        <w:rPr>
          <w:lang w:bidi="fa-IR"/>
        </w:rPr>
        <w:t>9</w:t>
      </w:r>
      <w:r>
        <w:rPr>
          <w:lang w:bidi="fa-IR"/>
        </w:rPr>
        <w:t> million is based on avoiding the death of a healthy individual in middle age, with around 40 years of life ahead of them.</w:t>
      </w:r>
    </w:p>
    <w:p w14:paraId="6A108F88" w14:textId="77777777" w:rsidR="00ED748D" w:rsidRDefault="00ED748D" w:rsidP="00ED748D">
      <w:pPr>
        <w:pStyle w:val="BodyText"/>
        <w:rPr>
          <w:lang w:bidi="fa-IR"/>
        </w:rPr>
      </w:pPr>
      <w:r>
        <w:rPr>
          <w:lang w:bidi="fa-IR"/>
        </w:rPr>
        <w:t xml:space="preserve">However, those at risk of falls are generally older and therefore would be expected to have fewer years of life ahead of them. </w:t>
      </w:r>
      <w:r w:rsidR="005B035D">
        <w:rPr>
          <w:lang w:bidi="fa-IR"/>
        </w:rPr>
        <w:t>CIE</w:t>
      </w:r>
      <w:r>
        <w:rPr>
          <w:lang w:bidi="fa-IR"/>
        </w:rPr>
        <w:t xml:space="preserve"> therefore used lower VSL estimates based on the expected future years of life for individuals in each age cohort.</w:t>
      </w:r>
    </w:p>
    <w:p w14:paraId="185F5416" w14:textId="77777777" w:rsidR="00ED748D" w:rsidRDefault="005B035D" w:rsidP="00ED748D">
      <w:pPr>
        <w:pStyle w:val="BodyText"/>
        <w:rPr>
          <w:lang w:bidi="fa-IR"/>
        </w:rPr>
      </w:pPr>
      <w:r>
        <w:rPr>
          <w:lang w:bidi="fa-IR"/>
        </w:rPr>
        <w:t>The</w:t>
      </w:r>
      <w:r w:rsidR="00ED748D">
        <w:rPr>
          <w:lang w:bidi="fa-IR"/>
        </w:rPr>
        <w:t xml:space="preserve"> VSL estimates (table </w:t>
      </w:r>
      <w:r w:rsidR="00E11F63">
        <w:rPr>
          <w:lang w:bidi="fa-IR"/>
        </w:rPr>
        <w:t>B</w:t>
      </w:r>
      <w:r w:rsidR="00ED748D" w:rsidRPr="00317781">
        <w:rPr>
          <w:lang w:bidi="fa-IR"/>
        </w:rPr>
        <w:t>.</w:t>
      </w:r>
      <w:r w:rsidR="00ED748D">
        <w:rPr>
          <w:lang w:bidi="fa-IR"/>
        </w:rPr>
        <w:t>6</w:t>
      </w:r>
      <w:r w:rsidR="00ED748D" w:rsidRPr="00317781">
        <w:rPr>
          <w:lang w:bidi="fa-IR"/>
        </w:rPr>
        <w:t>)</w:t>
      </w:r>
      <w:r w:rsidR="00ED748D">
        <w:rPr>
          <w:lang w:bidi="fa-IR"/>
        </w:rPr>
        <w:t xml:space="preserve"> are based on the following.</w:t>
      </w:r>
    </w:p>
    <w:p w14:paraId="1C299740" w14:textId="77777777" w:rsidR="00ED748D" w:rsidRDefault="00ED748D" w:rsidP="00ED748D">
      <w:pPr>
        <w:pStyle w:val="ListBullet"/>
        <w:numPr>
          <w:ilvl w:val="0"/>
          <w:numId w:val="16"/>
        </w:numPr>
        <w:rPr>
          <w:lang w:bidi="fa-IR"/>
        </w:rPr>
      </w:pPr>
      <w:r>
        <w:rPr>
          <w:lang w:bidi="fa-IR"/>
        </w:rPr>
        <w:t>The average life expectancy for males and females in each age bracket are reported by the ABS.</w:t>
      </w:r>
      <w:r>
        <w:rPr>
          <w:rStyle w:val="FootnoteReference"/>
          <w:lang w:bidi="fa-IR"/>
        </w:rPr>
        <w:footnoteReference w:id="460"/>
      </w:r>
      <w:r>
        <w:rPr>
          <w:lang w:bidi="fa-IR"/>
        </w:rPr>
        <w:t xml:space="preserve"> </w:t>
      </w:r>
      <w:r w:rsidR="005B035D">
        <w:rPr>
          <w:lang w:bidi="fa-IR"/>
        </w:rPr>
        <w:t>They are</w:t>
      </w:r>
      <w:r>
        <w:rPr>
          <w:lang w:bidi="fa-IR"/>
        </w:rPr>
        <w:t xml:space="preserve"> then average</w:t>
      </w:r>
      <w:r w:rsidR="005B035D">
        <w:rPr>
          <w:lang w:bidi="fa-IR"/>
        </w:rPr>
        <w:t>d</w:t>
      </w:r>
      <w:r>
        <w:rPr>
          <w:lang w:bidi="fa-IR"/>
        </w:rPr>
        <w:t xml:space="preserve"> across males and females (as females are over</w:t>
      </w:r>
      <w:r>
        <w:rPr>
          <w:lang w:bidi="fa-IR"/>
        </w:rPr>
        <w:noBreakHyphen/>
        <w:t>represented in falls and have longer life expectancy this will slightly understate the life expectancy and therefore the cost).</w:t>
      </w:r>
    </w:p>
    <w:p w14:paraId="029C4221" w14:textId="77777777" w:rsidR="00ED748D" w:rsidRDefault="00ED748D" w:rsidP="00ED748D">
      <w:pPr>
        <w:pStyle w:val="ListBullet"/>
        <w:numPr>
          <w:ilvl w:val="0"/>
          <w:numId w:val="16"/>
        </w:numPr>
        <w:rPr>
          <w:lang w:bidi="fa-IR"/>
        </w:rPr>
      </w:pPr>
      <w:r>
        <w:rPr>
          <w:lang w:bidi="fa-IR"/>
        </w:rPr>
        <w:t>Each year of future life is valued at $</w:t>
      </w:r>
      <w:r w:rsidR="00A21414">
        <w:rPr>
          <w:lang w:bidi="fa-IR"/>
        </w:rPr>
        <w:t>213</w:t>
      </w:r>
      <w:r>
        <w:rPr>
          <w:lang w:bidi="fa-IR"/>
        </w:rPr>
        <w:t> 000 as recommended by OBPR.</w:t>
      </w:r>
    </w:p>
    <w:p w14:paraId="3FA1913A" w14:textId="77777777" w:rsidR="00ED748D" w:rsidRDefault="00ED748D" w:rsidP="00ED748D">
      <w:pPr>
        <w:pStyle w:val="ListBullet"/>
        <w:numPr>
          <w:ilvl w:val="0"/>
          <w:numId w:val="16"/>
        </w:numPr>
        <w:rPr>
          <w:lang w:bidi="fa-IR"/>
        </w:rPr>
      </w:pPr>
      <w:r>
        <w:rPr>
          <w:lang w:bidi="fa-IR"/>
        </w:rPr>
        <w:lastRenderedPageBreak/>
        <w:t>Future life years are discounted using a discount rate of 3 per cent, consistent with OBPR</w:t>
      </w:r>
      <w:r w:rsidR="00062855">
        <w:rPr>
          <w:lang w:bidi="fa-IR"/>
        </w:rPr>
        <w:t xml:space="preserve"> advice</w:t>
      </w:r>
      <w:r>
        <w:rPr>
          <w:lang w:bidi="fa-IR"/>
        </w:rPr>
        <w:t>.</w:t>
      </w:r>
    </w:p>
    <w:p w14:paraId="344D427A" w14:textId="652A5F9F" w:rsidR="00ED748D" w:rsidRDefault="00B27E24" w:rsidP="00ED748D">
      <w:pPr>
        <w:pStyle w:val="Caption"/>
      </w:pPr>
      <w:bookmarkStart w:id="649" w:name="_Toc45654197"/>
      <w:bookmarkStart w:id="650" w:name="_Toc44598566"/>
      <w:bookmarkStart w:id="651" w:name="_Toc44695938"/>
      <w:bookmarkStart w:id="652" w:name="_Toc57643673"/>
      <w:bookmarkStart w:id="653" w:name="_Toc70505620"/>
      <w:r>
        <w:t>B.6</w:t>
      </w:r>
      <w:r w:rsidR="00ED748D" w:rsidRPr="00695C93">
        <w:tab/>
      </w:r>
      <w:r w:rsidR="00ED748D">
        <w:t>Estimated value of a statistical life for Australians by age group</w:t>
      </w:r>
      <w:bookmarkEnd w:id="649"/>
      <w:bookmarkEnd w:id="650"/>
      <w:bookmarkEnd w:id="651"/>
      <w:bookmarkEnd w:id="652"/>
      <w:bookmarkEnd w:id="653"/>
    </w:p>
    <w:tbl>
      <w:tblPr>
        <w:tblW w:w="0" w:type="auto"/>
        <w:tblLayout w:type="fixed"/>
        <w:tblLook w:val="0000" w:firstRow="0" w:lastRow="0" w:firstColumn="0" w:lastColumn="0" w:noHBand="0" w:noVBand="0"/>
        <w:tblCaption w:val="Table B.6: Estimated value of a statistical life for Australians by age group"/>
        <w:tblDescription w:val="Table B.6 lists the life expectancy for males and females from age 0 to 95 and above, the average life expectancy, and the age group-specific value of a statistical life. For example, a person aged 0-14 years has a VSL of $6,541,900, while a person aged 95 and above has a VSL of $559,500."/>
      </w:tblPr>
      <w:tblGrid>
        <w:gridCol w:w="1520"/>
        <w:gridCol w:w="1603"/>
        <w:gridCol w:w="1604"/>
        <w:gridCol w:w="1604"/>
        <w:gridCol w:w="1604"/>
      </w:tblGrid>
      <w:tr w:rsidR="00ED748D" w14:paraId="59E7E00E" w14:textId="77777777" w:rsidTr="002B23FD">
        <w:trPr>
          <w:trHeight w:val="461"/>
        </w:trPr>
        <w:tc>
          <w:tcPr>
            <w:tcW w:w="1520" w:type="dxa"/>
            <w:shd w:val="clear" w:color="auto" w:fill="6F6652"/>
            <w:tcMar>
              <w:left w:w="57" w:type="dxa"/>
              <w:right w:w="57" w:type="dxa"/>
            </w:tcMar>
          </w:tcPr>
          <w:p w14:paraId="12FC1C16" w14:textId="77777777" w:rsidR="00ED748D" w:rsidRDefault="007A22A8" w:rsidP="002B23FD">
            <w:pPr>
              <w:pStyle w:val="TableDataColumnHeading"/>
              <w:jc w:val="left"/>
              <w:rPr>
                <w:lang w:val="en-GB"/>
              </w:rPr>
            </w:pPr>
            <w:r>
              <w:rPr>
                <w:lang w:val="en-GB"/>
              </w:rPr>
              <w:t>Age group</w:t>
            </w:r>
          </w:p>
        </w:tc>
        <w:tc>
          <w:tcPr>
            <w:tcW w:w="1603" w:type="dxa"/>
            <w:shd w:val="clear" w:color="auto" w:fill="6F6652"/>
            <w:tcMar>
              <w:left w:w="57" w:type="dxa"/>
              <w:right w:w="57" w:type="dxa"/>
            </w:tcMar>
          </w:tcPr>
          <w:p w14:paraId="6CCE42B1" w14:textId="77777777" w:rsidR="00ED748D" w:rsidRDefault="00ED748D" w:rsidP="002B23FD">
            <w:pPr>
              <w:pStyle w:val="TableDataColumnHeading"/>
              <w:rPr>
                <w:lang w:val="en-GB"/>
              </w:rPr>
            </w:pPr>
            <w:r>
              <w:rPr>
                <w:lang w:val="en-GB"/>
              </w:rPr>
              <w:t>Life expectancy - Male</w:t>
            </w:r>
          </w:p>
        </w:tc>
        <w:tc>
          <w:tcPr>
            <w:tcW w:w="1604" w:type="dxa"/>
            <w:shd w:val="clear" w:color="auto" w:fill="6F6652"/>
            <w:tcMar>
              <w:left w:w="57" w:type="dxa"/>
              <w:right w:w="57" w:type="dxa"/>
            </w:tcMar>
          </w:tcPr>
          <w:p w14:paraId="3FE1842D" w14:textId="77777777" w:rsidR="00ED748D" w:rsidRDefault="00ED748D" w:rsidP="002B23FD">
            <w:pPr>
              <w:pStyle w:val="TableDataColumnHeading"/>
              <w:rPr>
                <w:lang w:val="en-GB"/>
              </w:rPr>
            </w:pPr>
            <w:r>
              <w:rPr>
                <w:lang w:val="en-GB"/>
              </w:rPr>
              <w:t>Life Expectancy - Female</w:t>
            </w:r>
          </w:p>
        </w:tc>
        <w:tc>
          <w:tcPr>
            <w:tcW w:w="1604" w:type="dxa"/>
            <w:shd w:val="clear" w:color="auto" w:fill="6F6652"/>
            <w:tcMar>
              <w:left w:w="57" w:type="dxa"/>
              <w:right w:w="57" w:type="dxa"/>
            </w:tcMar>
          </w:tcPr>
          <w:p w14:paraId="49988033" w14:textId="77777777" w:rsidR="00ED748D" w:rsidRDefault="00ED748D" w:rsidP="002B23FD">
            <w:pPr>
              <w:pStyle w:val="TableDataColumnHeading"/>
              <w:rPr>
                <w:lang w:val="en-GB"/>
              </w:rPr>
            </w:pPr>
            <w:r>
              <w:rPr>
                <w:lang w:val="en-GB"/>
              </w:rPr>
              <w:t>Average Life - average</w:t>
            </w:r>
          </w:p>
        </w:tc>
        <w:tc>
          <w:tcPr>
            <w:tcW w:w="1604" w:type="dxa"/>
            <w:shd w:val="clear" w:color="auto" w:fill="6F6652"/>
            <w:tcMar>
              <w:left w:w="57" w:type="dxa"/>
              <w:right w:w="57" w:type="dxa"/>
            </w:tcMar>
          </w:tcPr>
          <w:p w14:paraId="7A7AF3CC" w14:textId="77777777" w:rsidR="00ED748D" w:rsidRDefault="00ED748D" w:rsidP="002B23FD">
            <w:pPr>
              <w:pStyle w:val="TableDataColumnHeading"/>
              <w:rPr>
                <w:lang w:val="en-GB"/>
              </w:rPr>
            </w:pPr>
            <w:r>
              <w:rPr>
                <w:lang w:val="en-GB"/>
              </w:rPr>
              <w:t>Age group</w:t>
            </w:r>
            <w:r>
              <w:rPr>
                <w:lang w:val="en-GB"/>
              </w:rPr>
              <w:noBreakHyphen/>
              <w:t>specific value of a statistical life</w:t>
            </w:r>
            <w:r w:rsidRPr="00463E18">
              <w:rPr>
                <w:rStyle w:val="NoteLabel"/>
              </w:rPr>
              <w:t>a</w:t>
            </w:r>
          </w:p>
        </w:tc>
      </w:tr>
      <w:tr w:rsidR="00ED748D" w14:paraId="084A11F2" w14:textId="77777777" w:rsidTr="002B23FD">
        <w:trPr>
          <w:trHeight w:val="230"/>
        </w:trPr>
        <w:tc>
          <w:tcPr>
            <w:tcW w:w="1520" w:type="dxa"/>
            <w:tcBorders>
              <w:bottom w:val="single" w:sz="8" w:space="0" w:color="FFFFFF" w:themeColor="background1"/>
            </w:tcBorders>
            <w:shd w:val="clear" w:color="auto" w:fill="auto"/>
            <w:tcMar>
              <w:left w:w="57" w:type="dxa"/>
              <w:right w:w="57" w:type="dxa"/>
            </w:tcMar>
          </w:tcPr>
          <w:p w14:paraId="2F8B582C" w14:textId="77777777" w:rsidR="00ED748D" w:rsidRDefault="00ED748D" w:rsidP="002B23FD">
            <w:pPr>
              <w:pStyle w:val="TableUnit"/>
              <w:jc w:val="left"/>
              <w:rPr>
                <w:lang w:val="en-GB"/>
              </w:rPr>
            </w:pPr>
          </w:p>
        </w:tc>
        <w:tc>
          <w:tcPr>
            <w:tcW w:w="1603" w:type="dxa"/>
            <w:tcBorders>
              <w:bottom w:val="single" w:sz="8" w:space="0" w:color="FFFFFF" w:themeColor="background1"/>
            </w:tcBorders>
            <w:shd w:val="clear" w:color="auto" w:fill="auto"/>
            <w:tcMar>
              <w:left w:w="57" w:type="dxa"/>
              <w:right w:w="57" w:type="dxa"/>
            </w:tcMar>
          </w:tcPr>
          <w:p w14:paraId="0FC256B8" w14:textId="77777777" w:rsidR="00ED748D" w:rsidRDefault="00ED748D" w:rsidP="002B23FD">
            <w:pPr>
              <w:pStyle w:val="TableUnit"/>
              <w:rPr>
                <w:lang w:val="en-GB"/>
              </w:rPr>
            </w:pPr>
            <w:r>
              <w:rPr>
                <w:lang w:val="en-GB"/>
              </w:rPr>
              <w:t>Years</w:t>
            </w:r>
          </w:p>
        </w:tc>
        <w:tc>
          <w:tcPr>
            <w:tcW w:w="1604" w:type="dxa"/>
            <w:tcBorders>
              <w:bottom w:val="single" w:sz="8" w:space="0" w:color="FFFFFF" w:themeColor="background1"/>
            </w:tcBorders>
            <w:shd w:val="clear" w:color="auto" w:fill="auto"/>
            <w:tcMar>
              <w:left w:w="57" w:type="dxa"/>
              <w:right w:w="57" w:type="dxa"/>
            </w:tcMar>
          </w:tcPr>
          <w:p w14:paraId="2D85964E" w14:textId="77777777" w:rsidR="00ED748D" w:rsidRDefault="00ED748D" w:rsidP="002B23FD">
            <w:pPr>
              <w:pStyle w:val="TableUnit"/>
              <w:rPr>
                <w:lang w:val="en-GB"/>
              </w:rPr>
            </w:pPr>
            <w:r>
              <w:rPr>
                <w:lang w:val="en-GB"/>
              </w:rPr>
              <w:t>Years</w:t>
            </w:r>
          </w:p>
        </w:tc>
        <w:tc>
          <w:tcPr>
            <w:tcW w:w="1604" w:type="dxa"/>
            <w:tcBorders>
              <w:bottom w:val="single" w:sz="8" w:space="0" w:color="FFFFFF" w:themeColor="background1"/>
            </w:tcBorders>
            <w:shd w:val="clear" w:color="auto" w:fill="auto"/>
            <w:tcMar>
              <w:left w:w="57" w:type="dxa"/>
              <w:right w:w="57" w:type="dxa"/>
            </w:tcMar>
          </w:tcPr>
          <w:p w14:paraId="78E3F06B" w14:textId="77777777" w:rsidR="00ED748D" w:rsidRDefault="00ED748D" w:rsidP="002B23FD">
            <w:pPr>
              <w:pStyle w:val="TableUnit"/>
              <w:rPr>
                <w:lang w:val="en-GB"/>
              </w:rPr>
            </w:pPr>
            <w:r>
              <w:rPr>
                <w:lang w:val="en-GB"/>
              </w:rPr>
              <w:t>Years</w:t>
            </w:r>
          </w:p>
        </w:tc>
        <w:tc>
          <w:tcPr>
            <w:tcW w:w="1604" w:type="dxa"/>
            <w:tcBorders>
              <w:bottom w:val="single" w:sz="8" w:space="0" w:color="FFFFFF" w:themeColor="background1"/>
            </w:tcBorders>
            <w:shd w:val="clear" w:color="auto" w:fill="auto"/>
            <w:tcMar>
              <w:left w:w="57" w:type="dxa"/>
              <w:right w:w="57" w:type="dxa"/>
            </w:tcMar>
          </w:tcPr>
          <w:p w14:paraId="5B8B4104" w14:textId="77777777" w:rsidR="00ED748D" w:rsidRDefault="00ED748D" w:rsidP="002B23FD">
            <w:pPr>
              <w:pStyle w:val="TableUnit"/>
              <w:rPr>
                <w:lang w:val="en-GB"/>
              </w:rPr>
            </w:pPr>
            <w:r>
              <w:rPr>
                <w:lang w:val="en-GB"/>
              </w:rPr>
              <w:t>$’000</w:t>
            </w:r>
          </w:p>
        </w:tc>
      </w:tr>
      <w:tr w:rsidR="00ED748D" w14:paraId="770B12F7"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9F1C13" w14:textId="77777777" w:rsidR="00ED748D" w:rsidRDefault="00ED748D" w:rsidP="002B23FD">
            <w:pPr>
              <w:pStyle w:val="TableDataEntries"/>
              <w:jc w:val="left"/>
              <w:rPr>
                <w:lang w:val="en-GB"/>
              </w:rPr>
            </w:pPr>
            <w:r>
              <w:rPr>
                <w:lang w:val="en-GB"/>
              </w:rPr>
              <w:t>0</w:t>
            </w:r>
            <w:r w:rsidR="002E2224">
              <w:rPr>
                <w:lang w:val="en-GB"/>
              </w:rPr>
              <w:t xml:space="preserve"> to </w:t>
            </w:r>
            <w:r>
              <w:rPr>
                <w:lang w:val="en-GB"/>
              </w:rPr>
              <w:t xml:space="preserve">14 </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04D05C" w14:textId="77777777" w:rsidR="00ED748D" w:rsidRPr="00C90C54" w:rsidRDefault="00ED748D" w:rsidP="002B23FD">
            <w:pPr>
              <w:pStyle w:val="TableDataEntries"/>
            </w:pPr>
            <w:r w:rsidRPr="0053773C">
              <w:t xml:space="preserve"> 74.05</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BA0987" w14:textId="77777777" w:rsidR="00ED748D" w:rsidRPr="00C90C54" w:rsidRDefault="00ED748D" w:rsidP="002B23FD">
            <w:pPr>
              <w:pStyle w:val="TableDataEntries"/>
            </w:pPr>
            <w:r w:rsidRPr="0053773C">
              <w:t xml:space="preserve"> 78.16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0C4B0B" w14:textId="77777777" w:rsidR="00ED748D" w:rsidRPr="00C90C54" w:rsidRDefault="00ED748D" w:rsidP="002B23FD">
            <w:pPr>
              <w:pStyle w:val="TableDataEntries"/>
            </w:pPr>
            <w:r w:rsidRPr="0053773C">
              <w:t xml:space="preserve"> 76.11</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A7DE61" w14:textId="77777777" w:rsidR="00ED748D" w:rsidRPr="00C90C54" w:rsidRDefault="0071652F" w:rsidP="002B23FD">
            <w:pPr>
              <w:pStyle w:val="TableDataEntries"/>
            </w:pPr>
            <w:r w:rsidRPr="008C5F16">
              <w:t>6 541.9</w:t>
            </w:r>
          </w:p>
        </w:tc>
      </w:tr>
      <w:tr w:rsidR="00ED748D" w14:paraId="6032A86B"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E384DD" w14:textId="77777777" w:rsidR="00ED748D" w:rsidRDefault="00ED748D" w:rsidP="002B23FD">
            <w:pPr>
              <w:pStyle w:val="TableDataEntries"/>
              <w:jc w:val="left"/>
              <w:rPr>
                <w:lang w:val="en-GB"/>
              </w:rPr>
            </w:pPr>
            <w:r>
              <w:rPr>
                <w:lang w:val="en-GB"/>
              </w:rPr>
              <w:t>15</w:t>
            </w:r>
            <w:r w:rsidR="002E2224">
              <w:rPr>
                <w:lang w:val="en-GB"/>
              </w:rPr>
              <w:t xml:space="preserve"> to </w:t>
            </w:r>
            <w:r>
              <w:rPr>
                <w:lang w:val="en-GB"/>
              </w:rPr>
              <w:t xml:space="preserve">24 </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6D0B4B" w14:textId="77777777" w:rsidR="00ED748D" w:rsidRPr="00C90C54" w:rsidRDefault="00ED748D" w:rsidP="002B23FD">
            <w:pPr>
              <w:pStyle w:val="TableDataEntries"/>
            </w:pPr>
            <w:r w:rsidRPr="0053773C">
              <w:t xml:space="preserve"> 61.75</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572392" w14:textId="77777777" w:rsidR="00ED748D" w:rsidRPr="00C90C54" w:rsidRDefault="00ED748D" w:rsidP="002B23FD">
            <w:pPr>
              <w:pStyle w:val="TableDataEntries"/>
            </w:pPr>
            <w:r w:rsidRPr="0053773C">
              <w:t xml:space="preserve"> 65.79</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FC8477" w14:textId="77777777" w:rsidR="00ED748D" w:rsidRPr="00C90C54" w:rsidRDefault="00ED748D" w:rsidP="002B23FD">
            <w:pPr>
              <w:pStyle w:val="TableDataEntries"/>
            </w:pPr>
            <w:r w:rsidRPr="0053773C">
              <w:t xml:space="preserve"> 63.77</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727657" w14:textId="77777777" w:rsidR="00ED748D" w:rsidRPr="00C90C54" w:rsidRDefault="0071652F" w:rsidP="002B23FD">
            <w:pPr>
              <w:pStyle w:val="TableDataEntries"/>
            </w:pPr>
            <w:r w:rsidRPr="008C5F16">
              <w:t>6 202.6</w:t>
            </w:r>
          </w:p>
        </w:tc>
      </w:tr>
      <w:tr w:rsidR="00ED748D" w14:paraId="111BD8CB"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73EF49" w14:textId="77777777" w:rsidR="00ED748D" w:rsidRDefault="00ED748D" w:rsidP="002B23FD">
            <w:pPr>
              <w:pStyle w:val="TableDataEntries"/>
              <w:jc w:val="left"/>
              <w:rPr>
                <w:lang w:val="en-GB"/>
              </w:rPr>
            </w:pPr>
            <w:r>
              <w:rPr>
                <w:lang w:val="en-GB"/>
              </w:rPr>
              <w:t>25</w:t>
            </w:r>
            <w:r w:rsidR="002E2224">
              <w:rPr>
                <w:lang w:val="en-GB"/>
              </w:rPr>
              <w:t xml:space="preserve"> to </w:t>
            </w:r>
            <w:r>
              <w:rPr>
                <w:lang w:val="en-GB"/>
              </w:rPr>
              <w:t>34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AF71E7" w14:textId="77777777" w:rsidR="00ED748D" w:rsidRPr="00C90C54" w:rsidRDefault="00ED748D" w:rsidP="002B23FD">
            <w:pPr>
              <w:pStyle w:val="TableDataEntries"/>
            </w:pPr>
            <w:r w:rsidRPr="0053773C">
              <w:t xml:space="preserve"> 52.10</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B16F1A" w14:textId="77777777" w:rsidR="00ED748D" w:rsidRPr="00C90C54" w:rsidRDefault="00ED748D" w:rsidP="002B23FD">
            <w:pPr>
              <w:pStyle w:val="TableDataEntries"/>
            </w:pPr>
            <w:r w:rsidRPr="0053773C">
              <w:t xml:space="preserve"> 55.94</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001D87" w14:textId="77777777" w:rsidR="00ED748D" w:rsidRPr="00C90C54" w:rsidRDefault="00ED748D" w:rsidP="002B23FD">
            <w:pPr>
              <w:pStyle w:val="TableDataEntries"/>
            </w:pPr>
            <w:r w:rsidRPr="0053773C">
              <w:t xml:space="preserve"> 54.02</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7978CB" w14:textId="77777777" w:rsidR="00ED748D" w:rsidRPr="00C90C54" w:rsidRDefault="00ED748D" w:rsidP="002B23FD">
            <w:pPr>
              <w:pStyle w:val="TableDataEntries"/>
            </w:pPr>
            <w:r w:rsidRPr="0053773C">
              <w:t xml:space="preserve">5 </w:t>
            </w:r>
            <w:r w:rsidR="0071652F" w:rsidRPr="008C5F16">
              <w:t>831.8</w:t>
            </w:r>
          </w:p>
        </w:tc>
      </w:tr>
      <w:tr w:rsidR="00ED748D" w14:paraId="609FD236"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589D70" w14:textId="77777777" w:rsidR="00ED748D" w:rsidRDefault="00ED748D" w:rsidP="002B23FD">
            <w:pPr>
              <w:pStyle w:val="TableDataEntries"/>
              <w:jc w:val="left"/>
              <w:rPr>
                <w:lang w:val="en-GB"/>
              </w:rPr>
            </w:pPr>
            <w:r>
              <w:rPr>
                <w:lang w:val="en-GB"/>
              </w:rPr>
              <w:t>35</w:t>
            </w:r>
            <w:r w:rsidR="002E2224">
              <w:rPr>
                <w:lang w:val="en-GB"/>
              </w:rPr>
              <w:t xml:space="preserve"> to </w:t>
            </w:r>
            <w:r>
              <w:rPr>
                <w:lang w:val="en-GB"/>
              </w:rPr>
              <w:t>44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9CCCA6" w14:textId="77777777" w:rsidR="00ED748D" w:rsidRPr="00C90C54" w:rsidRDefault="00ED748D" w:rsidP="002B23FD">
            <w:pPr>
              <w:pStyle w:val="TableDataEntries"/>
            </w:pPr>
            <w:r w:rsidRPr="0053773C">
              <w:t xml:space="preserve"> 42.56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63B2A1" w14:textId="77777777" w:rsidR="00ED748D" w:rsidRPr="00C90C54" w:rsidRDefault="00ED748D" w:rsidP="002B23FD">
            <w:pPr>
              <w:pStyle w:val="TableDataEntries"/>
            </w:pPr>
            <w:r w:rsidRPr="0053773C">
              <w:t xml:space="preserve"> 46.19</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C8986A" w14:textId="77777777" w:rsidR="00ED748D" w:rsidRPr="00C90C54" w:rsidRDefault="00ED748D" w:rsidP="002B23FD">
            <w:pPr>
              <w:pStyle w:val="TableDataEntries"/>
            </w:pPr>
            <w:r w:rsidRPr="0053773C">
              <w:t xml:space="preserve"> 44.38</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8BF0C0" w14:textId="77777777" w:rsidR="00ED748D" w:rsidRPr="00C90C54" w:rsidRDefault="00ED748D" w:rsidP="002B23FD">
            <w:pPr>
              <w:pStyle w:val="TableDataEntries"/>
            </w:pPr>
            <w:r w:rsidRPr="0053773C">
              <w:t>5</w:t>
            </w:r>
            <w:r w:rsidR="0071652F" w:rsidRPr="008C5F16">
              <w:t xml:space="preserve"> 343.0</w:t>
            </w:r>
          </w:p>
        </w:tc>
      </w:tr>
      <w:tr w:rsidR="00ED748D" w14:paraId="75624365"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504100" w14:textId="77777777" w:rsidR="00ED748D" w:rsidRDefault="00ED748D" w:rsidP="002B23FD">
            <w:pPr>
              <w:pStyle w:val="TableDataEntries"/>
              <w:jc w:val="left"/>
              <w:rPr>
                <w:lang w:val="en-GB"/>
              </w:rPr>
            </w:pPr>
            <w:r>
              <w:rPr>
                <w:lang w:val="en-GB"/>
              </w:rPr>
              <w:t>45</w:t>
            </w:r>
            <w:r w:rsidR="002E2224">
              <w:rPr>
                <w:lang w:val="en-GB"/>
              </w:rPr>
              <w:t xml:space="preserve"> to </w:t>
            </w:r>
            <w:r>
              <w:rPr>
                <w:lang w:val="en-GB"/>
              </w:rPr>
              <w:t>54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DA7F9C" w14:textId="77777777" w:rsidR="00ED748D" w:rsidRPr="00C90C54" w:rsidRDefault="00ED748D" w:rsidP="002B23FD">
            <w:pPr>
              <w:pStyle w:val="TableDataEntries"/>
            </w:pPr>
            <w:r w:rsidRPr="0053773C">
              <w:t xml:space="preserve"> 33.28</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5E38A6" w14:textId="77777777" w:rsidR="00ED748D" w:rsidRPr="00C90C54" w:rsidRDefault="00ED748D" w:rsidP="002B23FD">
            <w:pPr>
              <w:pStyle w:val="TableDataEntries"/>
            </w:pPr>
            <w:r w:rsidRPr="0053773C">
              <w:t xml:space="preserve"> 36.65</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AFFBE4" w14:textId="77777777" w:rsidR="00ED748D" w:rsidRPr="00C90C54" w:rsidRDefault="00ED748D" w:rsidP="002B23FD">
            <w:pPr>
              <w:pStyle w:val="TableDataEntries"/>
            </w:pPr>
            <w:r w:rsidRPr="0053773C">
              <w:t xml:space="preserve"> 34.96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5F2D87" w14:textId="77777777" w:rsidR="00ED748D" w:rsidRPr="00C90C54" w:rsidRDefault="00ED748D" w:rsidP="002B23FD">
            <w:pPr>
              <w:pStyle w:val="TableDataEntries"/>
            </w:pPr>
            <w:r w:rsidRPr="0053773C">
              <w:t xml:space="preserve">4 </w:t>
            </w:r>
            <w:r w:rsidR="0071652F" w:rsidRPr="008C5F16">
              <w:t>711.3</w:t>
            </w:r>
          </w:p>
        </w:tc>
      </w:tr>
      <w:tr w:rsidR="00ED748D" w14:paraId="35CCA31C"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C0721A" w14:textId="77777777" w:rsidR="00ED748D" w:rsidRDefault="00ED748D" w:rsidP="002B23FD">
            <w:pPr>
              <w:pStyle w:val="TableDataEntries"/>
              <w:jc w:val="left"/>
              <w:rPr>
                <w:lang w:val="en-GB"/>
              </w:rPr>
            </w:pPr>
            <w:r>
              <w:rPr>
                <w:lang w:val="en-GB"/>
              </w:rPr>
              <w:t>55</w:t>
            </w:r>
            <w:r w:rsidR="002E2224">
              <w:rPr>
                <w:lang w:val="en-GB"/>
              </w:rPr>
              <w:t xml:space="preserve"> to </w:t>
            </w:r>
            <w:r>
              <w:rPr>
                <w:lang w:val="en-GB"/>
              </w:rPr>
              <w:t>64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E62563" w14:textId="77777777" w:rsidR="00ED748D" w:rsidRPr="00C90C54" w:rsidRDefault="00ED748D" w:rsidP="002B23FD">
            <w:pPr>
              <w:pStyle w:val="TableDataEntries"/>
            </w:pPr>
            <w:r w:rsidRPr="0053773C">
              <w:t xml:space="preserve"> 24.46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352DEA" w14:textId="77777777" w:rsidR="00ED748D" w:rsidRPr="00C90C54" w:rsidRDefault="00ED748D" w:rsidP="002B23FD">
            <w:pPr>
              <w:pStyle w:val="TableDataEntries"/>
            </w:pPr>
            <w:r w:rsidRPr="0053773C">
              <w:t xml:space="preserve"> 27.46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2F59E1" w14:textId="77777777" w:rsidR="00ED748D" w:rsidRPr="00C90C54" w:rsidRDefault="00ED748D" w:rsidP="002B23FD">
            <w:pPr>
              <w:pStyle w:val="TableDataEntries"/>
            </w:pPr>
            <w:r w:rsidRPr="0053773C">
              <w:t xml:space="preserve"> 25.96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97C77C" w14:textId="77777777" w:rsidR="00ED748D" w:rsidRPr="00C90C54" w:rsidRDefault="00ED748D" w:rsidP="002B23FD">
            <w:pPr>
              <w:pStyle w:val="TableDataEntries"/>
            </w:pPr>
            <w:r w:rsidRPr="0053773C">
              <w:t xml:space="preserve">3 </w:t>
            </w:r>
            <w:r w:rsidR="0071652F" w:rsidRPr="008C5F16">
              <w:t>917</w:t>
            </w:r>
            <w:r w:rsidRPr="0053773C">
              <w:t>.5</w:t>
            </w:r>
          </w:p>
        </w:tc>
      </w:tr>
      <w:tr w:rsidR="00ED748D" w14:paraId="12247077"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9A3275" w14:textId="77777777" w:rsidR="00ED748D" w:rsidRDefault="00ED748D" w:rsidP="002B23FD">
            <w:pPr>
              <w:pStyle w:val="TableDataEntries"/>
              <w:jc w:val="left"/>
              <w:rPr>
                <w:lang w:val="en-GB"/>
              </w:rPr>
            </w:pPr>
            <w:r>
              <w:rPr>
                <w:lang w:val="en-GB"/>
              </w:rPr>
              <w:t>65</w:t>
            </w:r>
            <w:r w:rsidR="002E2224">
              <w:rPr>
                <w:lang w:val="en-GB"/>
              </w:rPr>
              <w:t xml:space="preserve"> to </w:t>
            </w:r>
            <w:r>
              <w:rPr>
                <w:lang w:val="en-GB"/>
              </w:rPr>
              <w:t>74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8E5857" w14:textId="77777777" w:rsidR="00ED748D" w:rsidRPr="00C90C54" w:rsidRDefault="00ED748D" w:rsidP="002B23FD">
            <w:pPr>
              <w:pStyle w:val="TableDataEntries"/>
            </w:pPr>
            <w:r w:rsidRPr="00C90C54">
              <w:t xml:space="preserve"> 16.36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DFF765" w14:textId="77777777" w:rsidR="00ED748D" w:rsidRPr="000E0049" w:rsidRDefault="00ED748D" w:rsidP="002B23FD">
            <w:pPr>
              <w:pStyle w:val="TableDataEntries"/>
            </w:pPr>
            <w:r w:rsidRPr="000E0049">
              <w:t xml:space="preserve"> 18.74</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22A5DA" w14:textId="77777777" w:rsidR="00ED748D" w:rsidRPr="000E0049" w:rsidRDefault="00ED748D" w:rsidP="002B23FD">
            <w:pPr>
              <w:pStyle w:val="TableDataEntries"/>
            </w:pPr>
            <w:r w:rsidRPr="000E0049">
              <w:t xml:space="preserve"> 17.55</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414C9A" w14:textId="77777777" w:rsidR="00ED748D" w:rsidRPr="00C90C54" w:rsidRDefault="00ED748D" w:rsidP="002B23FD">
            <w:pPr>
              <w:pStyle w:val="TableDataEntries"/>
            </w:pPr>
            <w:r w:rsidRPr="0053773C">
              <w:t xml:space="preserve">2 </w:t>
            </w:r>
            <w:r w:rsidR="0071652F" w:rsidRPr="008C5F16">
              <w:t>959.8</w:t>
            </w:r>
          </w:p>
        </w:tc>
      </w:tr>
      <w:tr w:rsidR="00ED748D" w14:paraId="6BC8A780"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FB3866" w14:textId="77777777" w:rsidR="00ED748D" w:rsidRDefault="00ED748D" w:rsidP="002B23FD">
            <w:pPr>
              <w:pStyle w:val="TableDataEntries"/>
              <w:jc w:val="left"/>
              <w:rPr>
                <w:lang w:val="en-GB"/>
              </w:rPr>
            </w:pPr>
            <w:r>
              <w:rPr>
                <w:lang w:val="en-GB"/>
              </w:rPr>
              <w:t>75</w:t>
            </w:r>
            <w:r w:rsidR="002E2224">
              <w:rPr>
                <w:lang w:val="en-GB"/>
              </w:rPr>
              <w:t xml:space="preserve"> to </w:t>
            </w:r>
            <w:r>
              <w:rPr>
                <w:lang w:val="en-GB"/>
              </w:rPr>
              <w:t>84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AF6DF8" w14:textId="77777777" w:rsidR="00ED748D" w:rsidRPr="00C90C54" w:rsidRDefault="00ED748D" w:rsidP="002B23FD">
            <w:pPr>
              <w:pStyle w:val="TableDataEntries"/>
            </w:pPr>
            <w:r w:rsidRPr="00C90C54">
              <w:t xml:space="preserve"> 9.46</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1A9B2D" w14:textId="77777777" w:rsidR="00ED748D" w:rsidRPr="000E0049" w:rsidRDefault="00ED748D" w:rsidP="002B23FD">
            <w:pPr>
              <w:pStyle w:val="TableDataEntries"/>
            </w:pPr>
            <w:r w:rsidRPr="000E0049">
              <w:t xml:space="preserve"> 11.03</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BFC18A" w14:textId="77777777" w:rsidR="00ED748D" w:rsidRPr="000E0049" w:rsidRDefault="00ED748D" w:rsidP="002B23FD">
            <w:pPr>
              <w:pStyle w:val="TableDataEntries"/>
            </w:pPr>
            <w:r w:rsidRPr="000E0049">
              <w:t xml:space="preserve"> 10.24</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707F18" w14:textId="77777777" w:rsidR="00ED748D" w:rsidRPr="00C90C54" w:rsidRDefault="00ED748D" w:rsidP="002B23FD">
            <w:pPr>
              <w:pStyle w:val="TableDataEntries"/>
            </w:pPr>
            <w:r w:rsidRPr="0053773C">
              <w:t xml:space="preserve">1 </w:t>
            </w:r>
            <w:r w:rsidR="0071652F" w:rsidRPr="008C5F16">
              <w:t>910.1</w:t>
            </w:r>
          </w:p>
        </w:tc>
      </w:tr>
      <w:tr w:rsidR="00ED748D" w14:paraId="6C5CD3EE" w14:textId="77777777" w:rsidTr="002B23FD">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CED1C3" w14:textId="77777777" w:rsidR="00ED748D" w:rsidRDefault="00ED748D" w:rsidP="002B23FD">
            <w:pPr>
              <w:pStyle w:val="TableDataEntries"/>
              <w:jc w:val="left"/>
              <w:rPr>
                <w:lang w:val="en-GB"/>
              </w:rPr>
            </w:pPr>
            <w:r>
              <w:rPr>
                <w:lang w:val="en-GB"/>
              </w:rPr>
              <w:t>85</w:t>
            </w:r>
            <w:r w:rsidR="002E2224">
              <w:rPr>
                <w:lang w:val="en-GB"/>
              </w:rPr>
              <w:t xml:space="preserve"> to </w:t>
            </w:r>
            <w:r>
              <w:rPr>
                <w:lang w:val="en-GB"/>
              </w:rPr>
              <w:t>94</w:t>
            </w:r>
          </w:p>
        </w:tc>
        <w:tc>
          <w:tcPr>
            <w:tcW w:w="16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51EDD9" w14:textId="77777777" w:rsidR="00ED748D" w:rsidRPr="00C90C54" w:rsidRDefault="00ED748D" w:rsidP="002B23FD">
            <w:pPr>
              <w:pStyle w:val="TableDataEntries"/>
            </w:pPr>
            <w:r w:rsidRPr="00C90C54">
              <w:t xml:space="preserve"> 4.70</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1E66AA" w14:textId="77777777" w:rsidR="00ED748D" w:rsidRPr="000E0049" w:rsidRDefault="00ED748D" w:rsidP="002B23FD">
            <w:pPr>
              <w:pStyle w:val="TableDataEntries"/>
            </w:pPr>
            <w:r w:rsidRPr="000E0049">
              <w:t xml:space="preserve"> 5.35</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555084" w14:textId="77777777" w:rsidR="00ED748D" w:rsidRPr="000E0049" w:rsidRDefault="00ED748D" w:rsidP="002B23FD">
            <w:pPr>
              <w:pStyle w:val="TableDataEntries"/>
            </w:pPr>
            <w:r w:rsidRPr="000E0049">
              <w:t xml:space="preserve"> 5.02</w:t>
            </w:r>
          </w:p>
        </w:tc>
        <w:tc>
          <w:tcPr>
            <w:tcW w:w="16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FE99BE" w14:textId="77777777" w:rsidR="00ED748D" w:rsidRPr="00C90C54" w:rsidRDefault="0071652F" w:rsidP="002B23FD">
            <w:pPr>
              <w:pStyle w:val="TableDataEntries"/>
            </w:pPr>
            <w:r w:rsidRPr="008C5F16">
              <w:t>1 009.2</w:t>
            </w:r>
          </w:p>
        </w:tc>
      </w:tr>
      <w:tr w:rsidR="00ED748D" w14:paraId="6B8A93BD" w14:textId="77777777" w:rsidTr="002B23FD">
        <w:trPr>
          <w:trHeight w:val="230"/>
        </w:trPr>
        <w:tc>
          <w:tcPr>
            <w:tcW w:w="1520" w:type="dxa"/>
            <w:tcBorders>
              <w:top w:val="single" w:sz="8" w:space="0" w:color="FFFFFF" w:themeColor="background1"/>
              <w:bottom w:val="single" w:sz="6" w:space="0" w:color="6F6652"/>
            </w:tcBorders>
            <w:shd w:val="clear" w:color="auto" w:fill="E9E8E5" w:themeFill="background2"/>
            <w:tcMar>
              <w:left w:w="57" w:type="dxa"/>
              <w:right w:w="57" w:type="dxa"/>
            </w:tcMar>
          </w:tcPr>
          <w:p w14:paraId="403B3D5C" w14:textId="77777777" w:rsidR="00ED748D" w:rsidRDefault="00ED748D" w:rsidP="002B23FD">
            <w:pPr>
              <w:pStyle w:val="TableDataEntries"/>
              <w:jc w:val="left"/>
              <w:rPr>
                <w:lang w:val="en-GB"/>
              </w:rPr>
            </w:pPr>
            <w:r>
              <w:rPr>
                <w:lang w:val="en-GB"/>
              </w:rPr>
              <w:t xml:space="preserve">95+ </w:t>
            </w:r>
          </w:p>
        </w:tc>
        <w:tc>
          <w:tcPr>
            <w:tcW w:w="160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BADBB7A" w14:textId="77777777" w:rsidR="00ED748D" w:rsidRPr="00C90C54" w:rsidRDefault="00ED748D" w:rsidP="002B23FD">
            <w:pPr>
              <w:pStyle w:val="TableDataEntries"/>
            </w:pPr>
            <w:r w:rsidRPr="00C90C54">
              <w:t xml:space="preserve"> 2.65</w:t>
            </w:r>
          </w:p>
        </w:tc>
        <w:tc>
          <w:tcPr>
            <w:tcW w:w="160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12FE14FC" w14:textId="77777777" w:rsidR="00ED748D" w:rsidRPr="000E0049" w:rsidRDefault="00ED748D" w:rsidP="002B23FD">
            <w:pPr>
              <w:pStyle w:val="TableDataEntries"/>
            </w:pPr>
            <w:r w:rsidRPr="000E0049">
              <w:t xml:space="preserve"> 2.74</w:t>
            </w:r>
          </w:p>
        </w:tc>
        <w:tc>
          <w:tcPr>
            <w:tcW w:w="160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877BCF9" w14:textId="77777777" w:rsidR="00ED748D" w:rsidRPr="000E0049" w:rsidRDefault="00ED748D" w:rsidP="002B23FD">
            <w:pPr>
              <w:pStyle w:val="TableDataEntries"/>
            </w:pPr>
            <w:r w:rsidRPr="000E0049">
              <w:t xml:space="preserve"> 2.70</w:t>
            </w:r>
          </w:p>
        </w:tc>
        <w:tc>
          <w:tcPr>
            <w:tcW w:w="160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6499637D" w14:textId="77777777" w:rsidR="00ED748D" w:rsidRPr="00C90C54" w:rsidRDefault="00ED748D" w:rsidP="002B23FD">
            <w:pPr>
              <w:pStyle w:val="TableDataEntries"/>
            </w:pPr>
            <w:r w:rsidRPr="0053773C">
              <w:t xml:space="preserve"> </w:t>
            </w:r>
            <w:r w:rsidR="0071652F" w:rsidRPr="008C5F16">
              <w:t>559.5</w:t>
            </w:r>
          </w:p>
        </w:tc>
      </w:tr>
    </w:tbl>
    <w:p w14:paraId="3E52B7FD" w14:textId="77777777" w:rsidR="00ED748D" w:rsidRDefault="00ED748D" w:rsidP="00ED748D">
      <w:pPr>
        <w:pStyle w:val="Source"/>
        <w:rPr>
          <w:lang w:bidi="fa-IR"/>
        </w:rPr>
      </w:pPr>
      <w:r w:rsidRPr="00280175">
        <w:rPr>
          <w:iCs/>
          <w:lang w:bidi="fa-IR"/>
        </w:rPr>
        <w:t xml:space="preserve">Source: </w:t>
      </w:r>
      <w:r w:rsidRPr="00280175">
        <w:rPr>
          <w:iCs/>
          <w:lang w:val="en-US"/>
        </w:rPr>
        <w:t>ABS, Life Tables, States, Territories and Australia 2016</w:t>
      </w:r>
      <w:r w:rsidRPr="00280175">
        <w:rPr>
          <w:iCs/>
          <w:lang w:val="en-US"/>
        </w:rPr>
        <w:noBreakHyphen/>
        <w:t>2018,</w:t>
      </w:r>
      <w:r>
        <w:rPr>
          <w:lang w:val="en-US"/>
        </w:rPr>
        <w:t xml:space="preserve"> </w:t>
      </w:r>
      <w:hyperlink r:id="rId82" w:tooltip="More information can be found at the website via this link" w:history="1">
        <w:r>
          <w:rPr>
            <w:rStyle w:val="Hyperlink"/>
          </w:rPr>
          <w:t>https://www.abs.gov.au/AUSSTATS/abs@.nsf/Lookup/3302.0.55.001Main+Features12016-2018?OpenDocument</w:t>
        </w:r>
      </w:hyperlink>
      <w:r>
        <w:t>, accessed 15 January 2020, CIE.</w:t>
      </w:r>
    </w:p>
    <w:p w14:paraId="06694858" w14:textId="77777777" w:rsidR="00ED748D" w:rsidRPr="004B79EC" w:rsidRDefault="00ED748D" w:rsidP="004B79EC">
      <w:pPr>
        <w:pStyle w:val="Heading4-Appendix"/>
      </w:pPr>
      <w:bookmarkStart w:id="654" w:name="_Ref59458209"/>
      <w:r w:rsidRPr="004B79EC">
        <w:t>Estimated cost of additional deaths</w:t>
      </w:r>
      <w:bookmarkEnd w:id="654"/>
    </w:p>
    <w:p w14:paraId="10090CDF" w14:textId="77777777" w:rsidR="00ED748D" w:rsidRDefault="00ED748D" w:rsidP="00ED748D">
      <w:pPr>
        <w:pStyle w:val="BodyText"/>
        <w:rPr>
          <w:lang w:bidi="fa-IR"/>
        </w:rPr>
      </w:pPr>
      <w:r>
        <w:rPr>
          <w:lang w:bidi="fa-IR"/>
        </w:rPr>
        <w:t>Bringing together the estimates on the number of additional deaths per year (by age bracket) and the VSL estimates, suggests that the cost to the community from fall</w:t>
      </w:r>
      <w:r>
        <w:rPr>
          <w:lang w:bidi="fa-IR"/>
        </w:rPr>
        <w:noBreakHyphen/>
        <w:t xml:space="preserve">related deaths could range between </w:t>
      </w:r>
      <w:r w:rsidR="00976C42">
        <w:rPr>
          <w:lang w:bidi="fa-IR"/>
        </w:rPr>
        <w:t>zero</w:t>
      </w:r>
      <w:r>
        <w:rPr>
          <w:lang w:bidi="fa-IR"/>
        </w:rPr>
        <w:t xml:space="preserve"> and $3</w:t>
      </w:r>
      <w:r w:rsidR="008B6A3D">
        <w:rPr>
          <w:lang w:bidi="fa-IR"/>
        </w:rPr>
        <w:t>3</w:t>
      </w:r>
      <w:r>
        <w:rPr>
          <w:lang w:bidi="fa-IR"/>
        </w:rPr>
        <w:t>.</w:t>
      </w:r>
      <w:r w:rsidR="008B6A3D">
        <w:rPr>
          <w:lang w:bidi="fa-IR"/>
        </w:rPr>
        <w:t>8</w:t>
      </w:r>
      <w:r>
        <w:rPr>
          <w:lang w:bidi="fa-IR"/>
        </w:rPr>
        <w:t> million, with a central case estimate of $9</w:t>
      </w:r>
      <w:r w:rsidR="00976C42">
        <w:rPr>
          <w:lang w:bidi="fa-IR"/>
        </w:rPr>
        <w:t>.1</w:t>
      </w:r>
      <w:r>
        <w:rPr>
          <w:lang w:bidi="fa-IR"/>
        </w:rPr>
        <w:t> million</w:t>
      </w:r>
      <w:r w:rsidR="00062855">
        <w:rPr>
          <w:lang w:bidi="fa-IR"/>
        </w:rPr>
        <w:t xml:space="preserve"> (table B.7)</w:t>
      </w:r>
      <w:r>
        <w:rPr>
          <w:lang w:bidi="fa-IR"/>
        </w:rPr>
        <w:t>.</w:t>
      </w:r>
    </w:p>
    <w:p w14:paraId="463F83A1" w14:textId="4B9C7432" w:rsidR="00ED748D" w:rsidRDefault="00B27E24" w:rsidP="005A1FB8">
      <w:pPr>
        <w:pStyle w:val="Caption"/>
        <w:spacing w:before="240"/>
      </w:pPr>
      <w:bookmarkStart w:id="655" w:name="_Toc45654198"/>
      <w:bookmarkStart w:id="656" w:name="_Toc44598567"/>
      <w:bookmarkStart w:id="657" w:name="_Toc44695939"/>
      <w:bookmarkStart w:id="658" w:name="_Toc57643674"/>
      <w:bookmarkStart w:id="659" w:name="_Toc70505621"/>
      <w:r>
        <w:t>B.7</w:t>
      </w:r>
      <w:r w:rsidR="00ED748D" w:rsidRPr="00695C93">
        <w:tab/>
      </w:r>
      <w:r w:rsidR="00ED748D">
        <w:t>Estimate cost to the community from additional fall</w:t>
      </w:r>
      <w:r w:rsidR="00ED748D">
        <w:noBreakHyphen/>
        <w:t>related deaths</w:t>
      </w:r>
      <w:bookmarkEnd w:id="655"/>
      <w:bookmarkEnd w:id="656"/>
      <w:bookmarkEnd w:id="657"/>
      <w:bookmarkEnd w:id="658"/>
      <w:bookmarkEnd w:id="659"/>
    </w:p>
    <w:tbl>
      <w:tblPr>
        <w:tblW w:w="0" w:type="auto"/>
        <w:tblLayout w:type="fixed"/>
        <w:tblLook w:val="0000" w:firstRow="0" w:lastRow="0" w:firstColumn="0" w:lastColumn="0" w:noHBand="0" w:noVBand="0"/>
        <w:tblCaption w:val="Table B.7: Estimate cost to the community from additional fall related deaths"/>
        <w:tblDescription w:val="Bringing together the estimates on the number of additional deaths per year (by age bracket) and the VSL estimates, suggests that the cost to the community from fall related deaths could range between zero and $33.8 million, with a central case estimate of $9.1 million."/>
      </w:tblPr>
      <w:tblGrid>
        <w:gridCol w:w="1527"/>
        <w:gridCol w:w="1605"/>
        <w:gridCol w:w="1605"/>
        <w:gridCol w:w="1605"/>
        <w:gridCol w:w="1594"/>
      </w:tblGrid>
      <w:tr w:rsidR="00ED748D" w14:paraId="0260214D" w14:textId="77777777" w:rsidTr="002B23FD">
        <w:trPr>
          <w:trHeight w:val="691"/>
          <w:tblHeader/>
        </w:trPr>
        <w:tc>
          <w:tcPr>
            <w:tcW w:w="1527" w:type="dxa"/>
            <w:shd w:val="clear" w:color="auto" w:fill="6F6652"/>
            <w:tcMar>
              <w:left w:w="57" w:type="dxa"/>
              <w:right w:w="57" w:type="dxa"/>
            </w:tcMar>
          </w:tcPr>
          <w:p w14:paraId="0DA98F4F" w14:textId="77777777" w:rsidR="00ED748D" w:rsidRDefault="007A22A8" w:rsidP="002B23FD">
            <w:pPr>
              <w:pStyle w:val="TableDataColumnHeading"/>
              <w:jc w:val="left"/>
              <w:rPr>
                <w:lang w:val="en-GB"/>
              </w:rPr>
            </w:pPr>
            <w:r>
              <w:rPr>
                <w:lang w:val="en-GB"/>
              </w:rPr>
              <w:t>Age group</w:t>
            </w:r>
          </w:p>
        </w:tc>
        <w:tc>
          <w:tcPr>
            <w:tcW w:w="1605" w:type="dxa"/>
            <w:shd w:val="clear" w:color="auto" w:fill="6F6652"/>
            <w:tcMar>
              <w:left w:w="57" w:type="dxa"/>
              <w:right w:w="57" w:type="dxa"/>
            </w:tcMar>
          </w:tcPr>
          <w:p w14:paraId="3CEB78AE" w14:textId="77777777" w:rsidR="00ED748D" w:rsidRDefault="00ED748D" w:rsidP="002B23FD">
            <w:pPr>
              <w:pStyle w:val="TableDataColumnHeading"/>
              <w:rPr>
                <w:lang w:val="en-GB"/>
              </w:rPr>
            </w:pPr>
            <w:r>
              <w:rPr>
                <w:lang w:val="en-GB"/>
              </w:rPr>
              <w:t>Value of statistical life by age</w:t>
            </w:r>
          </w:p>
        </w:tc>
        <w:tc>
          <w:tcPr>
            <w:tcW w:w="1605" w:type="dxa"/>
            <w:shd w:val="clear" w:color="auto" w:fill="6F6652"/>
            <w:tcMar>
              <w:left w:w="57" w:type="dxa"/>
              <w:right w:w="57" w:type="dxa"/>
            </w:tcMar>
          </w:tcPr>
          <w:p w14:paraId="308180C8" w14:textId="77777777" w:rsidR="00ED748D" w:rsidRDefault="00ED748D" w:rsidP="002B23FD">
            <w:pPr>
              <w:pStyle w:val="TableDataColumnHeading"/>
              <w:rPr>
                <w:lang w:val="en-GB"/>
              </w:rPr>
            </w:pPr>
            <w:r>
              <w:rPr>
                <w:lang w:val="en-GB"/>
              </w:rPr>
              <w:t>Cost of additional deaths</w:t>
            </w:r>
          </w:p>
        </w:tc>
        <w:tc>
          <w:tcPr>
            <w:tcW w:w="1605" w:type="dxa"/>
            <w:shd w:val="clear" w:color="auto" w:fill="6F6652"/>
            <w:tcMar>
              <w:left w:w="57" w:type="dxa"/>
              <w:right w:w="57" w:type="dxa"/>
            </w:tcMar>
          </w:tcPr>
          <w:p w14:paraId="73363CC3" w14:textId="77777777" w:rsidR="00ED748D" w:rsidRDefault="00ED748D" w:rsidP="002B23FD">
            <w:pPr>
              <w:pStyle w:val="TableDataColumnHeading"/>
              <w:rPr>
                <w:lang w:val="en-GB"/>
              </w:rPr>
            </w:pPr>
            <w:r>
              <w:rPr>
                <w:lang w:val="en-GB"/>
              </w:rPr>
              <w:t>Cost of additional deaths</w:t>
            </w:r>
          </w:p>
        </w:tc>
        <w:tc>
          <w:tcPr>
            <w:tcW w:w="1594" w:type="dxa"/>
            <w:shd w:val="clear" w:color="auto" w:fill="6F6652"/>
            <w:tcMar>
              <w:left w:w="57" w:type="dxa"/>
              <w:right w:w="57" w:type="dxa"/>
            </w:tcMar>
          </w:tcPr>
          <w:p w14:paraId="02C60951" w14:textId="77777777" w:rsidR="00ED748D" w:rsidRDefault="00ED748D" w:rsidP="002B23FD">
            <w:pPr>
              <w:pStyle w:val="TableDataColumnHeading"/>
              <w:rPr>
                <w:lang w:val="en-GB"/>
              </w:rPr>
            </w:pPr>
            <w:r>
              <w:rPr>
                <w:lang w:val="en-GB"/>
              </w:rPr>
              <w:t>Cost of additional deaths</w:t>
            </w:r>
          </w:p>
        </w:tc>
      </w:tr>
      <w:tr w:rsidR="00ED748D" w:rsidRPr="005A1FB8" w14:paraId="3A9F8F2C" w14:textId="77777777" w:rsidTr="002B23FD">
        <w:trPr>
          <w:trHeight w:val="230"/>
          <w:tblHeader/>
        </w:trPr>
        <w:tc>
          <w:tcPr>
            <w:tcW w:w="1527" w:type="dxa"/>
            <w:shd w:val="clear" w:color="auto" w:fill="6F6652"/>
            <w:tcMar>
              <w:left w:w="57" w:type="dxa"/>
              <w:right w:w="57" w:type="dxa"/>
            </w:tcMar>
          </w:tcPr>
          <w:p w14:paraId="3CEA3548" w14:textId="77777777" w:rsidR="00ED748D" w:rsidRPr="005A1FB8" w:rsidRDefault="00ED748D" w:rsidP="005A1FB8">
            <w:pPr>
              <w:pStyle w:val="TableDataColumnHeading"/>
              <w:spacing w:before="0"/>
              <w:jc w:val="left"/>
              <w:rPr>
                <w:rFonts w:ascii="Franklin Gothic Medium" w:hAnsi="Franklin Gothic Medium"/>
                <w:lang w:val="en-GB"/>
              </w:rPr>
            </w:pPr>
          </w:p>
        </w:tc>
        <w:tc>
          <w:tcPr>
            <w:tcW w:w="1605" w:type="dxa"/>
            <w:shd w:val="clear" w:color="auto" w:fill="6F6652"/>
            <w:tcMar>
              <w:left w:w="57" w:type="dxa"/>
              <w:right w:w="57" w:type="dxa"/>
            </w:tcMar>
          </w:tcPr>
          <w:p w14:paraId="000ADF60" w14:textId="77777777" w:rsidR="00ED748D" w:rsidRPr="005A1FB8" w:rsidRDefault="00ED748D" w:rsidP="005A1FB8">
            <w:pPr>
              <w:pStyle w:val="TableDataColumnHeading"/>
              <w:spacing w:before="0"/>
              <w:rPr>
                <w:rFonts w:ascii="Franklin Gothic Medium" w:hAnsi="Franklin Gothic Medium"/>
                <w:lang w:val="en-GB"/>
              </w:rPr>
            </w:pPr>
          </w:p>
        </w:tc>
        <w:tc>
          <w:tcPr>
            <w:tcW w:w="1605" w:type="dxa"/>
            <w:shd w:val="clear" w:color="auto" w:fill="6F6652"/>
            <w:tcMar>
              <w:left w:w="57" w:type="dxa"/>
              <w:right w:w="57" w:type="dxa"/>
            </w:tcMar>
          </w:tcPr>
          <w:p w14:paraId="3C281801"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Low estimate</w:t>
            </w:r>
          </w:p>
        </w:tc>
        <w:tc>
          <w:tcPr>
            <w:tcW w:w="1605" w:type="dxa"/>
            <w:shd w:val="clear" w:color="auto" w:fill="6F6652"/>
            <w:tcMar>
              <w:left w:w="57" w:type="dxa"/>
              <w:right w:w="57" w:type="dxa"/>
            </w:tcMar>
          </w:tcPr>
          <w:p w14:paraId="692DA5B2"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Central case</w:t>
            </w:r>
          </w:p>
        </w:tc>
        <w:tc>
          <w:tcPr>
            <w:tcW w:w="1594" w:type="dxa"/>
            <w:shd w:val="clear" w:color="auto" w:fill="6F6652"/>
            <w:tcMar>
              <w:left w:w="57" w:type="dxa"/>
              <w:right w:w="57" w:type="dxa"/>
            </w:tcMar>
          </w:tcPr>
          <w:p w14:paraId="173A8225"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High estimate</w:t>
            </w:r>
          </w:p>
        </w:tc>
      </w:tr>
      <w:tr w:rsidR="00ED748D" w14:paraId="58CEB524" w14:textId="77777777" w:rsidTr="002B23FD">
        <w:trPr>
          <w:trHeight w:val="230"/>
          <w:tblHeader/>
        </w:trPr>
        <w:tc>
          <w:tcPr>
            <w:tcW w:w="1527" w:type="dxa"/>
            <w:tcBorders>
              <w:bottom w:val="single" w:sz="8" w:space="0" w:color="FFFFFF" w:themeColor="background1"/>
            </w:tcBorders>
            <w:shd w:val="clear" w:color="auto" w:fill="auto"/>
            <w:tcMar>
              <w:left w:w="57" w:type="dxa"/>
              <w:right w:w="57" w:type="dxa"/>
            </w:tcMar>
          </w:tcPr>
          <w:p w14:paraId="16445AA3" w14:textId="77777777" w:rsidR="00ED748D" w:rsidRDefault="00ED748D" w:rsidP="002B23FD">
            <w:pPr>
              <w:pStyle w:val="TableUnit"/>
              <w:jc w:val="left"/>
              <w:rPr>
                <w:lang w:val="en-GB"/>
              </w:rPr>
            </w:pPr>
          </w:p>
        </w:tc>
        <w:tc>
          <w:tcPr>
            <w:tcW w:w="1605" w:type="dxa"/>
            <w:tcBorders>
              <w:bottom w:val="single" w:sz="8" w:space="0" w:color="FFFFFF" w:themeColor="background1"/>
            </w:tcBorders>
            <w:shd w:val="clear" w:color="auto" w:fill="auto"/>
            <w:tcMar>
              <w:left w:w="57" w:type="dxa"/>
              <w:right w:w="57" w:type="dxa"/>
            </w:tcMar>
          </w:tcPr>
          <w:p w14:paraId="5755D5E9" w14:textId="77777777" w:rsidR="00ED748D" w:rsidRDefault="00ED748D" w:rsidP="002B23FD">
            <w:pPr>
              <w:pStyle w:val="TableUnit"/>
              <w:rPr>
                <w:lang w:val="en-GB"/>
              </w:rPr>
            </w:pPr>
            <w:r>
              <w:rPr>
                <w:lang w:val="en-GB"/>
              </w:rPr>
              <w:t>$'000</w:t>
            </w:r>
          </w:p>
        </w:tc>
        <w:tc>
          <w:tcPr>
            <w:tcW w:w="1605" w:type="dxa"/>
            <w:tcBorders>
              <w:bottom w:val="single" w:sz="8" w:space="0" w:color="FFFFFF" w:themeColor="background1"/>
            </w:tcBorders>
            <w:shd w:val="clear" w:color="auto" w:fill="auto"/>
            <w:tcMar>
              <w:left w:w="57" w:type="dxa"/>
              <w:right w:w="57" w:type="dxa"/>
            </w:tcMar>
          </w:tcPr>
          <w:p w14:paraId="12FC3C6A" w14:textId="77777777" w:rsidR="00ED748D" w:rsidRDefault="00ED748D" w:rsidP="002B23FD">
            <w:pPr>
              <w:pStyle w:val="TableUnit"/>
              <w:rPr>
                <w:lang w:val="en-GB"/>
              </w:rPr>
            </w:pPr>
            <w:r>
              <w:rPr>
                <w:lang w:val="en-GB"/>
              </w:rPr>
              <w:t>$ million</w:t>
            </w:r>
          </w:p>
        </w:tc>
        <w:tc>
          <w:tcPr>
            <w:tcW w:w="1605" w:type="dxa"/>
            <w:tcBorders>
              <w:bottom w:val="single" w:sz="8" w:space="0" w:color="FFFFFF" w:themeColor="background1"/>
            </w:tcBorders>
            <w:shd w:val="clear" w:color="auto" w:fill="auto"/>
            <w:tcMar>
              <w:left w:w="57" w:type="dxa"/>
              <w:right w:w="57" w:type="dxa"/>
            </w:tcMar>
          </w:tcPr>
          <w:p w14:paraId="71A67024" w14:textId="77777777" w:rsidR="00ED748D" w:rsidRDefault="00ED748D" w:rsidP="002B23FD">
            <w:pPr>
              <w:pStyle w:val="TableUnit"/>
              <w:rPr>
                <w:lang w:val="en-GB"/>
              </w:rPr>
            </w:pPr>
            <w:r>
              <w:rPr>
                <w:lang w:val="en-GB"/>
              </w:rPr>
              <w:t>$ million</w:t>
            </w:r>
          </w:p>
        </w:tc>
        <w:tc>
          <w:tcPr>
            <w:tcW w:w="1594" w:type="dxa"/>
            <w:tcBorders>
              <w:bottom w:val="single" w:sz="8" w:space="0" w:color="FFFFFF" w:themeColor="background1"/>
            </w:tcBorders>
            <w:shd w:val="clear" w:color="auto" w:fill="auto"/>
            <w:tcMar>
              <w:left w:w="57" w:type="dxa"/>
              <w:right w:w="57" w:type="dxa"/>
            </w:tcMar>
          </w:tcPr>
          <w:p w14:paraId="192919C7" w14:textId="77777777" w:rsidR="00ED748D" w:rsidRDefault="00ED748D" w:rsidP="002B23FD">
            <w:pPr>
              <w:pStyle w:val="TableUnit"/>
              <w:rPr>
                <w:lang w:val="en-GB"/>
              </w:rPr>
            </w:pPr>
            <w:r>
              <w:rPr>
                <w:lang w:val="en-GB"/>
              </w:rPr>
              <w:t>$ million</w:t>
            </w:r>
          </w:p>
        </w:tc>
      </w:tr>
      <w:tr w:rsidR="00F406D7" w14:paraId="56A16BDA"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081BB8" w14:textId="77777777" w:rsidR="00F406D7" w:rsidRDefault="00F406D7" w:rsidP="00F406D7">
            <w:pPr>
              <w:pStyle w:val="TableDataEntries"/>
              <w:jc w:val="left"/>
              <w:rPr>
                <w:lang w:val="en-GB"/>
              </w:rPr>
            </w:pPr>
            <w:r>
              <w:rPr>
                <w:lang w:val="en-GB"/>
              </w:rPr>
              <w:t xml:space="preserve">0 to 14 </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1C1C11" w14:textId="77777777" w:rsidR="00F406D7" w:rsidRDefault="00F406D7" w:rsidP="00F406D7">
            <w:pPr>
              <w:pStyle w:val="TableDataEntries"/>
              <w:rPr>
                <w:lang w:val="en-GB"/>
              </w:rPr>
            </w:pPr>
            <w:r w:rsidRPr="00971018">
              <w:t>6 541.9</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6D70D2"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8E0E6B" w14:textId="77777777" w:rsidR="00F406D7" w:rsidRDefault="00F406D7" w:rsidP="00F406D7">
            <w:pPr>
              <w:pStyle w:val="TableDataEntries"/>
              <w:rPr>
                <w:lang w:val="en-GB"/>
              </w:rPr>
            </w:pPr>
            <w:r w:rsidRPr="00F11742">
              <w:t xml:space="preserve"> </w:t>
            </w:r>
            <w:r w:rsidRPr="00971018">
              <w:t>0.45</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CBE874" w14:textId="77777777" w:rsidR="00F406D7" w:rsidRDefault="00F406D7" w:rsidP="00F406D7">
            <w:pPr>
              <w:pStyle w:val="TableDataEntries"/>
              <w:rPr>
                <w:lang w:val="en-GB"/>
              </w:rPr>
            </w:pPr>
            <w:r w:rsidRPr="00F11742">
              <w:t xml:space="preserve"> 1.</w:t>
            </w:r>
            <w:r w:rsidRPr="00971018">
              <w:t>67</w:t>
            </w:r>
          </w:p>
        </w:tc>
      </w:tr>
      <w:tr w:rsidR="00F406D7" w14:paraId="22222A06"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B36F81" w14:textId="77777777" w:rsidR="00F406D7" w:rsidRDefault="00F406D7" w:rsidP="00F406D7">
            <w:pPr>
              <w:pStyle w:val="TableDataEntries"/>
              <w:jc w:val="left"/>
              <w:rPr>
                <w:lang w:val="en-GB"/>
              </w:rPr>
            </w:pPr>
            <w:r>
              <w:rPr>
                <w:lang w:val="en-GB"/>
              </w:rPr>
              <w:t xml:space="preserve">15 to 24 </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C94B28" w14:textId="77777777" w:rsidR="00F406D7" w:rsidRDefault="00F406D7" w:rsidP="00F406D7">
            <w:pPr>
              <w:pStyle w:val="TableDataEntries"/>
              <w:rPr>
                <w:lang w:val="en-GB"/>
              </w:rPr>
            </w:pPr>
            <w:r w:rsidRPr="00971018">
              <w:t>6 202.6</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550637" w14:textId="77777777" w:rsidR="00F406D7" w:rsidRDefault="00F406D7" w:rsidP="00F406D7">
            <w:pPr>
              <w:pStyle w:val="TableDataEntries"/>
              <w:rPr>
                <w:lang w:val="en-GB"/>
              </w:rPr>
            </w:pPr>
            <w:r w:rsidRPr="00F11742">
              <w:t xml:space="preserve"> 0.</w:t>
            </w:r>
            <w:r w:rsidRPr="00971018">
              <w:t>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DC26CE" w14:textId="77777777" w:rsidR="00F406D7" w:rsidRDefault="00F406D7" w:rsidP="00F406D7">
            <w:pPr>
              <w:pStyle w:val="TableDataEntries"/>
              <w:rPr>
                <w:lang w:val="en-GB"/>
              </w:rPr>
            </w:pPr>
            <w:r w:rsidRPr="00F11742">
              <w:t xml:space="preserve"> </w:t>
            </w:r>
            <w:r w:rsidRPr="00971018">
              <w:t>0.31</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C95081" w14:textId="77777777" w:rsidR="00F406D7" w:rsidRDefault="00F406D7" w:rsidP="00F406D7">
            <w:pPr>
              <w:pStyle w:val="TableDataEntries"/>
              <w:rPr>
                <w:lang w:val="en-GB"/>
              </w:rPr>
            </w:pPr>
            <w:r w:rsidRPr="00F11742">
              <w:t xml:space="preserve"> 1.</w:t>
            </w:r>
            <w:r w:rsidRPr="00971018">
              <w:t>13</w:t>
            </w:r>
          </w:p>
        </w:tc>
      </w:tr>
      <w:tr w:rsidR="00F406D7" w14:paraId="25423D32"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B2F4C2" w14:textId="77777777" w:rsidR="00F406D7" w:rsidRDefault="00F406D7" w:rsidP="00F406D7">
            <w:pPr>
              <w:pStyle w:val="TableDataEntries"/>
              <w:jc w:val="left"/>
              <w:rPr>
                <w:lang w:val="en-GB"/>
              </w:rPr>
            </w:pPr>
            <w:r>
              <w:rPr>
                <w:lang w:val="en-GB"/>
              </w:rPr>
              <w:t>25 to 34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648261" w14:textId="77777777" w:rsidR="00F406D7" w:rsidRDefault="00F406D7" w:rsidP="00F406D7">
            <w:pPr>
              <w:pStyle w:val="TableDataEntries"/>
              <w:rPr>
                <w:lang w:val="en-GB"/>
              </w:rPr>
            </w:pPr>
            <w:r w:rsidRPr="00F11742">
              <w:t xml:space="preserve">5 </w:t>
            </w:r>
            <w:r w:rsidRPr="00971018">
              <w:t>831.8</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EA9D27"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9BB9CF" w14:textId="77777777" w:rsidR="00F406D7" w:rsidRDefault="00F406D7" w:rsidP="00F406D7">
            <w:pPr>
              <w:pStyle w:val="TableDataEntries"/>
              <w:rPr>
                <w:lang w:val="en-GB"/>
              </w:rPr>
            </w:pPr>
            <w:r w:rsidRPr="00F11742">
              <w:t xml:space="preserve"> </w:t>
            </w:r>
            <w:r w:rsidRPr="00971018">
              <w:t>0.41</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340F77" w14:textId="77777777" w:rsidR="00F406D7" w:rsidRDefault="00F406D7" w:rsidP="00F406D7">
            <w:pPr>
              <w:pStyle w:val="TableDataEntries"/>
              <w:rPr>
                <w:lang w:val="en-GB"/>
              </w:rPr>
            </w:pPr>
            <w:r w:rsidRPr="00F11742">
              <w:t xml:space="preserve"> 1.</w:t>
            </w:r>
            <w:r w:rsidRPr="00971018">
              <w:t>52</w:t>
            </w:r>
          </w:p>
        </w:tc>
      </w:tr>
      <w:tr w:rsidR="00F406D7" w14:paraId="24F50420"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26F64" w14:textId="77777777" w:rsidR="00F406D7" w:rsidRDefault="00F406D7" w:rsidP="00F406D7">
            <w:pPr>
              <w:pStyle w:val="TableDataEntries"/>
              <w:jc w:val="left"/>
              <w:rPr>
                <w:lang w:val="en-GB"/>
              </w:rPr>
            </w:pPr>
            <w:r>
              <w:rPr>
                <w:lang w:val="en-GB"/>
              </w:rPr>
              <w:t>35 to 44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E8536E" w14:textId="77777777" w:rsidR="00F406D7" w:rsidRDefault="00F406D7" w:rsidP="00F406D7">
            <w:pPr>
              <w:pStyle w:val="TableDataEntries"/>
              <w:rPr>
                <w:lang w:val="en-GB"/>
              </w:rPr>
            </w:pPr>
            <w:r w:rsidRPr="00F11742">
              <w:t>5</w:t>
            </w:r>
            <w:r w:rsidRPr="00971018">
              <w:t xml:space="preserve"> 343.0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D55F6D"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BAC8D8" w14:textId="77777777" w:rsidR="00F406D7" w:rsidRDefault="00F406D7" w:rsidP="00F406D7">
            <w:pPr>
              <w:pStyle w:val="TableDataEntries"/>
              <w:rPr>
                <w:lang w:val="en-GB"/>
              </w:rPr>
            </w:pPr>
            <w:r w:rsidRPr="00F11742">
              <w:t xml:space="preserve"> </w:t>
            </w:r>
            <w:r w:rsidRPr="00971018">
              <w:t>0.52</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B7BDB0" w14:textId="77777777" w:rsidR="00F406D7" w:rsidRDefault="00F406D7" w:rsidP="00F406D7">
            <w:pPr>
              <w:pStyle w:val="TableDataEntries"/>
              <w:rPr>
                <w:lang w:val="en-GB"/>
              </w:rPr>
            </w:pPr>
            <w:r w:rsidRPr="00F11742">
              <w:t xml:space="preserve"> </w:t>
            </w:r>
            <w:r w:rsidRPr="00971018">
              <w:t>1.94</w:t>
            </w:r>
          </w:p>
        </w:tc>
      </w:tr>
      <w:tr w:rsidR="00F406D7" w14:paraId="21C2CB7D"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ABFB7E" w14:textId="77777777" w:rsidR="00F406D7" w:rsidRDefault="00F406D7" w:rsidP="00F406D7">
            <w:pPr>
              <w:pStyle w:val="TableDataEntries"/>
              <w:jc w:val="left"/>
              <w:rPr>
                <w:lang w:val="en-GB"/>
              </w:rPr>
            </w:pPr>
            <w:r>
              <w:rPr>
                <w:lang w:val="en-GB"/>
              </w:rPr>
              <w:t>45 to 54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DBEFA1" w14:textId="77777777" w:rsidR="00F406D7" w:rsidRDefault="00F406D7" w:rsidP="00F406D7">
            <w:pPr>
              <w:pStyle w:val="TableDataEntries"/>
              <w:rPr>
                <w:lang w:val="en-GB"/>
              </w:rPr>
            </w:pPr>
            <w:r w:rsidRPr="00F11742">
              <w:t xml:space="preserve">4 </w:t>
            </w:r>
            <w:r w:rsidRPr="00971018">
              <w:t>711.3</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84F20C"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4661E5" w14:textId="77777777" w:rsidR="00F406D7" w:rsidRDefault="00F406D7" w:rsidP="00F406D7">
            <w:pPr>
              <w:pStyle w:val="TableDataEntries"/>
              <w:rPr>
                <w:lang w:val="en-GB"/>
              </w:rPr>
            </w:pPr>
            <w:r w:rsidRPr="00F11742">
              <w:t xml:space="preserve"> </w:t>
            </w:r>
            <w:r w:rsidRPr="00971018">
              <w:t>0.79</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26561F" w14:textId="77777777" w:rsidR="00F406D7" w:rsidRDefault="00F406D7" w:rsidP="00F406D7">
            <w:pPr>
              <w:pStyle w:val="TableDataEntries"/>
              <w:rPr>
                <w:lang w:val="en-GB"/>
              </w:rPr>
            </w:pPr>
            <w:r w:rsidRPr="00F11742">
              <w:t xml:space="preserve"> </w:t>
            </w:r>
            <w:r w:rsidRPr="00971018">
              <w:t>2.93</w:t>
            </w:r>
          </w:p>
        </w:tc>
      </w:tr>
      <w:tr w:rsidR="00F406D7" w14:paraId="778EBD70"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054749" w14:textId="77777777" w:rsidR="00F406D7" w:rsidRDefault="00F406D7" w:rsidP="00F406D7">
            <w:pPr>
              <w:pStyle w:val="TableDataEntries"/>
              <w:jc w:val="left"/>
              <w:rPr>
                <w:lang w:val="en-GB"/>
              </w:rPr>
            </w:pPr>
            <w:r>
              <w:rPr>
                <w:lang w:val="en-GB"/>
              </w:rPr>
              <w:t>55 to 64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8CA34B" w14:textId="77777777" w:rsidR="00F406D7" w:rsidRDefault="00F406D7" w:rsidP="00F406D7">
            <w:pPr>
              <w:pStyle w:val="TableDataEntries"/>
              <w:rPr>
                <w:lang w:val="en-GB"/>
              </w:rPr>
            </w:pPr>
            <w:r w:rsidRPr="00F11742">
              <w:t xml:space="preserve">3 </w:t>
            </w:r>
            <w:r w:rsidRPr="00971018">
              <w:t>917</w:t>
            </w:r>
            <w:r w:rsidRPr="00F11742">
              <w:t>.5</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61640A"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47ADC6" w14:textId="77777777" w:rsidR="00F406D7" w:rsidRDefault="00F406D7" w:rsidP="00F406D7">
            <w:pPr>
              <w:pStyle w:val="TableDataEntries"/>
              <w:rPr>
                <w:lang w:val="en-GB"/>
              </w:rPr>
            </w:pPr>
            <w:r w:rsidRPr="00F11742">
              <w:t xml:space="preserve"> </w:t>
            </w:r>
            <w:r w:rsidRPr="00971018">
              <w:t>0.91</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E24C1D" w14:textId="77777777" w:rsidR="00F406D7" w:rsidRDefault="00F406D7" w:rsidP="00F406D7">
            <w:pPr>
              <w:pStyle w:val="TableDataEntries"/>
              <w:rPr>
                <w:lang w:val="en-GB"/>
              </w:rPr>
            </w:pPr>
            <w:r w:rsidRPr="00F11742">
              <w:t xml:space="preserve"> 3.</w:t>
            </w:r>
            <w:r w:rsidRPr="00971018">
              <w:t>36</w:t>
            </w:r>
          </w:p>
        </w:tc>
      </w:tr>
      <w:tr w:rsidR="00F406D7" w14:paraId="70046C95"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0667C6" w14:textId="77777777" w:rsidR="00F406D7" w:rsidRDefault="00F406D7" w:rsidP="00F406D7">
            <w:pPr>
              <w:pStyle w:val="TableDataEntries"/>
              <w:jc w:val="left"/>
              <w:rPr>
                <w:lang w:val="en-GB"/>
              </w:rPr>
            </w:pPr>
            <w:r>
              <w:rPr>
                <w:lang w:val="en-GB"/>
              </w:rPr>
              <w:t>65 to 74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C7FAF6" w14:textId="77777777" w:rsidR="00F406D7" w:rsidRDefault="00F406D7" w:rsidP="00F406D7">
            <w:pPr>
              <w:pStyle w:val="TableDataEntries"/>
              <w:rPr>
                <w:lang w:val="en-GB"/>
              </w:rPr>
            </w:pPr>
            <w:r w:rsidRPr="00F11742">
              <w:t xml:space="preserve">2 </w:t>
            </w:r>
            <w:r w:rsidRPr="00971018">
              <w:t>959.8</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F375A6"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F549AE" w14:textId="77777777" w:rsidR="00F406D7" w:rsidRDefault="00F406D7" w:rsidP="00F406D7">
            <w:pPr>
              <w:pStyle w:val="TableDataEntries"/>
              <w:rPr>
                <w:lang w:val="en-GB"/>
              </w:rPr>
            </w:pPr>
            <w:r w:rsidRPr="00F11742">
              <w:t xml:space="preserve"> </w:t>
            </w:r>
            <w:r w:rsidRPr="00971018">
              <w:t>0.60</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18731A" w14:textId="77777777" w:rsidR="00F406D7" w:rsidRDefault="00F406D7" w:rsidP="00F406D7">
            <w:pPr>
              <w:pStyle w:val="TableDataEntries"/>
              <w:rPr>
                <w:lang w:val="en-GB"/>
              </w:rPr>
            </w:pPr>
            <w:r w:rsidRPr="00F11742">
              <w:t xml:space="preserve"> 2.</w:t>
            </w:r>
            <w:r w:rsidRPr="00971018">
              <w:t>24</w:t>
            </w:r>
          </w:p>
        </w:tc>
      </w:tr>
      <w:tr w:rsidR="00F406D7" w14:paraId="48B291DC"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C67C8C" w14:textId="77777777" w:rsidR="00F406D7" w:rsidRDefault="00F406D7" w:rsidP="00F406D7">
            <w:pPr>
              <w:pStyle w:val="TableDataEntries"/>
              <w:jc w:val="left"/>
              <w:rPr>
                <w:lang w:val="en-GB"/>
              </w:rPr>
            </w:pPr>
            <w:r>
              <w:rPr>
                <w:lang w:val="en-GB"/>
              </w:rPr>
              <w:t>75 to 84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A500C4" w14:textId="77777777" w:rsidR="00F406D7" w:rsidRDefault="00F406D7" w:rsidP="00F406D7">
            <w:pPr>
              <w:pStyle w:val="TableDataEntries"/>
              <w:rPr>
                <w:lang w:val="en-GB"/>
              </w:rPr>
            </w:pPr>
            <w:r w:rsidRPr="00F11742">
              <w:t xml:space="preserve">1 </w:t>
            </w:r>
            <w:r w:rsidRPr="00971018">
              <w:t>910.1</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1B4D6C"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760991" w14:textId="77777777" w:rsidR="00F406D7" w:rsidRDefault="00F406D7" w:rsidP="00F406D7">
            <w:pPr>
              <w:pStyle w:val="TableDataEntries"/>
              <w:rPr>
                <w:lang w:val="en-GB"/>
              </w:rPr>
            </w:pPr>
            <w:r w:rsidRPr="00F11742">
              <w:t xml:space="preserve"> </w:t>
            </w:r>
            <w:r w:rsidRPr="00971018">
              <w:t>1.92</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59D7A5" w14:textId="77777777" w:rsidR="00F406D7" w:rsidRDefault="00F406D7" w:rsidP="00F406D7">
            <w:pPr>
              <w:pStyle w:val="TableDataEntries"/>
              <w:rPr>
                <w:lang w:val="en-GB"/>
              </w:rPr>
            </w:pPr>
            <w:r w:rsidRPr="00F11742">
              <w:t xml:space="preserve"> </w:t>
            </w:r>
            <w:r w:rsidRPr="00971018">
              <w:t>7.12</w:t>
            </w:r>
          </w:p>
        </w:tc>
      </w:tr>
      <w:tr w:rsidR="00F406D7" w14:paraId="0BE6DE29"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927240" w14:textId="77777777" w:rsidR="00F406D7" w:rsidRDefault="00F406D7" w:rsidP="00F406D7">
            <w:pPr>
              <w:pStyle w:val="TableDataEntries"/>
              <w:jc w:val="left"/>
              <w:rPr>
                <w:lang w:val="en-GB"/>
              </w:rPr>
            </w:pPr>
            <w:r>
              <w:rPr>
                <w:lang w:val="en-GB"/>
              </w:rPr>
              <w:t>85 to 94</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35C61C" w14:textId="77777777" w:rsidR="00F406D7" w:rsidRDefault="00F406D7" w:rsidP="00F406D7">
            <w:pPr>
              <w:pStyle w:val="TableDataEntries"/>
              <w:rPr>
                <w:lang w:val="en-GB"/>
              </w:rPr>
            </w:pPr>
            <w:r w:rsidRPr="00971018">
              <w:t>1 009.2</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FDF73D" w14:textId="77777777" w:rsidR="00F406D7" w:rsidRDefault="00F406D7" w:rsidP="00F406D7">
            <w:pPr>
              <w:pStyle w:val="TableDataEntries"/>
              <w:rPr>
                <w:lang w:val="en-GB"/>
              </w:rPr>
            </w:pPr>
            <w:r w:rsidRPr="00F11742">
              <w:t xml:space="preserve"> </w:t>
            </w:r>
            <w:r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02BB8C" w14:textId="77777777" w:rsidR="00F406D7" w:rsidRDefault="00F406D7" w:rsidP="00F406D7">
            <w:pPr>
              <w:pStyle w:val="TableDataEntries"/>
              <w:rPr>
                <w:lang w:val="en-GB"/>
              </w:rPr>
            </w:pPr>
            <w:r w:rsidRPr="00F11742">
              <w:t xml:space="preserve"> </w:t>
            </w:r>
            <w:r w:rsidRPr="00971018">
              <w:t>2.37</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E1C246" w14:textId="77777777" w:rsidR="00F406D7" w:rsidRDefault="00F406D7" w:rsidP="00F406D7">
            <w:pPr>
              <w:pStyle w:val="TableDataEntries"/>
              <w:rPr>
                <w:lang w:val="en-GB"/>
              </w:rPr>
            </w:pPr>
            <w:r w:rsidRPr="00F11742">
              <w:t xml:space="preserve"> </w:t>
            </w:r>
            <w:r w:rsidRPr="00971018">
              <w:t>8.77</w:t>
            </w:r>
          </w:p>
        </w:tc>
      </w:tr>
      <w:tr w:rsidR="00ED748D" w14:paraId="462FA2B3" w14:textId="77777777" w:rsidTr="00F11742">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E57F7F" w14:textId="77777777" w:rsidR="00ED748D" w:rsidRDefault="00ED748D" w:rsidP="002B23FD">
            <w:pPr>
              <w:pStyle w:val="TableDataEntries"/>
              <w:jc w:val="left"/>
              <w:rPr>
                <w:lang w:val="en-GB"/>
              </w:rPr>
            </w:pPr>
            <w:r>
              <w:rPr>
                <w:lang w:val="en-GB"/>
              </w:rPr>
              <w:t>95+</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58F23F" w14:textId="77777777" w:rsidR="00ED748D" w:rsidRDefault="00ED748D" w:rsidP="002B23FD">
            <w:pPr>
              <w:pStyle w:val="TableDataEntries"/>
              <w:rPr>
                <w:lang w:val="en-GB"/>
              </w:rPr>
            </w:pPr>
            <w:r w:rsidRPr="00F11742">
              <w:t xml:space="preserve"> </w:t>
            </w:r>
            <w:r w:rsidR="00770CAE" w:rsidRPr="00971018">
              <w:t>559.5</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521CD3" w14:textId="77777777" w:rsidR="00ED748D" w:rsidRDefault="00ED748D" w:rsidP="002B23FD">
            <w:pPr>
              <w:pStyle w:val="TableDataEntries"/>
              <w:rPr>
                <w:lang w:val="en-GB"/>
              </w:rPr>
            </w:pPr>
            <w:r w:rsidRPr="00F11742">
              <w:t xml:space="preserve"> </w:t>
            </w:r>
            <w:r w:rsidR="00770CAE" w:rsidRPr="00971018">
              <w:t>0.00</w:t>
            </w:r>
          </w:p>
        </w:tc>
        <w:tc>
          <w:tcPr>
            <w:tcW w:w="16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289E7F" w14:textId="77777777" w:rsidR="00ED748D" w:rsidRDefault="00ED748D" w:rsidP="002B23FD">
            <w:pPr>
              <w:pStyle w:val="TableDataEntries"/>
              <w:rPr>
                <w:lang w:val="en-GB"/>
              </w:rPr>
            </w:pPr>
            <w:r w:rsidRPr="00F11742">
              <w:t xml:space="preserve"> </w:t>
            </w:r>
            <w:r w:rsidR="00770CAE" w:rsidRPr="00971018">
              <w:t>0.84</w:t>
            </w:r>
          </w:p>
        </w:tc>
        <w:tc>
          <w:tcPr>
            <w:tcW w:w="15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5551CB" w14:textId="77777777" w:rsidR="00ED748D" w:rsidRDefault="00ED748D" w:rsidP="002B23FD">
            <w:pPr>
              <w:pStyle w:val="TableDataEntries"/>
              <w:rPr>
                <w:lang w:val="en-GB"/>
              </w:rPr>
            </w:pPr>
            <w:r w:rsidRPr="00F11742">
              <w:t xml:space="preserve"> 3.</w:t>
            </w:r>
            <w:r w:rsidR="00770CAE" w:rsidRPr="00971018">
              <w:t>09</w:t>
            </w:r>
          </w:p>
        </w:tc>
      </w:tr>
      <w:tr w:rsidR="00ED748D" w:rsidRPr="00801E43" w14:paraId="2DC6B073" w14:textId="77777777" w:rsidTr="002B23FD">
        <w:trPr>
          <w:trHeight w:val="230"/>
        </w:trPr>
        <w:tc>
          <w:tcPr>
            <w:tcW w:w="152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C819195" w14:textId="77777777" w:rsidR="00ED748D" w:rsidRPr="00801E43" w:rsidRDefault="00ED748D" w:rsidP="002B23FD">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60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1BAD1D5" w14:textId="77777777" w:rsidR="00ED748D" w:rsidRPr="00801E43" w:rsidRDefault="00ED748D" w:rsidP="002B23FD">
            <w:pPr>
              <w:pStyle w:val="TableDataEntries"/>
              <w:rPr>
                <w:rFonts w:ascii="Franklin Gothic Demi" w:hAnsi="Franklin Gothic Demi"/>
                <w:lang w:val="en-GB"/>
              </w:rPr>
            </w:pPr>
          </w:p>
        </w:tc>
        <w:tc>
          <w:tcPr>
            <w:tcW w:w="160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7107D8A"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lang w:val="en-GB"/>
              </w:rPr>
              <w:t xml:space="preserve"> </w:t>
            </w:r>
            <w:r w:rsidR="00770CAE">
              <w:rPr>
                <w:rFonts w:ascii="Franklin Gothic Demi" w:hAnsi="Franklin Gothic Demi"/>
                <w:lang w:val="en-GB"/>
              </w:rPr>
              <w:t>0.00</w:t>
            </w:r>
          </w:p>
        </w:tc>
        <w:tc>
          <w:tcPr>
            <w:tcW w:w="160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EAD1AEF" w14:textId="77777777" w:rsidR="00ED748D" w:rsidRPr="00801E43" w:rsidRDefault="00770CAE" w:rsidP="002B23FD">
            <w:pPr>
              <w:pStyle w:val="TableDataEntries"/>
              <w:rPr>
                <w:rFonts w:ascii="Franklin Gothic Demi" w:hAnsi="Franklin Gothic Demi"/>
                <w:lang w:val="en-GB"/>
              </w:rPr>
            </w:pPr>
            <w:r>
              <w:rPr>
                <w:rFonts w:ascii="Franklin Gothic Demi" w:hAnsi="Franklin Gothic Demi"/>
                <w:lang w:val="en-GB"/>
              </w:rPr>
              <w:t>9.13</w:t>
            </w:r>
          </w:p>
        </w:tc>
        <w:tc>
          <w:tcPr>
            <w:tcW w:w="15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1EF20B5" w14:textId="77777777" w:rsidR="00ED748D" w:rsidRPr="00801E43" w:rsidRDefault="00770CAE" w:rsidP="002B23FD">
            <w:pPr>
              <w:pStyle w:val="TableDataEntries"/>
              <w:rPr>
                <w:rFonts w:ascii="Franklin Gothic Demi" w:hAnsi="Franklin Gothic Demi"/>
                <w:lang w:val="en-GB"/>
              </w:rPr>
            </w:pPr>
            <w:r>
              <w:rPr>
                <w:rFonts w:ascii="Franklin Gothic Demi" w:hAnsi="Franklin Gothic Demi"/>
                <w:lang w:val="en-GB"/>
              </w:rPr>
              <w:t>33.77</w:t>
            </w:r>
          </w:p>
        </w:tc>
      </w:tr>
    </w:tbl>
    <w:p w14:paraId="3A6BE672" w14:textId="77777777" w:rsidR="00BB159C" w:rsidRPr="00280175" w:rsidRDefault="00BB159C" w:rsidP="00BB159C">
      <w:pPr>
        <w:pStyle w:val="Note"/>
        <w:rPr>
          <w:lang w:bidi="fa-IR"/>
        </w:rPr>
      </w:pPr>
      <w:r w:rsidRPr="00280175">
        <w:rPr>
          <w:lang w:bidi="fa-IR"/>
        </w:rPr>
        <w:lastRenderedPageBreak/>
        <w:t>Note: low, central and high estimates are based on the assumption that falls are not higher, 10 per cent higher and 37 per cent higher, respectively, in inaccessible housing</w:t>
      </w:r>
      <w:r w:rsidR="005A1FB8">
        <w:rPr>
          <w:lang w:bidi="fa-IR"/>
        </w:rPr>
        <w:t>.</w:t>
      </w:r>
      <w:r w:rsidRPr="00280175">
        <w:rPr>
          <w:lang w:bidi="fa-IR"/>
        </w:rPr>
        <w:t xml:space="preserve"> </w:t>
      </w:r>
    </w:p>
    <w:p w14:paraId="587485DE" w14:textId="77777777" w:rsidR="00ED748D" w:rsidRPr="00280175" w:rsidRDefault="00ED748D" w:rsidP="00ED748D">
      <w:pPr>
        <w:pStyle w:val="Source"/>
        <w:rPr>
          <w:lang w:bidi="fa-IR"/>
        </w:rPr>
      </w:pPr>
      <w:r w:rsidRPr="00280175">
        <w:rPr>
          <w:lang w:bidi="fa-IR"/>
        </w:rPr>
        <w:t>Source: CIE estimates.</w:t>
      </w:r>
    </w:p>
    <w:p w14:paraId="0940896B" w14:textId="77777777" w:rsidR="00433210" w:rsidRPr="00F4477B" w:rsidRDefault="00433210" w:rsidP="00F4477B">
      <w:pPr>
        <w:pStyle w:val="Heading3-Appendix"/>
      </w:pPr>
      <w:bookmarkStart w:id="660" w:name="_Ref64927075"/>
      <w:bookmarkEnd w:id="643"/>
      <w:r w:rsidRPr="00F4477B">
        <w:t>Cost of medical treatment</w:t>
      </w:r>
      <w:bookmarkEnd w:id="660"/>
    </w:p>
    <w:p w14:paraId="0BE47357" w14:textId="77777777" w:rsidR="00433210" w:rsidRDefault="00433210" w:rsidP="00433210">
      <w:pPr>
        <w:pStyle w:val="BodyText"/>
      </w:pPr>
      <w:r>
        <w:t>Medical treatment costs include the costs associated with:</w:t>
      </w:r>
    </w:p>
    <w:p w14:paraId="56297D30" w14:textId="77777777" w:rsidR="00433210" w:rsidRDefault="00433210" w:rsidP="00433210">
      <w:pPr>
        <w:pStyle w:val="ListBullet"/>
      </w:pPr>
      <w:r>
        <w:t>hospital admissions</w:t>
      </w:r>
    </w:p>
    <w:p w14:paraId="10B47734" w14:textId="77777777" w:rsidR="00433210" w:rsidRDefault="00433210" w:rsidP="00433210">
      <w:pPr>
        <w:pStyle w:val="ListBullet"/>
      </w:pPr>
      <w:r>
        <w:t>emergency department attendances (that are not ultimately admitted)</w:t>
      </w:r>
    </w:p>
    <w:p w14:paraId="764DB46B" w14:textId="77777777" w:rsidR="00433210" w:rsidRPr="006D7F13" w:rsidRDefault="00433210" w:rsidP="00433210">
      <w:pPr>
        <w:pStyle w:val="ListBullet"/>
      </w:pPr>
      <w:r>
        <w:t>non</w:t>
      </w:r>
      <w:r>
        <w:noBreakHyphen/>
        <w:t>hospital treatment.</w:t>
      </w:r>
    </w:p>
    <w:p w14:paraId="1E0F655C" w14:textId="77777777" w:rsidR="00ED748D" w:rsidRPr="004B79EC" w:rsidRDefault="00ED748D" w:rsidP="004B79EC">
      <w:pPr>
        <w:pStyle w:val="Heading4-Appendix"/>
      </w:pPr>
      <w:r w:rsidRPr="004B79EC">
        <w:t>Hospital admissions</w:t>
      </w:r>
    </w:p>
    <w:p w14:paraId="4FB030E5" w14:textId="77777777" w:rsidR="00E9507E" w:rsidRDefault="00E75D62" w:rsidP="00ED748D">
      <w:pPr>
        <w:pStyle w:val="BodyText"/>
        <w:rPr>
          <w:lang w:bidi="fa-IR"/>
        </w:rPr>
      </w:pPr>
      <w:r>
        <w:rPr>
          <w:lang w:bidi="fa-IR"/>
        </w:rPr>
        <w:t xml:space="preserve">It is </w:t>
      </w:r>
      <w:r w:rsidR="00ED748D">
        <w:rPr>
          <w:lang w:bidi="fa-IR"/>
        </w:rPr>
        <w:t>estimate</w:t>
      </w:r>
      <w:r>
        <w:rPr>
          <w:lang w:bidi="fa-IR"/>
        </w:rPr>
        <w:t>d that</w:t>
      </w:r>
      <w:r w:rsidR="00ED748D">
        <w:rPr>
          <w:lang w:bidi="fa-IR"/>
        </w:rPr>
        <w:t xml:space="preserve"> there could be between an additional </w:t>
      </w:r>
      <w:r w:rsidR="009F5738" w:rsidRPr="00E9507E">
        <w:rPr>
          <w:lang w:bidi="fa-IR"/>
        </w:rPr>
        <w:t>zero and</w:t>
      </w:r>
      <w:r w:rsidR="009F5738">
        <w:rPr>
          <w:lang w:bidi="fa-IR"/>
        </w:rPr>
        <w:t xml:space="preserve"> </w:t>
      </w:r>
      <w:r w:rsidR="00C0553D">
        <w:rPr>
          <w:lang w:bidi="fa-IR"/>
        </w:rPr>
        <w:t>1</w:t>
      </w:r>
      <w:r w:rsidR="003D239B">
        <w:rPr>
          <w:lang w:bidi="fa-IR"/>
        </w:rPr>
        <w:t> </w:t>
      </w:r>
      <w:r w:rsidR="00C0553D">
        <w:rPr>
          <w:lang w:bidi="fa-IR"/>
        </w:rPr>
        <w:t xml:space="preserve">431 </w:t>
      </w:r>
      <w:r w:rsidR="00ED748D">
        <w:rPr>
          <w:lang w:bidi="fa-IR"/>
        </w:rPr>
        <w:t>fall</w:t>
      </w:r>
      <w:r w:rsidR="00ED748D">
        <w:rPr>
          <w:lang w:bidi="fa-IR"/>
        </w:rPr>
        <w:noBreakHyphen/>
        <w:t xml:space="preserve">related hospital admissions per year due to people with accessibility needs living in inaccessible housing, with a central case estimate of </w:t>
      </w:r>
      <w:r w:rsidR="00C0553D">
        <w:rPr>
          <w:lang w:bidi="fa-IR"/>
        </w:rPr>
        <w:t xml:space="preserve">387 </w:t>
      </w:r>
      <w:r w:rsidR="00ED748D">
        <w:rPr>
          <w:lang w:bidi="fa-IR"/>
        </w:rPr>
        <w:t>additional hospital admissions</w:t>
      </w:r>
      <w:r w:rsidR="002504F2">
        <w:rPr>
          <w:lang w:bidi="fa-IR"/>
        </w:rPr>
        <w:t xml:space="preserve"> (table B.8)</w:t>
      </w:r>
      <w:r w:rsidR="00ED748D">
        <w:rPr>
          <w:lang w:bidi="fa-IR"/>
        </w:rPr>
        <w:t>.</w:t>
      </w:r>
    </w:p>
    <w:p w14:paraId="35509D0E" w14:textId="77777777" w:rsidR="00ED748D" w:rsidRDefault="00ED748D" w:rsidP="00ED748D">
      <w:pPr>
        <w:pStyle w:val="BodyText"/>
        <w:rPr>
          <w:lang w:bidi="fa-IR"/>
        </w:rPr>
      </w:pPr>
      <w:r>
        <w:rPr>
          <w:lang w:bidi="fa-IR"/>
        </w:rPr>
        <w:t>These estimates are based on the following.</w:t>
      </w:r>
    </w:p>
    <w:p w14:paraId="70A5F015" w14:textId="77777777" w:rsidR="00ED748D" w:rsidRDefault="00ED748D" w:rsidP="00ED748D">
      <w:pPr>
        <w:pStyle w:val="ListBullet"/>
        <w:numPr>
          <w:ilvl w:val="0"/>
          <w:numId w:val="16"/>
        </w:numPr>
        <w:rPr>
          <w:lang w:bidi="fa-IR"/>
        </w:rPr>
      </w:pPr>
      <w:r>
        <w:rPr>
          <w:lang w:bidi="fa-IR"/>
        </w:rPr>
        <w:t xml:space="preserve">The baseline hospital admission rate from falls is based on </w:t>
      </w:r>
      <w:r w:rsidR="009F01AA">
        <w:rPr>
          <w:lang w:bidi="fa-IR"/>
        </w:rPr>
        <w:t>national</w:t>
      </w:r>
      <w:r w:rsidR="009F01AA">
        <w:rPr>
          <w:lang w:bidi="fa-IR"/>
        </w:rPr>
        <w:noBreakHyphen/>
        <w:t xml:space="preserve">level AIHW </w:t>
      </w:r>
      <w:r>
        <w:rPr>
          <w:lang w:bidi="fa-IR"/>
        </w:rPr>
        <w:t xml:space="preserve">data </w:t>
      </w:r>
      <w:r w:rsidR="009F01AA">
        <w:rPr>
          <w:lang w:bidi="fa-IR"/>
        </w:rPr>
        <w:t>from 2016</w:t>
      </w:r>
      <w:r w:rsidR="009F01AA">
        <w:rPr>
          <w:lang w:bidi="fa-IR"/>
        </w:rPr>
        <w:noBreakHyphen/>
        <w:t>17</w:t>
      </w:r>
      <w:r>
        <w:rPr>
          <w:lang w:bidi="fa-IR"/>
        </w:rPr>
        <w:t>.</w:t>
      </w:r>
      <w:r>
        <w:rPr>
          <w:rStyle w:val="FootnoteReference"/>
          <w:lang w:bidi="fa-IR"/>
        </w:rPr>
        <w:footnoteReference w:id="461"/>
      </w:r>
    </w:p>
    <w:p w14:paraId="28F85934" w14:textId="77777777" w:rsidR="00ED748D" w:rsidRDefault="00ED748D" w:rsidP="00ED748D">
      <w:pPr>
        <w:pStyle w:val="ListBullet2"/>
        <w:numPr>
          <w:ilvl w:val="1"/>
          <w:numId w:val="16"/>
        </w:numPr>
        <w:ind w:left="568" w:hanging="284"/>
        <w:rPr>
          <w:lang w:bidi="fa-IR"/>
        </w:rPr>
      </w:pPr>
      <w:r>
        <w:rPr>
          <w:lang w:bidi="fa-IR"/>
        </w:rPr>
        <w:t xml:space="preserve">Actual data, as reported by </w:t>
      </w:r>
      <w:r w:rsidR="009F01AA">
        <w:rPr>
          <w:lang w:bidi="fa-IR"/>
        </w:rPr>
        <w:t>AIHW</w:t>
      </w:r>
      <w:r>
        <w:rPr>
          <w:lang w:bidi="fa-IR"/>
        </w:rPr>
        <w:t>, is used for age groups over 65.</w:t>
      </w:r>
    </w:p>
    <w:p w14:paraId="5A82F83B" w14:textId="77777777" w:rsidR="00ED748D" w:rsidRDefault="00ED748D" w:rsidP="00ED748D">
      <w:pPr>
        <w:pStyle w:val="ListBullet2"/>
        <w:numPr>
          <w:ilvl w:val="1"/>
          <w:numId w:val="16"/>
        </w:numPr>
        <w:ind w:left="568" w:hanging="284"/>
        <w:rPr>
          <w:lang w:bidi="fa-IR"/>
        </w:rPr>
      </w:pPr>
      <w:r>
        <w:rPr>
          <w:lang w:bidi="fa-IR"/>
        </w:rPr>
        <w:t xml:space="preserve">The incidence of falls resulting in hospital admission among people under the age of 65 with mobility limitations is not reported. As above, </w:t>
      </w:r>
      <w:r w:rsidR="00E75D62">
        <w:rPr>
          <w:lang w:bidi="fa-IR"/>
        </w:rPr>
        <w:t>it is</w:t>
      </w:r>
      <w:r>
        <w:rPr>
          <w:lang w:bidi="fa-IR"/>
        </w:rPr>
        <w:t xml:space="preserve"> assumed that the incidence of falls was around the same as for the broader population in the 65</w:t>
      </w:r>
      <w:r>
        <w:rPr>
          <w:lang w:bidi="fa-IR"/>
        </w:rPr>
        <w:noBreakHyphen/>
        <w:t xml:space="preserve">69 year age bracket, as reported by </w:t>
      </w:r>
      <w:r w:rsidR="009F01AA">
        <w:rPr>
          <w:lang w:bidi="fa-IR"/>
        </w:rPr>
        <w:t>AIHW</w:t>
      </w:r>
      <w:r>
        <w:rPr>
          <w:lang w:bidi="fa-IR"/>
        </w:rPr>
        <w:t>.</w:t>
      </w:r>
    </w:p>
    <w:p w14:paraId="6D79CF31" w14:textId="77777777" w:rsidR="00ED748D" w:rsidRDefault="009F01AA" w:rsidP="00ED748D">
      <w:pPr>
        <w:pStyle w:val="ListBullet2"/>
        <w:numPr>
          <w:ilvl w:val="1"/>
          <w:numId w:val="16"/>
        </w:numPr>
        <w:ind w:left="568" w:hanging="284"/>
        <w:rPr>
          <w:lang w:bidi="fa-IR"/>
        </w:rPr>
      </w:pPr>
      <w:r>
        <w:rPr>
          <w:lang w:bidi="fa-IR"/>
        </w:rPr>
        <w:t xml:space="preserve">AIHW </w:t>
      </w:r>
      <w:r w:rsidR="00ED748D">
        <w:rPr>
          <w:lang w:bidi="fa-IR"/>
        </w:rPr>
        <w:t xml:space="preserve">data showing that </w:t>
      </w:r>
      <w:r>
        <w:rPr>
          <w:lang w:bidi="fa-IR"/>
        </w:rPr>
        <w:t>51.2</w:t>
      </w:r>
      <w:r w:rsidR="00ED748D">
        <w:rPr>
          <w:lang w:bidi="fa-IR"/>
        </w:rPr>
        <w:t> per cent of falls resulting in hospital admission occur in the home.</w:t>
      </w:r>
      <w:r w:rsidR="00ED748D">
        <w:rPr>
          <w:rStyle w:val="FootnoteReference"/>
          <w:lang w:bidi="fa-IR"/>
        </w:rPr>
        <w:footnoteReference w:id="462"/>
      </w:r>
      <w:r>
        <w:rPr>
          <w:lang w:bidi="fa-IR"/>
        </w:rPr>
        <w:t xml:space="preserve"> </w:t>
      </w:r>
      <w:r w:rsidR="00BA6A3B">
        <w:rPr>
          <w:lang w:bidi="fa-IR"/>
        </w:rPr>
        <w:t>T</w:t>
      </w:r>
      <w:r>
        <w:rPr>
          <w:lang w:bidi="fa-IR"/>
        </w:rPr>
        <w:t xml:space="preserve">hese hospital admission rates were adjusted </w:t>
      </w:r>
      <w:r w:rsidR="00BA6A3B">
        <w:rPr>
          <w:lang w:bidi="fa-IR"/>
        </w:rPr>
        <w:t>accordingly.</w:t>
      </w:r>
    </w:p>
    <w:p w14:paraId="750E69E2" w14:textId="77777777" w:rsidR="00ED748D" w:rsidRDefault="00ED748D" w:rsidP="00ED748D">
      <w:pPr>
        <w:pStyle w:val="ListBullet"/>
        <w:numPr>
          <w:ilvl w:val="0"/>
          <w:numId w:val="16"/>
        </w:numPr>
        <w:rPr>
          <w:lang w:bidi="fa-IR"/>
        </w:rPr>
      </w:pPr>
      <w:r>
        <w:rPr>
          <w:lang w:bidi="fa-IR"/>
        </w:rPr>
        <w:t>When people with accessibility needs live in inaccessible housing, the incidence of falls is estimated to be:</w:t>
      </w:r>
    </w:p>
    <w:p w14:paraId="4500F046" w14:textId="77777777" w:rsidR="00ED748D" w:rsidRDefault="00C96B1F" w:rsidP="00ED748D">
      <w:pPr>
        <w:pStyle w:val="ListBullet2"/>
        <w:numPr>
          <w:ilvl w:val="1"/>
          <w:numId w:val="16"/>
        </w:numPr>
        <w:ind w:left="568" w:hanging="284"/>
        <w:rPr>
          <w:lang w:bidi="fa-IR"/>
        </w:rPr>
      </w:pPr>
      <w:r>
        <w:rPr>
          <w:lang w:bidi="fa-IR"/>
        </w:rPr>
        <w:t>no</w:t>
      </w:r>
      <w:r w:rsidR="00ED748D">
        <w:rPr>
          <w:lang w:bidi="fa-IR"/>
        </w:rPr>
        <w:t xml:space="preserve"> higher under the low estimate scenario</w:t>
      </w:r>
    </w:p>
    <w:p w14:paraId="500E79EE" w14:textId="77777777" w:rsidR="00ED748D" w:rsidRDefault="00C96B1F" w:rsidP="00ED748D">
      <w:pPr>
        <w:pStyle w:val="ListBullet2"/>
        <w:numPr>
          <w:ilvl w:val="1"/>
          <w:numId w:val="16"/>
        </w:numPr>
        <w:ind w:left="568" w:hanging="284"/>
        <w:rPr>
          <w:lang w:bidi="fa-IR"/>
        </w:rPr>
      </w:pPr>
      <w:r>
        <w:rPr>
          <w:lang w:bidi="fa-IR"/>
        </w:rPr>
        <w:t>10</w:t>
      </w:r>
      <w:r w:rsidR="00ED748D">
        <w:rPr>
          <w:lang w:bidi="fa-IR"/>
        </w:rPr>
        <w:t xml:space="preserve"> per cent higher under the </w:t>
      </w:r>
      <w:r w:rsidR="00EE77E9">
        <w:rPr>
          <w:lang w:bidi="fa-IR"/>
        </w:rPr>
        <w:t>central</w:t>
      </w:r>
      <w:r w:rsidR="00ED748D">
        <w:rPr>
          <w:lang w:bidi="fa-IR"/>
        </w:rPr>
        <w:t xml:space="preserve"> estimate scenario</w:t>
      </w:r>
    </w:p>
    <w:p w14:paraId="56688AC2" w14:textId="77777777" w:rsidR="00ED748D" w:rsidRDefault="00ED748D" w:rsidP="00ED748D">
      <w:pPr>
        <w:pStyle w:val="ListBullet2"/>
        <w:numPr>
          <w:ilvl w:val="1"/>
          <w:numId w:val="16"/>
        </w:numPr>
        <w:ind w:left="568" w:hanging="284"/>
        <w:rPr>
          <w:lang w:bidi="fa-IR"/>
        </w:rPr>
      </w:pPr>
      <w:r>
        <w:rPr>
          <w:lang w:bidi="fa-IR"/>
        </w:rPr>
        <w:t xml:space="preserve">37 per cent higher under the </w:t>
      </w:r>
      <w:r w:rsidR="00EE77E9">
        <w:rPr>
          <w:lang w:bidi="fa-IR"/>
        </w:rPr>
        <w:t>high</w:t>
      </w:r>
      <w:r>
        <w:rPr>
          <w:lang w:bidi="fa-IR"/>
        </w:rPr>
        <w:t xml:space="preserve"> case scenario</w:t>
      </w:r>
    </w:p>
    <w:p w14:paraId="03A01284" w14:textId="2C4C6AB8" w:rsidR="00ED748D" w:rsidRDefault="00B27E24" w:rsidP="00ED748D">
      <w:pPr>
        <w:pStyle w:val="Caption"/>
        <w:ind w:left="852" w:hanging="852"/>
      </w:pPr>
      <w:bookmarkStart w:id="661" w:name="_Toc45654199"/>
      <w:bookmarkStart w:id="662" w:name="_Toc44598568"/>
      <w:bookmarkStart w:id="663" w:name="_Toc44695940"/>
      <w:bookmarkStart w:id="664" w:name="_Toc57643675"/>
      <w:bookmarkStart w:id="665" w:name="_Toc70505622"/>
      <w:r>
        <w:t>B.8</w:t>
      </w:r>
      <w:r w:rsidR="00ED748D" w:rsidRPr="00695C93">
        <w:tab/>
      </w:r>
      <w:r w:rsidR="00ED748D">
        <w:t>Estimated number of additional hospital admissions due to inaccessible housing</w:t>
      </w:r>
      <w:bookmarkEnd w:id="661"/>
      <w:bookmarkEnd w:id="662"/>
      <w:bookmarkEnd w:id="663"/>
      <w:bookmarkEnd w:id="664"/>
      <w:bookmarkEnd w:id="665"/>
    </w:p>
    <w:tbl>
      <w:tblPr>
        <w:tblW w:w="7940" w:type="dxa"/>
        <w:tblLayout w:type="fixed"/>
        <w:tblLook w:val="0000" w:firstRow="0" w:lastRow="0" w:firstColumn="0" w:lastColumn="0" w:noHBand="0" w:noVBand="0"/>
        <w:tblCaption w:val="Table B.8: Estimated number of additional hospital admissions due to inaccessible housing"/>
        <w:tblDescription w:val="Table B.8 lists the numbers of additional hospital admissions due to inaccessible housing. There is a clear upward trend with increasing age shown, with a central case total of 387, and a high estimate of 1431."/>
      </w:tblPr>
      <w:tblGrid>
        <w:gridCol w:w="814"/>
        <w:gridCol w:w="1018"/>
        <w:gridCol w:w="1018"/>
        <w:gridCol w:w="1018"/>
        <w:gridCol w:w="1018"/>
        <w:gridCol w:w="1018"/>
        <w:gridCol w:w="1018"/>
        <w:gridCol w:w="1018"/>
      </w:tblGrid>
      <w:tr w:rsidR="00696C70" w14:paraId="176FEC7D" w14:textId="77777777" w:rsidTr="00D13F4A">
        <w:trPr>
          <w:trHeight w:val="1017"/>
          <w:tblHeader/>
        </w:trPr>
        <w:tc>
          <w:tcPr>
            <w:tcW w:w="814" w:type="dxa"/>
            <w:shd w:val="clear" w:color="auto" w:fill="6F6652"/>
            <w:tcMar>
              <w:left w:w="57" w:type="dxa"/>
              <w:right w:w="57" w:type="dxa"/>
            </w:tcMar>
          </w:tcPr>
          <w:p w14:paraId="2EF303DB" w14:textId="77777777" w:rsidR="00696C70" w:rsidRDefault="00E9165A" w:rsidP="002B23FD">
            <w:pPr>
              <w:pStyle w:val="TableDataColumnHeading"/>
              <w:jc w:val="left"/>
              <w:rPr>
                <w:lang w:val="en-GB"/>
              </w:rPr>
            </w:pPr>
            <w:r>
              <w:rPr>
                <w:lang w:val="en-GB"/>
              </w:rPr>
              <w:t>Age</w:t>
            </w:r>
            <w:r w:rsidR="007A22A8">
              <w:rPr>
                <w:lang w:val="en-GB"/>
              </w:rPr>
              <w:t xml:space="preserve"> group</w:t>
            </w:r>
          </w:p>
        </w:tc>
        <w:tc>
          <w:tcPr>
            <w:tcW w:w="1018" w:type="dxa"/>
            <w:shd w:val="clear" w:color="auto" w:fill="6F6652"/>
            <w:tcMar>
              <w:left w:w="57" w:type="dxa"/>
              <w:right w:w="57" w:type="dxa"/>
            </w:tcMar>
          </w:tcPr>
          <w:p w14:paraId="3BE7C159" w14:textId="77777777" w:rsidR="00696C70" w:rsidRDefault="00696C70" w:rsidP="002B23FD">
            <w:pPr>
              <w:pStyle w:val="TableDataColumnHeading"/>
              <w:rPr>
                <w:lang w:val="en-GB"/>
              </w:rPr>
            </w:pPr>
            <w:r>
              <w:rPr>
                <w:lang w:val="en-GB"/>
              </w:rPr>
              <w:t>Population affected</w:t>
            </w:r>
            <w:r w:rsidRPr="00E17633">
              <w:rPr>
                <w:rStyle w:val="NoteLabel"/>
              </w:rPr>
              <w:t>a</w:t>
            </w:r>
          </w:p>
        </w:tc>
        <w:tc>
          <w:tcPr>
            <w:tcW w:w="1018" w:type="dxa"/>
            <w:shd w:val="clear" w:color="auto" w:fill="6F6652"/>
            <w:tcMar>
              <w:left w:w="57" w:type="dxa"/>
              <w:right w:w="57" w:type="dxa"/>
            </w:tcMar>
          </w:tcPr>
          <w:p w14:paraId="44F1568A" w14:textId="77777777" w:rsidR="00696C70" w:rsidRPr="00E17633" w:rsidRDefault="00696C70" w:rsidP="002B23FD">
            <w:pPr>
              <w:pStyle w:val="TableDataColumnHeading"/>
              <w:rPr>
                <w:b/>
                <w:bCs/>
                <w:lang w:val="en-GB"/>
              </w:rPr>
            </w:pPr>
            <w:r>
              <w:rPr>
                <w:lang w:val="en-GB"/>
              </w:rPr>
              <w:t>Hospital admission rate from falls</w:t>
            </w:r>
            <w:r>
              <w:rPr>
                <w:rStyle w:val="NoteLabel"/>
              </w:rPr>
              <w:t>b</w:t>
            </w:r>
          </w:p>
        </w:tc>
        <w:tc>
          <w:tcPr>
            <w:tcW w:w="1018" w:type="dxa"/>
            <w:shd w:val="clear" w:color="auto" w:fill="6F6652"/>
            <w:tcMar>
              <w:left w:w="57" w:type="dxa"/>
              <w:right w:w="57" w:type="dxa"/>
            </w:tcMar>
          </w:tcPr>
          <w:p w14:paraId="7991B27D" w14:textId="77777777" w:rsidR="00696C70" w:rsidRDefault="00696C70" w:rsidP="002B23FD">
            <w:pPr>
              <w:pStyle w:val="TableDataColumnHeading"/>
              <w:rPr>
                <w:lang w:val="en-GB"/>
              </w:rPr>
            </w:pPr>
            <w:r>
              <w:rPr>
                <w:lang w:val="en-GB"/>
              </w:rPr>
              <w:t>Hospital admission rate for falls at home</w:t>
            </w:r>
            <w:r>
              <w:rPr>
                <w:rStyle w:val="NoteLabel"/>
              </w:rPr>
              <w:t>c</w:t>
            </w:r>
          </w:p>
        </w:tc>
        <w:tc>
          <w:tcPr>
            <w:tcW w:w="1018" w:type="dxa"/>
            <w:shd w:val="clear" w:color="auto" w:fill="6F6652"/>
            <w:tcMar>
              <w:left w:w="57" w:type="dxa"/>
              <w:right w:w="57" w:type="dxa"/>
            </w:tcMar>
          </w:tcPr>
          <w:p w14:paraId="657954C0" w14:textId="77777777" w:rsidR="00696C70" w:rsidRDefault="00696C70" w:rsidP="002B23FD">
            <w:pPr>
              <w:pStyle w:val="TableDataColumnHeading"/>
              <w:rPr>
                <w:lang w:val="en-GB"/>
              </w:rPr>
            </w:pPr>
            <w:r>
              <w:rPr>
                <w:lang w:val="en-GB"/>
              </w:rPr>
              <w:t>Estimated hospital admissions - baseline</w:t>
            </w:r>
          </w:p>
        </w:tc>
        <w:tc>
          <w:tcPr>
            <w:tcW w:w="3054" w:type="dxa"/>
            <w:gridSpan w:val="3"/>
            <w:shd w:val="clear" w:color="auto" w:fill="6F6652"/>
            <w:tcMar>
              <w:left w:w="57" w:type="dxa"/>
              <w:right w:w="57" w:type="dxa"/>
            </w:tcMar>
          </w:tcPr>
          <w:p w14:paraId="7AB546F4" w14:textId="77777777" w:rsidR="00696C70" w:rsidRDefault="00696C70" w:rsidP="002B23FD">
            <w:pPr>
              <w:pStyle w:val="TableDataColumnHeading"/>
              <w:jc w:val="center"/>
              <w:rPr>
                <w:lang w:val="en-GB"/>
              </w:rPr>
            </w:pPr>
            <w:r>
              <w:rPr>
                <w:lang w:val="en-GB"/>
              </w:rPr>
              <w:t>Additional hospital admissions due to inaccessible housing</w:t>
            </w:r>
          </w:p>
        </w:tc>
      </w:tr>
      <w:tr w:rsidR="00ED748D" w14:paraId="2BC51F44" w14:textId="77777777" w:rsidTr="002B23FD">
        <w:trPr>
          <w:trHeight w:val="461"/>
          <w:tblHeader/>
        </w:trPr>
        <w:tc>
          <w:tcPr>
            <w:tcW w:w="814" w:type="dxa"/>
            <w:shd w:val="clear" w:color="auto" w:fill="6F6652"/>
            <w:tcMar>
              <w:left w:w="57" w:type="dxa"/>
              <w:right w:w="57" w:type="dxa"/>
            </w:tcMar>
          </w:tcPr>
          <w:p w14:paraId="3BD035FA" w14:textId="77777777" w:rsidR="00ED748D" w:rsidRDefault="00ED748D" w:rsidP="002B23FD">
            <w:pPr>
              <w:pStyle w:val="TableDataColumnHeading"/>
              <w:jc w:val="left"/>
              <w:rPr>
                <w:lang w:val="en-GB"/>
              </w:rPr>
            </w:pPr>
          </w:p>
        </w:tc>
        <w:tc>
          <w:tcPr>
            <w:tcW w:w="1018" w:type="dxa"/>
            <w:shd w:val="clear" w:color="auto" w:fill="6F6652"/>
            <w:tcMar>
              <w:left w:w="57" w:type="dxa"/>
              <w:right w:w="57" w:type="dxa"/>
            </w:tcMar>
          </w:tcPr>
          <w:p w14:paraId="3DB384FF" w14:textId="77777777" w:rsidR="00ED748D" w:rsidRDefault="00ED748D" w:rsidP="002B23FD">
            <w:pPr>
              <w:pStyle w:val="TableDataColumnHeading"/>
              <w:rPr>
                <w:lang w:val="en-GB"/>
              </w:rPr>
            </w:pPr>
          </w:p>
        </w:tc>
        <w:tc>
          <w:tcPr>
            <w:tcW w:w="1018" w:type="dxa"/>
            <w:shd w:val="clear" w:color="auto" w:fill="6F6652"/>
            <w:tcMar>
              <w:left w:w="57" w:type="dxa"/>
              <w:right w:w="57" w:type="dxa"/>
            </w:tcMar>
          </w:tcPr>
          <w:p w14:paraId="2B0207ED" w14:textId="77777777" w:rsidR="00ED748D" w:rsidRDefault="00ED748D" w:rsidP="002B23FD">
            <w:pPr>
              <w:pStyle w:val="TableDataColumnHeading"/>
              <w:rPr>
                <w:lang w:val="en-GB"/>
              </w:rPr>
            </w:pPr>
          </w:p>
        </w:tc>
        <w:tc>
          <w:tcPr>
            <w:tcW w:w="1018" w:type="dxa"/>
            <w:shd w:val="clear" w:color="auto" w:fill="6F6652"/>
            <w:tcMar>
              <w:left w:w="57" w:type="dxa"/>
              <w:right w:w="57" w:type="dxa"/>
            </w:tcMar>
          </w:tcPr>
          <w:p w14:paraId="07F6C80C" w14:textId="77777777" w:rsidR="00ED748D" w:rsidRDefault="00ED748D" w:rsidP="002B23FD">
            <w:pPr>
              <w:pStyle w:val="TableDataColumnHeading"/>
              <w:rPr>
                <w:lang w:val="en-GB"/>
              </w:rPr>
            </w:pPr>
          </w:p>
        </w:tc>
        <w:tc>
          <w:tcPr>
            <w:tcW w:w="1018" w:type="dxa"/>
            <w:shd w:val="clear" w:color="auto" w:fill="6F6652"/>
            <w:tcMar>
              <w:left w:w="57" w:type="dxa"/>
              <w:right w:w="57" w:type="dxa"/>
            </w:tcMar>
          </w:tcPr>
          <w:p w14:paraId="216529A3" w14:textId="77777777" w:rsidR="00ED748D" w:rsidRDefault="00ED748D" w:rsidP="002B23FD">
            <w:pPr>
              <w:pStyle w:val="TableDataColumnHeading"/>
              <w:rPr>
                <w:lang w:val="en-GB"/>
              </w:rPr>
            </w:pPr>
          </w:p>
        </w:tc>
        <w:tc>
          <w:tcPr>
            <w:tcW w:w="1018" w:type="dxa"/>
            <w:shd w:val="clear" w:color="auto" w:fill="6F6652"/>
            <w:tcMar>
              <w:left w:w="57" w:type="dxa"/>
              <w:right w:w="57" w:type="dxa"/>
            </w:tcMar>
          </w:tcPr>
          <w:p w14:paraId="40FB0B4F" w14:textId="77777777" w:rsidR="00ED748D" w:rsidRDefault="00ED748D" w:rsidP="002B23FD">
            <w:pPr>
              <w:pStyle w:val="TableDataColumnHeading"/>
              <w:rPr>
                <w:lang w:val="en-GB"/>
              </w:rPr>
            </w:pPr>
            <w:r>
              <w:rPr>
                <w:lang w:val="en-GB"/>
              </w:rPr>
              <w:t>Low estimate</w:t>
            </w:r>
            <w:r>
              <w:rPr>
                <w:rStyle w:val="NoteLabel"/>
              </w:rPr>
              <w:t>d</w:t>
            </w:r>
          </w:p>
        </w:tc>
        <w:tc>
          <w:tcPr>
            <w:tcW w:w="1018" w:type="dxa"/>
            <w:shd w:val="clear" w:color="auto" w:fill="6F6652"/>
            <w:tcMar>
              <w:left w:w="57" w:type="dxa"/>
              <w:right w:w="57" w:type="dxa"/>
            </w:tcMar>
          </w:tcPr>
          <w:p w14:paraId="79EDBF45" w14:textId="77777777" w:rsidR="00ED748D" w:rsidRDefault="00ED748D" w:rsidP="002B23FD">
            <w:pPr>
              <w:pStyle w:val="TableDataColumnHeading"/>
              <w:rPr>
                <w:lang w:val="en-GB"/>
              </w:rPr>
            </w:pPr>
            <w:r>
              <w:rPr>
                <w:lang w:val="en-GB"/>
              </w:rPr>
              <w:t>Central case</w:t>
            </w:r>
          </w:p>
        </w:tc>
        <w:tc>
          <w:tcPr>
            <w:tcW w:w="1018" w:type="dxa"/>
            <w:shd w:val="clear" w:color="auto" w:fill="6F6652"/>
            <w:tcMar>
              <w:left w:w="57" w:type="dxa"/>
              <w:right w:w="57" w:type="dxa"/>
            </w:tcMar>
          </w:tcPr>
          <w:p w14:paraId="30CFB7A6" w14:textId="77777777" w:rsidR="00ED748D" w:rsidRDefault="00ED748D" w:rsidP="002B23FD">
            <w:pPr>
              <w:pStyle w:val="TableDataColumnHeading"/>
              <w:rPr>
                <w:lang w:val="en-GB"/>
              </w:rPr>
            </w:pPr>
            <w:r>
              <w:rPr>
                <w:lang w:val="en-GB"/>
              </w:rPr>
              <w:t>High estimate</w:t>
            </w:r>
            <w:r>
              <w:rPr>
                <w:rStyle w:val="NoteLabel"/>
              </w:rPr>
              <w:t>f</w:t>
            </w:r>
          </w:p>
        </w:tc>
      </w:tr>
      <w:tr w:rsidR="00ED748D" w14:paraId="1F9904ED" w14:textId="77777777" w:rsidTr="002B23FD">
        <w:trPr>
          <w:trHeight w:val="230"/>
          <w:tblHeader/>
        </w:trPr>
        <w:tc>
          <w:tcPr>
            <w:tcW w:w="814" w:type="dxa"/>
            <w:tcBorders>
              <w:bottom w:val="single" w:sz="8" w:space="0" w:color="FFFFFF" w:themeColor="background1"/>
            </w:tcBorders>
            <w:shd w:val="clear" w:color="auto" w:fill="auto"/>
            <w:tcMar>
              <w:left w:w="57" w:type="dxa"/>
              <w:right w:w="57" w:type="dxa"/>
            </w:tcMar>
          </w:tcPr>
          <w:p w14:paraId="444D43E0" w14:textId="77777777" w:rsidR="00ED748D" w:rsidRDefault="00ED748D" w:rsidP="002B23FD">
            <w:pPr>
              <w:pStyle w:val="TableUnit"/>
              <w:jc w:val="left"/>
              <w:rPr>
                <w:lang w:val="en-GB"/>
              </w:rPr>
            </w:pPr>
          </w:p>
        </w:tc>
        <w:tc>
          <w:tcPr>
            <w:tcW w:w="1018" w:type="dxa"/>
            <w:tcBorders>
              <w:bottom w:val="single" w:sz="8" w:space="0" w:color="FFFFFF" w:themeColor="background1"/>
            </w:tcBorders>
            <w:shd w:val="clear" w:color="auto" w:fill="auto"/>
            <w:tcMar>
              <w:left w:w="57" w:type="dxa"/>
              <w:right w:w="57" w:type="dxa"/>
            </w:tcMar>
          </w:tcPr>
          <w:p w14:paraId="6331CFD9" w14:textId="77777777" w:rsidR="00ED748D" w:rsidRDefault="00ED748D" w:rsidP="002B23FD">
            <w:pPr>
              <w:pStyle w:val="TableUnit"/>
              <w:rPr>
                <w:lang w:val="en-GB"/>
              </w:rPr>
            </w:pPr>
            <w:r>
              <w:rPr>
                <w:lang w:val="en-GB"/>
              </w:rPr>
              <w:t>'000</w:t>
            </w:r>
          </w:p>
        </w:tc>
        <w:tc>
          <w:tcPr>
            <w:tcW w:w="1018" w:type="dxa"/>
            <w:tcBorders>
              <w:bottom w:val="single" w:sz="8" w:space="0" w:color="FFFFFF" w:themeColor="background1"/>
            </w:tcBorders>
            <w:shd w:val="clear" w:color="auto" w:fill="auto"/>
            <w:tcMar>
              <w:left w:w="57" w:type="dxa"/>
              <w:right w:w="57" w:type="dxa"/>
            </w:tcMar>
          </w:tcPr>
          <w:p w14:paraId="08FFB21E"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5460ED28"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25770394"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61D11BC1"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2E22B6E5"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04CF4BBB" w14:textId="77777777" w:rsidR="00ED748D" w:rsidRDefault="00ED748D" w:rsidP="002B23FD">
            <w:pPr>
              <w:pStyle w:val="TableUnit"/>
              <w:rPr>
                <w:lang w:val="en-GB"/>
              </w:rPr>
            </w:pPr>
            <w:r>
              <w:rPr>
                <w:lang w:val="en-GB"/>
              </w:rPr>
              <w:t>No.</w:t>
            </w:r>
          </w:p>
        </w:tc>
      </w:tr>
      <w:tr w:rsidR="005C5910" w14:paraId="2FF35B57"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5EB038" w14:textId="77777777" w:rsidR="005C5910" w:rsidRDefault="005C5910" w:rsidP="005C5910">
            <w:pPr>
              <w:pStyle w:val="TableDataEntries"/>
              <w:jc w:val="left"/>
              <w:rPr>
                <w:lang w:val="en-GB"/>
              </w:rPr>
            </w:pPr>
            <w:r>
              <w:rPr>
                <w:lang w:val="en-GB"/>
              </w:rPr>
              <w:t xml:space="preserve">0 to 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9B300E" w14:textId="77777777" w:rsidR="005C5910" w:rsidRDefault="005C5910" w:rsidP="005C5910">
            <w:pPr>
              <w:pStyle w:val="TableDataEntries"/>
              <w:rPr>
                <w:lang w:val="en-GB"/>
              </w:rPr>
            </w:pPr>
            <w:r>
              <w:rPr>
                <w:lang w:val="en-GB"/>
              </w:rP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8F6F83"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B5DA0A"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7AAF97" w14:textId="77777777" w:rsidR="005C5910" w:rsidRPr="00CC0A1A" w:rsidRDefault="005C5910" w:rsidP="00CC0A1A">
            <w:pPr>
              <w:pStyle w:val="TableDataEntries"/>
            </w:pPr>
            <w:r w:rsidRPr="00CC0A1A">
              <w:t xml:space="preserve"> 44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AEF44C"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DEC32E" w14:textId="77777777" w:rsidR="005C5910" w:rsidRPr="00CC0A1A" w:rsidRDefault="005C5910" w:rsidP="00CC0A1A">
            <w:pPr>
              <w:pStyle w:val="TableDataEntries"/>
            </w:pPr>
            <w:r w:rsidRPr="00CC0A1A">
              <w:t xml:space="preserve"> 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F27EB2" w14:textId="77777777" w:rsidR="005C5910" w:rsidRPr="00CC0A1A" w:rsidRDefault="005C5910" w:rsidP="00CC0A1A">
            <w:pPr>
              <w:pStyle w:val="TableDataEntries"/>
            </w:pPr>
            <w:r w:rsidRPr="00CC0A1A">
              <w:t xml:space="preserve"> 16</w:t>
            </w:r>
          </w:p>
        </w:tc>
      </w:tr>
      <w:tr w:rsidR="005C5910" w14:paraId="77B10AC4"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03E8EE" w14:textId="77777777" w:rsidR="005C5910" w:rsidRDefault="005C5910" w:rsidP="005C5910">
            <w:pPr>
              <w:pStyle w:val="TableDataEntries"/>
              <w:jc w:val="left"/>
              <w:rPr>
                <w:lang w:val="en-GB"/>
              </w:rPr>
            </w:pPr>
            <w:r>
              <w:rPr>
                <w:lang w:val="en-GB"/>
              </w:rPr>
              <w:t xml:space="preserve">5 to 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0BC182" w14:textId="77777777" w:rsidR="005C5910" w:rsidRDefault="005C5910" w:rsidP="005C5910">
            <w:pPr>
              <w:pStyle w:val="TableDataEntries"/>
              <w:rPr>
                <w:lang w:val="en-GB"/>
              </w:rPr>
            </w:pPr>
            <w:r>
              <w:rPr>
                <w:lang w:val="en-GB"/>
              </w:rPr>
              <w:t xml:space="preserve"> 6.6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0B8A46"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C43E3A"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9403A6" w14:textId="77777777" w:rsidR="005C5910" w:rsidRPr="00CC0A1A" w:rsidRDefault="005C5910" w:rsidP="00CC0A1A">
            <w:pPr>
              <w:pStyle w:val="TableDataEntries"/>
            </w:pPr>
            <w:r w:rsidRPr="00CC0A1A">
              <w:t xml:space="preserve"> 38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5CCEB6"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72DE51" w14:textId="77777777" w:rsidR="005C5910" w:rsidRPr="00CC0A1A" w:rsidRDefault="005C5910" w:rsidP="00CC0A1A">
            <w:pPr>
              <w:pStyle w:val="TableDataEntries"/>
            </w:pPr>
            <w:r w:rsidRPr="00CC0A1A">
              <w:t xml:space="preserve"> 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C7A27B" w14:textId="77777777" w:rsidR="005C5910" w:rsidRPr="00CC0A1A" w:rsidRDefault="005C5910" w:rsidP="00CC0A1A">
            <w:pPr>
              <w:pStyle w:val="TableDataEntries"/>
            </w:pPr>
            <w:r w:rsidRPr="00CC0A1A">
              <w:t xml:space="preserve"> 14</w:t>
            </w:r>
          </w:p>
        </w:tc>
      </w:tr>
      <w:tr w:rsidR="005C5910" w14:paraId="6CD9DABA"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F70959" w14:textId="77777777" w:rsidR="005C5910" w:rsidRDefault="005C5910" w:rsidP="005C5910">
            <w:pPr>
              <w:pStyle w:val="TableDataEntries"/>
              <w:jc w:val="left"/>
              <w:rPr>
                <w:lang w:val="en-GB"/>
              </w:rPr>
            </w:pPr>
            <w:r>
              <w:rPr>
                <w:lang w:val="en-GB"/>
              </w:rPr>
              <w:t xml:space="preserve">10 to 14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2E76D1" w14:textId="77777777" w:rsidR="005C5910" w:rsidRDefault="005C5910" w:rsidP="005C5910">
            <w:pPr>
              <w:pStyle w:val="TableDataEntries"/>
              <w:rPr>
                <w:lang w:val="en-GB"/>
              </w:rPr>
            </w:pPr>
            <w:r>
              <w:rPr>
                <w:lang w:val="en-GB"/>
              </w:rPr>
              <w:t xml:space="preserve"> 5.6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9127D0"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B12203"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72C9EC" w14:textId="77777777" w:rsidR="005C5910" w:rsidRPr="00CC0A1A" w:rsidRDefault="005C5910" w:rsidP="00CC0A1A">
            <w:pPr>
              <w:pStyle w:val="TableDataEntries"/>
            </w:pPr>
            <w:r w:rsidRPr="00CC0A1A">
              <w:t xml:space="preserve"> 32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B92DE4"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223E6C" w14:textId="77777777" w:rsidR="005C5910" w:rsidRPr="00CC0A1A" w:rsidRDefault="005C5910" w:rsidP="00CC0A1A">
            <w:pPr>
              <w:pStyle w:val="TableDataEntries"/>
            </w:pPr>
            <w:r w:rsidRPr="00CC0A1A">
              <w:t xml:space="preserve"> 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C190BA" w14:textId="77777777" w:rsidR="005C5910" w:rsidRPr="00CC0A1A" w:rsidRDefault="005C5910" w:rsidP="00CC0A1A">
            <w:pPr>
              <w:pStyle w:val="TableDataEntries"/>
            </w:pPr>
            <w:r w:rsidRPr="00CC0A1A">
              <w:t xml:space="preserve"> 12</w:t>
            </w:r>
          </w:p>
        </w:tc>
      </w:tr>
      <w:tr w:rsidR="005C5910" w14:paraId="72B60FFC"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A90362" w14:textId="77777777" w:rsidR="005C5910" w:rsidRDefault="005C5910" w:rsidP="005C5910">
            <w:pPr>
              <w:pStyle w:val="TableDataEntries"/>
              <w:jc w:val="left"/>
              <w:rPr>
                <w:lang w:val="en-GB"/>
              </w:rPr>
            </w:pPr>
            <w:r>
              <w:rPr>
                <w:lang w:val="en-GB"/>
              </w:rPr>
              <w:t xml:space="preserve">15 to 19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F3C381" w14:textId="77777777" w:rsidR="005C5910" w:rsidRDefault="005C5910" w:rsidP="005C5910">
            <w:pPr>
              <w:pStyle w:val="TableDataEntries"/>
              <w:rPr>
                <w:lang w:val="en-GB"/>
              </w:rPr>
            </w:pPr>
            <w:r>
              <w:rPr>
                <w:lang w:val="en-GB"/>
              </w:rPr>
              <w:t xml:space="preserve"> 8.8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A02445"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9C675F"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368E8B" w14:textId="77777777" w:rsidR="005C5910" w:rsidRPr="00CC0A1A" w:rsidRDefault="005C5910" w:rsidP="00CC0A1A">
            <w:pPr>
              <w:pStyle w:val="TableDataEntries"/>
            </w:pPr>
            <w:r w:rsidRPr="00CC0A1A">
              <w:t xml:space="preserve"> 51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07149A"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AE5B4C" w14:textId="77777777" w:rsidR="005C5910" w:rsidRPr="00CC0A1A" w:rsidRDefault="005C5910" w:rsidP="00CC0A1A">
            <w:pPr>
              <w:pStyle w:val="TableDataEntries"/>
            </w:pPr>
            <w:r w:rsidRPr="00CC0A1A">
              <w:t xml:space="preserve"> 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F1361E" w14:textId="77777777" w:rsidR="005C5910" w:rsidRPr="00CC0A1A" w:rsidRDefault="005C5910" w:rsidP="00CC0A1A">
            <w:pPr>
              <w:pStyle w:val="TableDataEntries"/>
            </w:pPr>
            <w:r w:rsidRPr="00CC0A1A">
              <w:t xml:space="preserve"> 19</w:t>
            </w:r>
          </w:p>
        </w:tc>
      </w:tr>
      <w:tr w:rsidR="005C5910" w14:paraId="77BEE018"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9036C0" w14:textId="77777777" w:rsidR="005C5910" w:rsidRDefault="005C5910" w:rsidP="005C5910">
            <w:pPr>
              <w:pStyle w:val="TableDataEntries"/>
              <w:jc w:val="left"/>
              <w:rPr>
                <w:lang w:val="en-GB"/>
              </w:rPr>
            </w:pPr>
            <w:r>
              <w:rPr>
                <w:lang w:val="en-GB"/>
              </w:rPr>
              <w:t xml:space="preserve">20 to 24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91357F" w14:textId="77777777" w:rsidR="005C5910" w:rsidRDefault="005C5910" w:rsidP="005C5910">
            <w:pPr>
              <w:pStyle w:val="TableDataEntries"/>
              <w:rPr>
                <w:lang w:val="en-GB"/>
              </w:rPr>
            </w:pPr>
            <w:r>
              <w:rPr>
                <w:lang w:val="en-GB"/>
              </w:rPr>
              <w:t xml:space="preserve"> 5.4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E297E"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4AB73E"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6491A7" w14:textId="77777777" w:rsidR="005C5910" w:rsidRPr="00CC0A1A" w:rsidRDefault="005C5910" w:rsidP="00CC0A1A">
            <w:pPr>
              <w:pStyle w:val="TableDataEntries"/>
            </w:pPr>
            <w:r w:rsidRPr="00CC0A1A">
              <w:t xml:space="preserve"> 31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347C20"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8AA3E7" w14:textId="77777777" w:rsidR="005C5910" w:rsidRPr="00CC0A1A" w:rsidRDefault="005C5910" w:rsidP="00CC0A1A">
            <w:pPr>
              <w:pStyle w:val="TableDataEntries"/>
            </w:pPr>
            <w:r w:rsidRPr="00CC0A1A">
              <w:t xml:space="preserve"> 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BEAB4F" w14:textId="77777777" w:rsidR="005C5910" w:rsidRPr="00CC0A1A" w:rsidRDefault="005C5910" w:rsidP="00CC0A1A">
            <w:pPr>
              <w:pStyle w:val="TableDataEntries"/>
            </w:pPr>
            <w:r w:rsidRPr="00CC0A1A">
              <w:t xml:space="preserve"> 11</w:t>
            </w:r>
          </w:p>
        </w:tc>
      </w:tr>
      <w:tr w:rsidR="005C5910" w14:paraId="47D47084"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A7F639" w14:textId="77777777" w:rsidR="005C5910" w:rsidRDefault="005C5910" w:rsidP="005C5910">
            <w:pPr>
              <w:pStyle w:val="TableDataEntries"/>
              <w:jc w:val="left"/>
              <w:rPr>
                <w:lang w:val="en-GB"/>
              </w:rPr>
            </w:pPr>
            <w:r>
              <w:rPr>
                <w:lang w:val="en-GB"/>
              </w:rPr>
              <w:t xml:space="preserve">25 to 29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9DCC22" w14:textId="77777777" w:rsidR="005C5910" w:rsidRDefault="005C5910" w:rsidP="005C5910">
            <w:pPr>
              <w:pStyle w:val="TableDataEntries"/>
              <w:rPr>
                <w:lang w:val="en-GB"/>
              </w:rPr>
            </w:pPr>
            <w:r>
              <w:rPr>
                <w:lang w:val="en-GB"/>
              </w:rPr>
              <w:t xml:space="preserve"> 8.4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AD360E"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FF7ABE"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14CC0C" w14:textId="77777777" w:rsidR="005C5910" w:rsidRPr="00CC0A1A" w:rsidRDefault="005C5910" w:rsidP="00CC0A1A">
            <w:pPr>
              <w:pStyle w:val="TableDataEntries"/>
            </w:pPr>
            <w:r w:rsidRPr="00CC0A1A">
              <w:t xml:space="preserve"> 48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E4E078"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843BF4" w14:textId="77777777" w:rsidR="005C5910" w:rsidRPr="00CC0A1A" w:rsidRDefault="005C5910" w:rsidP="00CC0A1A">
            <w:pPr>
              <w:pStyle w:val="TableDataEntries"/>
            </w:pPr>
            <w:r w:rsidRPr="00CC0A1A">
              <w:t xml:space="preserve"> 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FCC9BF" w14:textId="77777777" w:rsidR="005C5910" w:rsidRPr="00CC0A1A" w:rsidRDefault="005C5910" w:rsidP="00CC0A1A">
            <w:pPr>
              <w:pStyle w:val="TableDataEntries"/>
            </w:pPr>
            <w:r w:rsidRPr="00CC0A1A">
              <w:t xml:space="preserve"> 18</w:t>
            </w:r>
          </w:p>
        </w:tc>
      </w:tr>
      <w:tr w:rsidR="005C5910" w14:paraId="4BB13BFF"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ED4069" w14:textId="77777777" w:rsidR="005C5910" w:rsidRDefault="005C5910" w:rsidP="005C5910">
            <w:pPr>
              <w:pStyle w:val="TableDataEntries"/>
              <w:jc w:val="left"/>
              <w:rPr>
                <w:lang w:val="en-GB"/>
              </w:rPr>
            </w:pPr>
            <w:r>
              <w:rPr>
                <w:lang w:val="en-GB"/>
              </w:rPr>
              <w:t xml:space="preserve">30 to 34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CCC86D" w14:textId="77777777" w:rsidR="005C5910" w:rsidRDefault="005C5910" w:rsidP="005C5910">
            <w:pPr>
              <w:pStyle w:val="TableDataEntries"/>
              <w:rPr>
                <w:lang w:val="en-GB"/>
              </w:rPr>
            </w:pPr>
            <w:r>
              <w:rPr>
                <w:lang w:val="en-GB"/>
              </w:rPr>
              <w:t xml:space="preserve"> 11.9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31ADA1"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DEBD86"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1994D3" w14:textId="77777777" w:rsidR="005C5910" w:rsidRPr="00CC0A1A" w:rsidRDefault="005C5910" w:rsidP="00CC0A1A">
            <w:pPr>
              <w:pStyle w:val="TableDataEntries"/>
            </w:pPr>
            <w:r w:rsidRPr="00CC0A1A">
              <w:t xml:space="preserve"> 68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6F1FA5"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1DD13D" w14:textId="77777777" w:rsidR="005C5910" w:rsidRPr="00CC0A1A" w:rsidRDefault="005C5910" w:rsidP="00CC0A1A">
            <w:pPr>
              <w:pStyle w:val="TableDataEntries"/>
            </w:pPr>
            <w:r w:rsidRPr="00CC0A1A">
              <w:t xml:space="preserve"> 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F0D1E5" w14:textId="77777777" w:rsidR="005C5910" w:rsidRPr="00CC0A1A" w:rsidRDefault="005C5910" w:rsidP="00CC0A1A">
            <w:pPr>
              <w:pStyle w:val="TableDataEntries"/>
            </w:pPr>
            <w:r w:rsidRPr="00CC0A1A">
              <w:t xml:space="preserve"> 25</w:t>
            </w:r>
          </w:p>
        </w:tc>
      </w:tr>
      <w:tr w:rsidR="005C5910" w14:paraId="5C5334C7"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577E80" w14:textId="77777777" w:rsidR="005C5910" w:rsidRDefault="005C5910" w:rsidP="005C5910">
            <w:pPr>
              <w:pStyle w:val="TableDataEntries"/>
              <w:jc w:val="left"/>
              <w:rPr>
                <w:lang w:val="en-GB"/>
              </w:rPr>
            </w:pPr>
            <w:r>
              <w:rPr>
                <w:lang w:val="en-GB"/>
              </w:rPr>
              <w:t xml:space="preserve">35 to 39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9CDEAC" w14:textId="77777777" w:rsidR="005C5910" w:rsidRDefault="005C5910" w:rsidP="005C5910">
            <w:pPr>
              <w:pStyle w:val="TableDataEntries"/>
              <w:rPr>
                <w:lang w:val="en-GB"/>
              </w:rPr>
            </w:pPr>
            <w:r>
              <w:rPr>
                <w:lang w:val="en-GB"/>
              </w:rPr>
              <w:t xml:space="preserve"> 11.5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175517"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27F658"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228781" w14:textId="77777777" w:rsidR="005C5910" w:rsidRPr="00CC0A1A" w:rsidRDefault="005C5910" w:rsidP="00CC0A1A">
            <w:pPr>
              <w:pStyle w:val="TableDataEntries"/>
            </w:pPr>
            <w:r w:rsidRPr="00CC0A1A">
              <w:t xml:space="preserve"> 66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B52B2B"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45D927" w14:textId="77777777" w:rsidR="005C5910" w:rsidRPr="00CC0A1A" w:rsidRDefault="005C5910" w:rsidP="00CC0A1A">
            <w:pPr>
              <w:pStyle w:val="TableDataEntries"/>
            </w:pPr>
            <w:r w:rsidRPr="00CC0A1A">
              <w:t xml:space="preserve"> 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A88069" w14:textId="77777777" w:rsidR="005C5910" w:rsidRPr="00CC0A1A" w:rsidRDefault="005C5910" w:rsidP="00CC0A1A">
            <w:pPr>
              <w:pStyle w:val="TableDataEntries"/>
            </w:pPr>
            <w:r w:rsidRPr="00CC0A1A">
              <w:t xml:space="preserve"> 24</w:t>
            </w:r>
          </w:p>
        </w:tc>
      </w:tr>
      <w:tr w:rsidR="005C5910" w14:paraId="4CE8FE1D"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1CA136" w14:textId="77777777" w:rsidR="005C5910" w:rsidRDefault="005C5910" w:rsidP="005C5910">
            <w:pPr>
              <w:pStyle w:val="TableDataEntries"/>
              <w:jc w:val="left"/>
              <w:rPr>
                <w:lang w:val="en-GB"/>
              </w:rPr>
            </w:pPr>
            <w:r>
              <w:rPr>
                <w:lang w:val="en-GB"/>
              </w:rPr>
              <w:t xml:space="preserve">40 to 44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619C8A" w14:textId="77777777" w:rsidR="005C5910" w:rsidRDefault="005C5910" w:rsidP="005C5910">
            <w:pPr>
              <w:pStyle w:val="TableDataEntries"/>
              <w:rPr>
                <w:lang w:val="en-GB"/>
              </w:rPr>
            </w:pPr>
            <w:r>
              <w:rPr>
                <w:lang w:val="en-GB"/>
              </w:rPr>
              <w:t xml:space="preserve"> 16.7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BF20CB"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59CA3C"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B04C5E" w14:textId="77777777" w:rsidR="005C5910" w:rsidRPr="00CC0A1A" w:rsidRDefault="005C5910" w:rsidP="00CC0A1A">
            <w:pPr>
              <w:pStyle w:val="TableDataEntries"/>
            </w:pPr>
            <w:r w:rsidRPr="00CC0A1A">
              <w:t xml:space="preserve"> 96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6E93A2"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226D77" w14:textId="77777777" w:rsidR="005C5910" w:rsidRPr="00CC0A1A" w:rsidRDefault="005C5910" w:rsidP="00CC0A1A">
            <w:pPr>
              <w:pStyle w:val="TableDataEntries"/>
            </w:pPr>
            <w:r w:rsidRPr="00CC0A1A">
              <w:t xml:space="preserve"> 10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CE503C" w14:textId="77777777" w:rsidR="005C5910" w:rsidRPr="00CC0A1A" w:rsidRDefault="005C5910" w:rsidP="00CC0A1A">
            <w:pPr>
              <w:pStyle w:val="TableDataEntries"/>
            </w:pPr>
            <w:r w:rsidRPr="00CC0A1A">
              <w:t xml:space="preserve"> 36</w:t>
            </w:r>
          </w:p>
        </w:tc>
      </w:tr>
      <w:tr w:rsidR="005C5910" w14:paraId="1FDE0BE4"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69832B" w14:textId="77777777" w:rsidR="005C5910" w:rsidRDefault="005C5910" w:rsidP="005C5910">
            <w:pPr>
              <w:pStyle w:val="TableDataEntries"/>
              <w:jc w:val="left"/>
              <w:rPr>
                <w:lang w:val="en-GB"/>
              </w:rPr>
            </w:pPr>
            <w:r>
              <w:rPr>
                <w:lang w:val="en-GB"/>
              </w:rPr>
              <w:t xml:space="preserve">45 to 49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D9B9EC" w14:textId="77777777" w:rsidR="005C5910" w:rsidRDefault="005C5910" w:rsidP="005C5910">
            <w:pPr>
              <w:pStyle w:val="TableDataEntries"/>
              <w:rPr>
                <w:lang w:val="en-GB"/>
              </w:rPr>
            </w:pPr>
            <w:r>
              <w:rPr>
                <w:lang w:val="en-GB"/>
              </w:rPr>
              <w:t xml:space="preserve"> 23.2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BE8082"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54B2AC"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575A35" w14:textId="77777777" w:rsidR="005C5910" w:rsidRPr="00CC0A1A" w:rsidRDefault="005C5910" w:rsidP="00CC0A1A">
            <w:pPr>
              <w:pStyle w:val="TableDataEntries"/>
            </w:pPr>
            <w:r w:rsidRPr="00CC0A1A">
              <w:t xml:space="preserve"> 133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2C887C"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7CBFBB" w14:textId="77777777" w:rsidR="005C5910" w:rsidRPr="00CC0A1A" w:rsidRDefault="005C5910" w:rsidP="00CC0A1A">
            <w:pPr>
              <w:pStyle w:val="TableDataEntries"/>
            </w:pPr>
            <w:r w:rsidRPr="00CC0A1A">
              <w:t xml:space="preserve"> 13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D45C19" w14:textId="77777777" w:rsidR="005C5910" w:rsidRPr="00CC0A1A" w:rsidRDefault="005C5910" w:rsidP="00CC0A1A">
            <w:pPr>
              <w:pStyle w:val="TableDataEntries"/>
            </w:pPr>
            <w:r w:rsidRPr="00CC0A1A">
              <w:t xml:space="preserve"> 49</w:t>
            </w:r>
          </w:p>
        </w:tc>
      </w:tr>
      <w:tr w:rsidR="005C5910" w14:paraId="66FD0367"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AF762" w14:textId="77777777" w:rsidR="005C5910" w:rsidRDefault="005C5910" w:rsidP="005C5910">
            <w:pPr>
              <w:pStyle w:val="TableDataEntries"/>
              <w:jc w:val="left"/>
              <w:rPr>
                <w:lang w:val="en-GB"/>
              </w:rPr>
            </w:pPr>
            <w:r>
              <w:rPr>
                <w:lang w:val="en-GB"/>
              </w:rPr>
              <w:t xml:space="preserve">50 to 54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711E01" w14:textId="77777777" w:rsidR="005C5910" w:rsidRDefault="005C5910" w:rsidP="005C5910">
            <w:pPr>
              <w:pStyle w:val="TableDataEntries"/>
              <w:rPr>
                <w:lang w:val="en-GB"/>
              </w:rPr>
            </w:pPr>
            <w:r>
              <w:rPr>
                <w:lang w:val="en-GB"/>
              </w:rPr>
              <w:t xml:space="preserve"> 25.2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98D711"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7F84B0"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1221C9" w14:textId="77777777" w:rsidR="005C5910" w:rsidRPr="00CC0A1A" w:rsidRDefault="005C5910" w:rsidP="00CC0A1A">
            <w:pPr>
              <w:pStyle w:val="TableDataEntries"/>
            </w:pPr>
            <w:r w:rsidRPr="00CC0A1A">
              <w:t xml:space="preserve"> 145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A711A9"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5D3AC5" w14:textId="77777777" w:rsidR="005C5910" w:rsidRPr="00CC0A1A" w:rsidRDefault="005C5910" w:rsidP="00CC0A1A">
            <w:pPr>
              <w:pStyle w:val="TableDataEntries"/>
            </w:pPr>
            <w:r w:rsidRPr="00CC0A1A">
              <w:t xml:space="preserve"> 14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A437C9" w14:textId="77777777" w:rsidR="005C5910" w:rsidRPr="00CC0A1A" w:rsidRDefault="005C5910" w:rsidP="00CC0A1A">
            <w:pPr>
              <w:pStyle w:val="TableDataEntries"/>
            </w:pPr>
            <w:r w:rsidRPr="00CC0A1A">
              <w:t xml:space="preserve"> 54</w:t>
            </w:r>
          </w:p>
        </w:tc>
      </w:tr>
      <w:tr w:rsidR="005C5910" w14:paraId="294F22B6"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786ECC" w14:textId="77777777" w:rsidR="005C5910" w:rsidRDefault="005C5910" w:rsidP="005C5910">
            <w:pPr>
              <w:pStyle w:val="TableDataEntries"/>
              <w:jc w:val="left"/>
              <w:rPr>
                <w:lang w:val="en-GB"/>
              </w:rPr>
            </w:pPr>
            <w:r>
              <w:rPr>
                <w:lang w:val="en-GB"/>
              </w:rPr>
              <w:t xml:space="preserve">55 to 59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3F3C90" w14:textId="77777777" w:rsidR="005C5910" w:rsidRDefault="005C5910" w:rsidP="005C5910">
            <w:pPr>
              <w:pStyle w:val="TableDataEntries"/>
              <w:rPr>
                <w:lang w:val="en-GB"/>
              </w:rPr>
            </w:pPr>
            <w:r>
              <w:rPr>
                <w:lang w:val="en-GB"/>
              </w:rPr>
              <w:t xml:space="preserve"> 34.8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03197C"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F5743A"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78A82A" w14:textId="77777777" w:rsidR="005C5910" w:rsidRPr="00CC0A1A" w:rsidRDefault="005C5910" w:rsidP="00CC0A1A">
            <w:pPr>
              <w:pStyle w:val="TableDataEntries"/>
            </w:pPr>
            <w:r w:rsidRPr="00CC0A1A">
              <w:t xml:space="preserve"> 200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D83DF4"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CDACA8" w14:textId="77777777" w:rsidR="005C5910" w:rsidRPr="00CC0A1A" w:rsidRDefault="005C5910" w:rsidP="00CC0A1A">
            <w:pPr>
              <w:pStyle w:val="TableDataEntries"/>
            </w:pPr>
            <w:r w:rsidRPr="00CC0A1A">
              <w:t xml:space="preserve"> 20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657BE7" w14:textId="77777777" w:rsidR="005C5910" w:rsidRPr="00CC0A1A" w:rsidRDefault="005C5910" w:rsidP="00CC0A1A">
            <w:pPr>
              <w:pStyle w:val="TableDataEntries"/>
            </w:pPr>
            <w:r w:rsidRPr="00CC0A1A">
              <w:t xml:space="preserve"> 74</w:t>
            </w:r>
          </w:p>
        </w:tc>
      </w:tr>
      <w:tr w:rsidR="005C5910" w14:paraId="36404FBB"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37921" w14:textId="77777777" w:rsidR="005C5910" w:rsidRDefault="005C5910" w:rsidP="005C5910">
            <w:pPr>
              <w:pStyle w:val="TableDataEntries"/>
              <w:jc w:val="left"/>
              <w:rPr>
                <w:lang w:val="en-GB"/>
              </w:rPr>
            </w:pPr>
            <w:r>
              <w:rPr>
                <w:lang w:val="en-GB"/>
              </w:rPr>
              <w:t xml:space="preserve">60 to 64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7ADF1A" w14:textId="77777777" w:rsidR="005C5910" w:rsidRDefault="005C5910" w:rsidP="005C5910">
            <w:pPr>
              <w:pStyle w:val="TableDataEntries"/>
              <w:rPr>
                <w:lang w:val="en-GB"/>
              </w:rPr>
            </w:pPr>
            <w:r>
              <w:rPr>
                <w:lang w:val="en-GB"/>
              </w:rPr>
              <w:t xml:space="preserve"> 31.8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CDA270"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DD9328"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6331A9" w14:textId="77777777" w:rsidR="005C5910" w:rsidRPr="00CC0A1A" w:rsidRDefault="005C5910" w:rsidP="00CC0A1A">
            <w:pPr>
              <w:pStyle w:val="TableDataEntries"/>
            </w:pPr>
            <w:r w:rsidRPr="00CC0A1A">
              <w:t xml:space="preserve"> 183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74E8DA"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15BF79" w14:textId="77777777" w:rsidR="005C5910" w:rsidRPr="00CC0A1A" w:rsidRDefault="005C5910" w:rsidP="00CC0A1A">
            <w:pPr>
              <w:pStyle w:val="TableDataEntries"/>
            </w:pPr>
            <w:r w:rsidRPr="00CC0A1A">
              <w:t xml:space="preserve"> 18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5F5B5A" w14:textId="77777777" w:rsidR="005C5910" w:rsidRPr="00CC0A1A" w:rsidRDefault="005C5910" w:rsidP="00CC0A1A">
            <w:pPr>
              <w:pStyle w:val="TableDataEntries"/>
            </w:pPr>
            <w:r w:rsidRPr="00CC0A1A">
              <w:t xml:space="preserve"> 68</w:t>
            </w:r>
          </w:p>
        </w:tc>
      </w:tr>
      <w:tr w:rsidR="005C5910" w14:paraId="29A2D23A"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3F9013" w14:textId="77777777" w:rsidR="005C5910" w:rsidRDefault="005C5910" w:rsidP="005C5910">
            <w:pPr>
              <w:pStyle w:val="TableDataEntries"/>
              <w:jc w:val="left"/>
              <w:rPr>
                <w:lang w:val="en-GB"/>
              </w:rPr>
            </w:pPr>
            <w:r>
              <w:rPr>
                <w:lang w:val="en-GB"/>
              </w:rPr>
              <w:t xml:space="preserve">65 to 69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870C43" w14:textId="77777777" w:rsidR="005C5910" w:rsidRDefault="005C5910" w:rsidP="005C5910">
            <w:pPr>
              <w:pStyle w:val="TableDataEntries"/>
              <w:rPr>
                <w:lang w:val="en-GB"/>
              </w:rPr>
            </w:pPr>
            <w:r>
              <w:rPr>
                <w:lang w:val="en-GB"/>
              </w:rPr>
              <w:t xml:space="preserve"> 35.7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EE1446" w14:textId="77777777" w:rsidR="005C5910" w:rsidRPr="00CC0A1A" w:rsidRDefault="005C5910" w:rsidP="00CC0A1A">
            <w:pPr>
              <w:pStyle w:val="TableDataEntries"/>
            </w:pPr>
            <w:r w:rsidRPr="00CC0A1A">
              <w:t>1 122.36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8C822C" w14:textId="77777777" w:rsidR="005C5910" w:rsidRPr="00CC0A1A" w:rsidRDefault="005C5910" w:rsidP="00CC0A1A">
            <w:pPr>
              <w:pStyle w:val="TableDataEntries"/>
            </w:pPr>
            <w:r w:rsidRPr="00CC0A1A">
              <w:t xml:space="preserve"> 574.65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6A8310" w14:textId="77777777" w:rsidR="005C5910" w:rsidRPr="00CC0A1A" w:rsidRDefault="005C5910" w:rsidP="00CC0A1A">
            <w:pPr>
              <w:pStyle w:val="TableDataEntries"/>
            </w:pPr>
            <w:r w:rsidRPr="00CC0A1A">
              <w:t xml:space="preserve"> 205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32D5AD"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3C3806" w14:textId="77777777" w:rsidR="005C5910" w:rsidRPr="00CC0A1A" w:rsidRDefault="005C5910" w:rsidP="00CC0A1A">
            <w:pPr>
              <w:pStyle w:val="TableDataEntries"/>
            </w:pPr>
            <w:r w:rsidRPr="00CC0A1A">
              <w:t xml:space="preserve"> 21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3E006B" w14:textId="77777777" w:rsidR="005C5910" w:rsidRPr="00CC0A1A" w:rsidRDefault="005C5910" w:rsidP="00CC0A1A">
            <w:pPr>
              <w:pStyle w:val="TableDataEntries"/>
            </w:pPr>
            <w:r w:rsidRPr="00CC0A1A">
              <w:t xml:space="preserve"> 76</w:t>
            </w:r>
          </w:p>
        </w:tc>
      </w:tr>
      <w:tr w:rsidR="005C5910" w14:paraId="3B523653"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67CE3D" w14:textId="77777777" w:rsidR="005C5910" w:rsidRDefault="005C5910" w:rsidP="005C5910">
            <w:pPr>
              <w:pStyle w:val="TableDataEntries"/>
              <w:jc w:val="left"/>
              <w:rPr>
                <w:lang w:val="en-GB"/>
              </w:rPr>
            </w:pPr>
            <w:r>
              <w:rPr>
                <w:lang w:val="en-GB"/>
              </w:rPr>
              <w:t xml:space="preserve">70 to 74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5FEBD4" w14:textId="77777777" w:rsidR="005C5910" w:rsidRDefault="005C5910" w:rsidP="005C5910">
            <w:pPr>
              <w:pStyle w:val="TableDataEntries"/>
              <w:rPr>
                <w:lang w:val="en-GB"/>
              </w:rPr>
            </w:pPr>
            <w:r>
              <w:rPr>
                <w:lang w:val="en-GB"/>
              </w:rPr>
              <w:t xml:space="preserve"> 23.0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E6EC8B" w14:textId="77777777" w:rsidR="005C5910" w:rsidRPr="00CC0A1A" w:rsidRDefault="005C5910" w:rsidP="00CC0A1A">
            <w:pPr>
              <w:pStyle w:val="TableDataEntries"/>
            </w:pPr>
            <w:r w:rsidRPr="00CC0A1A">
              <w:t>1 667.52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0D8A1B" w14:textId="77777777" w:rsidR="005C5910" w:rsidRPr="00CC0A1A" w:rsidRDefault="005C5910" w:rsidP="00CC0A1A">
            <w:pPr>
              <w:pStyle w:val="TableDataEntries"/>
            </w:pPr>
            <w:r w:rsidRPr="00CC0A1A">
              <w:t xml:space="preserve"> 853.77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780028" w14:textId="77777777" w:rsidR="005C5910" w:rsidRPr="00CC0A1A" w:rsidRDefault="005C5910" w:rsidP="00CC0A1A">
            <w:pPr>
              <w:pStyle w:val="TableDataEntries"/>
            </w:pPr>
            <w:r w:rsidRPr="00CC0A1A">
              <w:t xml:space="preserve"> 196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AAC9E9"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10BF24" w14:textId="77777777" w:rsidR="005C5910" w:rsidRPr="00CC0A1A" w:rsidRDefault="005C5910" w:rsidP="00CC0A1A">
            <w:pPr>
              <w:pStyle w:val="TableDataEntries"/>
            </w:pPr>
            <w:r w:rsidRPr="00CC0A1A">
              <w:t xml:space="preserve"> 20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81BD90" w14:textId="77777777" w:rsidR="005C5910" w:rsidRPr="00CC0A1A" w:rsidRDefault="005C5910" w:rsidP="00CC0A1A">
            <w:pPr>
              <w:pStyle w:val="TableDataEntries"/>
            </w:pPr>
            <w:r w:rsidRPr="00CC0A1A">
              <w:t xml:space="preserve"> 73</w:t>
            </w:r>
          </w:p>
        </w:tc>
      </w:tr>
      <w:tr w:rsidR="005C5910" w14:paraId="4EB5467D"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ACF1D" w14:textId="77777777" w:rsidR="005C5910" w:rsidRDefault="005C5910" w:rsidP="005C5910">
            <w:pPr>
              <w:pStyle w:val="TableDataEntries"/>
              <w:jc w:val="left"/>
              <w:rPr>
                <w:lang w:val="en-GB"/>
              </w:rPr>
            </w:pPr>
            <w:r>
              <w:rPr>
                <w:lang w:val="en-GB"/>
              </w:rPr>
              <w:t xml:space="preserve">75 to 79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E877E2" w14:textId="77777777" w:rsidR="005C5910" w:rsidRDefault="005C5910" w:rsidP="005C5910">
            <w:pPr>
              <w:pStyle w:val="TableDataEntries"/>
              <w:rPr>
                <w:lang w:val="en-GB"/>
              </w:rPr>
            </w:pPr>
            <w:r>
              <w:rPr>
                <w:lang w:val="en-GB"/>
              </w:rPr>
              <w:t xml:space="preserve"> 25.8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4BE59A" w14:textId="77777777" w:rsidR="005C5910" w:rsidRPr="00CC0A1A" w:rsidRDefault="005C5910" w:rsidP="00CC0A1A">
            <w:pPr>
              <w:pStyle w:val="TableDataEntries"/>
            </w:pPr>
            <w:r w:rsidRPr="00CC0A1A">
              <w:t>2 834.07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B4303D" w14:textId="77777777" w:rsidR="005C5910" w:rsidRPr="00CC0A1A" w:rsidRDefault="005C5910" w:rsidP="00CC0A1A">
            <w:pPr>
              <w:pStyle w:val="TableDataEntries"/>
            </w:pPr>
            <w:r w:rsidRPr="00CC0A1A">
              <w:t>1 451.04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AB988F" w14:textId="77777777" w:rsidR="005C5910" w:rsidRPr="00CC0A1A" w:rsidRDefault="005C5910" w:rsidP="00CC0A1A">
            <w:pPr>
              <w:pStyle w:val="TableDataEntries"/>
            </w:pPr>
            <w:r w:rsidRPr="00CC0A1A">
              <w:t xml:space="preserve"> 374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087E4B"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E1BCA4" w14:textId="77777777" w:rsidR="005C5910" w:rsidRPr="00CC0A1A" w:rsidRDefault="005C5910" w:rsidP="00CC0A1A">
            <w:pPr>
              <w:pStyle w:val="TableDataEntries"/>
            </w:pPr>
            <w:r w:rsidRPr="00CC0A1A">
              <w:t xml:space="preserve"> 37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0EBEAA" w14:textId="77777777" w:rsidR="005C5910" w:rsidRPr="00CC0A1A" w:rsidRDefault="005C5910" w:rsidP="00CC0A1A">
            <w:pPr>
              <w:pStyle w:val="TableDataEntries"/>
            </w:pPr>
            <w:r w:rsidRPr="00CC0A1A">
              <w:t xml:space="preserve"> 139</w:t>
            </w:r>
          </w:p>
        </w:tc>
      </w:tr>
      <w:tr w:rsidR="005C5910" w14:paraId="2F403F28"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5E153C" w14:textId="77777777" w:rsidR="005C5910" w:rsidRDefault="005C5910" w:rsidP="005C5910">
            <w:pPr>
              <w:pStyle w:val="TableDataEntries"/>
              <w:jc w:val="left"/>
              <w:rPr>
                <w:lang w:val="en-GB"/>
              </w:rPr>
            </w:pPr>
            <w:r>
              <w:rPr>
                <w:lang w:val="en-GB"/>
              </w:rPr>
              <w:t xml:space="preserve">80 to 84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6160E3" w14:textId="77777777" w:rsidR="005C5910" w:rsidRDefault="005C5910" w:rsidP="005C5910">
            <w:pPr>
              <w:pStyle w:val="TableDataEntries"/>
              <w:rPr>
                <w:lang w:val="en-GB"/>
              </w:rPr>
            </w:pPr>
            <w:r>
              <w:rPr>
                <w:lang w:val="en-GB"/>
              </w:rPr>
              <w:t xml:space="preserve"> 18.3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CE9FE2" w14:textId="77777777" w:rsidR="005C5910" w:rsidRPr="00CC0A1A" w:rsidRDefault="005C5910" w:rsidP="00CC0A1A">
            <w:pPr>
              <w:pStyle w:val="TableDataEntries"/>
            </w:pPr>
            <w:r w:rsidRPr="00CC0A1A">
              <w:t>5 150.34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D87C84" w14:textId="77777777" w:rsidR="005C5910" w:rsidRPr="00CC0A1A" w:rsidRDefault="005C5910" w:rsidP="00CC0A1A">
            <w:pPr>
              <w:pStyle w:val="TableDataEntries"/>
            </w:pPr>
            <w:r w:rsidRPr="00CC0A1A">
              <w:t>2 636.98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2D9E83" w14:textId="77777777" w:rsidR="005C5910" w:rsidRPr="00CC0A1A" w:rsidRDefault="005C5910" w:rsidP="00CC0A1A">
            <w:pPr>
              <w:pStyle w:val="TableDataEntries"/>
            </w:pPr>
            <w:r w:rsidRPr="00CC0A1A">
              <w:t xml:space="preserve"> 483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26B0CE"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597E91" w14:textId="77777777" w:rsidR="005C5910" w:rsidRPr="00CC0A1A" w:rsidRDefault="005C5910" w:rsidP="00CC0A1A">
            <w:pPr>
              <w:pStyle w:val="TableDataEntries"/>
            </w:pPr>
            <w:r w:rsidRPr="00CC0A1A">
              <w:t xml:space="preserve"> 48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594F33" w14:textId="77777777" w:rsidR="005C5910" w:rsidRPr="00CC0A1A" w:rsidRDefault="005C5910" w:rsidP="00CC0A1A">
            <w:pPr>
              <w:pStyle w:val="TableDataEntries"/>
            </w:pPr>
            <w:r w:rsidRPr="00CC0A1A">
              <w:t xml:space="preserve"> 179</w:t>
            </w:r>
          </w:p>
        </w:tc>
      </w:tr>
      <w:tr w:rsidR="005C5910" w14:paraId="3DE99732"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C39D06" w14:textId="77777777" w:rsidR="005C5910" w:rsidRDefault="005C5910" w:rsidP="005C5910">
            <w:pPr>
              <w:pStyle w:val="TableDataEntries"/>
              <w:jc w:val="left"/>
              <w:rPr>
                <w:lang w:val="en-GB"/>
              </w:rPr>
            </w:pPr>
            <w:r>
              <w:rPr>
                <w:lang w:val="en-GB"/>
              </w:rPr>
              <w:t xml:space="preserve">85 to 89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6BD190" w14:textId="77777777" w:rsidR="005C5910" w:rsidRDefault="005C5910" w:rsidP="005C5910">
            <w:pPr>
              <w:pStyle w:val="TableDataEntries"/>
              <w:rPr>
                <w:lang w:val="en-GB"/>
              </w:rPr>
            </w:pPr>
            <w:r>
              <w:rPr>
                <w:lang w:val="en-GB"/>
              </w:rPr>
              <w:t xml:space="preserve"> 13.0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5347BE" w14:textId="77777777" w:rsidR="005C5910" w:rsidRPr="00CC0A1A" w:rsidRDefault="005C5910" w:rsidP="00CC0A1A">
            <w:pPr>
              <w:pStyle w:val="TableDataEntries"/>
            </w:pPr>
            <w:r w:rsidRPr="00CC0A1A">
              <w:t>9 136.94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F43A55" w14:textId="77777777" w:rsidR="005C5910" w:rsidRPr="00CC0A1A" w:rsidRDefault="005C5910" w:rsidP="00CC0A1A">
            <w:pPr>
              <w:pStyle w:val="TableDataEntries"/>
            </w:pPr>
            <w:r w:rsidRPr="00CC0A1A">
              <w:t>4 678.11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6EC7D0" w14:textId="77777777" w:rsidR="005C5910" w:rsidRPr="00CC0A1A" w:rsidRDefault="005C5910" w:rsidP="00CC0A1A">
            <w:pPr>
              <w:pStyle w:val="TableDataEntries"/>
            </w:pPr>
            <w:r w:rsidRPr="00CC0A1A">
              <w:t xml:space="preserve"> 608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F456FE"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BA45B6" w14:textId="77777777" w:rsidR="005C5910" w:rsidRPr="00CC0A1A" w:rsidRDefault="005C5910" w:rsidP="00CC0A1A">
            <w:pPr>
              <w:pStyle w:val="TableDataEntries"/>
            </w:pPr>
            <w:r w:rsidRPr="00CC0A1A">
              <w:t xml:space="preserve"> 61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111F46" w14:textId="77777777" w:rsidR="005C5910" w:rsidRPr="00CC0A1A" w:rsidRDefault="005C5910" w:rsidP="00CC0A1A">
            <w:pPr>
              <w:pStyle w:val="TableDataEntries"/>
            </w:pPr>
            <w:r w:rsidRPr="00CC0A1A">
              <w:t xml:space="preserve"> 225</w:t>
            </w:r>
          </w:p>
        </w:tc>
      </w:tr>
      <w:tr w:rsidR="005C5910" w14:paraId="13973115"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5A400A" w14:textId="77777777" w:rsidR="005C5910" w:rsidRDefault="005C5910" w:rsidP="005C5910">
            <w:pPr>
              <w:pStyle w:val="TableDataEntries"/>
              <w:jc w:val="left"/>
              <w:rPr>
                <w:lang w:val="en-GB"/>
              </w:rPr>
            </w:pPr>
            <w:r>
              <w:rPr>
                <w:lang w:val="en-GB"/>
              </w:rPr>
              <w:t xml:space="preserve">90 to 94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7A889" w14:textId="77777777" w:rsidR="005C5910" w:rsidRDefault="005C5910" w:rsidP="005C5910">
            <w:pPr>
              <w:pStyle w:val="TableDataEntries"/>
              <w:rPr>
                <w:lang w:val="en-GB"/>
              </w:rPr>
            </w:pPr>
            <w:r>
              <w:rPr>
                <w:lang w:val="en-GB"/>
              </w:rP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E94EA2" w14:textId="77777777" w:rsidR="005C5910" w:rsidRPr="00CC0A1A" w:rsidRDefault="005C5910" w:rsidP="00CC0A1A">
            <w:pPr>
              <w:pStyle w:val="TableDataEntries"/>
            </w:pPr>
            <w:r w:rsidRPr="00CC0A1A">
              <w:t>13 425.14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7A85E6" w14:textId="77777777" w:rsidR="005C5910" w:rsidRPr="00CC0A1A" w:rsidRDefault="005C5910" w:rsidP="00CC0A1A">
            <w:pPr>
              <w:pStyle w:val="TableDataEntries"/>
            </w:pPr>
            <w:r w:rsidRPr="00CC0A1A">
              <w:t>6 873.67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6FBBB9" w14:textId="77777777" w:rsidR="005C5910" w:rsidRPr="00CC0A1A" w:rsidRDefault="005C5910" w:rsidP="00CC0A1A">
            <w:pPr>
              <w:pStyle w:val="TableDataEntries"/>
            </w:pPr>
            <w:r w:rsidRPr="00CC0A1A">
              <w:t xml:space="preserve"> 529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8162B9"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B54E17" w14:textId="77777777" w:rsidR="005C5910" w:rsidRPr="00CC0A1A" w:rsidRDefault="005C5910" w:rsidP="00CC0A1A">
            <w:pPr>
              <w:pStyle w:val="TableDataEntries"/>
            </w:pPr>
            <w:r w:rsidRPr="00CC0A1A">
              <w:t xml:space="preserve"> 53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819DFF" w14:textId="77777777" w:rsidR="005C5910" w:rsidRPr="00CC0A1A" w:rsidRDefault="005C5910" w:rsidP="00CC0A1A">
            <w:pPr>
              <w:pStyle w:val="TableDataEntries"/>
            </w:pPr>
            <w:r w:rsidRPr="00CC0A1A">
              <w:t xml:space="preserve"> 196</w:t>
            </w:r>
          </w:p>
        </w:tc>
      </w:tr>
      <w:tr w:rsidR="005C5910" w14:paraId="273EEACD" w14:textId="77777777" w:rsidTr="00D6774F">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42A668" w14:textId="77777777" w:rsidR="005C5910" w:rsidRDefault="005C5910" w:rsidP="005C5910">
            <w:pPr>
              <w:pStyle w:val="TableDataEntries"/>
              <w:jc w:val="left"/>
              <w:rPr>
                <w:lang w:val="en-GB"/>
              </w:rPr>
            </w:pPr>
            <w:r>
              <w:rPr>
                <w:lang w:val="en-GB"/>
              </w:rPr>
              <w:t xml:space="preserve">95+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F6AAF6" w14:textId="77777777" w:rsidR="005C5910" w:rsidRDefault="005C5910" w:rsidP="005C5910">
            <w:pPr>
              <w:pStyle w:val="TableDataEntries"/>
              <w:rPr>
                <w:lang w:val="en-GB"/>
              </w:rPr>
            </w:pPr>
            <w:r>
              <w:rPr>
                <w:lang w:val="en-GB"/>
              </w:rPr>
              <w:t xml:space="preserve"> 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098EA2" w14:textId="77777777" w:rsidR="005C5910" w:rsidRPr="00CC0A1A" w:rsidRDefault="005C5910" w:rsidP="00CC0A1A">
            <w:pPr>
              <w:pStyle w:val="TableDataEntries"/>
            </w:pPr>
            <w:r w:rsidRPr="00CC0A1A">
              <w:t>16 453.54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B1D2F0" w14:textId="77777777" w:rsidR="005C5910" w:rsidRPr="00CC0A1A" w:rsidRDefault="005C5910" w:rsidP="00CC0A1A">
            <w:pPr>
              <w:pStyle w:val="TableDataEntries"/>
            </w:pPr>
            <w:r w:rsidRPr="00CC0A1A">
              <w:t>8 424.21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F62537" w14:textId="77777777" w:rsidR="005C5910" w:rsidRPr="00CC0A1A" w:rsidRDefault="005C5910" w:rsidP="00CC0A1A">
            <w:pPr>
              <w:pStyle w:val="TableDataEntries"/>
            </w:pPr>
            <w:r w:rsidRPr="00CC0A1A">
              <w:t xml:space="preserve"> 337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FE9BB3" w14:textId="77777777" w:rsidR="005C5910" w:rsidRPr="00CC0A1A" w:rsidRDefault="005C5910" w:rsidP="00CC0A1A">
            <w:pPr>
              <w:pStyle w:val="TableDataEntries"/>
            </w:pPr>
            <w:r w:rsidRPr="00CC0A1A">
              <w:t xml:space="preserve"> 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A8115F" w14:textId="77777777" w:rsidR="005C5910" w:rsidRPr="00CC0A1A" w:rsidRDefault="005C5910" w:rsidP="00CC0A1A">
            <w:pPr>
              <w:pStyle w:val="TableDataEntries"/>
            </w:pPr>
            <w:r w:rsidRPr="00CC0A1A">
              <w:t xml:space="preserve"> 34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AF4034" w14:textId="77777777" w:rsidR="005C5910" w:rsidRPr="00CC0A1A" w:rsidRDefault="005C5910" w:rsidP="00CC0A1A">
            <w:pPr>
              <w:pStyle w:val="TableDataEntries"/>
            </w:pPr>
            <w:r w:rsidRPr="00CC0A1A">
              <w:t xml:space="preserve"> 125</w:t>
            </w:r>
          </w:p>
        </w:tc>
      </w:tr>
      <w:tr w:rsidR="005C5910" w:rsidRPr="00CC0A1A" w14:paraId="0B77BE7F" w14:textId="77777777" w:rsidTr="00D6774F">
        <w:trPr>
          <w:trHeight w:val="230"/>
        </w:trPr>
        <w:tc>
          <w:tcPr>
            <w:tcW w:w="81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3C28122" w14:textId="77777777" w:rsidR="005C5910" w:rsidRPr="00CC0A1A" w:rsidRDefault="005C5910" w:rsidP="005C5910">
            <w:pPr>
              <w:pStyle w:val="TableDataEntries"/>
              <w:jc w:val="left"/>
              <w:rPr>
                <w:rFonts w:ascii="Franklin Gothic Demi" w:hAnsi="Franklin Gothic Demi"/>
                <w:lang w:val="en-GB"/>
              </w:rPr>
            </w:pPr>
            <w:r w:rsidRPr="00CC0A1A">
              <w:rPr>
                <w:rFonts w:ascii="Franklin Gothic Demi" w:hAnsi="Franklin Gothic Demi"/>
                <w:lang w:val="en-GB"/>
              </w:rPr>
              <w:t>Total</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7E0B3D7" w14:textId="77777777" w:rsidR="005C5910" w:rsidRPr="00CC0A1A" w:rsidRDefault="005C5910" w:rsidP="005C5910">
            <w:pPr>
              <w:pStyle w:val="TableDataEntries"/>
              <w:rPr>
                <w:rFonts w:ascii="Franklin Gothic Demi" w:hAnsi="Franklin Gothic Demi"/>
                <w:lang w:val="en-GB"/>
              </w:rPr>
            </w:pPr>
            <w:r w:rsidRPr="00CC0A1A">
              <w:rPr>
                <w:rFonts w:ascii="Franklin Gothic Demi" w:hAnsi="Franklin Gothic Demi"/>
                <w:lang w:val="en-GB"/>
              </w:rPr>
              <w:t xml:space="preserve"> 325.1</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2602BAE" w14:textId="77777777" w:rsidR="005C5910" w:rsidRPr="00CC0A1A" w:rsidRDefault="005C5910" w:rsidP="00CC0A1A">
            <w:pPr>
              <w:pStyle w:val="TableDataEntries"/>
              <w:rPr>
                <w:rFonts w:ascii="Franklin Gothic Demi" w:hAnsi="Franklin Gothic Demi"/>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E786D42" w14:textId="77777777" w:rsidR="005C5910" w:rsidRPr="00CC0A1A" w:rsidRDefault="005C5910" w:rsidP="00CC0A1A">
            <w:pPr>
              <w:pStyle w:val="TableDataEntries"/>
              <w:rPr>
                <w:rFonts w:ascii="Franklin Gothic Demi" w:hAnsi="Franklin Gothic Demi"/>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D04358C" w14:textId="77777777" w:rsidR="005C5910" w:rsidRPr="00CC0A1A" w:rsidRDefault="005C5910" w:rsidP="00CC0A1A">
            <w:pPr>
              <w:pStyle w:val="TableDataEntries"/>
              <w:rPr>
                <w:rFonts w:ascii="Franklin Gothic Demi" w:hAnsi="Franklin Gothic Demi"/>
              </w:rPr>
            </w:pPr>
            <w:r w:rsidRPr="00CC0A1A">
              <w:rPr>
                <w:rFonts w:ascii="Franklin Gothic Demi" w:hAnsi="Franklin Gothic Demi"/>
              </w:rPr>
              <w:t>3 868</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5871B04" w14:textId="77777777" w:rsidR="005C5910" w:rsidRPr="00CC0A1A" w:rsidRDefault="005C5910" w:rsidP="00CC0A1A">
            <w:pPr>
              <w:pStyle w:val="TableDataEntries"/>
              <w:rPr>
                <w:rFonts w:ascii="Franklin Gothic Demi" w:hAnsi="Franklin Gothic Demi"/>
              </w:rPr>
            </w:pPr>
            <w:r w:rsidRPr="00CC0A1A">
              <w:rPr>
                <w:rFonts w:ascii="Franklin Gothic Demi" w:hAnsi="Franklin Gothic Demi"/>
              </w:rPr>
              <w:t xml:space="preserve"> 0</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B245C85" w14:textId="77777777" w:rsidR="005C5910" w:rsidRPr="00CC0A1A" w:rsidRDefault="005C5910" w:rsidP="00CC0A1A">
            <w:pPr>
              <w:pStyle w:val="TableDataEntries"/>
              <w:rPr>
                <w:rFonts w:ascii="Franklin Gothic Demi" w:hAnsi="Franklin Gothic Demi"/>
              </w:rPr>
            </w:pPr>
            <w:r w:rsidRPr="00CC0A1A">
              <w:rPr>
                <w:rFonts w:ascii="Franklin Gothic Demi" w:hAnsi="Franklin Gothic Demi"/>
              </w:rPr>
              <w:t xml:space="preserve"> 387</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CFE1BA8" w14:textId="77777777" w:rsidR="005C5910" w:rsidRPr="00CC0A1A" w:rsidRDefault="005C5910" w:rsidP="00CC0A1A">
            <w:pPr>
              <w:pStyle w:val="TableDataEntries"/>
              <w:rPr>
                <w:rFonts w:ascii="Franklin Gothic Demi" w:hAnsi="Franklin Gothic Demi"/>
              </w:rPr>
            </w:pPr>
            <w:r w:rsidRPr="00CC0A1A">
              <w:rPr>
                <w:rFonts w:ascii="Franklin Gothic Demi" w:hAnsi="Franklin Gothic Demi"/>
              </w:rPr>
              <w:t>1 431</w:t>
            </w:r>
          </w:p>
        </w:tc>
      </w:tr>
    </w:tbl>
    <w:p w14:paraId="0BD3C609" w14:textId="77777777" w:rsidR="00ED748D" w:rsidRPr="00E4232C" w:rsidRDefault="00ED748D" w:rsidP="00ED748D">
      <w:pPr>
        <w:pStyle w:val="Note"/>
      </w:pPr>
      <w:r w:rsidRPr="00E4232C">
        <w:rPr>
          <w:rStyle w:val="NoteLabel"/>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845C4B">
        <w:rPr>
          <w:rStyle w:val="NoteLabel"/>
        </w:rPr>
        <w:t>b</w:t>
      </w:r>
      <w:r>
        <w:t xml:space="preserve"> Based on hospital admission rates from the community (i.e. excluding residential aged care) in NSW in 2006</w:t>
      </w:r>
      <w:r>
        <w:noBreakHyphen/>
        <w:t xml:space="preserve">07 reported in UNSW, 2010, p. 28. </w:t>
      </w:r>
      <w:r w:rsidRPr="00845C4B">
        <w:rPr>
          <w:rStyle w:val="NoteLabel"/>
        </w:rPr>
        <w:t>c</w:t>
      </w:r>
      <w:r>
        <w:t xml:space="preserve"> Adjusted based on 47.6 per cent of falls resulting in hospital admission occurring at home as reported in Stathakis, V. Gray, S. and Berecki</w:t>
      </w:r>
      <w:r>
        <w:noBreakHyphen/>
        <w:t xml:space="preserve">Gisolf, J. 2015, p. 2. </w:t>
      </w:r>
      <w:r>
        <w:rPr>
          <w:rStyle w:val="NoteLabel"/>
        </w:rPr>
        <w:t xml:space="preserve">d </w:t>
      </w:r>
      <w:r>
        <w:t xml:space="preserve">Based on accessible housing reducing falls by </w:t>
      </w:r>
      <w:r w:rsidR="00EA7092">
        <w:t>0</w:t>
      </w:r>
      <w:r>
        <w:t xml:space="preserve"> per cent. </w:t>
      </w:r>
      <w:r>
        <w:rPr>
          <w:rStyle w:val="NoteLabel"/>
        </w:rPr>
        <w:t xml:space="preserve">e </w:t>
      </w:r>
      <w:r>
        <w:t xml:space="preserve">Based on accessible housing reducing falls by </w:t>
      </w:r>
      <w:r w:rsidR="00EA7092">
        <w:t>10</w:t>
      </w:r>
      <w:r>
        <w:t xml:space="preserve"> per cent. </w:t>
      </w:r>
      <w:r>
        <w:rPr>
          <w:rStyle w:val="NoteLabel"/>
        </w:rPr>
        <w:t xml:space="preserve">f </w:t>
      </w:r>
      <w:r>
        <w:t xml:space="preserve">Based on accessible housing reducing falls by </w:t>
      </w:r>
      <w:r w:rsidR="00EA7092">
        <w:t>37</w:t>
      </w:r>
      <w:r>
        <w:t xml:space="preserve"> per cent. </w:t>
      </w:r>
    </w:p>
    <w:p w14:paraId="56610E13" w14:textId="77777777" w:rsidR="00ED748D" w:rsidRPr="00280175" w:rsidRDefault="00ED748D" w:rsidP="00ED748D">
      <w:pPr>
        <w:pStyle w:val="Source"/>
        <w:rPr>
          <w:iCs/>
        </w:rPr>
      </w:pPr>
      <w:r w:rsidRPr="00280175">
        <w:rPr>
          <w:iCs/>
        </w:rPr>
        <w:t>Source: ABS Survey of Disability, Ageing and Carers 2018; University of NSW, The Incidence and Cost of Falls Injury Among Older People in New South Wales 2006/07, A Report to NSW Health, September 2010; Stathakis, V. Gray, S. and Berecki</w:t>
      </w:r>
      <w:r w:rsidRPr="00280175">
        <w:rPr>
          <w:iCs/>
        </w:rPr>
        <w:noBreakHyphen/>
        <w:t>Gisolf, J. 2015, “Fall</w:t>
      </w:r>
      <w:r w:rsidRPr="00280175">
        <w:rPr>
          <w:iCs/>
        </w:rPr>
        <w:noBreakHyphen/>
        <w:t>related injury profile for Victorians aged 65 years and older”, Hazard, Edition No. 80, Summer 2015, Victorian Injury Surveillance Unit, Monash University Accident Research Centre; CIE.</w:t>
      </w:r>
    </w:p>
    <w:p w14:paraId="6465E1B1" w14:textId="77777777" w:rsidR="00ED748D" w:rsidRDefault="00ED748D" w:rsidP="00ED748D">
      <w:pPr>
        <w:pStyle w:val="BodyText"/>
        <w:rPr>
          <w:lang w:bidi="fa-IR"/>
        </w:rPr>
      </w:pPr>
      <w:r>
        <w:rPr>
          <w:lang w:bidi="fa-IR"/>
        </w:rPr>
        <w:t xml:space="preserve">Based on the above estimates of the number of additional hospital admissions due to people with accessibility needs living in </w:t>
      </w:r>
      <w:r w:rsidR="002504F2">
        <w:rPr>
          <w:lang w:bidi="fa-IR"/>
        </w:rPr>
        <w:t>in</w:t>
      </w:r>
      <w:r>
        <w:rPr>
          <w:lang w:bidi="fa-IR"/>
        </w:rPr>
        <w:t xml:space="preserve">accessible housing, </w:t>
      </w:r>
      <w:r w:rsidR="00E9165A">
        <w:rPr>
          <w:lang w:bidi="fa-IR"/>
        </w:rPr>
        <w:t>the</w:t>
      </w:r>
      <w:r>
        <w:rPr>
          <w:lang w:bidi="fa-IR"/>
        </w:rPr>
        <w:t xml:space="preserve"> </w:t>
      </w:r>
      <w:r w:rsidR="00E9165A">
        <w:rPr>
          <w:lang w:bidi="fa-IR"/>
        </w:rPr>
        <w:t xml:space="preserve">estimated </w:t>
      </w:r>
      <w:r>
        <w:rPr>
          <w:lang w:bidi="fa-IR"/>
        </w:rPr>
        <w:t xml:space="preserve">cost of </w:t>
      </w:r>
      <w:r w:rsidR="004E2A32">
        <w:rPr>
          <w:lang w:bidi="fa-IR"/>
        </w:rPr>
        <w:t xml:space="preserve">additional hospital admissions is </w:t>
      </w:r>
      <w:r>
        <w:rPr>
          <w:lang w:bidi="fa-IR"/>
        </w:rPr>
        <w:t xml:space="preserve">between </w:t>
      </w:r>
      <w:r w:rsidR="002632AB">
        <w:rPr>
          <w:lang w:bidi="fa-IR"/>
        </w:rPr>
        <w:t>zero</w:t>
      </w:r>
      <w:r>
        <w:rPr>
          <w:lang w:bidi="fa-IR"/>
        </w:rPr>
        <w:t xml:space="preserve"> and $</w:t>
      </w:r>
      <w:r w:rsidR="00C0553D">
        <w:rPr>
          <w:lang w:bidi="fa-IR"/>
        </w:rPr>
        <w:t>31.8</w:t>
      </w:r>
      <w:r>
        <w:rPr>
          <w:lang w:bidi="fa-IR"/>
        </w:rPr>
        <w:t> million per year, with a central case estimate of around $</w:t>
      </w:r>
      <w:r w:rsidR="00C0553D">
        <w:rPr>
          <w:lang w:bidi="fa-IR"/>
        </w:rPr>
        <w:t>8.6</w:t>
      </w:r>
      <w:r>
        <w:rPr>
          <w:lang w:bidi="fa-IR"/>
        </w:rPr>
        <w:t> million per year</w:t>
      </w:r>
      <w:r w:rsidR="002504F2">
        <w:rPr>
          <w:lang w:bidi="fa-IR"/>
        </w:rPr>
        <w:t xml:space="preserve"> (table B.9)</w:t>
      </w:r>
      <w:r>
        <w:rPr>
          <w:lang w:bidi="fa-IR"/>
        </w:rPr>
        <w:t xml:space="preserve">. </w:t>
      </w:r>
    </w:p>
    <w:p w14:paraId="339027A1" w14:textId="77777777" w:rsidR="00ED748D" w:rsidRDefault="00ED748D" w:rsidP="00ED748D">
      <w:pPr>
        <w:pStyle w:val="ListBullet"/>
        <w:numPr>
          <w:ilvl w:val="0"/>
          <w:numId w:val="16"/>
        </w:numPr>
        <w:rPr>
          <w:lang w:bidi="fa-IR"/>
        </w:rPr>
      </w:pPr>
      <w:r>
        <w:rPr>
          <w:lang w:bidi="fa-IR"/>
        </w:rPr>
        <w:t>Health care costs are based on the average cost reported in UNSW (2010) inflated to 2019 dollar terms, using the national CPI.</w:t>
      </w:r>
      <w:r>
        <w:rPr>
          <w:rStyle w:val="FootnoteReference"/>
          <w:lang w:bidi="fa-IR"/>
        </w:rPr>
        <w:footnoteReference w:id="463"/>
      </w:r>
    </w:p>
    <w:p w14:paraId="3C4D2DA5" w14:textId="77777777" w:rsidR="00ED748D" w:rsidRDefault="00ED748D" w:rsidP="00ED748D">
      <w:pPr>
        <w:pStyle w:val="ListBullet"/>
        <w:numPr>
          <w:ilvl w:val="0"/>
          <w:numId w:val="16"/>
        </w:numPr>
        <w:rPr>
          <w:lang w:bidi="fa-IR"/>
        </w:rPr>
      </w:pPr>
      <w:r>
        <w:rPr>
          <w:lang w:bidi="fa-IR"/>
        </w:rPr>
        <w:t>Note that these cost estimates include health care costs only; morbidity costs are not included.</w:t>
      </w:r>
    </w:p>
    <w:p w14:paraId="77DCEAD4" w14:textId="0963B87D" w:rsidR="00ED748D" w:rsidRDefault="00B27E24" w:rsidP="00ED748D">
      <w:pPr>
        <w:pStyle w:val="Caption"/>
      </w:pPr>
      <w:bookmarkStart w:id="666" w:name="_Toc45654200"/>
      <w:bookmarkStart w:id="667" w:name="_Toc44598569"/>
      <w:bookmarkStart w:id="668" w:name="_Toc44695941"/>
      <w:bookmarkStart w:id="669" w:name="_Toc57643676"/>
      <w:bookmarkStart w:id="670" w:name="_Toc70505623"/>
      <w:r>
        <w:t>B.9</w:t>
      </w:r>
      <w:r w:rsidR="00ED748D" w:rsidRPr="00695C93">
        <w:tab/>
      </w:r>
      <w:r w:rsidR="00ED748D">
        <w:t>Estimated cost of additional hospital admissions due to inaccessible housing</w:t>
      </w:r>
      <w:bookmarkEnd w:id="666"/>
      <w:bookmarkEnd w:id="667"/>
      <w:bookmarkEnd w:id="668"/>
      <w:bookmarkEnd w:id="669"/>
      <w:bookmarkEnd w:id="670"/>
    </w:p>
    <w:tbl>
      <w:tblPr>
        <w:tblW w:w="7939" w:type="dxa"/>
        <w:tblLayout w:type="fixed"/>
        <w:tblLook w:val="0000" w:firstRow="0" w:lastRow="0" w:firstColumn="0" w:lastColumn="0" w:noHBand="0" w:noVBand="0"/>
        <w:tblCaption w:val="Table B.9: Estimated cost of additional hospital admissions due to inaccessible housing"/>
        <w:tblDescription w:val="Table B.9 shows the cost of additional hospital admissions due to inaccessible housing, grouped by age. Up to age 69, the average cost per hospital admission is $17,107, with increases until age 89, when costs per admission tend to start decreasing. The total central case cost of additional hospital admissions due to inaccessible housing is estimated at $8,600,000, with a high estimate of $31,840,000."/>
      </w:tblPr>
      <w:tblGrid>
        <w:gridCol w:w="2119"/>
        <w:gridCol w:w="1509"/>
        <w:gridCol w:w="1437"/>
        <w:gridCol w:w="1437"/>
        <w:gridCol w:w="1437"/>
      </w:tblGrid>
      <w:tr w:rsidR="00696C70" w14:paraId="6FA31654" w14:textId="77777777" w:rsidTr="005A1FB8">
        <w:trPr>
          <w:trHeight w:val="237"/>
          <w:tblHeader/>
        </w:trPr>
        <w:tc>
          <w:tcPr>
            <w:tcW w:w="2119" w:type="dxa"/>
            <w:shd w:val="clear" w:color="auto" w:fill="6F6652"/>
            <w:tcMar>
              <w:left w:w="57" w:type="dxa"/>
              <w:right w:w="57" w:type="dxa"/>
            </w:tcMar>
          </w:tcPr>
          <w:p w14:paraId="7129C9B0" w14:textId="77777777" w:rsidR="00696C70" w:rsidRDefault="002C71D3" w:rsidP="002B23FD">
            <w:pPr>
              <w:pStyle w:val="TableDataColumnHeading"/>
              <w:jc w:val="left"/>
              <w:rPr>
                <w:lang w:val="en-GB"/>
              </w:rPr>
            </w:pPr>
            <w:r>
              <w:rPr>
                <w:lang w:val="en-GB"/>
              </w:rPr>
              <w:t>Age</w:t>
            </w:r>
            <w:r w:rsidR="007A22A8">
              <w:rPr>
                <w:lang w:val="en-GB"/>
              </w:rPr>
              <w:t xml:space="preserve"> group</w:t>
            </w:r>
          </w:p>
        </w:tc>
        <w:tc>
          <w:tcPr>
            <w:tcW w:w="1509" w:type="dxa"/>
            <w:shd w:val="clear" w:color="auto" w:fill="6F6652"/>
            <w:tcMar>
              <w:left w:w="57" w:type="dxa"/>
              <w:right w:w="57" w:type="dxa"/>
            </w:tcMar>
          </w:tcPr>
          <w:p w14:paraId="6B2B5CBF" w14:textId="77777777" w:rsidR="00696C70" w:rsidRDefault="00696C70" w:rsidP="002B23FD">
            <w:pPr>
              <w:pStyle w:val="TableDataColumnHeading"/>
              <w:rPr>
                <w:lang w:val="en-GB"/>
              </w:rPr>
            </w:pPr>
            <w:r>
              <w:rPr>
                <w:lang w:val="en-GB"/>
              </w:rPr>
              <w:t>Average cost per hospital admission</w:t>
            </w:r>
            <w:r w:rsidRPr="00F36A14">
              <w:rPr>
                <w:rStyle w:val="NoteLabel"/>
              </w:rPr>
              <w:t>a</w:t>
            </w:r>
          </w:p>
        </w:tc>
        <w:tc>
          <w:tcPr>
            <w:tcW w:w="4311" w:type="dxa"/>
            <w:gridSpan w:val="3"/>
            <w:shd w:val="clear" w:color="auto" w:fill="6F6652"/>
            <w:tcMar>
              <w:left w:w="57" w:type="dxa"/>
              <w:right w:w="57" w:type="dxa"/>
            </w:tcMar>
          </w:tcPr>
          <w:p w14:paraId="7991F64E" w14:textId="77777777" w:rsidR="00696C70" w:rsidRDefault="00696C70" w:rsidP="002B23FD">
            <w:pPr>
              <w:pStyle w:val="TableDataColumnHeading"/>
              <w:jc w:val="center"/>
              <w:rPr>
                <w:lang w:val="en-GB"/>
              </w:rPr>
            </w:pPr>
            <w:r>
              <w:rPr>
                <w:lang w:val="en-GB"/>
              </w:rPr>
              <w:t>Cost of additional hospital admissions due to inaccessible housing</w:t>
            </w:r>
          </w:p>
        </w:tc>
      </w:tr>
      <w:tr w:rsidR="00ED748D" w:rsidRPr="005A1FB8" w14:paraId="63B6BE0F" w14:textId="77777777" w:rsidTr="005A1FB8">
        <w:trPr>
          <w:trHeight w:val="64"/>
          <w:tblHeader/>
        </w:trPr>
        <w:tc>
          <w:tcPr>
            <w:tcW w:w="2119" w:type="dxa"/>
            <w:shd w:val="clear" w:color="auto" w:fill="6F6652"/>
            <w:tcMar>
              <w:left w:w="57" w:type="dxa"/>
              <w:right w:w="57" w:type="dxa"/>
            </w:tcMar>
          </w:tcPr>
          <w:p w14:paraId="5E9C886E" w14:textId="77777777" w:rsidR="00ED748D" w:rsidRPr="005A1FB8" w:rsidRDefault="00ED748D" w:rsidP="002B23FD">
            <w:pPr>
              <w:pStyle w:val="TableDataColumnHeading"/>
              <w:jc w:val="left"/>
              <w:rPr>
                <w:rFonts w:ascii="Franklin Gothic Medium" w:hAnsi="Franklin Gothic Medium"/>
                <w:lang w:val="en-GB"/>
              </w:rPr>
            </w:pPr>
          </w:p>
        </w:tc>
        <w:tc>
          <w:tcPr>
            <w:tcW w:w="1509" w:type="dxa"/>
            <w:shd w:val="clear" w:color="auto" w:fill="6F6652"/>
            <w:tcMar>
              <w:left w:w="57" w:type="dxa"/>
              <w:right w:w="57" w:type="dxa"/>
            </w:tcMar>
          </w:tcPr>
          <w:p w14:paraId="362ABDCD" w14:textId="77777777" w:rsidR="00ED748D" w:rsidRPr="005A1FB8" w:rsidRDefault="00ED748D" w:rsidP="002B23FD">
            <w:pPr>
              <w:pStyle w:val="TableDataColumnHeading"/>
              <w:rPr>
                <w:rFonts w:ascii="Franklin Gothic Medium" w:hAnsi="Franklin Gothic Medium"/>
                <w:lang w:val="en-GB"/>
              </w:rPr>
            </w:pPr>
          </w:p>
        </w:tc>
        <w:tc>
          <w:tcPr>
            <w:tcW w:w="1437" w:type="dxa"/>
            <w:shd w:val="clear" w:color="auto" w:fill="6F6652"/>
            <w:tcMar>
              <w:left w:w="57" w:type="dxa"/>
              <w:right w:w="57" w:type="dxa"/>
            </w:tcMar>
          </w:tcPr>
          <w:p w14:paraId="20C03326"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Low estimate</w:t>
            </w:r>
          </w:p>
        </w:tc>
        <w:tc>
          <w:tcPr>
            <w:tcW w:w="1437" w:type="dxa"/>
            <w:shd w:val="clear" w:color="auto" w:fill="6F6652"/>
            <w:tcMar>
              <w:left w:w="57" w:type="dxa"/>
              <w:right w:w="57" w:type="dxa"/>
            </w:tcMar>
          </w:tcPr>
          <w:p w14:paraId="0876EBD6"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Central case</w:t>
            </w:r>
          </w:p>
        </w:tc>
        <w:tc>
          <w:tcPr>
            <w:tcW w:w="1437" w:type="dxa"/>
            <w:shd w:val="clear" w:color="auto" w:fill="6F6652"/>
            <w:tcMar>
              <w:left w:w="57" w:type="dxa"/>
              <w:right w:w="57" w:type="dxa"/>
            </w:tcMar>
          </w:tcPr>
          <w:p w14:paraId="5542189A"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High estimate</w:t>
            </w:r>
          </w:p>
        </w:tc>
      </w:tr>
      <w:tr w:rsidR="00ED748D" w14:paraId="66590B1F" w14:textId="77777777" w:rsidTr="002B23FD">
        <w:trPr>
          <w:trHeight w:val="230"/>
          <w:tblHeader/>
        </w:trPr>
        <w:tc>
          <w:tcPr>
            <w:tcW w:w="2119" w:type="dxa"/>
            <w:tcBorders>
              <w:bottom w:val="single" w:sz="8" w:space="0" w:color="FFFFFF" w:themeColor="background1"/>
            </w:tcBorders>
            <w:shd w:val="clear" w:color="auto" w:fill="auto"/>
            <w:tcMar>
              <w:left w:w="57" w:type="dxa"/>
              <w:right w:w="57" w:type="dxa"/>
            </w:tcMar>
          </w:tcPr>
          <w:p w14:paraId="74A637C9" w14:textId="77777777" w:rsidR="00ED748D" w:rsidRDefault="00ED748D" w:rsidP="002B23FD">
            <w:pPr>
              <w:pStyle w:val="TableUnit"/>
              <w:jc w:val="left"/>
              <w:rPr>
                <w:lang w:val="en-GB"/>
              </w:rPr>
            </w:pPr>
          </w:p>
        </w:tc>
        <w:tc>
          <w:tcPr>
            <w:tcW w:w="1509" w:type="dxa"/>
            <w:tcBorders>
              <w:bottom w:val="single" w:sz="8" w:space="0" w:color="FFFFFF" w:themeColor="background1"/>
            </w:tcBorders>
            <w:shd w:val="clear" w:color="auto" w:fill="auto"/>
            <w:tcMar>
              <w:left w:w="57" w:type="dxa"/>
              <w:right w:w="57" w:type="dxa"/>
            </w:tcMar>
          </w:tcPr>
          <w:p w14:paraId="27B72144" w14:textId="77777777" w:rsidR="00ED748D" w:rsidRDefault="00ED748D" w:rsidP="002B23FD">
            <w:pPr>
              <w:pStyle w:val="TableUnit"/>
              <w:rPr>
                <w:lang w:val="en-GB"/>
              </w:rPr>
            </w:pPr>
            <w:r>
              <w:rPr>
                <w:lang w:val="en-GB"/>
              </w:rPr>
              <w:t>$</w:t>
            </w:r>
          </w:p>
        </w:tc>
        <w:tc>
          <w:tcPr>
            <w:tcW w:w="1437" w:type="dxa"/>
            <w:tcBorders>
              <w:bottom w:val="single" w:sz="8" w:space="0" w:color="FFFFFF" w:themeColor="background1"/>
            </w:tcBorders>
            <w:shd w:val="clear" w:color="auto" w:fill="auto"/>
            <w:tcMar>
              <w:left w:w="57" w:type="dxa"/>
              <w:right w:w="57" w:type="dxa"/>
            </w:tcMar>
          </w:tcPr>
          <w:p w14:paraId="3784024C"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5E58FA38"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168423AB" w14:textId="77777777" w:rsidR="00ED748D" w:rsidRDefault="00ED748D" w:rsidP="002B23FD">
            <w:pPr>
              <w:pStyle w:val="TableUnit"/>
              <w:rPr>
                <w:lang w:val="en-GB"/>
              </w:rPr>
            </w:pPr>
            <w:r>
              <w:rPr>
                <w:lang w:val="en-GB"/>
              </w:rPr>
              <w:t>$ million</w:t>
            </w:r>
          </w:p>
        </w:tc>
      </w:tr>
      <w:tr w:rsidR="00C0553D" w14:paraId="3644EB8A"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C805A" w14:textId="77777777" w:rsidR="00C0553D" w:rsidRDefault="00C0553D" w:rsidP="00C0553D">
            <w:pPr>
              <w:pStyle w:val="TableDataEntries"/>
              <w:jc w:val="left"/>
              <w:rPr>
                <w:lang w:val="en-GB"/>
              </w:rPr>
            </w:pPr>
            <w:r>
              <w:rPr>
                <w:lang w:val="en-GB"/>
              </w:rPr>
              <w:t>0 to 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A4B93C"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632A02"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4F73A8" w14:textId="77777777" w:rsidR="00C0553D" w:rsidRPr="00CC0A1A" w:rsidRDefault="00C0553D" w:rsidP="00CC0A1A">
            <w:pPr>
              <w:pStyle w:val="TableDataEntries"/>
            </w:pPr>
            <w:r w:rsidRPr="00CC0A1A">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14C136" w14:textId="77777777" w:rsidR="00C0553D" w:rsidRPr="00CC0A1A" w:rsidRDefault="00C0553D" w:rsidP="00CC0A1A">
            <w:pPr>
              <w:pStyle w:val="TableDataEntries"/>
            </w:pPr>
            <w:r w:rsidRPr="00CC0A1A">
              <w:t xml:space="preserve"> 0.28</w:t>
            </w:r>
          </w:p>
        </w:tc>
      </w:tr>
      <w:tr w:rsidR="00C0553D" w14:paraId="4753B9B2"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0CEC72" w14:textId="77777777" w:rsidR="00C0553D" w:rsidRDefault="00C0553D" w:rsidP="00C0553D">
            <w:pPr>
              <w:pStyle w:val="TableDataEntries"/>
              <w:jc w:val="left"/>
              <w:rPr>
                <w:lang w:val="en-GB"/>
              </w:rPr>
            </w:pPr>
            <w:r>
              <w:rPr>
                <w:lang w:val="en-GB"/>
              </w:rPr>
              <w:t>5 to 9 y</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D786B0"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56ED66"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DE2544" w14:textId="77777777" w:rsidR="00C0553D" w:rsidRPr="00CC0A1A" w:rsidRDefault="00C0553D" w:rsidP="00CC0A1A">
            <w:pPr>
              <w:pStyle w:val="TableDataEntries"/>
            </w:pPr>
            <w:r w:rsidRPr="00CC0A1A">
              <w:t xml:space="preserve"> 0.06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4878EC" w14:textId="77777777" w:rsidR="00C0553D" w:rsidRPr="00CC0A1A" w:rsidRDefault="00C0553D" w:rsidP="00CC0A1A">
            <w:pPr>
              <w:pStyle w:val="TableDataEntries"/>
            </w:pPr>
            <w:r w:rsidRPr="00CC0A1A">
              <w:t xml:space="preserve"> 0.24</w:t>
            </w:r>
          </w:p>
        </w:tc>
      </w:tr>
      <w:tr w:rsidR="00C0553D" w14:paraId="56A9E0B4"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07B1D6" w14:textId="77777777" w:rsidR="00C0553D" w:rsidRDefault="00C0553D" w:rsidP="00C0553D">
            <w:pPr>
              <w:pStyle w:val="TableDataEntries"/>
              <w:jc w:val="left"/>
              <w:rPr>
                <w:lang w:val="en-GB"/>
              </w:rPr>
            </w:pPr>
            <w:r>
              <w:rPr>
                <w:lang w:val="en-GB"/>
              </w:rPr>
              <w:t>10 to 14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3E4638"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18A656"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B222D6" w14:textId="77777777" w:rsidR="00C0553D" w:rsidRPr="00CC0A1A" w:rsidRDefault="00C0553D" w:rsidP="00CC0A1A">
            <w:pPr>
              <w:pStyle w:val="TableDataEntries"/>
            </w:pPr>
            <w:r w:rsidRPr="00CC0A1A">
              <w:t xml:space="preserve"> 0.06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EF2D4E" w14:textId="77777777" w:rsidR="00C0553D" w:rsidRPr="00CC0A1A" w:rsidRDefault="00C0553D" w:rsidP="00CC0A1A">
            <w:pPr>
              <w:pStyle w:val="TableDataEntries"/>
            </w:pPr>
            <w:r w:rsidRPr="00CC0A1A">
              <w:t xml:space="preserve"> 0.20</w:t>
            </w:r>
          </w:p>
        </w:tc>
      </w:tr>
      <w:tr w:rsidR="00C0553D" w14:paraId="1DF96C70"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E2B49" w14:textId="77777777" w:rsidR="00C0553D" w:rsidRDefault="00C0553D" w:rsidP="00C0553D">
            <w:pPr>
              <w:pStyle w:val="TableDataEntries"/>
              <w:jc w:val="left"/>
              <w:rPr>
                <w:lang w:val="en-GB"/>
              </w:rPr>
            </w:pPr>
            <w:r>
              <w:rPr>
                <w:lang w:val="en-GB"/>
              </w:rPr>
              <w:t xml:space="preserve">15 to 19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6F7DD0"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3A7CCA"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D21E56" w14:textId="77777777" w:rsidR="00C0553D" w:rsidRPr="00CC0A1A" w:rsidRDefault="00C0553D" w:rsidP="00CC0A1A">
            <w:pPr>
              <w:pStyle w:val="TableDataEntries"/>
            </w:pPr>
            <w:r w:rsidRPr="00CC0A1A">
              <w:t xml:space="preserve"> 0.09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E2919F" w14:textId="77777777" w:rsidR="00C0553D" w:rsidRPr="00CC0A1A" w:rsidRDefault="00C0553D" w:rsidP="00CC0A1A">
            <w:pPr>
              <w:pStyle w:val="TableDataEntries"/>
            </w:pPr>
            <w:r w:rsidRPr="00CC0A1A">
              <w:t xml:space="preserve"> 0.32</w:t>
            </w:r>
          </w:p>
        </w:tc>
      </w:tr>
      <w:tr w:rsidR="00C0553D" w14:paraId="6A16A60B"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C1B8D7" w14:textId="77777777" w:rsidR="00C0553D" w:rsidRDefault="00C0553D" w:rsidP="00C0553D">
            <w:pPr>
              <w:pStyle w:val="TableDataEntries"/>
              <w:jc w:val="left"/>
              <w:rPr>
                <w:lang w:val="en-GB"/>
              </w:rPr>
            </w:pPr>
            <w:r>
              <w:rPr>
                <w:lang w:val="en-GB"/>
              </w:rPr>
              <w:t xml:space="preserve">20 to 24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DCD3C5"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B4E0DE"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23763F" w14:textId="77777777" w:rsidR="00C0553D" w:rsidRPr="00CC0A1A" w:rsidRDefault="00C0553D" w:rsidP="00CC0A1A">
            <w:pPr>
              <w:pStyle w:val="TableDataEntries"/>
            </w:pPr>
            <w:r w:rsidRPr="00CC0A1A">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7C214F" w14:textId="77777777" w:rsidR="00C0553D" w:rsidRPr="00CC0A1A" w:rsidRDefault="00C0553D" w:rsidP="00CC0A1A">
            <w:pPr>
              <w:pStyle w:val="TableDataEntries"/>
            </w:pPr>
            <w:r w:rsidRPr="00CC0A1A">
              <w:t xml:space="preserve"> 0.20</w:t>
            </w:r>
          </w:p>
        </w:tc>
      </w:tr>
      <w:tr w:rsidR="00C0553D" w14:paraId="2E58719A"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ECE5BE" w14:textId="77777777" w:rsidR="00C0553D" w:rsidRDefault="00C0553D" w:rsidP="00C0553D">
            <w:pPr>
              <w:pStyle w:val="TableDataEntries"/>
              <w:jc w:val="left"/>
              <w:rPr>
                <w:lang w:val="en-GB"/>
              </w:rPr>
            </w:pPr>
            <w:r>
              <w:rPr>
                <w:lang w:val="en-GB"/>
              </w:rPr>
              <w:t xml:space="preserve">25 to 29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65328"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211B05"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16788B" w14:textId="77777777" w:rsidR="00C0553D" w:rsidRPr="00CC0A1A" w:rsidRDefault="00C0553D" w:rsidP="00CC0A1A">
            <w:pPr>
              <w:pStyle w:val="TableDataEntries"/>
            </w:pPr>
            <w:r w:rsidRPr="00CC0A1A">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1B2B48" w14:textId="77777777" w:rsidR="00C0553D" w:rsidRPr="00CC0A1A" w:rsidRDefault="00C0553D" w:rsidP="00CC0A1A">
            <w:pPr>
              <w:pStyle w:val="TableDataEntries"/>
            </w:pPr>
            <w:r w:rsidRPr="00CC0A1A">
              <w:t xml:space="preserve"> 0.31</w:t>
            </w:r>
          </w:p>
        </w:tc>
      </w:tr>
      <w:tr w:rsidR="00C0553D" w14:paraId="402CE621"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0AF1F2" w14:textId="77777777" w:rsidR="00C0553D" w:rsidRDefault="00C0553D" w:rsidP="00C0553D">
            <w:pPr>
              <w:pStyle w:val="TableDataEntries"/>
              <w:jc w:val="left"/>
              <w:rPr>
                <w:lang w:val="en-GB"/>
              </w:rPr>
            </w:pPr>
            <w:r>
              <w:rPr>
                <w:lang w:val="en-GB"/>
              </w:rPr>
              <w:t xml:space="preserve">30 to 34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F091F4"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1C0A97"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CF3199" w14:textId="77777777" w:rsidR="00C0553D" w:rsidRPr="00CC0A1A" w:rsidRDefault="00C0553D" w:rsidP="00CC0A1A">
            <w:pPr>
              <w:pStyle w:val="TableDataEntries"/>
            </w:pPr>
            <w:r w:rsidRPr="00CC0A1A">
              <w:t xml:space="preserve"> 0.12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AEA641" w14:textId="77777777" w:rsidR="00C0553D" w:rsidRPr="00CC0A1A" w:rsidRDefault="00C0553D" w:rsidP="00CC0A1A">
            <w:pPr>
              <w:pStyle w:val="TableDataEntries"/>
            </w:pPr>
            <w:r w:rsidRPr="00CC0A1A">
              <w:t xml:space="preserve"> 0.43</w:t>
            </w:r>
          </w:p>
        </w:tc>
      </w:tr>
      <w:tr w:rsidR="00C0553D" w14:paraId="63A271F6"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8543A7" w14:textId="77777777" w:rsidR="00C0553D" w:rsidRDefault="00C0553D" w:rsidP="00C0553D">
            <w:pPr>
              <w:pStyle w:val="TableDataEntries"/>
              <w:jc w:val="left"/>
              <w:rPr>
                <w:lang w:val="en-GB"/>
              </w:rPr>
            </w:pPr>
            <w:r>
              <w:rPr>
                <w:lang w:val="en-GB"/>
              </w:rPr>
              <w:t xml:space="preserve">35 to 39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8111F8"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9B28B1"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74E0B9" w14:textId="77777777" w:rsidR="00C0553D" w:rsidRPr="00CC0A1A" w:rsidRDefault="00C0553D" w:rsidP="00CC0A1A">
            <w:pPr>
              <w:pStyle w:val="TableDataEntries"/>
            </w:pPr>
            <w:r w:rsidRPr="00CC0A1A">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DDEB8E" w14:textId="77777777" w:rsidR="00C0553D" w:rsidRPr="00CC0A1A" w:rsidRDefault="00C0553D" w:rsidP="00CC0A1A">
            <w:pPr>
              <w:pStyle w:val="TableDataEntries"/>
            </w:pPr>
            <w:r w:rsidRPr="00CC0A1A">
              <w:t xml:space="preserve"> 0.42</w:t>
            </w:r>
          </w:p>
        </w:tc>
      </w:tr>
      <w:tr w:rsidR="00C0553D" w14:paraId="39064515"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FAE03A" w14:textId="77777777" w:rsidR="00C0553D" w:rsidRDefault="00C0553D" w:rsidP="00C0553D">
            <w:pPr>
              <w:pStyle w:val="TableDataEntries"/>
              <w:jc w:val="left"/>
              <w:rPr>
                <w:lang w:val="en-GB"/>
              </w:rPr>
            </w:pPr>
            <w:r>
              <w:rPr>
                <w:lang w:val="en-GB"/>
              </w:rPr>
              <w:t>40 to 44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79068F"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FD6E99"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88A478" w14:textId="77777777" w:rsidR="00C0553D" w:rsidRPr="00CC0A1A" w:rsidRDefault="00C0553D" w:rsidP="00CC0A1A">
            <w:pPr>
              <w:pStyle w:val="TableDataEntries"/>
            </w:pPr>
            <w:r w:rsidRPr="00CC0A1A">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1A74F9" w14:textId="77777777" w:rsidR="00C0553D" w:rsidRPr="00CC0A1A" w:rsidRDefault="00C0553D" w:rsidP="00CC0A1A">
            <w:pPr>
              <w:pStyle w:val="TableDataEntries"/>
            </w:pPr>
            <w:r w:rsidRPr="00CC0A1A">
              <w:t xml:space="preserve"> 0.61</w:t>
            </w:r>
          </w:p>
        </w:tc>
      </w:tr>
      <w:tr w:rsidR="00C0553D" w14:paraId="77921AAB"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94FB30" w14:textId="77777777" w:rsidR="00C0553D" w:rsidRDefault="00C0553D" w:rsidP="00C0553D">
            <w:pPr>
              <w:pStyle w:val="TableDataEntries"/>
              <w:jc w:val="left"/>
              <w:rPr>
                <w:lang w:val="en-GB"/>
              </w:rPr>
            </w:pPr>
            <w:r>
              <w:rPr>
                <w:lang w:val="en-GB"/>
              </w:rPr>
              <w:t xml:space="preserve">45 to 49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541FF"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719A24"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33545C" w14:textId="77777777" w:rsidR="00C0553D" w:rsidRPr="00CC0A1A" w:rsidRDefault="00C0553D" w:rsidP="00CC0A1A">
            <w:pPr>
              <w:pStyle w:val="TableDataEntries"/>
            </w:pPr>
            <w:r w:rsidRPr="00CC0A1A">
              <w:t xml:space="preserve"> 0.23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381BE0" w14:textId="77777777" w:rsidR="00C0553D" w:rsidRPr="00CC0A1A" w:rsidRDefault="00C0553D" w:rsidP="00CC0A1A">
            <w:pPr>
              <w:pStyle w:val="TableDataEntries"/>
            </w:pPr>
            <w:r w:rsidRPr="00CC0A1A">
              <w:t xml:space="preserve"> 0.84</w:t>
            </w:r>
          </w:p>
        </w:tc>
      </w:tr>
      <w:tr w:rsidR="00C0553D" w14:paraId="587B3DF5"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5F819" w14:textId="77777777" w:rsidR="00C0553D" w:rsidRDefault="00C0553D" w:rsidP="00C0553D">
            <w:pPr>
              <w:pStyle w:val="TableDataEntries"/>
              <w:jc w:val="left"/>
              <w:rPr>
                <w:lang w:val="en-GB"/>
              </w:rPr>
            </w:pPr>
            <w:r>
              <w:rPr>
                <w:lang w:val="en-GB"/>
              </w:rPr>
              <w:t xml:space="preserve">50 to 54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DBB92A"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5B512F"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463225" w14:textId="77777777" w:rsidR="00C0553D" w:rsidRPr="00CC0A1A" w:rsidRDefault="00C0553D" w:rsidP="00CC0A1A">
            <w:pPr>
              <w:pStyle w:val="TableDataEntries"/>
            </w:pPr>
            <w:r w:rsidRPr="00CC0A1A">
              <w:t xml:space="preserve"> 0.25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FE8683" w14:textId="77777777" w:rsidR="00C0553D" w:rsidRPr="00CC0A1A" w:rsidRDefault="00C0553D" w:rsidP="00CC0A1A">
            <w:pPr>
              <w:pStyle w:val="TableDataEntries"/>
            </w:pPr>
            <w:r w:rsidRPr="00CC0A1A">
              <w:t xml:space="preserve"> 0.92</w:t>
            </w:r>
          </w:p>
        </w:tc>
      </w:tr>
      <w:tr w:rsidR="00C0553D" w14:paraId="14456138"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04CF47" w14:textId="77777777" w:rsidR="00C0553D" w:rsidRDefault="00C0553D" w:rsidP="00C0553D">
            <w:pPr>
              <w:pStyle w:val="TableDataEntries"/>
              <w:jc w:val="left"/>
              <w:rPr>
                <w:lang w:val="en-GB"/>
              </w:rPr>
            </w:pPr>
            <w:r>
              <w:rPr>
                <w:lang w:val="en-GB"/>
              </w:rPr>
              <w:t xml:space="preserve">55 to 59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908027"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913C33"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BF36D0" w14:textId="77777777" w:rsidR="00C0553D" w:rsidRPr="00CC0A1A" w:rsidRDefault="00C0553D" w:rsidP="00CC0A1A">
            <w:pPr>
              <w:pStyle w:val="TableDataEntries"/>
            </w:pPr>
            <w:r w:rsidRPr="00CC0A1A">
              <w:t xml:space="preserve"> 0.34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A68B93" w14:textId="77777777" w:rsidR="00C0553D" w:rsidRPr="00CC0A1A" w:rsidRDefault="00C0553D" w:rsidP="00CC0A1A">
            <w:pPr>
              <w:pStyle w:val="TableDataEntries"/>
            </w:pPr>
            <w:r w:rsidRPr="00CC0A1A">
              <w:t xml:space="preserve"> 1.27</w:t>
            </w:r>
          </w:p>
        </w:tc>
      </w:tr>
      <w:tr w:rsidR="00C0553D" w14:paraId="2D0F904F"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AF5A84" w14:textId="77777777" w:rsidR="00C0553D" w:rsidRDefault="00C0553D" w:rsidP="00C0553D">
            <w:pPr>
              <w:pStyle w:val="TableDataEntries"/>
              <w:jc w:val="left"/>
              <w:rPr>
                <w:lang w:val="en-GB"/>
              </w:rPr>
            </w:pPr>
            <w:r>
              <w:rPr>
                <w:lang w:val="en-GB"/>
              </w:rPr>
              <w:t xml:space="preserve">60 to 64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304423"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B29F72"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9BC31C" w14:textId="77777777" w:rsidR="00C0553D" w:rsidRPr="00CC0A1A" w:rsidRDefault="00C0553D" w:rsidP="00CC0A1A">
            <w:pPr>
              <w:pStyle w:val="TableDataEntries"/>
            </w:pPr>
            <w:r w:rsidRPr="00CC0A1A">
              <w:t xml:space="preserve"> 0.31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98FC2F" w14:textId="77777777" w:rsidR="00C0553D" w:rsidRPr="00CC0A1A" w:rsidRDefault="00C0553D" w:rsidP="00CC0A1A">
            <w:pPr>
              <w:pStyle w:val="TableDataEntries"/>
            </w:pPr>
            <w:r w:rsidRPr="00CC0A1A">
              <w:t xml:space="preserve"> 1.16</w:t>
            </w:r>
          </w:p>
        </w:tc>
      </w:tr>
      <w:tr w:rsidR="00C0553D" w14:paraId="20E219DB"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1FFC7E" w14:textId="77777777" w:rsidR="00C0553D" w:rsidRDefault="00C0553D" w:rsidP="00C0553D">
            <w:pPr>
              <w:pStyle w:val="TableDataEntries"/>
              <w:jc w:val="left"/>
              <w:rPr>
                <w:lang w:val="en-GB"/>
              </w:rPr>
            </w:pPr>
            <w:r>
              <w:rPr>
                <w:lang w:val="en-GB"/>
              </w:rPr>
              <w:t>65 to 69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2646C9" w14:textId="77777777" w:rsidR="00C0553D" w:rsidRDefault="00C0553D" w:rsidP="00C0553D">
            <w:pPr>
              <w:pStyle w:val="TableDataEntries"/>
              <w:rPr>
                <w:lang w:val="en-GB"/>
              </w:rPr>
            </w:pPr>
            <w:r>
              <w:rPr>
                <w:lang w:val="en-GB"/>
              </w:rPr>
              <w:t>17 107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768521"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DE236B" w14:textId="77777777" w:rsidR="00C0553D" w:rsidRPr="00CC0A1A" w:rsidRDefault="00C0553D" w:rsidP="00CC0A1A">
            <w:pPr>
              <w:pStyle w:val="TableDataEntries"/>
            </w:pPr>
            <w:r w:rsidRPr="00CC0A1A">
              <w:t xml:space="preserve"> 0.35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01B74F" w14:textId="77777777" w:rsidR="00C0553D" w:rsidRPr="00CC0A1A" w:rsidRDefault="00C0553D" w:rsidP="00CC0A1A">
            <w:pPr>
              <w:pStyle w:val="TableDataEntries"/>
            </w:pPr>
            <w:r w:rsidRPr="00CC0A1A">
              <w:t xml:space="preserve"> 1.30</w:t>
            </w:r>
          </w:p>
        </w:tc>
      </w:tr>
      <w:tr w:rsidR="00C0553D" w14:paraId="44DD2425"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06BD54" w14:textId="77777777" w:rsidR="00C0553D" w:rsidRDefault="00C0553D" w:rsidP="00C0553D">
            <w:pPr>
              <w:pStyle w:val="TableDataEntries"/>
              <w:jc w:val="left"/>
              <w:rPr>
                <w:lang w:val="en-GB"/>
              </w:rPr>
            </w:pPr>
            <w:r>
              <w:rPr>
                <w:lang w:val="en-GB"/>
              </w:rPr>
              <w:t>70 to 74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9A0008" w14:textId="77777777" w:rsidR="00C0553D" w:rsidRDefault="00C0553D" w:rsidP="00C0553D">
            <w:pPr>
              <w:pStyle w:val="TableDataEntries"/>
              <w:rPr>
                <w:lang w:val="en-GB"/>
              </w:rPr>
            </w:pPr>
            <w:r>
              <w:rPr>
                <w:lang w:val="en-GB"/>
              </w:rPr>
              <w:t>22 517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FFF570" w14:textId="77777777" w:rsidR="00C0553D" w:rsidRDefault="00C0553D" w:rsidP="00C0553D">
            <w:pPr>
              <w:pStyle w:val="TableDataEntries"/>
              <w:rPr>
                <w:lang w:val="en-GB"/>
              </w:rPr>
            </w:pPr>
            <w:r w:rsidRPr="00F11742">
              <w:t xml:space="preserve"> 0.</w:t>
            </w:r>
            <w:r>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77D548" w14:textId="77777777" w:rsidR="00C0553D" w:rsidRPr="00CC0A1A" w:rsidRDefault="00C0553D" w:rsidP="00CC0A1A">
            <w:pPr>
              <w:pStyle w:val="TableDataEntries"/>
            </w:pPr>
            <w:r w:rsidRPr="00CC0A1A">
              <w:t xml:space="preserve"> 0.44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3DEDEB" w14:textId="77777777" w:rsidR="00C0553D" w:rsidRPr="00CC0A1A" w:rsidRDefault="00C0553D" w:rsidP="00CC0A1A">
            <w:pPr>
              <w:pStyle w:val="TableDataEntries"/>
            </w:pPr>
            <w:r w:rsidRPr="00CC0A1A">
              <w:t xml:space="preserve"> 1.64</w:t>
            </w:r>
          </w:p>
        </w:tc>
      </w:tr>
      <w:tr w:rsidR="00C0553D" w14:paraId="7229873A"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C06CC4" w14:textId="77777777" w:rsidR="00C0553D" w:rsidRDefault="00C0553D" w:rsidP="00C0553D">
            <w:pPr>
              <w:pStyle w:val="TableDataEntries"/>
              <w:jc w:val="left"/>
              <w:rPr>
                <w:lang w:val="en-GB"/>
              </w:rPr>
            </w:pPr>
            <w:r>
              <w:rPr>
                <w:lang w:val="en-GB"/>
              </w:rPr>
              <w:t>75 to 79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19866D" w14:textId="77777777" w:rsidR="00C0553D" w:rsidRDefault="00C0553D" w:rsidP="00C0553D">
            <w:pPr>
              <w:pStyle w:val="TableDataEntries"/>
              <w:rPr>
                <w:lang w:val="en-GB"/>
              </w:rPr>
            </w:pPr>
            <w:r>
              <w:rPr>
                <w:lang w:val="en-GB"/>
              </w:rPr>
              <w:t>22 918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46DABC" w14:textId="77777777" w:rsidR="00C0553D" w:rsidRDefault="00C0553D" w:rsidP="00C0553D">
            <w:pPr>
              <w:pStyle w:val="TableDataEntries"/>
              <w:rPr>
                <w:lang w:val="en-GB"/>
              </w:rPr>
            </w:pPr>
            <w:r w:rsidRPr="00F11742">
              <w:t xml:space="preserve"> </w:t>
            </w:r>
            <w:r>
              <w:t>0.00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426804" w14:textId="77777777" w:rsidR="00C0553D" w:rsidRPr="00CC0A1A" w:rsidRDefault="00C0553D" w:rsidP="00CC0A1A">
            <w:pPr>
              <w:pStyle w:val="TableDataEntries"/>
            </w:pPr>
            <w:r w:rsidRPr="00CC0A1A">
              <w:t xml:space="preserve"> 0.86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9D35E5" w14:textId="77777777" w:rsidR="00C0553D" w:rsidRPr="00CC0A1A" w:rsidRDefault="00C0553D" w:rsidP="00CC0A1A">
            <w:pPr>
              <w:pStyle w:val="TableDataEntries"/>
            </w:pPr>
            <w:r w:rsidRPr="00CC0A1A">
              <w:t xml:space="preserve"> 3.17</w:t>
            </w:r>
          </w:p>
        </w:tc>
      </w:tr>
      <w:tr w:rsidR="00C0553D" w14:paraId="06DA6478"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5B1A2" w14:textId="77777777" w:rsidR="00C0553D" w:rsidRDefault="00C0553D" w:rsidP="00C0553D">
            <w:pPr>
              <w:pStyle w:val="TableDataEntries"/>
              <w:jc w:val="left"/>
              <w:rPr>
                <w:lang w:val="en-GB"/>
              </w:rPr>
            </w:pPr>
            <w:r>
              <w:rPr>
                <w:lang w:val="en-GB"/>
              </w:rPr>
              <w:t>80 to 84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EC6D8B" w14:textId="77777777" w:rsidR="00C0553D" w:rsidRDefault="00C0553D" w:rsidP="00C0553D">
            <w:pPr>
              <w:pStyle w:val="TableDataEntries"/>
              <w:rPr>
                <w:lang w:val="en-GB"/>
              </w:rPr>
            </w:pPr>
            <w:r>
              <w:rPr>
                <w:lang w:val="en-GB"/>
              </w:rPr>
              <w:t>26 418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33313C" w14:textId="77777777" w:rsidR="00C0553D" w:rsidRDefault="00C0553D" w:rsidP="00C0553D">
            <w:pPr>
              <w:pStyle w:val="TableDataEntries"/>
              <w:rPr>
                <w:lang w:val="en-GB"/>
              </w:rPr>
            </w:pPr>
            <w:r w:rsidRPr="00F11742">
              <w:t xml:space="preserve"> </w:t>
            </w:r>
            <w:r>
              <w:t>0.00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F48611" w14:textId="77777777" w:rsidR="00C0553D" w:rsidRPr="00CC0A1A" w:rsidRDefault="00C0553D" w:rsidP="00CC0A1A">
            <w:pPr>
              <w:pStyle w:val="TableDataEntries"/>
            </w:pPr>
            <w:r w:rsidRPr="00CC0A1A">
              <w:t xml:space="preserve"> 1.27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C807A7" w14:textId="77777777" w:rsidR="00C0553D" w:rsidRPr="00CC0A1A" w:rsidRDefault="00C0553D" w:rsidP="00CC0A1A">
            <w:pPr>
              <w:pStyle w:val="TableDataEntries"/>
            </w:pPr>
            <w:r w:rsidRPr="00CC0A1A">
              <w:t xml:space="preserve"> 4.72</w:t>
            </w:r>
          </w:p>
        </w:tc>
      </w:tr>
      <w:tr w:rsidR="00C0553D" w14:paraId="4DDD95DB"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4CF80F" w14:textId="77777777" w:rsidR="00C0553D" w:rsidRDefault="00C0553D" w:rsidP="00C0553D">
            <w:pPr>
              <w:pStyle w:val="TableDataEntries"/>
              <w:jc w:val="left"/>
              <w:rPr>
                <w:lang w:val="en-GB"/>
              </w:rPr>
            </w:pPr>
            <w:r>
              <w:rPr>
                <w:lang w:val="en-GB"/>
              </w:rPr>
              <w:t>85 to 89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D50E39" w14:textId="77777777" w:rsidR="00C0553D" w:rsidRDefault="00C0553D" w:rsidP="00C0553D">
            <w:pPr>
              <w:pStyle w:val="TableDataEntries"/>
              <w:rPr>
                <w:lang w:val="en-GB"/>
              </w:rPr>
            </w:pPr>
            <w:r>
              <w:rPr>
                <w:lang w:val="en-GB"/>
              </w:rPr>
              <w:t>27 217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8F7216" w14:textId="77777777" w:rsidR="00C0553D" w:rsidRDefault="00C0553D" w:rsidP="00C0553D">
            <w:pPr>
              <w:pStyle w:val="TableDataEntries"/>
              <w:rPr>
                <w:lang w:val="en-GB"/>
              </w:rPr>
            </w:pPr>
            <w:r w:rsidRPr="00F11742">
              <w:t xml:space="preserve"> </w:t>
            </w:r>
            <w:r>
              <w:t>0.00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186427" w14:textId="77777777" w:rsidR="00C0553D" w:rsidRPr="00CC0A1A" w:rsidRDefault="00C0553D" w:rsidP="00CC0A1A">
            <w:pPr>
              <w:pStyle w:val="TableDataEntries"/>
            </w:pPr>
            <w:r w:rsidRPr="00CC0A1A">
              <w:t xml:space="preserve"> 1.66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C6DB73" w14:textId="77777777" w:rsidR="00C0553D" w:rsidRPr="00CC0A1A" w:rsidRDefault="00C0553D" w:rsidP="00CC0A1A">
            <w:pPr>
              <w:pStyle w:val="TableDataEntries"/>
            </w:pPr>
            <w:r w:rsidRPr="00CC0A1A">
              <w:t xml:space="preserve"> 6.12</w:t>
            </w:r>
          </w:p>
        </w:tc>
      </w:tr>
      <w:tr w:rsidR="00C0553D" w14:paraId="13569D53"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CACC8C" w14:textId="77777777" w:rsidR="00C0553D" w:rsidRDefault="00C0553D" w:rsidP="00C0553D">
            <w:pPr>
              <w:pStyle w:val="TableDataEntries"/>
              <w:jc w:val="left"/>
              <w:rPr>
                <w:lang w:val="en-GB"/>
              </w:rPr>
            </w:pPr>
            <w:r>
              <w:rPr>
                <w:lang w:val="en-GB"/>
              </w:rPr>
              <w:t>90 to 94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15F678" w14:textId="77777777" w:rsidR="00C0553D" w:rsidRDefault="00C0553D" w:rsidP="00C0553D">
            <w:pPr>
              <w:pStyle w:val="TableDataEntries"/>
              <w:rPr>
                <w:lang w:val="en-GB"/>
              </w:rPr>
            </w:pPr>
            <w:r>
              <w:rPr>
                <w:lang w:val="en-GB"/>
              </w:rPr>
              <w:t>25 120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9D2ABF" w14:textId="77777777" w:rsidR="00C0553D" w:rsidRDefault="00C0553D" w:rsidP="00C0553D">
            <w:pPr>
              <w:pStyle w:val="TableDataEntries"/>
              <w:rPr>
                <w:lang w:val="en-GB"/>
              </w:rPr>
            </w:pPr>
            <w:r w:rsidRPr="00F11742">
              <w:t xml:space="preserve"> </w:t>
            </w:r>
            <w:r>
              <w:t>0.00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7D89FF" w14:textId="77777777" w:rsidR="00C0553D" w:rsidRPr="00CC0A1A" w:rsidRDefault="00C0553D" w:rsidP="00CC0A1A">
            <w:pPr>
              <w:pStyle w:val="TableDataEntries"/>
            </w:pPr>
            <w:r w:rsidRPr="00CC0A1A">
              <w:t xml:space="preserve"> 1.33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23E6B7" w14:textId="77777777" w:rsidR="00C0553D" w:rsidRPr="00CC0A1A" w:rsidRDefault="00C0553D" w:rsidP="00CC0A1A">
            <w:pPr>
              <w:pStyle w:val="TableDataEntries"/>
            </w:pPr>
            <w:r w:rsidRPr="00CC0A1A">
              <w:t xml:space="preserve"> 4.92</w:t>
            </w:r>
          </w:p>
        </w:tc>
      </w:tr>
      <w:tr w:rsidR="00C0553D" w14:paraId="44AFA368" w14:textId="77777777" w:rsidTr="00F11742">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DE3E63" w14:textId="77777777" w:rsidR="00C0553D" w:rsidRDefault="00C0553D" w:rsidP="00C0553D">
            <w:pPr>
              <w:pStyle w:val="TableDataEntries"/>
              <w:jc w:val="left"/>
              <w:rPr>
                <w:lang w:val="en-GB"/>
              </w:rPr>
            </w:pPr>
            <w:r>
              <w:rPr>
                <w:lang w:val="en-GB"/>
              </w:rPr>
              <w:t>95+</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0C4683" w14:textId="77777777" w:rsidR="00C0553D" w:rsidRDefault="00C0553D" w:rsidP="00C0553D">
            <w:pPr>
              <w:pStyle w:val="TableDataEntries"/>
              <w:rPr>
                <w:lang w:val="en-GB"/>
              </w:rPr>
            </w:pPr>
            <w:r>
              <w:rPr>
                <w:lang w:val="en-GB"/>
              </w:rPr>
              <w:t>22 296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F9F4D1" w14:textId="77777777" w:rsidR="00C0553D" w:rsidRDefault="00C0553D" w:rsidP="00C0553D">
            <w:pPr>
              <w:pStyle w:val="TableDataEntries"/>
              <w:rPr>
                <w:lang w:val="en-GB"/>
              </w:rPr>
            </w:pPr>
            <w:r w:rsidRPr="00F11742">
              <w:t xml:space="preserve"> </w:t>
            </w:r>
            <w:r>
              <w:t>0.00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31DF0C" w14:textId="77777777" w:rsidR="00C0553D" w:rsidRPr="00CC0A1A" w:rsidRDefault="00C0553D" w:rsidP="00CC0A1A">
            <w:pPr>
              <w:pStyle w:val="TableDataEntries"/>
            </w:pPr>
            <w:r w:rsidRPr="00CC0A1A">
              <w:t xml:space="preserve"> 0.75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46C991" w14:textId="77777777" w:rsidR="00C0553D" w:rsidRPr="00CC0A1A" w:rsidRDefault="00C0553D" w:rsidP="00CC0A1A">
            <w:pPr>
              <w:pStyle w:val="TableDataEntries"/>
            </w:pPr>
            <w:r w:rsidRPr="00CC0A1A">
              <w:t xml:space="preserve"> 2.78</w:t>
            </w:r>
          </w:p>
        </w:tc>
      </w:tr>
      <w:tr w:rsidR="00C0553D" w:rsidRPr="00CC0A1A" w14:paraId="75FB5A86" w14:textId="77777777" w:rsidTr="00D6774F">
        <w:trPr>
          <w:trHeight w:val="230"/>
        </w:trPr>
        <w:tc>
          <w:tcPr>
            <w:tcW w:w="21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11C9D8E" w14:textId="77777777" w:rsidR="00C0553D" w:rsidRPr="00CC0A1A" w:rsidRDefault="00C0553D" w:rsidP="00C0553D">
            <w:pPr>
              <w:pStyle w:val="TableDataEntries"/>
              <w:jc w:val="left"/>
              <w:rPr>
                <w:rFonts w:ascii="Franklin Gothic Demi" w:hAnsi="Franklin Gothic Demi"/>
                <w:lang w:val="en-GB"/>
              </w:rPr>
            </w:pPr>
            <w:r w:rsidRPr="00CC0A1A">
              <w:rPr>
                <w:rFonts w:ascii="Franklin Gothic Demi" w:hAnsi="Franklin Gothic Demi"/>
                <w:lang w:val="en-GB"/>
              </w:rPr>
              <w:t>Total</w:t>
            </w:r>
          </w:p>
        </w:tc>
        <w:tc>
          <w:tcPr>
            <w:tcW w:w="150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1D52315" w14:textId="77777777" w:rsidR="00C0553D" w:rsidRPr="00CC0A1A" w:rsidRDefault="00C0553D" w:rsidP="00C0553D">
            <w:pPr>
              <w:pStyle w:val="TableDataEntries"/>
              <w:rPr>
                <w:rFonts w:ascii="Franklin Gothic Demi" w:hAnsi="Franklin Gothic Demi"/>
                <w:lang w:val="en-GB"/>
              </w:rPr>
            </w:pP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8AFB5F1" w14:textId="77777777" w:rsidR="00C0553D" w:rsidRPr="00CC0A1A" w:rsidRDefault="00C0553D" w:rsidP="00C0553D">
            <w:pPr>
              <w:pStyle w:val="TableDataEntries"/>
              <w:rPr>
                <w:rFonts w:ascii="Franklin Gothic Demi" w:hAnsi="Franklin Gothic Demi"/>
                <w:lang w:val="en-GB"/>
              </w:rPr>
            </w:pPr>
            <w:r w:rsidRPr="00CC0A1A">
              <w:rPr>
                <w:rFonts w:ascii="Franklin Gothic Demi" w:hAnsi="Franklin Gothic Demi"/>
                <w:lang w:val="en-GB"/>
              </w:rPr>
              <w:t xml:space="preserve"> 0.00</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7E3CC2C" w14:textId="77777777" w:rsidR="00C0553D" w:rsidRPr="00CC0A1A" w:rsidRDefault="00C0553D" w:rsidP="00CC0A1A">
            <w:pPr>
              <w:pStyle w:val="TableDataEntries"/>
              <w:rPr>
                <w:rFonts w:ascii="Franklin Gothic Demi" w:hAnsi="Franklin Gothic Demi"/>
              </w:rPr>
            </w:pPr>
            <w:r w:rsidRPr="00CC0A1A">
              <w:rPr>
                <w:rFonts w:ascii="Franklin Gothic Demi" w:hAnsi="Franklin Gothic Demi"/>
              </w:rPr>
              <w:t xml:space="preserve"> 8.60</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91C83DC" w14:textId="77777777" w:rsidR="00C0553D" w:rsidRPr="00CC0A1A" w:rsidRDefault="00C0553D" w:rsidP="00CC0A1A">
            <w:pPr>
              <w:pStyle w:val="TableDataEntries"/>
              <w:rPr>
                <w:rFonts w:ascii="Franklin Gothic Demi" w:hAnsi="Franklin Gothic Demi"/>
              </w:rPr>
            </w:pPr>
            <w:r w:rsidRPr="00CC0A1A">
              <w:rPr>
                <w:rFonts w:ascii="Franklin Gothic Demi" w:hAnsi="Franklin Gothic Demi"/>
              </w:rPr>
              <w:t xml:space="preserve"> 31.84</w:t>
            </w:r>
          </w:p>
        </w:tc>
      </w:tr>
    </w:tbl>
    <w:p w14:paraId="46CCAB15" w14:textId="77777777" w:rsidR="00ED748D" w:rsidRPr="00E4232C" w:rsidRDefault="00ED748D" w:rsidP="00ED748D">
      <w:pPr>
        <w:pStyle w:val="Note"/>
      </w:pPr>
      <w:r w:rsidRPr="00E4232C">
        <w:rPr>
          <w:rStyle w:val="NoteLabel"/>
        </w:rPr>
        <w:t>a</w:t>
      </w:r>
      <w:r>
        <w:t xml:space="preserve"> Based on average costs reported in UNSW (2010, p. 33) inflate to 2019 dollars using the national CPI.</w:t>
      </w:r>
    </w:p>
    <w:p w14:paraId="34CC2DC1" w14:textId="77777777" w:rsidR="00EA7092" w:rsidRPr="00280175" w:rsidRDefault="00EA7092" w:rsidP="00EA7092">
      <w:pPr>
        <w:pStyle w:val="Note"/>
        <w:rPr>
          <w:lang w:bidi="fa-IR"/>
        </w:rPr>
      </w:pPr>
      <w:r w:rsidRPr="00280175">
        <w:rPr>
          <w:lang w:bidi="fa-IR"/>
        </w:rPr>
        <w:t>Note: low, central and high estimates are based on the assumption that falls are not higher, 10 per cent higher and 37 per cent higher, respectively, in inaccessible housing</w:t>
      </w:r>
      <w:r w:rsidR="005A1FB8">
        <w:rPr>
          <w:lang w:bidi="fa-IR"/>
        </w:rPr>
        <w:t>.</w:t>
      </w:r>
      <w:r w:rsidRPr="00280175">
        <w:rPr>
          <w:lang w:bidi="fa-IR"/>
        </w:rPr>
        <w:t xml:space="preserve"> </w:t>
      </w:r>
    </w:p>
    <w:p w14:paraId="180418E3" w14:textId="77777777" w:rsidR="00ED748D" w:rsidRPr="00280175" w:rsidRDefault="00ED748D" w:rsidP="00ED748D">
      <w:pPr>
        <w:pStyle w:val="Source"/>
      </w:pPr>
      <w:r w:rsidRPr="00280175">
        <w:rPr>
          <w:lang w:bidi="fa-IR"/>
        </w:rPr>
        <w:t xml:space="preserve">Source: </w:t>
      </w:r>
      <w:r w:rsidRPr="00280175">
        <w:t>University of NSW, The Incidence and Cost of Falls Injury Among Older People in New South Wales 2006/07, A Report to NSW Health, September 2010; CIE.</w:t>
      </w:r>
    </w:p>
    <w:p w14:paraId="703B72C9" w14:textId="77777777" w:rsidR="00ED748D" w:rsidRPr="004B79EC" w:rsidRDefault="00ED748D" w:rsidP="004B79EC">
      <w:pPr>
        <w:pStyle w:val="Heading4-Appendix"/>
      </w:pPr>
      <w:r w:rsidRPr="004B79EC">
        <w:t>Emergency department attendance</w:t>
      </w:r>
    </w:p>
    <w:p w14:paraId="33AF7D4F" w14:textId="77777777" w:rsidR="009C53D0" w:rsidRDefault="00ED748D" w:rsidP="00ED748D">
      <w:pPr>
        <w:pStyle w:val="BodyText"/>
        <w:rPr>
          <w:lang w:bidi="fa-IR"/>
        </w:rPr>
      </w:pPr>
      <w:r>
        <w:rPr>
          <w:lang w:bidi="fa-IR"/>
        </w:rPr>
        <w:t xml:space="preserve">In some cases, people who have a fall attend an emergency department (ED) at a hospital but are not actually admitted. </w:t>
      </w:r>
    </w:p>
    <w:p w14:paraId="6E6715F0" w14:textId="77777777" w:rsidR="00381BCB" w:rsidRDefault="00ED748D" w:rsidP="00ED748D">
      <w:pPr>
        <w:pStyle w:val="BodyText"/>
        <w:rPr>
          <w:lang w:bidi="fa-IR"/>
        </w:rPr>
      </w:pPr>
      <w:r>
        <w:rPr>
          <w:lang w:bidi="fa-IR"/>
        </w:rPr>
        <w:t xml:space="preserve">Using a similar approach as above, </w:t>
      </w:r>
      <w:r w:rsidR="00481F6D">
        <w:rPr>
          <w:lang w:bidi="fa-IR"/>
        </w:rPr>
        <w:t xml:space="preserve">it is </w:t>
      </w:r>
      <w:r>
        <w:rPr>
          <w:lang w:bidi="fa-IR"/>
        </w:rPr>
        <w:t>estimate</w:t>
      </w:r>
      <w:r w:rsidR="00481F6D">
        <w:rPr>
          <w:lang w:bidi="fa-IR"/>
        </w:rPr>
        <w:t>d that</w:t>
      </w:r>
      <w:r>
        <w:rPr>
          <w:lang w:bidi="fa-IR"/>
        </w:rPr>
        <w:t xml:space="preserve"> there could be between </w:t>
      </w:r>
      <w:r w:rsidR="00903D5D">
        <w:rPr>
          <w:lang w:bidi="fa-IR"/>
        </w:rPr>
        <w:t>zero and</w:t>
      </w:r>
      <w:r>
        <w:rPr>
          <w:lang w:bidi="fa-IR"/>
        </w:rPr>
        <w:t xml:space="preserve"> an additional </w:t>
      </w:r>
      <w:r w:rsidR="00903D5D">
        <w:rPr>
          <w:lang w:bidi="fa-IR"/>
        </w:rPr>
        <w:t>821</w:t>
      </w:r>
      <w:r>
        <w:rPr>
          <w:lang w:bidi="fa-IR"/>
        </w:rPr>
        <w:t xml:space="preserve"> fall</w:t>
      </w:r>
      <w:r>
        <w:rPr>
          <w:lang w:bidi="fa-IR"/>
        </w:rPr>
        <w:noBreakHyphen/>
        <w:t xml:space="preserve">related ED attendance per year due to people with accessibility needs living in inaccessible housing, with a central case estimate of </w:t>
      </w:r>
      <w:r w:rsidR="001C111D">
        <w:rPr>
          <w:lang w:bidi="fa-IR"/>
        </w:rPr>
        <w:t>222</w:t>
      </w:r>
      <w:r>
        <w:rPr>
          <w:lang w:bidi="fa-IR"/>
        </w:rPr>
        <w:t xml:space="preserve"> additional ED attendance</w:t>
      </w:r>
      <w:r w:rsidR="002504F2">
        <w:rPr>
          <w:lang w:bidi="fa-IR"/>
        </w:rPr>
        <w:t xml:space="preserve"> (table B.10)</w:t>
      </w:r>
      <w:r>
        <w:rPr>
          <w:lang w:bidi="fa-IR"/>
        </w:rPr>
        <w:t xml:space="preserve">. </w:t>
      </w:r>
    </w:p>
    <w:p w14:paraId="03C19B04" w14:textId="77777777" w:rsidR="00ED748D" w:rsidRDefault="00ED748D" w:rsidP="00ED748D">
      <w:pPr>
        <w:pStyle w:val="BodyText"/>
        <w:rPr>
          <w:lang w:bidi="fa-IR"/>
        </w:rPr>
      </w:pPr>
      <w:r>
        <w:rPr>
          <w:lang w:bidi="fa-IR"/>
        </w:rPr>
        <w:t>These estimates are based on the following.</w:t>
      </w:r>
    </w:p>
    <w:p w14:paraId="3564A1A0" w14:textId="77777777" w:rsidR="00ED748D" w:rsidRDefault="00ED748D" w:rsidP="00ED748D">
      <w:pPr>
        <w:pStyle w:val="ListBullet"/>
        <w:numPr>
          <w:ilvl w:val="0"/>
          <w:numId w:val="16"/>
        </w:numPr>
        <w:rPr>
          <w:lang w:bidi="fa-IR"/>
        </w:rPr>
      </w:pPr>
      <w:r>
        <w:rPr>
          <w:lang w:bidi="fa-IR"/>
        </w:rPr>
        <w:t>The ED attendance rate from falls is taken from NSW data for people living in the community from 2006</w:t>
      </w:r>
      <w:r>
        <w:rPr>
          <w:lang w:bidi="fa-IR"/>
        </w:rPr>
        <w:noBreakHyphen/>
        <w:t>07 reported in a UNSW report to NSW Health.</w:t>
      </w:r>
      <w:r>
        <w:rPr>
          <w:rStyle w:val="FootnoteReference"/>
          <w:lang w:bidi="fa-IR"/>
        </w:rPr>
        <w:footnoteReference w:id="464"/>
      </w:r>
    </w:p>
    <w:p w14:paraId="7099414D" w14:textId="77777777" w:rsidR="00ED748D" w:rsidRDefault="00ED748D" w:rsidP="00ED748D">
      <w:pPr>
        <w:pStyle w:val="ListBullet2"/>
        <w:numPr>
          <w:ilvl w:val="1"/>
          <w:numId w:val="16"/>
        </w:numPr>
        <w:ind w:left="568" w:hanging="284"/>
        <w:rPr>
          <w:lang w:bidi="fa-IR"/>
        </w:rPr>
      </w:pPr>
      <w:r>
        <w:rPr>
          <w:lang w:bidi="fa-IR"/>
        </w:rPr>
        <w:t>Actual data, as reported by UNSW, is used for age groups over 65.</w:t>
      </w:r>
    </w:p>
    <w:p w14:paraId="426B206E" w14:textId="77777777" w:rsidR="00ED748D" w:rsidRDefault="00ED748D" w:rsidP="00ED748D">
      <w:pPr>
        <w:pStyle w:val="ListBullet2"/>
        <w:numPr>
          <w:ilvl w:val="1"/>
          <w:numId w:val="16"/>
        </w:numPr>
        <w:ind w:left="568" w:hanging="284"/>
        <w:rPr>
          <w:lang w:bidi="fa-IR"/>
        </w:rPr>
      </w:pPr>
      <w:r>
        <w:rPr>
          <w:lang w:bidi="fa-IR"/>
        </w:rPr>
        <w:t xml:space="preserve">The incidence of falls resulting in ED attendance among people under the age of 65 with mobility limitation is not reported. As above, </w:t>
      </w:r>
      <w:r w:rsidR="00481F6D">
        <w:rPr>
          <w:lang w:bidi="fa-IR"/>
        </w:rPr>
        <w:t>it is</w:t>
      </w:r>
      <w:r>
        <w:rPr>
          <w:lang w:bidi="fa-IR"/>
        </w:rPr>
        <w:t xml:space="preserve"> assumed that the incidence of falls was around the same as for the broader population in the 65</w:t>
      </w:r>
      <w:r>
        <w:rPr>
          <w:lang w:bidi="fa-IR"/>
        </w:rPr>
        <w:noBreakHyphen/>
        <w:t>69 year age bracket, as reported by UNSW.</w:t>
      </w:r>
    </w:p>
    <w:p w14:paraId="22C806BC" w14:textId="77777777" w:rsidR="00ED748D" w:rsidRDefault="00ED748D" w:rsidP="00ED748D">
      <w:pPr>
        <w:pStyle w:val="ListBullet2"/>
        <w:numPr>
          <w:ilvl w:val="1"/>
          <w:numId w:val="16"/>
        </w:numPr>
        <w:ind w:left="568" w:hanging="284"/>
        <w:rPr>
          <w:lang w:bidi="fa-IR"/>
        </w:rPr>
      </w:pPr>
      <w:r>
        <w:rPr>
          <w:lang w:bidi="fa-IR"/>
        </w:rPr>
        <w:t>As not all falls occur at home, these ED attendance rates were adjusted based on Victorian data showing that 56.3 per cent of falls resulting in ED presentations occur in the home.</w:t>
      </w:r>
      <w:r>
        <w:rPr>
          <w:rStyle w:val="FootnoteReference"/>
          <w:lang w:bidi="fa-IR"/>
        </w:rPr>
        <w:footnoteReference w:id="465"/>
      </w:r>
    </w:p>
    <w:p w14:paraId="6EB72DEA" w14:textId="77777777" w:rsidR="00ED748D" w:rsidRDefault="00ED748D" w:rsidP="00ED748D">
      <w:pPr>
        <w:pStyle w:val="ListBullet"/>
        <w:numPr>
          <w:ilvl w:val="0"/>
          <w:numId w:val="16"/>
        </w:numPr>
        <w:rPr>
          <w:lang w:bidi="fa-IR"/>
        </w:rPr>
      </w:pPr>
      <w:r>
        <w:rPr>
          <w:lang w:bidi="fa-IR"/>
        </w:rPr>
        <w:t>As above, when people with accessibility needs live in inaccessible housing, the incidence of falls is estimated to be:</w:t>
      </w:r>
    </w:p>
    <w:p w14:paraId="04695F20" w14:textId="77777777" w:rsidR="00ED748D" w:rsidRDefault="009C6C79" w:rsidP="00ED748D">
      <w:pPr>
        <w:pStyle w:val="ListBullet2"/>
        <w:numPr>
          <w:ilvl w:val="1"/>
          <w:numId w:val="16"/>
        </w:numPr>
        <w:ind w:left="568" w:hanging="284"/>
        <w:rPr>
          <w:lang w:bidi="fa-IR"/>
        </w:rPr>
      </w:pPr>
      <w:r>
        <w:rPr>
          <w:lang w:bidi="fa-IR"/>
        </w:rPr>
        <w:t>no change</w:t>
      </w:r>
      <w:r w:rsidR="00ED748D">
        <w:rPr>
          <w:lang w:bidi="fa-IR"/>
        </w:rPr>
        <w:t xml:space="preserve"> under the low estimate scenario</w:t>
      </w:r>
    </w:p>
    <w:p w14:paraId="5972FE81" w14:textId="77777777" w:rsidR="00ED748D" w:rsidRDefault="00FD2A57" w:rsidP="00ED748D">
      <w:pPr>
        <w:pStyle w:val="ListBullet2"/>
        <w:numPr>
          <w:ilvl w:val="1"/>
          <w:numId w:val="16"/>
        </w:numPr>
        <w:ind w:left="568" w:hanging="284"/>
        <w:rPr>
          <w:lang w:bidi="fa-IR"/>
        </w:rPr>
      </w:pPr>
      <w:r>
        <w:rPr>
          <w:lang w:bidi="fa-IR"/>
        </w:rPr>
        <w:t>10</w:t>
      </w:r>
      <w:r w:rsidR="00ED748D">
        <w:rPr>
          <w:lang w:bidi="fa-IR"/>
        </w:rPr>
        <w:t xml:space="preserve"> per cent higher under the </w:t>
      </w:r>
      <w:r w:rsidR="003240BB">
        <w:rPr>
          <w:lang w:bidi="fa-IR"/>
        </w:rPr>
        <w:t>central</w:t>
      </w:r>
      <w:r w:rsidR="00ED748D">
        <w:rPr>
          <w:lang w:bidi="fa-IR"/>
        </w:rPr>
        <w:t xml:space="preserve"> estimate scenario</w:t>
      </w:r>
    </w:p>
    <w:p w14:paraId="2B9A7754" w14:textId="77777777" w:rsidR="00ED748D" w:rsidRDefault="003240BB" w:rsidP="00ED748D">
      <w:pPr>
        <w:pStyle w:val="ListBullet2"/>
        <w:numPr>
          <w:ilvl w:val="1"/>
          <w:numId w:val="16"/>
        </w:numPr>
        <w:ind w:left="568" w:hanging="284"/>
        <w:rPr>
          <w:lang w:bidi="fa-IR"/>
        </w:rPr>
      </w:pPr>
      <w:r>
        <w:rPr>
          <w:lang w:bidi="fa-IR"/>
        </w:rPr>
        <w:t>37</w:t>
      </w:r>
      <w:r w:rsidR="00ED748D">
        <w:rPr>
          <w:lang w:bidi="fa-IR"/>
        </w:rPr>
        <w:t> per cent higher under the high estimate scenario (see above).</w:t>
      </w:r>
    </w:p>
    <w:p w14:paraId="5FE08A89" w14:textId="7B9A20D0" w:rsidR="00ED748D" w:rsidRDefault="00B27E24" w:rsidP="00ED748D">
      <w:pPr>
        <w:pStyle w:val="Caption"/>
        <w:ind w:left="568" w:hanging="568"/>
      </w:pPr>
      <w:bookmarkStart w:id="671" w:name="_Toc45654201"/>
      <w:bookmarkStart w:id="672" w:name="_Toc44598570"/>
      <w:bookmarkStart w:id="673" w:name="_Toc44695942"/>
      <w:bookmarkStart w:id="674" w:name="_Toc57643677"/>
      <w:bookmarkStart w:id="675" w:name="_Toc70505624"/>
      <w:r>
        <w:t>B.10</w:t>
      </w:r>
      <w:r w:rsidR="00ED748D" w:rsidRPr="00695C93">
        <w:tab/>
      </w:r>
      <w:r w:rsidR="00ED748D">
        <w:t>Estimated number of additional emergency department attendances due to inaccessible housing</w:t>
      </w:r>
      <w:bookmarkEnd w:id="671"/>
      <w:bookmarkEnd w:id="672"/>
      <w:bookmarkEnd w:id="673"/>
      <w:bookmarkEnd w:id="674"/>
      <w:bookmarkEnd w:id="675"/>
    </w:p>
    <w:tbl>
      <w:tblPr>
        <w:tblW w:w="7940" w:type="dxa"/>
        <w:tblLayout w:type="fixed"/>
        <w:tblLook w:val="0000" w:firstRow="0" w:lastRow="0" w:firstColumn="0" w:lastColumn="0" w:noHBand="0" w:noVBand="0"/>
        <w:tblCaption w:val="Table B.10: Estimated number of additional emergency department attendances due to inaccessible housing"/>
        <w:tblDescription w:val="Table B.10 lists the number of additional emergency department attendances due to inaccessible housing, grouped by age. The total central case estimate is 221.9 attendances, ranging to a high estimate of 821 attendances. There are no additional attendances in the low estimate. "/>
      </w:tblPr>
      <w:tblGrid>
        <w:gridCol w:w="814"/>
        <w:gridCol w:w="1018"/>
        <w:gridCol w:w="1018"/>
        <w:gridCol w:w="1018"/>
        <w:gridCol w:w="1018"/>
        <w:gridCol w:w="1018"/>
        <w:gridCol w:w="1018"/>
        <w:gridCol w:w="1018"/>
      </w:tblGrid>
      <w:tr w:rsidR="00696C70" w14:paraId="668614F4" w14:textId="77777777" w:rsidTr="005A1FB8">
        <w:trPr>
          <w:trHeight w:val="154"/>
          <w:tblHeader/>
        </w:trPr>
        <w:tc>
          <w:tcPr>
            <w:tcW w:w="814" w:type="dxa"/>
            <w:shd w:val="clear" w:color="auto" w:fill="6F6652"/>
            <w:tcMar>
              <w:left w:w="57" w:type="dxa"/>
              <w:right w:w="57" w:type="dxa"/>
            </w:tcMar>
          </w:tcPr>
          <w:p w14:paraId="442F8C60" w14:textId="77777777" w:rsidR="00696C70" w:rsidRDefault="00A76057" w:rsidP="002B23FD">
            <w:pPr>
              <w:pStyle w:val="TableDataColumnHeading"/>
              <w:jc w:val="left"/>
              <w:rPr>
                <w:lang w:val="en-GB"/>
              </w:rPr>
            </w:pPr>
            <w:r>
              <w:rPr>
                <w:lang w:val="en-GB"/>
              </w:rPr>
              <w:t>Age</w:t>
            </w:r>
            <w:r w:rsidR="007A22A8">
              <w:rPr>
                <w:lang w:val="en-GB"/>
              </w:rPr>
              <w:t xml:space="preserve"> group</w:t>
            </w:r>
          </w:p>
        </w:tc>
        <w:tc>
          <w:tcPr>
            <w:tcW w:w="1018" w:type="dxa"/>
            <w:shd w:val="clear" w:color="auto" w:fill="6F6652"/>
            <w:tcMar>
              <w:left w:w="57" w:type="dxa"/>
              <w:right w:w="57" w:type="dxa"/>
            </w:tcMar>
          </w:tcPr>
          <w:p w14:paraId="6F291A36" w14:textId="77777777" w:rsidR="00696C70" w:rsidRDefault="00696C70" w:rsidP="002B23FD">
            <w:pPr>
              <w:pStyle w:val="TableDataColumnHeading"/>
              <w:rPr>
                <w:lang w:val="en-GB"/>
              </w:rPr>
            </w:pPr>
            <w:r>
              <w:rPr>
                <w:lang w:val="en-GB"/>
              </w:rPr>
              <w:t>Population affected</w:t>
            </w:r>
            <w:r w:rsidRPr="00C20B6B">
              <w:rPr>
                <w:rStyle w:val="NoteLabel"/>
              </w:rPr>
              <w:t>a</w:t>
            </w:r>
          </w:p>
        </w:tc>
        <w:tc>
          <w:tcPr>
            <w:tcW w:w="1018" w:type="dxa"/>
            <w:shd w:val="clear" w:color="auto" w:fill="6F6652"/>
            <w:tcMar>
              <w:left w:w="57" w:type="dxa"/>
              <w:right w:w="57" w:type="dxa"/>
            </w:tcMar>
          </w:tcPr>
          <w:p w14:paraId="16DF7392" w14:textId="77777777" w:rsidR="00696C70" w:rsidRPr="00C20B6B" w:rsidRDefault="00696C70" w:rsidP="002B23FD">
            <w:pPr>
              <w:pStyle w:val="TableDataColumnHeading"/>
              <w:rPr>
                <w:b/>
                <w:bCs/>
                <w:lang w:val="en-GB"/>
              </w:rPr>
            </w:pPr>
            <w:r>
              <w:rPr>
                <w:lang w:val="en-GB"/>
              </w:rPr>
              <w:t>ED attendance rate from falls</w:t>
            </w:r>
            <w:r>
              <w:rPr>
                <w:rStyle w:val="NoteLabel"/>
              </w:rPr>
              <w:t>b</w:t>
            </w:r>
          </w:p>
        </w:tc>
        <w:tc>
          <w:tcPr>
            <w:tcW w:w="1018" w:type="dxa"/>
            <w:shd w:val="clear" w:color="auto" w:fill="6F6652"/>
            <w:tcMar>
              <w:left w:w="57" w:type="dxa"/>
              <w:right w:w="57" w:type="dxa"/>
            </w:tcMar>
          </w:tcPr>
          <w:p w14:paraId="15615586" w14:textId="77777777" w:rsidR="00696C70" w:rsidRDefault="00696C70" w:rsidP="002B23FD">
            <w:pPr>
              <w:pStyle w:val="TableDataColumnHeading"/>
              <w:rPr>
                <w:lang w:val="en-GB"/>
              </w:rPr>
            </w:pPr>
            <w:r>
              <w:rPr>
                <w:lang w:val="en-GB"/>
              </w:rPr>
              <w:t>ED attendance rate from falls at home</w:t>
            </w:r>
            <w:r>
              <w:rPr>
                <w:rStyle w:val="NoteLabel"/>
              </w:rPr>
              <w:t>c</w:t>
            </w:r>
          </w:p>
        </w:tc>
        <w:tc>
          <w:tcPr>
            <w:tcW w:w="1018" w:type="dxa"/>
            <w:shd w:val="clear" w:color="auto" w:fill="6F6652"/>
            <w:tcMar>
              <w:left w:w="57" w:type="dxa"/>
              <w:right w:w="57" w:type="dxa"/>
            </w:tcMar>
          </w:tcPr>
          <w:p w14:paraId="521AB2F8" w14:textId="77777777" w:rsidR="00696C70" w:rsidRDefault="00696C70" w:rsidP="002B23FD">
            <w:pPr>
              <w:pStyle w:val="TableDataColumnHeading"/>
              <w:rPr>
                <w:lang w:val="en-GB"/>
              </w:rPr>
            </w:pPr>
            <w:r>
              <w:rPr>
                <w:lang w:val="en-GB"/>
              </w:rPr>
              <w:t>Estimated ED attendances - baseline</w:t>
            </w:r>
          </w:p>
        </w:tc>
        <w:tc>
          <w:tcPr>
            <w:tcW w:w="3054" w:type="dxa"/>
            <w:gridSpan w:val="3"/>
            <w:shd w:val="clear" w:color="auto" w:fill="6F6652"/>
            <w:tcMar>
              <w:left w:w="57" w:type="dxa"/>
              <w:right w:w="57" w:type="dxa"/>
            </w:tcMar>
          </w:tcPr>
          <w:p w14:paraId="6550C442" w14:textId="77777777" w:rsidR="00696C70" w:rsidRDefault="00696C70" w:rsidP="002B23FD">
            <w:pPr>
              <w:pStyle w:val="TableDataColumnHeading"/>
              <w:jc w:val="center"/>
              <w:rPr>
                <w:lang w:val="en-GB"/>
              </w:rPr>
            </w:pPr>
            <w:r>
              <w:rPr>
                <w:lang w:val="en-GB"/>
              </w:rPr>
              <w:t>Additional ED attendances due to inaccessible housing</w:t>
            </w:r>
          </w:p>
        </w:tc>
      </w:tr>
      <w:tr w:rsidR="00ED748D" w:rsidRPr="005A1FB8" w14:paraId="40821AB2" w14:textId="77777777" w:rsidTr="002B23FD">
        <w:trPr>
          <w:trHeight w:val="461"/>
          <w:tblHeader/>
        </w:trPr>
        <w:tc>
          <w:tcPr>
            <w:tcW w:w="814" w:type="dxa"/>
            <w:shd w:val="clear" w:color="auto" w:fill="6F6652"/>
            <w:tcMar>
              <w:left w:w="57" w:type="dxa"/>
              <w:right w:w="57" w:type="dxa"/>
            </w:tcMar>
          </w:tcPr>
          <w:p w14:paraId="40DED3F2" w14:textId="77777777" w:rsidR="00ED748D" w:rsidRPr="005A1FB8" w:rsidRDefault="00ED748D" w:rsidP="005A1FB8">
            <w:pPr>
              <w:pStyle w:val="TableDataColumnHeading"/>
              <w:spacing w:before="0"/>
              <w:jc w:val="left"/>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3F75B5B1"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21C82BC8"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17446163"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3558E29D"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2DFA7E19"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Low estimate</w:t>
            </w:r>
            <w:r w:rsidRPr="005A1FB8">
              <w:rPr>
                <w:rStyle w:val="NoteLabel"/>
                <w:rFonts w:ascii="Franklin Gothic Medium" w:hAnsi="Franklin Gothic Medium"/>
                <w:color w:val="FFFFFF" w:themeColor="background1"/>
              </w:rPr>
              <w:t>d</w:t>
            </w:r>
          </w:p>
        </w:tc>
        <w:tc>
          <w:tcPr>
            <w:tcW w:w="1018" w:type="dxa"/>
            <w:shd w:val="clear" w:color="auto" w:fill="6F6652"/>
            <w:tcMar>
              <w:left w:w="57" w:type="dxa"/>
              <w:right w:w="57" w:type="dxa"/>
            </w:tcMar>
          </w:tcPr>
          <w:p w14:paraId="7DC44F7B"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 xml:space="preserve">Central </w:t>
            </w:r>
            <w:r w:rsidR="005A1FB8" w:rsidRPr="005A1FB8">
              <w:rPr>
                <w:rFonts w:ascii="Franklin Gothic Medium" w:hAnsi="Franklin Gothic Medium"/>
                <w:color w:val="FFFFFF" w:themeColor="background1"/>
                <w:lang w:val="en-GB"/>
              </w:rPr>
              <w:t xml:space="preserve">  </w:t>
            </w:r>
            <w:r w:rsidRPr="005A1FB8">
              <w:rPr>
                <w:rFonts w:ascii="Franklin Gothic Medium" w:hAnsi="Franklin Gothic Medium"/>
                <w:color w:val="FFFFFF" w:themeColor="background1"/>
                <w:lang w:val="en-GB"/>
              </w:rPr>
              <w:t>case</w:t>
            </w:r>
          </w:p>
        </w:tc>
        <w:tc>
          <w:tcPr>
            <w:tcW w:w="1018" w:type="dxa"/>
            <w:shd w:val="clear" w:color="auto" w:fill="6F6652"/>
            <w:tcMar>
              <w:left w:w="57" w:type="dxa"/>
              <w:right w:w="57" w:type="dxa"/>
            </w:tcMar>
          </w:tcPr>
          <w:p w14:paraId="6F2A300B"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High estimate</w:t>
            </w:r>
            <w:r w:rsidRPr="005A1FB8">
              <w:rPr>
                <w:rStyle w:val="NoteLabel"/>
                <w:rFonts w:ascii="Franklin Gothic Medium" w:hAnsi="Franklin Gothic Medium"/>
                <w:color w:val="FFFFFF" w:themeColor="background1"/>
              </w:rPr>
              <w:t>f</w:t>
            </w:r>
          </w:p>
        </w:tc>
      </w:tr>
      <w:tr w:rsidR="00ED748D" w14:paraId="288988CF" w14:textId="77777777" w:rsidTr="002B23FD">
        <w:trPr>
          <w:trHeight w:val="230"/>
          <w:tblHeader/>
        </w:trPr>
        <w:tc>
          <w:tcPr>
            <w:tcW w:w="814" w:type="dxa"/>
            <w:tcBorders>
              <w:bottom w:val="single" w:sz="8" w:space="0" w:color="FFFFFF" w:themeColor="background1"/>
            </w:tcBorders>
            <w:shd w:val="clear" w:color="auto" w:fill="auto"/>
            <w:tcMar>
              <w:left w:w="57" w:type="dxa"/>
              <w:right w:w="57" w:type="dxa"/>
            </w:tcMar>
          </w:tcPr>
          <w:p w14:paraId="5A46EC83" w14:textId="77777777" w:rsidR="00ED748D" w:rsidRDefault="00ED748D" w:rsidP="002B23FD">
            <w:pPr>
              <w:pStyle w:val="TableUnit"/>
              <w:jc w:val="left"/>
              <w:rPr>
                <w:lang w:val="en-GB"/>
              </w:rPr>
            </w:pPr>
          </w:p>
        </w:tc>
        <w:tc>
          <w:tcPr>
            <w:tcW w:w="1018" w:type="dxa"/>
            <w:tcBorders>
              <w:bottom w:val="single" w:sz="8" w:space="0" w:color="FFFFFF" w:themeColor="background1"/>
            </w:tcBorders>
            <w:shd w:val="clear" w:color="auto" w:fill="auto"/>
            <w:tcMar>
              <w:left w:w="57" w:type="dxa"/>
              <w:right w:w="57" w:type="dxa"/>
            </w:tcMar>
          </w:tcPr>
          <w:p w14:paraId="6DEC533A" w14:textId="77777777" w:rsidR="00ED748D" w:rsidRDefault="00ED748D" w:rsidP="002B23FD">
            <w:pPr>
              <w:pStyle w:val="TableUnit"/>
              <w:rPr>
                <w:lang w:val="en-GB"/>
              </w:rPr>
            </w:pPr>
            <w:r>
              <w:rPr>
                <w:lang w:val="en-GB"/>
              </w:rPr>
              <w:t>'000</w:t>
            </w:r>
          </w:p>
        </w:tc>
        <w:tc>
          <w:tcPr>
            <w:tcW w:w="1018" w:type="dxa"/>
            <w:tcBorders>
              <w:bottom w:val="single" w:sz="8" w:space="0" w:color="FFFFFF" w:themeColor="background1"/>
            </w:tcBorders>
            <w:shd w:val="clear" w:color="auto" w:fill="auto"/>
            <w:tcMar>
              <w:left w:w="57" w:type="dxa"/>
              <w:right w:w="57" w:type="dxa"/>
            </w:tcMar>
          </w:tcPr>
          <w:p w14:paraId="1E41B8A8"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5A55BDC0"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265D5BD9"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6699594A"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24035456"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2EC722A9" w14:textId="77777777" w:rsidR="00ED748D" w:rsidRDefault="00ED748D" w:rsidP="002B23FD">
            <w:pPr>
              <w:pStyle w:val="TableUnit"/>
              <w:rPr>
                <w:lang w:val="en-GB"/>
              </w:rPr>
            </w:pPr>
            <w:r>
              <w:rPr>
                <w:lang w:val="en-GB"/>
              </w:rPr>
              <w:t>No.</w:t>
            </w:r>
          </w:p>
        </w:tc>
      </w:tr>
      <w:tr w:rsidR="00ED748D" w14:paraId="07B996BE"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5237C1" w14:textId="77777777" w:rsidR="00ED748D" w:rsidRDefault="00ED748D" w:rsidP="002B23FD">
            <w:pPr>
              <w:pStyle w:val="TableDataEntries"/>
              <w:jc w:val="left"/>
              <w:rPr>
                <w:lang w:val="en-GB"/>
              </w:rPr>
            </w:pPr>
            <w:r>
              <w:rPr>
                <w:lang w:val="en-GB"/>
              </w:rPr>
              <w:t xml:space="preserve">0 to 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31B6B0" w14:textId="77777777" w:rsidR="00ED748D" w:rsidRDefault="00ED748D" w:rsidP="002B23FD">
            <w:pPr>
              <w:pStyle w:val="TableDataEntries"/>
              <w:rPr>
                <w:lang w:val="en-GB"/>
              </w:rPr>
            </w:pPr>
            <w: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3A5408"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B6856E"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29B495" w14:textId="77777777" w:rsidR="00ED748D" w:rsidRDefault="00ED748D" w:rsidP="002B23FD">
            <w:pPr>
              <w:pStyle w:val="TableDataEntries"/>
              <w:rPr>
                <w:lang w:val="en-GB"/>
              </w:rPr>
            </w:pPr>
            <w:r>
              <w:t xml:space="preserve"> 42.3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01C05A"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3CF8DE" w14:textId="77777777" w:rsidR="00ED748D" w:rsidRDefault="00ED748D" w:rsidP="002B23FD">
            <w:pPr>
              <w:pStyle w:val="TableDataEntries"/>
              <w:rPr>
                <w:lang w:val="en-GB"/>
              </w:rPr>
            </w:pPr>
            <w:r>
              <w:t xml:space="preserve"> </w:t>
            </w:r>
            <w:r w:rsidR="00633DB1">
              <w:t>4.2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240AA8" w14:textId="77777777" w:rsidR="00ED748D" w:rsidRDefault="00ED748D" w:rsidP="002B23FD">
            <w:pPr>
              <w:pStyle w:val="TableDataEntries"/>
              <w:rPr>
                <w:lang w:val="en-GB"/>
              </w:rPr>
            </w:pPr>
            <w:r>
              <w:t xml:space="preserve"> </w:t>
            </w:r>
            <w:r w:rsidR="00633DB1">
              <w:t>15.7</w:t>
            </w:r>
          </w:p>
        </w:tc>
      </w:tr>
      <w:tr w:rsidR="00ED748D" w14:paraId="1AD8FFDA"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D8B25D" w14:textId="77777777" w:rsidR="00ED748D" w:rsidRDefault="00ED748D" w:rsidP="002B23FD">
            <w:pPr>
              <w:pStyle w:val="TableDataEntries"/>
              <w:jc w:val="left"/>
              <w:rPr>
                <w:lang w:val="en-GB"/>
              </w:rPr>
            </w:pPr>
            <w:r>
              <w:rPr>
                <w:lang w:val="en-GB"/>
              </w:rPr>
              <w:t xml:space="preserve">5 to 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3F9498" w14:textId="77777777" w:rsidR="00ED748D" w:rsidRDefault="00ED748D" w:rsidP="002B23FD">
            <w:pPr>
              <w:pStyle w:val="TableDataEntries"/>
              <w:rPr>
                <w:lang w:val="en-GB"/>
              </w:rPr>
            </w:pPr>
            <w:r>
              <w:t xml:space="preserve"> 6.6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3459F8"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6C5543"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0FC0D5" w14:textId="77777777" w:rsidR="00ED748D" w:rsidRDefault="00ED748D" w:rsidP="002B23FD">
            <w:pPr>
              <w:pStyle w:val="TableDataEntries"/>
              <w:rPr>
                <w:lang w:val="en-GB"/>
              </w:rPr>
            </w:pPr>
            <w:r>
              <w:t xml:space="preserve"> 36.3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658EE3"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275655" w14:textId="77777777" w:rsidR="00ED748D" w:rsidRDefault="00ED748D" w:rsidP="002B23FD">
            <w:pPr>
              <w:pStyle w:val="TableDataEntries"/>
              <w:rPr>
                <w:lang w:val="en-GB"/>
              </w:rPr>
            </w:pPr>
            <w:r>
              <w:t xml:space="preserve"> </w:t>
            </w:r>
            <w:r w:rsidR="00633DB1">
              <w:t>3.6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27D9BD" w14:textId="77777777" w:rsidR="00ED748D" w:rsidRDefault="00ED748D" w:rsidP="002B23FD">
            <w:pPr>
              <w:pStyle w:val="TableDataEntries"/>
              <w:rPr>
                <w:lang w:val="en-GB"/>
              </w:rPr>
            </w:pPr>
            <w:r>
              <w:t xml:space="preserve"> </w:t>
            </w:r>
            <w:r w:rsidR="00633DB1">
              <w:t>13.4</w:t>
            </w:r>
          </w:p>
        </w:tc>
      </w:tr>
      <w:tr w:rsidR="00ED748D" w14:paraId="3E947DB8"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DC2005" w14:textId="77777777" w:rsidR="00ED748D" w:rsidRDefault="00ED748D" w:rsidP="002B23FD">
            <w:pPr>
              <w:pStyle w:val="TableDataEntries"/>
              <w:jc w:val="left"/>
              <w:rPr>
                <w:lang w:val="en-GB"/>
              </w:rPr>
            </w:pPr>
            <w:r>
              <w:rPr>
                <w:lang w:val="en-GB"/>
              </w:rPr>
              <w:t xml:space="preserve">10 to 14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C520C7" w14:textId="77777777" w:rsidR="00ED748D" w:rsidRDefault="00ED748D" w:rsidP="002B23FD">
            <w:pPr>
              <w:pStyle w:val="TableDataEntries"/>
              <w:rPr>
                <w:lang w:val="en-GB"/>
              </w:rPr>
            </w:pPr>
            <w:r>
              <w:t xml:space="preserve"> 5.6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875EA3"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468615"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929890" w14:textId="77777777" w:rsidR="00ED748D" w:rsidRDefault="00ED748D" w:rsidP="002B23FD">
            <w:pPr>
              <w:pStyle w:val="TableDataEntries"/>
              <w:rPr>
                <w:lang w:val="en-GB"/>
              </w:rPr>
            </w:pPr>
            <w:r>
              <w:t xml:space="preserve"> 30.8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F3AA59"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DAF099" w14:textId="77777777" w:rsidR="00ED748D" w:rsidRDefault="00ED748D" w:rsidP="002B23FD">
            <w:pPr>
              <w:pStyle w:val="TableDataEntries"/>
              <w:rPr>
                <w:lang w:val="en-GB"/>
              </w:rPr>
            </w:pPr>
            <w:r>
              <w:t xml:space="preserve"> </w:t>
            </w:r>
            <w:r w:rsidR="00633DB1">
              <w:t>3.1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4CF65F" w14:textId="77777777" w:rsidR="00ED748D" w:rsidRDefault="00ED748D" w:rsidP="002B23FD">
            <w:pPr>
              <w:pStyle w:val="TableDataEntries"/>
              <w:rPr>
                <w:lang w:val="en-GB"/>
              </w:rPr>
            </w:pPr>
            <w:r>
              <w:t xml:space="preserve"> </w:t>
            </w:r>
            <w:r w:rsidR="00633DB1">
              <w:t>11.4</w:t>
            </w:r>
          </w:p>
        </w:tc>
      </w:tr>
      <w:tr w:rsidR="00ED748D" w14:paraId="79C7AEF3"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7C233" w14:textId="77777777" w:rsidR="00ED748D" w:rsidRDefault="00ED748D" w:rsidP="002B23FD">
            <w:pPr>
              <w:pStyle w:val="TableDataEntries"/>
              <w:jc w:val="left"/>
              <w:rPr>
                <w:lang w:val="en-GB"/>
              </w:rPr>
            </w:pPr>
            <w:r>
              <w:rPr>
                <w:lang w:val="en-GB"/>
              </w:rPr>
              <w:t xml:space="preserve">15 to 19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D20DDE" w14:textId="77777777" w:rsidR="00ED748D" w:rsidRDefault="00ED748D" w:rsidP="002B23FD">
            <w:pPr>
              <w:pStyle w:val="TableDataEntries"/>
              <w:rPr>
                <w:lang w:val="en-GB"/>
              </w:rPr>
            </w:pPr>
            <w:r>
              <w:t xml:space="preserve"> 8.8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6AFAB4"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20AB5F"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5B4F81" w14:textId="77777777" w:rsidR="00ED748D" w:rsidRDefault="00ED748D" w:rsidP="002B23FD">
            <w:pPr>
              <w:pStyle w:val="TableDataEntries"/>
              <w:rPr>
                <w:lang w:val="en-GB"/>
              </w:rPr>
            </w:pPr>
            <w:r>
              <w:t xml:space="preserve"> 48.3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05C23C"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F93E62" w14:textId="77777777" w:rsidR="00ED748D" w:rsidRDefault="00ED748D" w:rsidP="002B23FD">
            <w:pPr>
              <w:pStyle w:val="TableDataEntries"/>
              <w:rPr>
                <w:lang w:val="en-GB"/>
              </w:rPr>
            </w:pPr>
            <w:r>
              <w:t xml:space="preserve"> </w:t>
            </w:r>
            <w:r w:rsidR="00633DB1">
              <w:t>4.8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DAED1F" w14:textId="77777777" w:rsidR="00ED748D" w:rsidRDefault="00ED748D" w:rsidP="002B23FD">
            <w:pPr>
              <w:pStyle w:val="TableDataEntries"/>
              <w:rPr>
                <w:lang w:val="en-GB"/>
              </w:rPr>
            </w:pPr>
            <w:r>
              <w:t xml:space="preserve"> </w:t>
            </w:r>
            <w:r w:rsidR="00633DB1">
              <w:t>17.9</w:t>
            </w:r>
          </w:p>
        </w:tc>
      </w:tr>
      <w:tr w:rsidR="00ED748D" w14:paraId="0C841374"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8FA7AB" w14:textId="77777777" w:rsidR="00ED748D" w:rsidRDefault="00ED748D" w:rsidP="002B23FD">
            <w:pPr>
              <w:pStyle w:val="TableDataEntries"/>
              <w:jc w:val="left"/>
              <w:rPr>
                <w:lang w:val="en-GB"/>
              </w:rPr>
            </w:pPr>
            <w:r>
              <w:rPr>
                <w:lang w:val="en-GB"/>
              </w:rPr>
              <w:t xml:space="preserve">20 to 24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205404" w14:textId="77777777" w:rsidR="00ED748D" w:rsidRDefault="00ED748D" w:rsidP="002B23FD">
            <w:pPr>
              <w:pStyle w:val="TableDataEntries"/>
              <w:rPr>
                <w:lang w:val="en-GB"/>
              </w:rPr>
            </w:pPr>
            <w:r>
              <w:t xml:space="preserve"> 5.4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43F1E6"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A3D33B"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EB4DA2" w14:textId="77777777" w:rsidR="00ED748D" w:rsidRDefault="00ED748D" w:rsidP="002B23FD">
            <w:pPr>
              <w:pStyle w:val="TableDataEntries"/>
              <w:rPr>
                <w:lang w:val="en-GB"/>
              </w:rPr>
            </w:pPr>
            <w:r>
              <w:t xml:space="preserve"> 29.7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0E1978" w14:textId="77777777" w:rsidR="00ED748D" w:rsidRDefault="00ED748D" w:rsidP="002B23FD">
            <w:pPr>
              <w:pStyle w:val="TableDataEntries"/>
              <w:rPr>
                <w:lang w:val="en-GB"/>
              </w:rPr>
            </w:pPr>
            <w:r>
              <w:t xml:space="preserve"> </w:t>
            </w:r>
            <w:r w:rsidR="00633DB1">
              <w:t>0</w:t>
            </w:r>
            <w:r>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F3CD5C" w14:textId="77777777" w:rsidR="00ED748D" w:rsidRDefault="00ED748D" w:rsidP="002B23FD">
            <w:pPr>
              <w:pStyle w:val="TableDataEntries"/>
              <w:rPr>
                <w:lang w:val="en-GB"/>
              </w:rPr>
            </w:pPr>
            <w:r>
              <w:t xml:space="preserve"> </w:t>
            </w:r>
            <w:r w:rsidR="00633DB1">
              <w:t>3</w:t>
            </w:r>
            <w:r>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1A282D" w14:textId="77777777" w:rsidR="00ED748D" w:rsidRDefault="00ED748D" w:rsidP="002B23FD">
            <w:pPr>
              <w:pStyle w:val="TableDataEntries"/>
              <w:rPr>
                <w:lang w:val="en-GB"/>
              </w:rPr>
            </w:pPr>
            <w:r>
              <w:t xml:space="preserve"> </w:t>
            </w:r>
            <w:r w:rsidR="00633DB1">
              <w:t>11.0</w:t>
            </w:r>
          </w:p>
        </w:tc>
      </w:tr>
      <w:tr w:rsidR="00ED748D" w14:paraId="22EBB300"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EAF918" w14:textId="77777777" w:rsidR="00ED748D" w:rsidRDefault="00ED748D" w:rsidP="002B23FD">
            <w:pPr>
              <w:pStyle w:val="TableDataEntries"/>
              <w:jc w:val="left"/>
              <w:rPr>
                <w:lang w:val="en-GB"/>
              </w:rPr>
            </w:pPr>
            <w:r>
              <w:rPr>
                <w:lang w:val="en-GB"/>
              </w:rPr>
              <w:t xml:space="preserve">25 to 29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62F125" w14:textId="77777777" w:rsidR="00ED748D" w:rsidRDefault="00ED748D" w:rsidP="002B23FD">
            <w:pPr>
              <w:pStyle w:val="TableDataEntries"/>
              <w:rPr>
                <w:lang w:val="en-GB"/>
              </w:rPr>
            </w:pPr>
            <w:r>
              <w:t xml:space="preserve"> 8.4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CA1A11"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56E14F"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0E5316" w14:textId="77777777" w:rsidR="00ED748D" w:rsidRDefault="00ED748D" w:rsidP="002B23FD">
            <w:pPr>
              <w:pStyle w:val="TableDataEntries"/>
              <w:rPr>
                <w:lang w:val="en-GB"/>
              </w:rPr>
            </w:pPr>
            <w:r>
              <w:t xml:space="preserve"> 46.1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966675"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E56CE6" w14:textId="77777777" w:rsidR="00ED748D" w:rsidRDefault="00ED748D" w:rsidP="002B23FD">
            <w:pPr>
              <w:pStyle w:val="TableDataEntries"/>
              <w:rPr>
                <w:lang w:val="en-GB"/>
              </w:rPr>
            </w:pPr>
            <w:r>
              <w:t xml:space="preserve"> </w:t>
            </w:r>
            <w:r w:rsidR="00633DB1">
              <w:t>4.6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8F7797" w14:textId="77777777" w:rsidR="00ED748D" w:rsidRDefault="00ED748D" w:rsidP="002B23FD">
            <w:pPr>
              <w:pStyle w:val="TableDataEntries"/>
              <w:rPr>
                <w:lang w:val="en-GB"/>
              </w:rPr>
            </w:pPr>
            <w:r>
              <w:t xml:space="preserve"> </w:t>
            </w:r>
            <w:r w:rsidR="00633DB1">
              <w:t>17.1</w:t>
            </w:r>
          </w:p>
        </w:tc>
      </w:tr>
      <w:tr w:rsidR="00ED748D" w14:paraId="5A54FB79"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3EC3FE" w14:textId="77777777" w:rsidR="00ED748D" w:rsidRDefault="00ED748D" w:rsidP="002B23FD">
            <w:pPr>
              <w:pStyle w:val="TableDataEntries"/>
              <w:jc w:val="left"/>
              <w:rPr>
                <w:lang w:val="en-GB"/>
              </w:rPr>
            </w:pPr>
            <w:r>
              <w:rPr>
                <w:lang w:val="en-GB"/>
              </w:rPr>
              <w:t xml:space="preserve">30 to 34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F1BB91" w14:textId="77777777" w:rsidR="00ED748D" w:rsidRDefault="00ED748D" w:rsidP="002B23FD">
            <w:pPr>
              <w:pStyle w:val="TableDataEntries"/>
              <w:rPr>
                <w:lang w:val="en-GB"/>
              </w:rPr>
            </w:pPr>
            <w:r>
              <w:t xml:space="preserve"> 11.9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590C7"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7FF9BC"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9C7A29" w14:textId="77777777" w:rsidR="00ED748D" w:rsidRDefault="00ED748D" w:rsidP="002B23FD">
            <w:pPr>
              <w:pStyle w:val="TableDataEntries"/>
              <w:rPr>
                <w:lang w:val="en-GB"/>
              </w:rPr>
            </w:pPr>
            <w:r>
              <w:t xml:space="preserve"> 65.4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076112"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23B1C7" w14:textId="77777777" w:rsidR="00ED748D" w:rsidRDefault="00ED748D" w:rsidP="002B23FD">
            <w:pPr>
              <w:pStyle w:val="TableDataEntries"/>
              <w:rPr>
                <w:lang w:val="en-GB"/>
              </w:rPr>
            </w:pPr>
            <w:r>
              <w:t xml:space="preserve"> </w:t>
            </w:r>
            <w:r w:rsidR="00633DB1">
              <w:t>6.5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67E8A7" w14:textId="77777777" w:rsidR="00ED748D" w:rsidRDefault="00ED748D" w:rsidP="002B23FD">
            <w:pPr>
              <w:pStyle w:val="TableDataEntries"/>
              <w:rPr>
                <w:lang w:val="en-GB"/>
              </w:rPr>
            </w:pPr>
            <w:r>
              <w:t xml:space="preserve"> </w:t>
            </w:r>
            <w:r w:rsidR="00633DB1">
              <w:t>24.2</w:t>
            </w:r>
          </w:p>
        </w:tc>
      </w:tr>
      <w:tr w:rsidR="00ED748D" w14:paraId="31F3F9E3"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4042A0" w14:textId="77777777" w:rsidR="00ED748D" w:rsidRDefault="00ED748D" w:rsidP="002B23FD">
            <w:pPr>
              <w:pStyle w:val="TableDataEntries"/>
              <w:jc w:val="left"/>
              <w:rPr>
                <w:lang w:val="en-GB"/>
              </w:rPr>
            </w:pPr>
            <w:r>
              <w:rPr>
                <w:lang w:val="en-GB"/>
              </w:rPr>
              <w:t xml:space="preserve">35 to 39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48BCA9" w14:textId="77777777" w:rsidR="00ED748D" w:rsidRDefault="00ED748D" w:rsidP="002B23FD">
            <w:pPr>
              <w:pStyle w:val="TableDataEntries"/>
              <w:rPr>
                <w:lang w:val="en-GB"/>
              </w:rPr>
            </w:pPr>
            <w:r>
              <w:t xml:space="preserve"> 11.5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7A4C46"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CD1212"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3AE60D" w14:textId="77777777" w:rsidR="00ED748D" w:rsidRDefault="00ED748D" w:rsidP="002B23FD">
            <w:pPr>
              <w:pStyle w:val="TableDataEntries"/>
              <w:rPr>
                <w:lang w:val="en-GB"/>
              </w:rPr>
            </w:pPr>
            <w:r>
              <w:t xml:space="preserve"> 63.2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984C53"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4F08E" w14:textId="77777777" w:rsidR="00ED748D" w:rsidRDefault="00ED748D" w:rsidP="002B23FD">
            <w:pPr>
              <w:pStyle w:val="TableDataEntries"/>
              <w:rPr>
                <w:lang w:val="en-GB"/>
              </w:rPr>
            </w:pPr>
            <w:r>
              <w:t xml:space="preserve"> </w:t>
            </w:r>
            <w:r w:rsidR="00633DB1">
              <w:t>6.3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7D60B6" w14:textId="77777777" w:rsidR="00ED748D" w:rsidRDefault="00ED748D" w:rsidP="002B23FD">
            <w:pPr>
              <w:pStyle w:val="TableDataEntries"/>
              <w:rPr>
                <w:lang w:val="en-GB"/>
              </w:rPr>
            </w:pPr>
            <w:r>
              <w:t xml:space="preserve"> </w:t>
            </w:r>
            <w:r w:rsidR="00633DB1">
              <w:t>23.4</w:t>
            </w:r>
          </w:p>
        </w:tc>
      </w:tr>
      <w:tr w:rsidR="00ED748D" w14:paraId="21436500"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65626" w14:textId="77777777" w:rsidR="00ED748D" w:rsidRDefault="00ED748D" w:rsidP="002B23FD">
            <w:pPr>
              <w:pStyle w:val="TableDataEntries"/>
              <w:jc w:val="left"/>
              <w:rPr>
                <w:lang w:val="en-GB"/>
              </w:rPr>
            </w:pPr>
            <w:r>
              <w:rPr>
                <w:lang w:val="en-GB"/>
              </w:rPr>
              <w:t xml:space="preserve">40 to 44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E3E419" w14:textId="77777777" w:rsidR="00ED748D" w:rsidRDefault="00ED748D" w:rsidP="002B23FD">
            <w:pPr>
              <w:pStyle w:val="TableDataEntries"/>
              <w:rPr>
                <w:lang w:val="en-GB"/>
              </w:rPr>
            </w:pPr>
            <w:r>
              <w:t xml:space="preserve"> 16.7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B242F6"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BFB3D4"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62AB67" w14:textId="77777777" w:rsidR="00ED748D" w:rsidRDefault="00ED748D" w:rsidP="002B23FD">
            <w:pPr>
              <w:pStyle w:val="TableDataEntries"/>
              <w:rPr>
                <w:lang w:val="en-GB"/>
              </w:rPr>
            </w:pPr>
            <w:r>
              <w:t xml:space="preserve"> 91.7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564ABD"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7DF09B" w14:textId="77777777" w:rsidR="00ED748D" w:rsidRDefault="00ED748D" w:rsidP="002B23FD">
            <w:pPr>
              <w:pStyle w:val="TableDataEntries"/>
              <w:rPr>
                <w:lang w:val="en-GB"/>
              </w:rPr>
            </w:pPr>
            <w:r>
              <w:t xml:space="preserve"> 9</w:t>
            </w:r>
            <w:r w:rsidR="00633DB1">
              <w:t>.2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8429C7" w14:textId="77777777" w:rsidR="00ED748D" w:rsidRDefault="00ED748D" w:rsidP="002B23FD">
            <w:pPr>
              <w:pStyle w:val="TableDataEntries"/>
              <w:rPr>
                <w:lang w:val="en-GB"/>
              </w:rPr>
            </w:pPr>
            <w:r>
              <w:t xml:space="preserve"> </w:t>
            </w:r>
            <w:r w:rsidR="00633DB1">
              <w:t>33.9</w:t>
            </w:r>
          </w:p>
        </w:tc>
      </w:tr>
      <w:tr w:rsidR="00ED748D" w14:paraId="3188EE43"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868333" w14:textId="77777777" w:rsidR="00ED748D" w:rsidRDefault="00ED748D" w:rsidP="002B23FD">
            <w:pPr>
              <w:pStyle w:val="TableDataEntries"/>
              <w:jc w:val="left"/>
              <w:rPr>
                <w:lang w:val="en-GB"/>
              </w:rPr>
            </w:pPr>
            <w:r>
              <w:rPr>
                <w:lang w:val="en-GB"/>
              </w:rPr>
              <w:t xml:space="preserve">45 to 49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63F8F9" w14:textId="77777777" w:rsidR="00ED748D" w:rsidRDefault="00ED748D" w:rsidP="002B23FD">
            <w:pPr>
              <w:pStyle w:val="TableDataEntries"/>
              <w:rPr>
                <w:lang w:val="en-GB"/>
              </w:rPr>
            </w:pPr>
            <w:r>
              <w:t xml:space="preserve"> 23.2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5319D5"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12F51F"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525996" w14:textId="77777777" w:rsidR="00ED748D" w:rsidRDefault="00ED748D" w:rsidP="002B23FD">
            <w:pPr>
              <w:pStyle w:val="TableDataEntries"/>
              <w:rPr>
                <w:lang w:val="en-GB"/>
              </w:rPr>
            </w:pPr>
            <w:r>
              <w:t xml:space="preserve"> 127.4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43B998"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33B77D" w14:textId="77777777" w:rsidR="00ED748D" w:rsidRDefault="00ED748D" w:rsidP="002B23FD">
            <w:pPr>
              <w:pStyle w:val="TableDataEntries"/>
              <w:rPr>
                <w:lang w:val="en-GB"/>
              </w:rPr>
            </w:pPr>
            <w:r>
              <w:t xml:space="preserve"> </w:t>
            </w:r>
            <w:r w:rsidR="00633DB1">
              <w:t>12.7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1303E2" w14:textId="77777777" w:rsidR="00ED748D" w:rsidRDefault="00ED748D" w:rsidP="002B23FD">
            <w:pPr>
              <w:pStyle w:val="TableDataEntries"/>
              <w:rPr>
                <w:lang w:val="en-GB"/>
              </w:rPr>
            </w:pPr>
            <w:r>
              <w:t xml:space="preserve"> </w:t>
            </w:r>
            <w:r w:rsidR="00633DB1">
              <w:t>47.2</w:t>
            </w:r>
          </w:p>
        </w:tc>
      </w:tr>
      <w:tr w:rsidR="00ED748D" w14:paraId="701FC5F7"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294F29" w14:textId="77777777" w:rsidR="00ED748D" w:rsidRDefault="00ED748D" w:rsidP="002B23FD">
            <w:pPr>
              <w:pStyle w:val="TableDataEntries"/>
              <w:jc w:val="left"/>
              <w:rPr>
                <w:lang w:val="en-GB"/>
              </w:rPr>
            </w:pPr>
            <w:r>
              <w:rPr>
                <w:lang w:val="en-GB"/>
              </w:rPr>
              <w:t xml:space="preserve">50 to 54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CEDB64" w14:textId="77777777" w:rsidR="00ED748D" w:rsidRDefault="00ED748D" w:rsidP="002B23FD">
            <w:pPr>
              <w:pStyle w:val="TableDataEntries"/>
              <w:rPr>
                <w:lang w:val="en-GB"/>
              </w:rPr>
            </w:pPr>
            <w:r>
              <w:t xml:space="preserve"> 25.2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C38323"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8AC090"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0A2F0D" w14:textId="77777777" w:rsidR="00ED748D" w:rsidRDefault="00ED748D" w:rsidP="002B23FD">
            <w:pPr>
              <w:pStyle w:val="TableDataEntries"/>
              <w:rPr>
                <w:lang w:val="en-GB"/>
              </w:rPr>
            </w:pPr>
            <w:r>
              <w:t xml:space="preserve"> 138.4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BBDE4A"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4B8B2F" w14:textId="77777777" w:rsidR="00ED748D" w:rsidRDefault="00ED748D" w:rsidP="002B23FD">
            <w:pPr>
              <w:pStyle w:val="TableDataEntries"/>
              <w:rPr>
                <w:lang w:val="en-GB"/>
              </w:rPr>
            </w:pPr>
            <w:r>
              <w:t xml:space="preserve"> </w:t>
            </w:r>
            <w:r w:rsidR="00633DB1">
              <w:t>13.8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275CCC" w14:textId="77777777" w:rsidR="00ED748D" w:rsidRDefault="00ED748D" w:rsidP="002B23FD">
            <w:pPr>
              <w:pStyle w:val="TableDataEntries"/>
              <w:rPr>
                <w:lang w:val="en-GB"/>
              </w:rPr>
            </w:pPr>
            <w:r>
              <w:t xml:space="preserve"> </w:t>
            </w:r>
            <w:r w:rsidR="00633DB1">
              <w:t>51.2</w:t>
            </w:r>
          </w:p>
        </w:tc>
      </w:tr>
      <w:tr w:rsidR="00ED748D" w14:paraId="26A975E5"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A75FE" w14:textId="77777777" w:rsidR="00ED748D" w:rsidRDefault="00ED748D" w:rsidP="002B23FD">
            <w:pPr>
              <w:pStyle w:val="TableDataEntries"/>
              <w:jc w:val="left"/>
              <w:rPr>
                <w:lang w:val="en-GB"/>
              </w:rPr>
            </w:pPr>
            <w:r>
              <w:rPr>
                <w:lang w:val="en-GB"/>
              </w:rPr>
              <w:t xml:space="preserve">55 to 59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8D3C0E" w14:textId="77777777" w:rsidR="00ED748D" w:rsidRDefault="00ED748D" w:rsidP="002B23FD">
            <w:pPr>
              <w:pStyle w:val="TableDataEntries"/>
              <w:rPr>
                <w:lang w:val="en-GB"/>
              </w:rPr>
            </w:pPr>
            <w:r>
              <w:t xml:space="preserve"> 34.8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45DA6D"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D94C4E"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513BD5" w14:textId="77777777" w:rsidR="00ED748D" w:rsidRDefault="00ED748D" w:rsidP="002B23FD">
            <w:pPr>
              <w:pStyle w:val="TableDataEntries"/>
              <w:rPr>
                <w:lang w:val="en-GB"/>
              </w:rPr>
            </w:pPr>
            <w:r>
              <w:t xml:space="preserve"> 191.2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7118A4"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CB499B" w14:textId="77777777" w:rsidR="00ED748D" w:rsidRDefault="00ED748D" w:rsidP="002B23FD">
            <w:pPr>
              <w:pStyle w:val="TableDataEntries"/>
              <w:rPr>
                <w:lang w:val="en-GB"/>
              </w:rPr>
            </w:pPr>
            <w:r>
              <w:t xml:space="preserve"> </w:t>
            </w:r>
            <w:r w:rsidR="00633DB1">
              <w:t>19.1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D3AD3A" w14:textId="77777777" w:rsidR="00ED748D" w:rsidRDefault="00ED748D" w:rsidP="002B23FD">
            <w:pPr>
              <w:pStyle w:val="TableDataEntries"/>
              <w:rPr>
                <w:lang w:val="en-GB"/>
              </w:rPr>
            </w:pPr>
            <w:r>
              <w:t xml:space="preserve"> </w:t>
            </w:r>
            <w:r w:rsidR="00633DB1">
              <w:t>70.7</w:t>
            </w:r>
          </w:p>
        </w:tc>
      </w:tr>
      <w:tr w:rsidR="00ED748D" w14:paraId="73560D57"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C945A" w14:textId="77777777" w:rsidR="00ED748D" w:rsidRDefault="00ED748D" w:rsidP="002B23FD">
            <w:pPr>
              <w:pStyle w:val="TableDataEntries"/>
              <w:jc w:val="left"/>
              <w:rPr>
                <w:lang w:val="en-GB"/>
              </w:rPr>
            </w:pPr>
            <w:r>
              <w:rPr>
                <w:lang w:val="en-GB"/>
              </w:rPr>
              <w:t xml:space="preserve">60 to 64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742972" w14:textId="77777777" w:rsidR="00ED748D" w:rsidRDefault="00ED748D" w:rsidP="002B23FD">
            <w:pPr>
              <w:pStyle w:val="TableDataEntries"/>
              <w:rPr>
                <w:lang w:val="en-GB"/>
              </w:rPr>
            </w:pPr>
            <w:r>
              <w:t xml:space="preserve"> 31.8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66D1B5"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87D7AE"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6A20A1" w14:textId="77777777" w:rsidR="00ED748D" w:rsidRDefault="00ED748D" w:rsidP="002B23FD">
            <w:pPr>
              <w:pStyle w:val="TableDataEntries"/>
              <w:rPr>
                <w:lang w:val="en-GB"/>
              </w:rPr>
            </w:pPr>
            <w:r>
              <w:t xml:space="preserve"> 174.7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7281FA"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F12437" w14:textId="77777777" w:rsidR="00ED748D" w:rsidRDefault="00ED748D" w:rsidP="002B23FD">
            <w:pPr>
              <w:pStyle w:val="TableDataEntries"/>
              <w:rPr>
                <w:lang w:val="en-GB"/>
              </w:rPr>
            </w:pPr>
            <w:r>
              <w:t xml:space="preserve"> </w:t>
            </w:r>
            <w:r w:rsidR="00633DB1">
              <w:t>17.5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074E5D" w14:textId="77777777" w:rsidR="00ED748D" w:rsidRDefault="00ED748D" w:rsidP="002B23FD">
            <w:pPr>
              <w:pStyle w:val="TableDataEntries"/>
              <w:rPr>
                <w:lang w:val="en-GB"/>
              </w:rPr>
            </w:pPr>
            <w:r>
              <w:t xml:space="preserve"> </w:t>
            </w:r>
            <w:r w:rsidR="00633DB1">
              <w:t>64.6</w:t>
            </w:r>
          </w:p>
        </w:tc>
      </w:tr>
      <w:tr w:rsidR="00ED748D" w14:paraId="3E733BA6"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AAE5A" w14:textId="77777777" w:rsidR="00ED748D" w:rsidRDefault="00ED748D" w:rsidP="002B23FD">
            <w:pPr>
              <w:pStyle w:val="TableDataEntries"/>
              <w:jc w:val="left"/>
              <w:rPr>
                <w:lang w:val="en-GB"/>
              </w:rPr>
            </w:pPr>
            <w:r>
              <w:rPr>
                <w:lang w:val="en-GB"/>
              </w:rPr>
              <w:t xml:space="preserve">65 to 69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0F9454" w14:textId="77777777" w:rsidR="00ED748D" w:rsidRDefault="00ED748D" w:rsidP="002B23FD">
            <w:pPr>
              <w:pStyle w:val="TableDataEntries"/>
              <w:rPr>
                <w:lang w:val="en-GB"/>
              </w:rPr>
            </w:pPr>
            <w:r>
              <w:t xml:space="preserve"> 35.7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BA27FE" w14:textId="77777777" w:rsidR="00ED748D" w:rsidRDefault="00ED748D" w:rsidP="002B23FD">
            <w:pPr>
              <w:pStyle w:val="TableDataEntries"/>
              <w:rPr>
                <w:lang w:val="en-GB"/>
              </w:rPr>
            </w:pPr>
            <w:r>
              <w:t xml:space="preserve"> 975.8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9D0E12" w14:textId="77777777" w:rsidR="00ED748D" w:rsidRDefault="00ED748D" w:rsidP="002B23FD">
            <w:pPr>
              <w:pStyle w:val="TableDataEntries"/>
              <w:rPr>
                <w:lang w:val="en-GB"/>
              </w:rPr>
            </w:pPr>
            <w:r>
              <w:t xml:space="preserve"> 549.4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31975E" w14:textId="77777777" w:rsidR="00ED748D" w:rsidRDefault="00ED748D" w:rsidP="002B23FD">
            <w:pPr>
              <w:pStyle w:val="TableDataEntries"/>
              <w:rPr>
                <w:lang w:val="en-GB"/>
              </w:rPr>
            </w:pPr>
            <w:r>
              <w:t xml:space="preserve"> 196.1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88A7ED" w14:textId="77777777" w:rsidR="00ED748D" w:rsidRDefault="00ED748D" w:rsidP="002B23FD">
            <w:pPr>
              <w:pStyle w:val="TableDataEntries"/>
              <w:rPr>
                <w:lang w:val="en-GB"/>
              </w:rPr>
            </w:pPr>
            <w:r>
              <w:t xml:space="preserve"> </w:t>
            </w:r>
            <w:r w:rsidR="00633DB1">
              <w:t>0</w:t>
            </w:r>
            <w:r>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9EDA1B" w14:textId="77777777" w:rsidR="00ED748D" w:rsidRDefault="00ED748D" w:rsidP="002B23FD">
            <w:pPr>
              <w:pStyle w:val="TableDataEntries"/>
              <w:rPr>
                <w:lang w:val="en-GB"/>
              </w:rPr>
            </w:pPr>
            <w:r>
              <w:t xml:space="preserve"> </w:t>
            </w:r>
            <w:r w:rsidR="00633DB1">
              <w:t>19</w:t>
            </w:r>
            <w:r>
              <w:t>.6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2221B0" w14:textId="77777777" w:rsidR="00ED748D" w:rsidRDefault="00ED748D" w:rsidP="002B23FD">
            <w:pPr>
              <w:pStyle w:val="TableDataEntries"/>
              <w:rPr>
                <w:lang w:val="en-GB"/>
              </w:rPr>
            </w:pPr>
            <w:r>
              <w:t xml:space="preserve"> </w:t>
            </w:r>
            <w:r w:rsidR="00633DB1">
              <w:t>72.6</w:t>
            </w:r>
          </w:p>
        </w:tc>
      </w:tr>
      <w:tr w:rsidR="00ED748D" w14:paraId="4B0EFA87"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4198F" w14:textId="77777777" w:rsidR="00ED748D" w:rsidRDefault="00ED748D" w:rsidP="002B23FD">
            <w:pPr>
              <w:pStyle w:val="TableDataEntries"/>
              <w:jc w:val="left"/>
              <w:rPr>
                <w:lang w:val="en-GB"/>
              </w:rPr>
            </w:pPr>
            <w:r>
              <w:rPr>
                <w:lang w:val="en-GB"/>
              </w:rPr>
              <w:t xml:space="preserve">70 to 74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155D04" w14:textId="77777777" w:rsidR="00ED748D" w:rsidRDefault="00ED748D" w:rsidP="002B23FD">
            <w:pPr>
              <w:pStyle w:val="TableDataEntries"/>
              <w:rPr>
                <w:lang w:val="en-GB"/>
              </w:rPr>
            </w:pPr>
            <w:r>
              <w:t xml:space="preserve"> 23.0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9E22AA" w14:textId="77777777" w:rsidR="00ED748D" w:rsidRDefault="00ED748D" w:rsidP="002B23FD">
            <w:pPr>
              <w:pStyle w:val="TableDataEntries"/>
              <w:rPr>
                <w:lang w:val="en-GB"/>
              </w:rPr>
            </w:pPr>
            <w:r>
              <w:t xml:space="preserve"> 968.1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A4C727" w14:textId="77777777" w:rsidR="00ED748D" w:rsidRDefault="00ED748D" w:rsidP="002B23FD">
            <w:pPr>
              <w:pStyle w:val="TableDataEntries"/>
              <w:rPr>
                <w:lang w:val="en-GB"/>
              </w:rPr>
            </w:pPr>
            <w:r>
              <w:t xml:space="preserve"> 545.0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78CC27" w14:textId="77777777" w:rsidR="00ED748D" w:rsidRDefault="00ED748D" w:rsidP="002B23FD">
            <w:pPr>
              <w:pStyle w:val="TableDataEntries"/>
              <w:rPr>
                <w:lang w:val="en-GB"/>
              </w:rPr>
            </w:pPr>
            <w:r>
              <w:t xml:space="preserve"> 125.4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3CDBB8"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C5FCE1" w14:textId="77777777" w:rsidR="00ED748D" w:rsidRDefault="00ED748D" w:rsidP="002B23FD">
            <w:pPr>
              <w:pStyle w:val="TableDataEntries"/>
              <w:rPr>
                <w:lang w:val="en-GB"/>
              </w:rPr>
            </w:pPr>
            <w:r>
              <w:t xml:space="preserve"> </w:t>
            </w:r>
            <w:r w:rsidR="00633DB1">
              <w:t>12.5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83382D" w14:textId="77777777" w:rsidR="00ED748D" w:rsidRDefault="00ED748D" w:rsidP="002B23FD">
            <w:pPr>
              <w:pStyle w:val="TableDataEntries"/>
              <w:rPr>
                <w:lang w:val="en-GB"/>
              </w:rPr>
            </w:pPr>
            <w:r>
              <w:t xml:space="preserve"> </w:t>
            </w:r>
            <w:r w:rsidR="00633DB1">
              <w:t>46.4</w:t>
            </w:r>
          </w:p>
        </w:tc>
      </w:tr>
      <w:tr w:rsidR="00ED748D" w14:paraId="34332D17"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DE144" w14:textId="77777777" w:rsidR="00ED748D" w:rsidRDefault="00ED748D" w:rsidP="002B23FD">
            <w:pPr>
              <w:pStyle w:val="TableDataEntries"/>
              <w:jc w:val="left"/>
              <w:rPr>
                <w:lang w:val="en-GB"/>
              </w:rPr>
            </w:pPr>
            <w:r>
              <w:rPr>
                <w:lang w:val="en-GB"/>
              </w:rPr>
              <w:t xml:space="preserve">75 to 79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A7A779" w14:textId="77777777" w:rsidR="00ED748D" w:rsidRDefault="00ED748D" w:rsidP="002B23FD">
            <w:pPr>
              <w:pStyle w:val="TableDataEntries"/>
              <w:rPr>
                <w:lang w:val="en-GB"/>
              </w:rPr>
            </w:pPr>
            <w:r>
              <w:t xml:space="preserve"> 25.8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D0A884" w14:textId="77777777" w:rsidR="00ED748D" w:rsidRDefault="00ED748D" w:rsidP="002B23FD">
            <w:pPr>
              <w:pStyle w:val="TableDataEntries"/>
              <w:rPr>
                <w:lang w:val="en-GB"/>
              </w:rPr>
            </w:pPr>
            <w:r>
              <w:t>1 314.9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DDCECF" w14:textId="77777777" w:rsidR="00ED748D" w:rsidRDefault="00ED748D" w:rsidP="002B23FD">
            <w:pPr>
              <w:pStyle w:val="TableDataEntries"/>
              <w:rPr>
                <w:lang w:val="en-GB"/>
              </w:rPr>
            </w:pPr>
            <w:r>
              <w:t xml:space="preserve"> 740.3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53A29B" w14:textId="77777777" w:rsidR="00ED748D" w:rsidRDefault="00ED748D" w:rsidP="002B23FD">
            <w:pPr>
              <w:pStyle w:val="TableDataEntries"/>
              <w:rPr>
                <w:lang w:val="en-GB"/>
              </w:rPr>
            </w:pPr>
            <w:r>
              <w:t xml:space="preserve"> 191.0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91F21F"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02529F" w14:textId="77777777" w:rsidR="00ED748D" w:rsidRDefault="00ED748D" w:rsidP="002B23FD">
            <w:pPr>
              <w:pStyle w:val="TableDataEntries"/>
              <w:rPr>
                <w:lang w:val="en-GB"/>
              </w:rPr>
            </w:pPr>
            <w:r>
              <w:t xml:space="preserve"> </w:t>
            </w:r>
            <w:r w:rsidR="00633DB1">
              <w:t>19.1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2882EB" w14:textId="77777777" w:rsidR="00ED748D" w:rsidRDefault="00ED748D" w:rsidP="002B23FD">
            <w:pPr>
              <w:pStyle w:val="TableDataEntries"/>
              <w:rPr>
                <w:lang w:val="en-GB"/>
              </w:rPr>
            </w:pPr>
            <w:r>
              <w:t xml:space="preserve"> </w:t>
            </w:r>
            <w:r w:rsidR="00633DB1">
              <w:t>70.7</w:t>
            </w:r>
          </w:p>
        </w:tc>
      </w:tr>
      <w:tr w:rsidR="00ED748D" w14:paraId="7CA4EE18"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559C48" w14:textId="77777777" w:rsidR="00ED748D" w:rsidRDefault="00ED748D" w:rsidP="002B23FD">
            <w:pPr>
              <w:pStyle w:val="TableDataEntries"/>
              <w:jc w:val="left"/>
              <w:rPr>
                <w:lang w:val="en-GB"/>
              </w:rPr>
            </w:pPr>
            <w:r>
              <w:rPr>
                <w:lang w:val="en-GB"/>
              </w:rPr>
              <w:t xml:space="preserve">80 to 84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59303A" w14:textId="77777777" w:rsidR="00ED748D" w:rsidRDefault="00ED748D" w:rsidP="002B23FD">
            <w:pPr>
              <w:pStyle w:val="TableDataEntries"/>
              <w:rPr>
                <w:lang w:val="en-GB"/>
              </w:rPr>
            </w:pPr>
            <w:r>
              <w:t xml:space="preserve"> 18.3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9BF225" w14:textId="77777777" w:rsidR="00ED748D" w:rsidRDefault="00ED748D" w:rsidP="002B23FD">
            <w:pPr>
              <w:pStyle w:val="TableDataEntries"/>
              <w:rPr>
                <w:lang w:val="en-GB"/>
              </w:rPr>
            </w:pPr>
            <w:r>
              <w:t>1 591.4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A53D73" w14:textId="77777777" w:rsidR="00ED748D" w:rsidRDefault="00ED748D" w:rsidP="002B23FD">
            <w:pPr>
              <w:pStyle w:val="TableDataEntries"/>
              <w:rPr>
                <w:lang w:val="en-GB"/>
              </w:rPr>
            </w:pPr>
            <w:r>
              <w:t xml:space="preserve"> 896.0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332D9D" w14:textId="77777777" w:rsidR="00ED748D" w:rsidRDefault="00ED748D" w:rsidP="002B23FD">
            <w:pPr>
              <w:pStyle w:val="TableDataEntries"/>
              <w:rPr>
                <w:lang w:val="en-GB"/>
              </w:rPr>
            </w:pPr>
            <w:r>
              <w:t xml:space="preserve"> 164.0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69826D"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BD77C0" w14:textId="77777777" w:rsidR="00ED748D" w:rsidRDefault="00ED748D" w:rsidP="002B23FD">
            <w:pPr>
              <w:pStyle w:val="TableDataEntries"/>
              <w:rPr>
                <w:lang w:val="en-GB"/>
              </w:rPr>
            </w:pPr>
            <w:r>
              <w:t xml:space="preserve"> </w:t>
            </w:r>
            <w:r w:rsidR="00633DB1">
              <w:t>16.4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A7D50B" w14:textId="77777777" w:rsidR="00ED748D" w:rsidRDefault="00ED748D" w:rsidP="002B23FD">
            <w:pPr>
              <w:pStyle w:val="TableDataEntries"/>
              <w:rPr>
                <w:lang w:val="en-GB"/>
              </w:rPr>
            </w:pPr>
            <w:r>
              <w:t xml:space="preserve"> </w:t>
            </w:r>
            <w:r w:rsidR="00633DB1">
              <w:t>60.7</w:t>
            </w:r>
          </w:p>
        </w:tc>
      </w:tr>
      <w:tr w:rsidR="00ED748D" w14:paraId="75D93A3C"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4F0C86" w14:textId="77777777" w:rsidR="00ED748D" w:rsidRDefault="00ED748D" w:rsidP="002B23FD">
            <w:pPr>
              <w:pStyle w:val="TableDataEntries"/>
              <w:jc w:val="left"/>
              <w:rPr>
                <w:lang w:val="en-GB"/>
              </w:rPr>
            </w:pPr>
            <w:r>
              <w:rPr>
                <w:lang w:val="en-GB"/>
              </w:rPr>
              <w:t xml:space="preserve">85 to 89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A0499F" w14:textId="77777777" w:rsidR="00ED748D" w:rsidRDefault="00ED748D" w:rsidP="002B23FD">
            <w:pPr>
              <w:pStyle w:val="TableDataEntries"/>
              <w:rPr>
                <w:lang w:val="en-GB"/>
              </w:rPr>
            </w:pPr>
            <w:r>
              <w:t xml:space="preserve"> 13.0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35238B" w14:textId="77777777" w:rsidR="00ED748D" w:rsidRDefault="00ED748D" w:rsidP="002B23FD">
            <w:pPr>
              <w:pStyle w:val="TableDataEntries"/>
              <w:rPr>
                <w:lang w:val="en-GB"/>
              </w:rPr>
            </w:pPr>
            <w:r>
              <w:t>2 166.7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A1499C" w14:textId="77777777" w:rsidR="00ED748D" w:rsidRDefault="00ED748D" w:rsidP="002B23FD">
            <w:pPr>
              <w:pStyle w:val="TableDataEntries"/>
              <w:rPr>
                <w:lang w:val="en-GB"/>
              </w:rPr>
            </w:pPr>
            <w:r>
              <w:t>1 219.9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91D5C5" w14:textId="77777777" w:rsidR="00ED748D" w:rsidRDefault="00ED748D" w:rsidP="002B23FD">
            <w:pPr>
              <w:pStyle w:val="TableDataEntries"/>
              <w:rPr>
                <w:lang w:val="en-GB"/>
              </w:rPr>
            </w:pPr>
            <w:r>
              <w:t xml:space="preserve"> 158.6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C28FDA"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157B41" w14:textId="77777777" w:rsidR="00ED748D" w:rsidRDefault="00ED748D" w:rsidP="002B23FD">
            <w:pPr>
              <w:pStyle w:val="TableDataEntries"/>
              <w:rPr>
                <w:lang w:val="en-GB"/>
              </w:rPr>
            </w:pPr>
            <w:r>
              <w:t xml:space="preserve"> </w:t>
            </w:r>
            <w:r w:rsidR="00633DB1">
              <w:t>15.9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265D61" w14:textId="77777777" w:rsidR="00ED748D" w:rsidRDefault="00ED748D" w:rsidP="002B23FD">
            <w:pPr>
              <w:pStyle w:val="TableDataEntries"/>
              <w:rPr>
                <w:lang w:val="en-GB"/>
              </w:rPr>
            </w:pPr>
            <w:r>
              <w:t xml:space="preserve"> </w:t>
            </w:r>
            <w:r w:rsidR="00633DB1">
              <w:t>58.7</w:t>
            </w:r>
          </w:p>
        </w:tc>
      </w:tr>
      <w:tr w:rsidR="00ED748D" w14:paraId="3D9D45B6"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9C147F" w14:textId="77777777" w:rsidR="00ED748D" w:rsidRDefault="00ED748D" w:rsidP="002B23FD">
            <w:pPr>
              <w:pStyle w:val="TableDataEntries"/>
              <w:jc w:val="left"/>
              <w:rPr>
                <w:lang w:val="en-GB"/>
              </w:rPr>
            </w:pPr>
            <w:r>
              <w:rPr>
                <w:lang w:val="en-GB"/>
              </w:rPr>
              <w:t xml:space="preserve">90 to 94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CB19FC" w14:textId="77777777" w:rsidR="00ED748D" w:rsidRDefault="00ED748D" w:rsidP="002B23FD">
            <w:pPr>
              <w:pStyle w:val="TableDataEntries"/>
              <w:rPr>
                <w:lang w:val="en-GB"/>
              </w:rPr>
            </w:pPr>
            <w: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B0CE30" w14:textId="77777777" w:rsidR="00ED748D" w:rsidRDefault="00ED748D" w:rsidP="002B23FD">
            <w:pPr>
              <w:pStyle w:val="TableDataEntries"/>
              <w:rPr>
                <w:lang w:val="en-GB"/>
              </w:rPr>
            </w:pPr>
            <w:r>
              <w:t>3 707.6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E2C1A7" w14:textId="77777777" w:rsidR="00ED748D" w:rsidRDefault="00ED748D" w:rsidP="002B23FD">
            <w:pPr>
              <w:pStyle w:val="TableDataEntries"/>
              <w:rPr>
                <w:lang w:val="en-GB"/>
              </w:rPr>
            </w:pPr>
            <w:r>
              <w:t>2 087.4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2C290A" w14:textId="77777777" w:rsidR="00ED748D" w:rsidRDefault="00ED748D" w:rsidP="002B23FD">
            <w:pPr>
              <w:pStyle w:val="TableDataEntries"/>
              <w:rPr>
                <w:lang w:val="en-GB"/>
              </w:rPr>
            </w:pPr>
            <w:r>
              <w:t xml:space="preserve"> 160.7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2F61D6"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C93CA9" w14:textId="77777777" w:rsidR="00ED748D" w:rsidRDefault="00ED748D" w:rsidP="002B23FD">
            <w:pPr>
              <w:pStyle w:val="TableDataEntries"/>
              <w:rPr>
                <w:lang w:val="en-GB"/>
              </w:rPr>
            </w:pPr>
            <w:r>
              <w:t xml:space="preserve"> </w:t>
            </w:r>
            <w:r w:rsidR="00633DB1">
              <w:t>16.1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290B25" w14:textId="77777777" w:rsidR="00ED748D" w:rsidRDefault="00ED748D" w:rsidP="002B23FD">
            <w:pPr>
              <w:pStyle w:val="TableDataEntries"/>
              <w:rPr>
                <w:lang w:val="en-GB"/>
              </w:rPr>
            </w:pPr>
            <w:r>
              <w:t xml:space="preserve"> </w:t>
            </w:r>
            <w:r w:rsidR="00633DB1">
              <w:t>59.5</w:t>
            </w:r>
          </w:p>
        </w:tc>
      </w:tr>
      <w:tr w:rsidR="00ED748D" w14:paraId="1E4D29DE"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882498" w14:textId="77777777" w:rsidR="00ED748D" w:rsidRDefault="00ED748D" w:rsidP="002B23FD">
            <w:pPr>
              <w:pStyle w:val="TableDataEntries"/>
              <w:jc w:val="left"/>
              <w:rPr>
                <w:lang w:val="en-GB"/>
              </w:rPr>
            </w:pPr>
            <w:r>
              <w:rPr>
                <w:lang w:val="en-GB"/>
              </w:rPr>
              <w:t xml:space="preserve">95+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F0AE03" w14:textId="77777777" w:rsidR="00ED748D" w:rsidRDefault="00ED748D" w:rsidP="002B23FD">
            <w:pPr>
              <w:pStyle w:val="TableDataEntries"/>
              <w:rPr>
                <w:lang w:val="en-GB"/>
              </w:rPr>
            </w:pPr>
            <w:r>
              <w:t xml:space="preserve"> 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509E47" w14:textId="77777777" w:rsidR="00ED748D" w:rsidRDefault="00ED748D" w:rsidP="002B23FD">
            <w:pPr>
              <w:pStyle w:val="TableDataEntries"/>
              <w:rPr>
                <w:lang w:val="en-GB"/>
              </w:rPr>
            </w:pPr>
            <w:r>
              <w:t>6 117.0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D4E6EE" w14:textId="77777777" w:rsidR="00ED748D" w:rsidRDefault="00ED748D" w:rsidP="002B23FD">
            <w:pPr>
              <w:pStyle w:val="TableDataEntries"/>
              <w:rPr>
                <w:lang w:val="en-GB"/>
              </w:rPr>
            </w:pPr>
            <w:r>
              <w:t>3 443.9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AC09D6" w14:textId="77777777" w:rsidR="00ED748D" w:rsidRDefault="00ED748D" w:rsidP="002B23FD">
            <w:pPr>
              <w:pStyle w:val="TableDataEntries"/>
              <w:rPr>
                <w:lang w:val="en-GB"/>
              </w:rPr>
            </w:pPr>
            <w:r>
              <w:t xml:space="preserve"> 137.8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021442" w14:textId="77777777" w:rsidR="00ED748D" w:rsidRDefault="00ED748D" w:rsidP="002B23FD">
            <w:pPr>
              <w:pStyle w:val="TableDataEntries"/>
              <w:rPr>
                <w:lang w:val="en-GB"/>
              </w:rPr>
            </w:pPr>
            <w:r>
              <w:t xml:space="preserve"> </w:t>
            </w:r>
            <w:r w:rsidR="00633DB1">
              <w:t>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D006B1" w14:textId="77777777" w:rsidR="00ED748D" w:rsidRDefault="00ED748D" w:rsidP="002B23FD">
            <w:pPr>
              <w:pStyle w:val="TableDataEntries"/>
              <w:rPr>
                <w:lang w:val="en-GB"/>
              </w:rPr>
            </w:pPr>
            <w:r>
              <w:t xml:space="preserve"> </w:t>
            </w:r>
            <w:r w:rsidR="00633DB1">
              <w:t>13.8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9D5831" w14:textId="77777777" w:rsidR="00ED748D" w:rsidRDefault="00ED748D" w:rsidP="002B23FD">
            <w:pPr>
              <w:pStyle w:val="TableDataEntries"/>
              <w:rPr>
                <w:lang w:val="en-GB"/>
              </w:rPr>
            </w:pPr>
            <w:r>
              <w:t xml:space="preserve"> </w:t>
            </w:r>
            <w:r w:rsidR="00633DB1">
              <w:t>51.0</w:t>
            </w:r>
          </w:p>
        </w:tc>
      </w:tr>
      <w:tr w:rsidR="00ED748D" w:rsidRPr="00801E43" w14:paraId="3F246F2E" w14:textId="77777777" w:rsidTr="002B23FD">
        <w:trPr>
          <w:trHeight w:val="230"/>
        </w:trPr>
        <w:tc>
          <w:tcPr>
            <w:tcW w:w="81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14BE9DD" w14:textId="77777777" w:rsidR="00ED748D" w:rsidRPr="00801E43" w:rsidRDefault="00ED748D" w:rsidP="002B23FD">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8579050"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 xml:space="preserve"> 325.1</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2481C69" w14:textId="77777777" w:rsidR="00ED748D" w:rsidRPr="00801E43" w:rsidRDefault="00ED748D" w:rsidP="002B23FD">
            <w:pPr>
              <w:pStyle w:val="TableDataEntries"/>
              <w:rPr>
                <w:rFonts w:ascii="Franklin Gothic Demi" w:hAnsi="Franklin Gothic Demi"/>
                <w:lang w:val="en-GB"/>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376CFB2" w14:textId="77777777" w:rsidR="00ED748D" w:rsidRPr="00801E43" w:rsidRDefault="00ED748D" w:rsidP="002B23FD">
            <w:pPr>
              <w:pStyle w:val="TableDataEntries"/>
              <w:rPr>
                <w:rFonts w:ascii="Franklin Gothic Demi" w:hAnsi="Franklin Gothic Demi"/>
                <w:lang w:val="en-GB"/>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00ABA8D"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2 219.0</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6A399BA"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 xml:space="preserve"> </w:t>
            </w:r>
            <w:r w:rsidR="00633DB1">
              <w:rPr>
                <w:rFonts w:ascii="Franklin Gothic Demi" w:hAnsi="Franklin Gothic Demi"/>
              </w:rPr>
              <w:t>0.0</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D4D3AA1" w14:textId="77777777" w:rsidR="00ED748D" w:rsidRPr="00801E43" w:rsidRDefault="00633DB1" w:rsidP="002B23FD">
            <w:pPr>
              <w:pStyle w:val="TableDataEntries"/>
              <w:rPr>
                <w:rFonts w:ascii="Franklin Gothic Demi" w:hAnsi="Franklin Gothic Demi"/>
                <w:lang w:val="en-GB"/>
              </w:rPr>
            </w:pPr>
            <w:r>
              <w:rPr>
                <w:rFonts w:ascii="Franklin Gothic Demi" w:hAnsi="Franklin Gothic Demi"/>
              </w:rPr>
              <w:t>221.9</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6CF05F6" w14:textId="77777777" w:rsidR="00ED748D" w:rsidRPr="00801E43" w:rsidRDefault="00633DB1" w:rsidP="002B23FD">
            <w:pPr>
              <w:pStyle w:val="TableDataEntries"/>
              <w:rPr>
                <w:rFonts w:ascii="Franklin Gothic Demi" w:hAnsi="Franklin Gothic Demi"/>
                <w:lang w:val="en-GB"/>
              </w:rPr>
            </w:pPr>
            <w:r>
              <w:rPr>
                <w:rFonts w:ascii="Franklin Gothic Demi" w:hAnsi="Franklin Gothic Demi"/>
              </w:rPr>
              <w:t>821.0</w:t>
            </w:r>
          </w:p>
        </w:tc>
      </w:tr>
    </w:tbl>
    <w:p w14:paraId="73CA161E" w14:textId="77777777" w:rsidR="00ED748D" w:rsidRPr="00E4232C" w:rsidRDefault="00ED748D" w:rsidP="00ED748D">
      <w:pPr>
        <w:pStyle w:val="Note"/>
      </w:pPr>
      <w:r w:rsidRPr="00E4232C">
        <w:rPr>
          <w:rStyle w:val="NoteLabel"/>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845C4B">
        <w:rPr>
          <w:rStyle w:val="NoteLabel"/>
        </w:rPr>
        <w:t>b</w:t>
      </w:r>
      <w:r>
        <w:t xml:space="preserve"> Based on emergency department attendance rates from the community (i.e. excluding residential aged care) in NSW in 2006</w:t>
      </w:r>
      <w:r>
        <w:noBreakHyphen/>
        <w:t xml:space="preserve">07 reported in UNSW, 2010, p. 28. </w:t>
      </w:r>
      <w:r w:rsidRPr="00845C4B">
        <w:rPr>
          <w:rStyle w:val="NoteLabel"/>
        </w:rPr>
        <w:t>c</w:t>
      </w:r>
      <w:r>
        <w:t xml:space="preserve"> Adjusted based on 56.3 per cent of falls resulting in emergency department attendance occurring at home as reported in Stathakis, V. Gray, S. and Berecki</w:t>
      </w:r>
      <w:r>
        <w:noBreakHyphen/>
        <w:t xml:space="preserve">Gisolf, J. 2015, p. 2. </w:t>
      </w:r>
      <w:r>
        <w:rPr>
          <w:rStyle w:val="NoteLabel"/>
        </w:rPr>
        <w:t xml:space="preserve">d </w:t>
      </w:r>
      <w:r>
        <w:t xml:space="preserve">Based on accessible housing reducing falls by </w:t>
      </w:r>
      <w:r w:rsidR="00EA7092">
        <w:t>0</w:t>
      </w:r>
      <w:r>
        <w:t xml:space="preserve"> per cent. </w:t>
      </w:r>
      <w:r>
        <w:rPr>
          <w:rStyle w:val="NoteLabel"/>
        </w:rPr>
        <w:t xml:space="preserve">e </w:t>
      </w:r>
      <w:r>
        <w:t xml:space="preserve">Based on accessible housing reducing falls by </w:t>
      </w:r>
      <w:r w:rsidR="00EA7092">
        <w:t>10</w:t>
      </w:r>
      <w:r>
        <w:t xml:space="preserve"> per cent. </w:t>
      </w:r>
      <w:r>
        <w:rPr>
          <w:rStyle w:val="NoteLabel"/>
        </w:rPr>
        <w:t xml:space="preserve">f </w:t>
      </w:r>
      <w:r>
        <w:t xml:space="preserve">Based on accessible housing reducing falls by </w:t>
      </w:r>
      <w:r w:rsidR="00EA7092">
        <w:t>37</w:t>
      </w:r>
      <w:r>
        <w:t xml:space="preserve"> per cent. </w:t>
      </w:r>
    </w:p>
    <w:p w14:paraId="2ABF7802" w14:textId="77777777" w:rsidR="00ED748D" w:rsidRPr="00280175" w:rsidRDefault="00ED748D" w:rsidP="00ED748D">
      <w:pPr>
        <w:pStyle w:val="Source"/>
        <w:rPr>
          <w:iCs/>
        </w:rPr>
      </w:pPr>
      <w:r w:rsidRPr="00280175">
        <w:rPr>
          <w:iCs/>
        </w:rPr>
        <w:t>Source: ABS Survey of Disability, Ageing and Carers 2018; University of NSW, The Incidence and Cost of Falls Injury Among Older People in New South Wales 2006/07, A Report to NSW Health, September 2010; Stathakis, V. Gray, S. and Berecki</w:t>
      </w:r>
      <w:r w:rsidRPr="00280175">
        <w:rPr>
          <w:iCs/>
        </w:rPr>
        <w:noBreakHyphen/>
        <w:t>Gisolf, J. 2015, “Fall</w:t>
      </w:r>
      <w:r w:rsidRPr="00280175">
        <w:rPr>
          <w:iCs/>
        </w:rPr>
        <w:noBreakHyphen/>
        <w:t>related injury profile for Victorians aged 65 years and older”, Hazard, Edition No. 80, Summer 2015, Victorian Injury Surveillance Unit, Monash University Accident Research Centre; CIE.</w:t>
      </w:r>
    </w:p>
    <w:p w14:paraId="0E6BA8FD" w14:textId="77777777" w:rsidR="00ED748D" w:rsidRDefault="00ED748D" w:rsidP="00ED748D">
      <w:pPr>
        <w:pStyle w:val="BodyText"/>
        <w:rPr>
          <w:lang w:bidi="fa-IR"/>
        </w:rPr>
      </w:pPr>
      <w:r>
        <w:rPr>
          <w:lang w:bidi="fa-IR"/>
        </w:rPr>
        <w:t xml:space="preserve">Based on the above estimates of the number of additional emergency attendances due to people with accessibility needs living in </w:t>
      </w:r>
      <w:r w:rsidR="009C793C">
        <w:rPr>
          <w:lang w:bidi="fa-IR"/>
        </w:rPr>
        <w:t>in</w:t>
      </w:r>
      <w:r>
        <w:rPr>
          <w:lang w:bidi="fa-IR"/>
        </w:rPr>
        <w:t xml:space="preserve">accessible housing, an additional cost of between </w:t>
      </w:r>
      <w:r w:rsidR="00EF325F">
        <w:rPr>
          <w:lang w:bidi="fa-IR"/>
        </w:rPr>
        <w:t>zero</w:t>
      </w:r>
      <w:r>
        <w:rPr>
          <w:lang w:bidi="fa-IR"/>
        </w:rPr>
        <w:t> million and $</w:t>
      </w:r>
      <w:r w:rsidR="00EF325F">
        <w:rPr>
          <w:lang w:bidi="fa-IR"/>
        </w:rPr>
        <w:t>2.6</w:t>
      </w:r>
      <w:r>
        <w:rPr>
          <w:lang w:bidi="fa-IR"/>
        </w:rPr>
        <w:t> million per year</w:t>
      </w:r>
      <w:r w:rsidR="008875B5">
        <w:rPr>
          <w:lang w:bidi="fa-IR"/>
        </w:rPr>
        <w:t xml:space="preserve"> is estimated</w:t>
      </w:r>
      <w:r>
        <w:rPr>
          <w:lang w:bidi="fa-IR"/>
        </w:rPr>
        <w:t>, with a central case estimate of around $</w:t>
      </w:r>
      <w:r w:rsidR="000B46B9">
        <w:rPr>
          <w:lang w:bidi="fa-IR"/>
        </w:rPr>
        <w:t>0.7</w:t>
      </w:r>
      <w:r>
        <w:rPr>
          <w:lang w:bidi="fa-IR"/>
        </w:rPr>
        <w:t xml:space="preserve"> million per year. </w:t>
      </w:r>
      <w:r w:rsidR="000551E9">
        <w:rPr>
          <w:lang w:bidi="fa-IR"/>
        </w:rPr>
        <w:t>Health care costs are based on the average cost reported in UNSW (2010) inflated to 2019 dollar terms, using the national CPI.</w:t>
      </w:r>
      <w:r w:rsidR="000551E9">
        <w:rPr>
          <w:rStyle w:val="FootnoteReference"/>
          <w:lang w:bidi="fa-IR"/>
        </w:rPr>
        <w:footnoteReference w:id="466"/>
      </w:r>
    </w:p>
    <w:p w14:paraId="533EB798" w14:textId="6D60FE05" w:rsidR="00ED748D" w:rsidRDefault="00B27E24" w:rsidP="00ED748D">
      <w:pPr>
        <w:pStyle w:val="Caption"/>
        <w:ind w:left="568" w:hanging="568"/>
      </w:pPr>
      <w:bookmarkStart w:id="676" w:name="_Toc45654202"/>
      <w:bookmarkStart w:id="677" w:name="_Toc44598571"/>
      <w:bookmarkStart w:id="678" w:name="_Toc44695943"/>
      <w:bookmarkStart w:id="679" w:name="_Toc57643678"/>
      <w:bookmarkStart w:id="680" w:name="_Toc70505625"/>
      <w:r>
        <w:t>B.11</w:t>
      </w:r>
      <w:r w:rsidR="00ED748D" w:rsidRPr="00695C93">
        <w:tab/>
      </w:r>
      <w:r w:rsidR="00ED748D">
        <w:t>Estimated cost of additional emergency department attendances due to inaccessible housing</w:t>
      </w:r>
      <w:bookmarkEnd w:id="676"/>
      <w:bookmarkEnd w:id="677"/>
      <w:bookmarkEnd w:id="678"/>
      <w:bookmarkEnd w:id="679"/>
      <w:bookmarkEnd w:id="680"/>
    </w:p>
    <w:tbl>
      <w:tblPr>
        <w:tblW w:w="7939" w:type="dxa"/>
        <w:tblLayout w:type="fixed"/>
        <w:tblLook w:val="0000" w:firstRow="0" w:lastRow="0" w:firstColumn="0" w:lastColumn="0" w:noHBand="0" w:noVBand="0"/>
        <w:tblCaption w:val="Table B.11: Estimated cost of additional emergency department attendances due to inaccessible housing"/>
        <w:tblDescription w:val="Table B.11 lists the estimated cost of additional emergency department attendances due to inaccessible housing, grouped by age. The total central case cost is estimated at $710,000, with a high estimate of $2,630,000. There is no cost under the low estimate. "/>
      </w:tblPr>
      <w:tblGrid>
        <w:gridCol w:w="2119"/>
        <w:gridCol w:w="1509"/>
        <w:gridCol w:w="1437"/>
        <w:gridCol w:w="1437"/>
        <w:gridCol w:w="1437"/>
      </w:tblGrid>
      <w:tr w:rsidR="00696C70" w14:paraId="3B909843" w14:textId="77777777" w:rsidTr="005A1FB8">
        <w:trPr>
          <w:trHeight w:val="247"/>
          <w:tblHeader/>
        </w:trPr>
        <w:tc>
          <w:tcPr>
            <w:tcW w:w="2119" w:type="dxa"/>
            <w:shd w:val="clear" w:color="auto" w:fill="6F6652"/>
            <w:tcMar>
              <w:left w:w="57" w:type="dxa"/>
              <w:right w:w="57" w:type="dxa"/>
            </w:tcMar>
          </w:tcPr>
          <w:p w14:paraId="28161936" w14:textId="77777777" w:rsidR="00696C70" w:rsidRDefault="00AD284D" w:rsidP="002B23FD">
            <w:pPr>
              <w:pStyle w:val="TableDataColumnHeading"/>
              <w:jc w:val="left"/>
              <w:rPr>
                <w:lang w:val="en-GB"/>
              </w:rPr>
            </w:pPr>
            <w:r>
              <w:rPr>
                <w:lang w:val="en-GB"/>
              </w:rPr>
              <w:t>Age</w:t>
            </w:r>
            <w:r w:rsidR="007A22A8">
              <w:rPr>
                <w:lang w:val="en-GB"/>
              </w:rPr>
              <w:t xml:space="preserve"> group</w:t>
            </w:r>
          </w:p>
        </w:tc>
        <w:tc>
          <w:tcPr>
            <w:tcW w:w="1509" w:type="dxa"/>
            <w:shd w:val="clear" w:color="auto" w:fill="6F6652"/>
            <w:tcMar>
              <w:left w:w="57" w:type="dxa"/>
              <w:right w:w="57" w:type="dxa"/>
            </w:tcMar>
          </w:tcPr>
          <w:p w14:paraId="72D20208" w14:textId="77777777" w:rsidR="00696C70" w:rsidRDefault="00696C70" w:rsidP="002B23FD">
            <w:pPr>
              <w:pStyle w:val="TableDataColumnHeading"/>
              <w:rPr>
                <w:lang w:val="en-GB"/>
              </w:rPr>
            </w:pPr>
            <w:r>
              <w:rPr>
                <w:lang w:val="en-GB"/>
              </w:rPr>
              <w:t>Average cost per ED attendance</w:t>
            </w:r>
            <w:r w:rsidRPr="00C20B6B">
              <w:rPr>
                <w:rStyle w:val="NoteLabel"/>
              </w:rPr>
              <w:t>a</w:t>
            </w:r>
          </w:p>
        </w:tc>
        <w:tc>
          <w:tcPr>
            <w:tcW w:w="4311" w:type="dxa"/>
            <w:gridSpan w:val="3"/>
            <w:shd w:val="clear" w:color="auto" w:fill="6F6652"/>
            <w:tcMar>
              <w:left w:w="57" w:type="dxa"/>
              <w:right w:w="57" w:type="dxa"/>
            </w:tcMar>
          </w:tcPr>
          <w:p w14:paraId="7DA4EFCD" w14:textId="77777777" w:rsidR="00696C70" w:rsidRDefault="00696C70" w:rsidP="005D3F4E">
            <w:pPr>
              <w:pStyle w:val="TableDataColumnHeading"/>
              <w:jc w:val="center"/>
              <w:rPr>
                <w:lang w:val="en-GB"/>
              </w:rPr>
            </w:pPr>
            <w:r>
              <w:rPr>
                <w:lang w:val="en-GB"/>
              </w:rPr>
              <w:t>Cost of additional ED attendance due to</w:t>
            </w:r>
            <w:r w:rsidR="005A1FB8">
              <w:rPr>
                <w:lang w:val="en-GB"/>
              </w:rPr>
              <w:t xml:space="preserve">  </w:t>
            </w:r>
            <w:r>
              <w:rPr>
                <w:lang w:val="en-GB"/>
              </w:rPr>
              <w:t>inaccessible housing</w:t>
            </w:r>
          </w:p>
        </w:tc>
      </w:tr>
      <w:tr w:rsidR="00ED748D" w:rsidRPr="005A1FB8" w14:paraId="695298FE" w14:textId="77777777" w:rsidTr="005A1FB8">
        <w:trPr>
          <w:trHeight w:val="64"/>
        </w:trPr>
        <w:tc>
          <w:tcPr>
            <w:tcW w:w="2119" w:type="dxa"/>
            <w:shd w:val="clear" w:color="auto" w:fill="6F6652"/>
            <w:tcMar>
              <w:left w:w="57" w:type="dxa"/>
              <w:right w:w="57" w:type="dxa"/>
            </w:tcMar>
          </w:tcPr>
          <w:p w14:paraId="352E27DE" w14:textId="77777777" w:rsidR="00ED748D" w:rsidRPr="005A1FB8" w:rsidRDefault="00ED748D" w:rsidP="002B23FD">
            <w:pPr>
              <w:pStyle w:val="TableDataColumnHeading"/>
              <w:jc w:val="left"/>
              <w:rPr>
                <w:rFonts w:ascii="Franklin Gothic Medium" w:hAnsi="Franklin Gothic Medium"/>
                <w:lang w:val="en-GB"/>
              </w:rPr>
            </w:pPr>
          </w:p>
        </w:tc>
        <w:tc>
          <w:tcPr>
            <w:tcW w:w="1509" w:type="dxa"/>
            <w:shd w:val="clear" w:color="auto" w:fill="6F6652"/>
            <w:tcMar>
              <w:left w:w="57" w:type="dxa"/>
              <w:right w:w="57" w:type="dxa"/>
            </w:tcMar>
          </w:tcPr>
          <w:p w14:paraId="46BC4E35" w14:textId="77777777" w:rsidR="00ED748D" w:rsidRPr="005A1FB8" w:rsidRDefault="00ED748D" w:rsidP="002B23FD">
            <w:pPr>
              <w:pStyle w:val="TableDataColumnHeading"/>
              <w:rPr>
                <w:rFonts w:ascii="Franklin Gothic Medium" w:hAnsi="Franklin Gothic Medium"/>
                <w:lang w:val="en-GB"/>
              </w:rPr>
            </w:pPr>
          </w:p>
        </w:tc>
        <w:tc>
          <w:tcPr>
            <w:tcW w:w="1437" w:type="dxa"/>
            <w:shd w:val="clear" w:color="auto" w:fill="6F6652"/>
            <w:tcMar>
              <w:left w:w="57" w:type="dxa"/>
              <w:right w:w="57" w:type="dxa"/>
            </w:tcMar>
          </w:tcPr>
          <w:p w14:paraId="411129EF"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Low estimate</w:t>
            </w:r>
          </w:p>
        </w:tc>
        <w:tc>
          <w:tcPr>
            <w:tcW w:w="1437" w:type="dxa"/>
            <w:shd w:val="clear" w:color="auto" w:fill="6F6652"/>
            <w:tcMar>
              <w:left w:w="57" w:type="dxa"/>
              <w:right w:w="57" w:type="dxa"/>
            </w:tcMar>
          </w:tcPr>
          <w:p w14:paraId="4A829821"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Central case</w:t>
            </w:r>
          </w:p>
        </w:tc>
        <w:tc>
          <w:tcPr>
            <w:tcW w:w="1437" w:type="dxa"/>
            <w:shd w:val="clear" w:color="auto" w:fill="6F6652"/>
            <w:tcMar>
              <w:left w:w="57" w:type="dxa"/>
              <w:right w:w="57" w:type="dxa"/>
            </w:tcMar>
          </w:tcPr>
          <w:p w14:paraId="0F130FD2" w14:textId="77777777" w:rsidR="00ED748D" w:rsidRPr="005A1FB8" w:rsidRDefault="00ED748D" w:rsidP="002B23FD">
            <w:pPr>
              <w:pStyle w:val="TableDataColumnHeading"/>
              <w:rPr>
                <w:rFonts w:ascii="Franklin Gothic Medium" w:hAnsi="Franklin Gothic Medium"/>
                <w:lang w:val="en-GB"/>
              </w:rPr>
            </w:pPr>
            <w:r w:rsidRPr="005A1FB8">
              <w:rPr>
                <w:rFonts w:ascii="Franklin Gothic Medium" w:hAnsi="Franklin Gothic Medium"/>
                <w:lang w:val="en-GB"/>
              </w:rPr>
              <w:t>High estimate</w:t>
            </w:r>
          </w:p>
        </w:tc>
      </w:tr>
      <w:tr w:rsidR="00ED748D" w14:paraId="3C7FBD4F" w14:textId="77777777" w:rsidTr="002B23FD">
        <w:trPr>
          <w:trHeight w:val="230"/>
        </w:trPr>
        <w:tc>
          <w:tcPr>
            <w:tcW w:w="2119" w:type="dxa"/>
            <w:tcBorders>
              <w:bottom w:val="single" w:sz="8" w:space="0" w:color="FFFFFF" w:themeColor="background1"/>
            </w:tcBorders>
            <w:shd w:val="clear" w:color="auto" w:fill="auto"/>
            <w:tcMar>
              <w:left w:w="57" w:type="dxa"/>
              <w:right w:w="57" w:type="dxa"/>
            </w:tcMar>
          </w:tcPr>
          <w:p w14:paraId="20C440D6" w14:textId="77777777" w:rsidR="00ED748D" w:rsidRDefault="00ED748D" w:rsidP="002B23FD">
            <w:pPr>
              <w:pStyle w:val="TableUnit"/>
              <w:jc w:val="left"/>
              <w:rPr>
                <w:lang w:val="en-GB"/>
              </w:rPr>
            </w:pPr>
          </w:p>
        </w:tc>
        <w:tc>
          <w:tcPr>
            <w:tcW w:w="1509" w:type="dxa"/>
            <w:tcBorders>
              <w:bottom w:val="single" w:sz="8" w:space="0" w:color="FFFFFF" w:themeColor="background1"/>
            </w:tcBorders>
            <w:shd w:val="clear" w:color="auto" w:fill="auto"/>
            <w:tcMar>
              <w:left w:w="57" w:type="dxa"/>
              <w:right w:w="57" w:type="dxa"/>
            </w:tcMar>
          </w:tcPr>
          <w:p w14:paraId="23F80F2F" w14:textId="77777777" w:rsidR="00ED748D" w:rsidRDefault="00ED748D" w:rsidP="002B23FD">
            <w:pPr>
              <w:pStyle w:val="TableUnit"/>
              <w:rPr>
                <w:lang w:val="en-GB"/>
              </w:rPr>
            </w:pPr>
            <w:r>
              <w:rPr>
                <w:lang w:val="en-GB"/>
              </w:rPr>
              <w:t>$</w:t>
            </w:r>
          </w:p>
        </w:tc>
        <w:tc>
          <w:tcPr>
            <w:tcW w:w="1437" w:type="dxa"/>
            <w:tcBorders>
              <w:bottom w:val="single" w:sz="8" w:space="0" w:color="FFFFFF" w:themeColor="background1"/>
            </w:tcBorders>
            <w:shd w:val="clear" w:color="auto" w:fill="auto"/>
            <w:tcMar>
              <w:left w:w="57" w:type="dxa"/>
              <w:right w:w="57" w:type="dxa"/>
            </w:tcMar>
          </w:tcPr>
          <w:p w14:paraId="7E6B55D0"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76C8014C"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71E6C0CF" w14:textId="77777777" w:rsidR="00ED748D" w:rsidRDefault="00ED748D" w:rsidP="002B23FD">
            <w:pPr>
              <w:pStyle w:val="TableUnit"/>
              <w:rPr>
                <w:lang w:val="en-GB"/>
              </w:rPr>
            </w:pPr>
            <w:r>
              <w:rPr>
                <w:lang w:val="en-GB"/>
              </w:rPr>
              <w:t>$ million</w:t>
            </w:r>
          </w:p>
        </w:tc>
      </w:tr>
      <w:tr w:rsidR="00ED748D" w14:paraId="511F9B6B"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8E6023" w14:textId="77777777" w:rsidR="00ED748D" w:rsidRDefault="00ED748D" w:rsidP="002B23FD">
            <w:pPr>
              <w:pStyle w:val="TableDataEntries"/>
              <w:jc w:val="left"/>
              <w:rPr>
                <w:lang w:val="en-GB"/>
              </w:rPr>
            </w:pPr>
            <w:r>
              <w:rPr>
                <w:lang w:val="en-GB"/>
              </w:rPr>
              <w:t>0 to 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0AC96C"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DE229A"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E25D37"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1ED6B5" w14:textId="77777777" w:rsidR="00ED748D" w:rsidRDefault="00ED748D" w:rsidP="002B23FD">
            <w:pPr>
              <w:pStyle w:val="TableDataEntries"/>
              <w:rPr>
                <w:lang w:val="en-GB"/>
              </w:rPr>
            </w:pPr>
            <w:r>
              <w:t xml:space="preserve"> 0.</w:t>
            </w:r>
            <w:r w:rsidR="00576F1D">
              <w:t>04</w:t>
            </w:r>
          </w:p>
        </w:tc>
      </w:tr>
      <w:tr w:rsidR="00ED748D" w14:paraId="79BDEC2F"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A4485" w14:textId="77777777" w:rsidR="00ED748D" w:rsidRDefault="00ED748D" w:rsidP="002B23FD">
            <w:pPr>
              <w:pStyle w:val="TableDataEntries"/>
              <w:jc w:val="left"/>
              <w:rPr>
                <w:lang w:val="en-GB"/>
              </w:rPr>
            </w:pPr>
            <w:r>
              <w:rPr>
                <w:lang w:val="en-GB"/>
              </w:rPr>
              <w:t>5 to 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437B54"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DF3DA0"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4C038F"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315606" w14:textId="77777777" w:rsidR="00ED748D" w:rsidRDefault="00ED748D" w:rsidP="002B23FD">
            <w:pPr>
              <w:pStyle w:val="TableDataEntries"/>
              <w:rPr>
                <w:lang w:val="en-GB"/>
              </w:rPr>
            </w:pPr>
            <w:r>
              <w:t xml:space="preserve"> 0.</w:t>
            </w:r>
            <w:r w:rsidR="00576F1D">
              <w:t>04</w:t>
            </w:r>
          </w:p>
        </w:tc>
      </w:tr>
      <w:tr w:rsidR="00ED748D" w14:paraId="751341F8"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1AB646" w14:textId="77777777" w:rsidR="00ED748D" w:rsidRDefault="00ED748D" w:rsidP="002B23FD">
            <w:pPr>
              <w:pStyle w:val="TableDataEntries"/>
              <w:jc w:val="left"/>
              <w:rPr>
                <w:lang w:val="en-GB"/>
              </w:rPr>
            </w:pPr>
            <w:r>
              <w:rPr>
                <w:lang w:val="en-GB"/>
              </w:rPr>
              <w:t>10 to 14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CF3DD2"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838971"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3C79F6"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1F97E7" w14:textId="77777777" w:rsidR="00ED748D" w:rsidRDefault="00ED748D" w:rsidP="002B23FD">
            <w:pPr>
              <w:pStyle w:val="TableDataEntries"/>
              <w:rPr>
                <w:lang w:val="en-GB"/>
              </w:rPr>
            </w:pPr>
            <w:r>
              <w:t xml:space="preserve"> 0.</w:t>
            </w:r>
            <w:r w:rsidR="00576F1D">
              <w:t>03</w:t>
            </w:r>
          </w:p>
        </w:tc>
      </w:tr>
      <w:tr w:rsidR="00ED748D" w14:paraId="4323999C"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6CB1D" w14:textId="77777777" w:rsidR="00ED748D" w:rsidRDefault="00ED748D" w:rsidP="002B23FD">
            <w:pPr>
              <w:pStyle w:val="TableDataEntries"/>
              <w:jc w:val="left"/>
              <w:rPr>
                <w:lang w:val="en-GB"/>
              </w:rPr>
            </w:pPr>
            <w:r>
              <w:rPr>
                <w:lang w:val="en-GB"/>
              </w:rPr>
              <w:t>15 to 19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3B19D7"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5AFBCA"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7A2E13"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4689DD" w14:textId="77777777" w:rsidR="00ED748D" w:rsidRDefault="00ED748D" w:rsidP="002B23FD">
            <w:pPr>
              <w:pStyle w:val="TableDataEntries"/>
              <w:rPr>
                <w:lang w:val="en-GB"/>
              </w:rPr>
            </w:pPr>
            <w:r>
              <w:t xml:space="preserve"> 0.</w:t>
            </w:r>
            <w:r w:rsidR="00576F1D">
              <w:t>05</w:t>
            </w:r>
          </w:p>
        </w:tc>
      </w:tr>
      <w:tr w:rsidR="00ED748D" w14:paraId="7DBB8AF0"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C8C399" w14:textId="77777777" w:rsidR="00ED748D" w:rsidRDefault="00ED748D" w:rsidP="002B23FD">
            <w:pPr>
              <w:pStyle w:val="TableDataEntries"/>
              <w:jc w:val="left"/>
              <w:rPr>
                <w:lang w:val="en-GB"/>
              </w:rPr>
            </w:pPr>
            <w:r>
              <w:rPr>
                <w:lang w:val="en-GB"/>
              </w:rPr>
              <w:t>20 to 24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049AD2"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B46D1D"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CAD112"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C369B7" w14:textId="77777777" w:rsidR="00ED748D" w:rsidRDefault="00ED748D" w:rsidP="002B23FD">
            <w:pPr>
              <w:pStyle w:val="TableDataEntries"/>
              <w:rPr>
                <w:lang w:val="en-GB"/>
              </w:rPr>
            </w:pPr>
            <w:r>
              <w:t xml:space="preserve"> 0.</w:t>
            </w:r>
            <w:r w:rsidR="00576F1D">
              <w:t>03</w:t>
            </w:r>
          </w:p>
        </w:tc>
      </w:tr>
      <w:tr w:rsidR="00ED748D" w14:paraId="3824C44E"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CE03E3" w14:textId="77777777" w:rsidR="00ED748D" w:rsidRDefault="00ED748D" w:rsidP="002B23FD">
            <w:pPr>
              <w:pStyle w:val="TableDataEntries"/>
              <w:jc w:val="left"/>
              <w:rPr>
                <w:lang w:val="en-GB"/>
              </w:rPr>
            </w:pPr>
            <w:r>
              <w:rPr>
                <w:lang w:val="en-GB"/>
              </w:rPr>
              <w:t>25 to 29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77E81D"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1099C4"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E7F05C" w14:textId="77777777" w:rsidR="00ED748D" w:rsidRDefault="00ED748D" w:rsidP="002B23FD">
            <w:pPr>
              <w:pStyle w:val="TableDataEntries"/>
              <w:rPr>
                <w:lang w:val="en-GB"/>
              </w:rPr>
            </w:pPr>
            <w:r>
              <w:t xml:space="preserve"> 0.</w:t>
            </w:r>
            <w:r w:rsidR="00576F1D">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FCD284" w14:textId="77777777" w:rsidR="00ED748D" w:rsidRDefault="00ED748D" w:rsidP="002B23FD">
            <w:pPr>
              <w:pStyle w:val="TableDataEntries"/>
              <w:rPr>
                <w:lang w:val="en-GB"/>
              </w:rPr>
            </w:pPr>
            <w:r>
              <w:t xml:space="preserve"> 0.</w:t>
            </w:r>
            <w:r w:rsidR="00576F1D">
              <w:t>05</w:t>
            </w:r>
          </w:p>
        </w:tc>
      </w:tr>
      <w:tr w:rsidR="00ED748D" w14:paraId="01F10429"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8BC092" w14:textId="77777777" w:rsidR="00ED748D" w:rsidRDefault="00ED748D" w:rsidP="002B23FD">
            <w:pPr>
              <w:pStyle w:val="TableDataEntries"/>
              <w:jc w:val="left"/>
              <w:rPr>
                <w:lang w:val="en-GB"/>
              </w:rPr>
            </w:pPr>
            <w:r>
              <w:rPr>
                <w:lang w:val="en-GB"/>
              </w:rPr>
              <w:t>30 to 34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67A8E3"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C6CC14"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8FFD45" w14:textId="77777777" w:rsidR="00ED748D" w:rsidRDefault="00ED748D" w:rsidP="002B23FD">
            <w:pPr>
              <w:pStyle w:val="TableDataEntries"/>
              <w:rPr>
                <w:lang w:val="en-GB"/>
              </w:rPr>
            </w:pPr>
            <w:r>
              <w:t xml:space="preserve"> 0.</w:t>
            </w:r>
            <w:r w:rsidR="00576F1D">
              <w:t>02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F43063" w14:textId="77777777" w:rsidR="00ED748D" w:rsidRDefault="00ED748D" w:rsidP="002B23FD">
            <w:pPr>
              <w:pStyle w:val="TableDataEntries"/>
              <w:rPr>
                <w:lang w:val="en-GB"/>
              </w:rPr>
            </w:pPr>
            <w:r>
              <w:t xml:space="preserve"> 0.</w:t>
            </w:r>
            <w:r w:rsidR="00576F1D">
              <w:t>07</w:t>
            </w:r>
          </w:p>
        </w:tc>
      </w:tr>
      <w:tr w:rsidR="00ED748D" w14:paraId="7FD7B89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39433B" w14:textId="77777777" w:rsidR="00ED748D" w:rsidRDefault="00ED748D" w:rsidP="002B23FD">
            <w:pPr>
              <w:pStyle w:val="TableDataEntries"/>
              <w:jc w:val="left"/>
              <w:rPr>
                <w:lang w:val="en-GB"/>
              </w:rPr>
            </w:pPr>
            <w:r>
              <w:rPr>
                <w:lang w:val="en-GB"/>
              </w:rPr>
              <w:t>35 to 39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D4F9F7"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8646CE"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573103" w14:textId="77777777" w:rsidR="00ED748D" w:rsidRDefault="00ED748D" w:rsidP="002B23FD">
            <w:pPr>
              <w:pStyle w:val="TableDataEntries"/>
              <w:rPr>
                <w:lang w:val="en-GB"/>
              </w:rPr>
            </w:pPr>
            <w:r>
              <w:t xml:space="preserve"> 0.</w:t>
            </w:r>
            <w:r w:rsidR="00576F1D">
              <w:t>02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003AAD" w14:textId="77777777" w:rsidR="00ED748D" w:rsidRDefault="00ED748D" w:rsidP="002B23FD">
            <w:pPr>
              <w:pStyle w:val="TableDataEntries"/>
              <w:rPr>
                <w:lang w:val="en-GB"/>
              </w:rPr>
            </w:pPr>
            <w:r>
              <w:t xml:space="preserve"> 0.</w:t>
            </w:r>
            <w:r w:rsidR="00576F1D">
              <w:t>07</w:t>
            </w:r>
          </w:p>
        </w:tc>
      </w:tr>
      <w:tr w:rsidR="00ED748D" w14:paraId="21F69E11"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D260F7" w14:textId="77777777" w:rsidR="00ED748D" w:rsidRDefault="00ED748D" w:rsidP="002B23FD">
            <w:pPr>
              <w:pStyle w:val="TableDataEntries"/>
              <w:jc w:val="left"/>
              <w:rPr>
                <w:lang w:val="en-GB"/>
              </w:rPr>
            </w:pPr>
            <w:r>
              <w:rPr>
                <w:lang w:val="en-GB"/>
              </w:rPr>
              <w:t>40 to 44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DE9602"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2D9FFF"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5FC83D" w14:textId="77777777" w:rsidR="00ED748D" w:rsidRDefault="00ED748D" w:rsidP="002B23FD">
            <w:pPr>
              <w:pStyle w:val="TableDataEntries"/>
              <w:rPr>
                <w:lang w:val="en-GB"/>
              </w:rPr>
            </w:pPr>
            <w:r>
              <w:t xml:space="preserve"> 0.</w:t>
            </w:r>
            <w:r w:rsidR="00576F1D">
              <w:t>03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919464" w14:textId="77777777" w:rsidR="00ED748D" w:rsidRDefault="00ED748D" w:rsidP="002B23FD">
            <w:pPr>
              <w:pStyle w:val="TableDataEntries"/>
              <w:rPr>
                <w:lang w:val="en-GB"/>
              </w:rPr>
            </w:pPr>
            <w:r>
              <w:t xml:space="preserve"> 0.</w:t>
            </w:r>
            <w:r w:rsidR="00576F1D">
              <w:t>10</w:t>
            </w:r>
          </w:p>
        </w:tc>
      </w:tr>
      <w:tr w:rsidR="00ED748D" w14:paraId="36B90E7A"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1AAE92" w14:textId="77777777" w:rsidR="00ED748D" w:rsidRDefault="00ED748D" w:rsidP="002B23FD">
            <w:pPr>
              <w:pStyle w:val="TableDataEntries"/>
              <w:jc w:val="left"/>
              <w:rPr>
                <w:lang w:val="en-GB"/>
              </w:rPr>
            </w:pPr>
            <w:r>
              <w:rPr>
                <w:lang w:val="en-GB"/>
              </w:rPr>
              <w:t>45 to 49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A7D9F3"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6120FB"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3B37FE" w14:textId="77777777" w:rsidR="00ED748D" w:rsidRDefault="00ED748D" w:rsidP="002B23FD">
            <w:pPr>
              <w:pStyle w:val="TableDataEntries"/>
              <w:rPr>
                <w:lang w:val="en-GB"/>
              </w:rPr>
            </w:pPr>
            <w:r>
              <w:t xml:space="preserve"> 0.</w:t>
            </w:r>
            <w:r w:rsidR="00576F1D">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DFD9F3" w14:textId="77777777" w:rsidR="00ED748D" w:rsidRDefault="00ED748D" w:rsidP="002B23FD">
            <w:pPr>
              <w:pStyle w:val="TableDataEntries"/>
              <w:rPr>
                <w:lang w:val="en-GB"/>
              </w:rPr>
            </w:pPr>
            <w:r>
              <w:t xml:space="preserve"> 0.</w:t>
            </w:r>
            <w:r w:rsidR="00576F1D">
              <w:t>13</w:t>
            </w:r>
          </w:p>
        </w:tc>
      </w:tr>
      <w:tr w:rsidR="00ED748D" w14:paraId="1AAE9673"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6D37EF" w14:textId="77777777" w:rsidR="00ED748D" w:rsidRDefault="00ED748D" w:rsidP="002B23FD">
            <w:pPr>
              <w:pStyle w:val="TableDataEntries"/>
              <w:jc w:val="left"/>
              <w:rPr>
                <w:lang w:val="en-GB"/>
              </w:rPr>
            </w:pPr>
            <w:r>
              <w:rPr>
                <w:lang w:val="en-GB"/>
              </w:rPr>
              <w:t>50 to 54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07AEF5"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CFAC78"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184BAA" w14:textId="77777777" w:rsidR="00ED748D" w:rsidRDefault="00ED748D" w:rsidP="002B23FD">
            <w:pPr>
              <w:pStyle w:val="TableDataEntries"/>
              <w:rPr>
                <w:lang w:val="en-GB"/>
              </w:rPr>
            </w:pPr>
            <w:r>
              <w:t xml:space="preserve"> 0.</w:t>
            </w:r>
            <w:r w:rsidR="00576F1D">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1B8AF4" w14:textId="77777777" w:rsidR="00ED748D" w:rsidRDefault="00ED748D" w:rsidP="002B23FD">
            <w:pPr>
              <w:pStyle w:val="TableDataEntries"/>
              <w:rPr>
                <w:lang w:val="en-GB"/>
              </w:rPr>
            </w:pPr>
            <w:r>
              <w:t xml:space="preserve"> 0.</w:t>
            </w:r>
            <w:r w:rsidR="00576F1D">
              <w:t>15</w:t>
            </w:r>
          </w:p>
        </w:tc>
      </w:tr>
      <w:tr w:rsidR="00ED748D" w14:paraId="0AB184CE"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CE6B28" w14:textId="77777777" w:rsidR="00ED748D" w:rsidRDefault="00ED748D" w:rsidP="002B23FD">
            <w:pPr>
              <w:pStyle w:val="TableDataEntries"/>
              <w:jc w:val="left"/>
              <w:rPr>
                <w:lang w:val="en-GB"/>
              </w:rPr>
            </w:pPr>
            <w:r>
              <w:rPr>
                <w:lang w:val="en-GB"/>
              </w:rPr>
              <w:t>55 to 59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F1ABE8"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5CBCF8"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CA6031" w14:textId="77777777" w:rsidR="00ED748D" w:rsidRDefault="00ED748D" w:rsidP="002B23FD">
            <w:pPr>
              <w:pStyle w:val="TableDataEntries"/>
              <w:rPr>
                <w:lang w:val="en-GB"/>
              </w:rPr>
            </w:pPr>
            <w:r>
              <w:t xml:space="preserve"> 0.</w:t>
            </w:r>
            <w:r w:rsidR="00576F1D">
              <w:t>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D9196F" w14:textId="77777777" w:rsidR="00ED748D" w:rsidRDefault="00ED748D" w:rsidP="002B23FD">
            <w:pPr>
              <w:pStyle w:val="TableDataEntries"/>
              <w:rPr>
                <w:lang w:val="en-GB"/>
              </w:rPr>
            </w:pPr>
            <w:r>
              <w:t xml:space="preserve"> 0.</w:t>
            </w:r>
            <w:r w:rsidR="00576F1D">
              <w:t>20</w:t>
            </w:r>
          </w:p>
        </w:tc>
      </w:tr>
      <w:tr w:rsidR="00ED748D" w14:paraId="0B8E7BD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407F44" w14:textId="77777777" w:rsidR="00ED748D" w:rsidRDefault="00ED748D" w:rsidP="002B23FD">
            <w:pPr>
              <w:pStyle w:val="TableDataEntries"/>
              <w:jc w:val="left"/>
              <w:rPr>
                <w:lang w:val="en-GB"/>
              </w:rPr>
            </w:pPr>
            <w:r>
              <w:rPr>
                <w:lang w:val="en-GB"/>
              </w:rPr>
              <w:t>60 to 64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5F48E4"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7C2FF7"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48E81B" w14:textId="77777777" w:rsidR="00ED748D" w:rsidRDefault="00ED748D" w:rsidP="002B23FD">
            <w:pPr>
              <w:pStyle w:val="TableDataEntries"/>
              <w:rPr>
                <w:lang w:val="en-GB"/>
              </w:rPr>
            </w:pPr>
            <w:r>
              <w:t xml:space="preserve"> 0.</w:t>
            </w:r>
            <w:r w:rsidR="00576F1D">
              <w:t>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FD1153" w14:textId="77777777" w:rsidR="00ED748D" w:rsidRDefault="00ED748D" w:rsidP="002B23FD">
            <w:pPr>
              <w:pStyle w:val="TableDataEntries"/>
              <w:rPr>
                <w:lang w:val="en-GB"/>
              </w:rPr>
            </w:pPr>
            <w:r>
              <w:t xml:space="preserve"> 0.</w:t>
            </w:r>
            <w:r w:rsidR="00576F1D">
              <w:t>18</w:t>
            </w:r>
          </w:p>
        </w:tc>
      </w:tr>
      <w:tr w:rsidR="00ED748D" w14:paraId="0E3E7180"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329789" w14:textId="77777777" w:rsidR="00ED748D" w:rsidRDefault="00ED748D" w:rsidP="002B23FD">
            <w:pPr>
              <w:pStyle w:val="TableDataEntries"/>
              <w:jc w:val="left"/>
              <w:rPr>
                <w:lang w:val="en-GB"/>
              </w:rPr>
            </w:pPr>
            <w:r>
              <w:rPr>
                <w:lang w:val="en-GB"/>
              </w:rPr>
              <w:t>65 to 69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EC6332" w14:textId="77777777" w:rsidR="00ED748D" w:rsidRDefault="00ED748D" w:rsidP="002B23FD">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A65BE4"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2014CB" w14:textId="77777777" w:rsidR="00ED748D" w:rsidRDefault="00ED748D" w:rsidP="002B23FD">
            <w:pPr>
              <w:pStyle w:val="TableDataEntries"/>
              <w:rPr>
                <w:lang w:val="en-GB"/>
              </w:rPr>
            </w:pPr>
            <w:r>
              <w:t xml:space="preserve"> 0.</w:t>
            </w:r>
            <w:r w:rsidR="00576F1D">
              <w:t>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CA76DA" w14:textId="77777777" w:rsidR="00ED748D" w:rsidRDefault="00ED748D" w:rsidP="002B23FD">
            <w:pPr>
              <w:pStyle w:val="TableDataEntries"/>
              <w:rPr>
                <w:lang w:val="en-GB"/>
              </w:rPr>
            </w:pPr>
            <w:r>
              <w:t xml:space="preserve"> 0.</w:t>
            </w:r>
            <w:r w:rsidR="00576F1D">
              <w:t>21</w:t>
            </w:r>
          </w:p>
        </w:tc>
      </w:tr>
      <w:tr w:rsidR="00ED748D" w14:paraId="2AB3E1F0"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94E8FC" w14:textId="77777777" w:rsidR="00ED748D" w:rsidRDefault="00ED748D" w:rsidP="002B23FD">
            <w:pPr>
              <w:pStyle w:val="TableDataEntries"/>
              <w:jc w:val="left"/>
              <w:rPr>
                <w:lang w:val="en-GB"/>
              </w:rPr>
            </w:pPr>
            <w:r>
              <w:rPr>
                <w:lang w:val="en-GB"/>
              </w:rPr>
              <w:t>70 to 74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BAC8D7" w14:textId="77777777" w:rsidR="00ED748D" w:rsidRDefault="00ED748D" w:rsidP="002B23FD">
            <w:pPr>
              <w:pStyle w:val="TableDataEntries"/>
              <w:rPr>
                <w:lang w:val="en-GB"/>
              </w:rPr>
            </w:pPr>
            <w:r>
              <w:t>4 366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B7A9E8"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FE2644" w14:textId="77777777" w:rsidR="00ED748D" w:rsidRDefault="00ED748D" w:rsidP="002B23FD">
            <w:pPr>
              <w:pStyle w:val="TableDataEntries"/>
              <w:rPr>
                <w:lang w:val="en-GB"/>
              </w:rPr>
            </w:pPr>
            <w:r>
              <w:t xml:space="preserve"> 0.</w:t>
            </w:r>
            <w:r w:rsidR="00576F1D">
              <w:t>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0EB149" w14:textId="77777777" w:rsidR="00ED748D" w:rsidRDefault="00ED748D" w:rsidP="002B23FD">
            <w:pPr>
              <w:pStyle w:val="TableDataEntries"/>
              <w:rPr>
                <w:lang w:val="en-GB"/>
              </w:rPr>
            </w:pPr>
            <w:r>
              <w:t xml:space="preserve"> 0.</w:t>
            </w:r>
            <w:r w:rsidR="00576F1D">
              <w:t>20</w:t>
            </w:r>
          </w:p>
        </w:tc>
      </w:tr>
      <w:tr w:rsidR="00ED748D" w14:paraId="5064E21A"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EF724D" w14:textId="77777777" w:rsidR="00ED748D" w:rsidRDefault="00ED748D" w:rsidP="002B23FD">
            <w:pPr>
              <w:pStyle w:val="TableDataEntries"/>
              <w:jc w:val="left"/>
              <w:rPr>
                <w:lang w:val="en-GB"/>
              </w:rPr>
            </w:pPr>
            <w:r>
              <w:rPr>
                <w:lang w:val="en-GB"/>
              </w:rPr>
              <w:t>75 to 79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00E410" w14:textId="77777777" w:rsidR="00ED748D" w:rsidRDefault="00ED748D" w:rsidP="002B23FD">
            <w:pPr>
              <w:pStyle w:val="TableDataEntries"/>
              <w:rPr>
                <w:lang w:val="en-GB"/>
              </w:rPr>
            </w:pPr>
            <w:r>
              <w:t>4 237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3A2FD3"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498EB7" w14:textId="77777777" w:rsidR="00ED748D" w:rsidRDefault="00ED748D" w:rsidP="002B23FD">
            <w:pPr>
              <w:pStyle w:val="TableDataEntries"/>
              <w:rPr>
                <w:lang w:val="en-GB"/>
              </w:rPr>
            </w:pPr>
            <w:r>
              <w:t xml:space="preserve"> 0.</w:t>
            </w:r>
            <w:r w:rsidR="00576F1D">
              <w:t>08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F4CCE2" w14:textId="77777777" w:rsidR="00ED748D" w:rsidRDefault="00ED748D" w:rsidP="002B23FD">
            <w:pPr>
              <w:pStyle w:val="TableDataEntries"/>
              <w:rPr>
                <w:lang w:val="en-GB"/>
              </w:rPr>
            </w:pPr>
            <w:r>
              <w:t xml:space="preserve"> 0.</w:t>
            </w:r>
            <w:r w:rsidR="00576F1D">
              <w:t>30</w:t>
            </w:r>
          </w:p>
        </w:tc>
      </w:tr>
      <w:tr w:rsidR="00ED748D" w14:paraId="786667F8"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42DDC8" w14:textId="77777777" w:rsidR="00ED748D" w:rsidRDefault="00ED748D" w:rsidP="002B23FD">
            <w:pPr>
              <w:pStyle w:val="TableDataEntries"/>
              <w:jc w:val="left"/>
              <w:rPr>
                <w:lang w:val="en-GB"/>
              </w:rPr>
            </w:pPr>
            <w:r>
              <w:rPr>
                <w:lang w:val="en-GB"/>
              </w:rPr>
              <w:t>80 to 84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430F6F" w14:textId="77777777" w:rsidR="00ED748D" w:rsidRDefault="00ED748D" w:rsidP="002B23FD">
            <w:pPr>
              <w:pStyle w:val="TableDataEntries"/>
              <w:rPr>
                <w:lang w:val="en-GB"/>
              </w:rPr>
            </w:pPr>
            <w:r>
              <w:t>3 581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B3DDA2"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4A4E31" w14:textId="77777777" w:rsidR="00ED748D" w:rsidRDefault="00ED748D" w:rsidP="002B23FD">
            <w:pPr>
              <w:pStyle w:val="TableDataEntries"/>
              <w:rPr>
                <w:lang w:val="en-GB"/>
              </w:rPr>
            </w:pPr>
            <w:r>
              <w:t xml:space="preserve"> 0.</w:t>
            </w:r>
            <w:r w:rsidR="00576F1D">
              <w:t>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A68C70" w14:textId="77777777" w:rsidR="00ED748D" w:rsidRDefault="00ED748D" w:rsidP="002B23FD">
            <w:pPr>
              <w:pStyle w:val="TableDataEntries"/>
              <w:rPr>
                <w:lang w:val="en-GB"/>
              </w:rPr>
            </w:pPr>
            <w:r>
              <w:t xml:space="preserve"> 0.</w:t>
            </w:r>
            <w:r w:rsidR="00576F1D">
              <w:t>22</w:t>
            </w:r>
          </w:p>
        </w:tc>
      </w:tr>
      <w:tr w:rsidR="00ED748D" w14:paraId="5403DC2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AF99A5" w14:textId="77777777" w:rsidR="00ED748D" w:rsidRDefault="00ED748D" w:rsidP="002B23FD">
            <w:pPr>
              <w:pStyle w:val="TableDataEntries"/>
              <w:jc w:val="left"/>
              <w:rPr>
                <w:lang w:val="en-GB"/>
              </w:rPr>
            </w:pPr>
            <w:r>
              <w:rPr>
                <w:lang w:val="en-GB"/>
              </w:rPr>
              <w:t>85 to 89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A60EDA" w14:textId="77777777" w:rsidR="00ED748D" w:rsidRDefault="00ED748D" w:rsidP="002B23FD">
            <w:pPr>
              <w:pStyle w:val="TableDataEntries"/>
              <w:rPr>
                <w:lang w:val="en-GB"/>
              </w:rPr>
            </w:pPr>
            <w:r>
              <w:t>3 343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94BF12"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731BBD" w14:textId="77777777" w:rsidR="00ED748D" w:rsidRDefault="00ED748D" w:rsidP="002B23FD">
            <w:pPr>
              <w:pStyle w:val="TableDataEntries"/>
              <w:rPr>
                <w:lang w:val="en-GB"/>
              </w:rPr>
            </w:pPr>
            <w:r>
              <w:t xml:space="preserve"> 0.</w:t>
            </w:r>
            <w:r w:rsidR="00576F1D">
              <w:t>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FBE16D" w14:textId="77777777" w:rsidR="00ED748D" w:rsidRDefault="00ED748D" w:rsidP="002B23FD">
            <w:pPr>
              <w:pStyle w:val="TableDataEntries"/>
              <w:rPr>
                <w:lang w:val="en-GB"/>
              </w:rPr>
            </w:pPr>
            <w:r>
              <w:t xml:space="preserve"> 0.</w:t>
            </w:r>
            <w:r w:rsidR="00576F1D">
              <w:t>20</w:t>
            </w:r>
          </w:p>
        </w:tc>
      </w:tr>
      <w:tr w:rsidR="00ED748D" w14:paraId="51E93DB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22926D" w14:textId="77777777" w:rsidR="00ED748D" w:rsidRDefault="00ED748D" w:rsidP="002B23FD">
            <w:pPr>
              <w:pStyle w:val="TableDataEntries"/>
              <w:jc w:val="left"/>
              <w:rPr>
                <w:lang w:val="en-GB"/>
              </w:rPr>
            </w:pPr>
            <w:r>
              <w:rPr>
                <w:lang w:val="en-GB"/>
              </w:rPr>
              <w:t>90 to 94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581E89" w14:textId="77777777" w:rsidR="00ED748D" w:rsidRDefault="00ED748D" w:rsidP="002B23FD">
            <w:pPr>
              <w:pStyle w:val="TableDataEntries"/>
              <w:rPr>
                <w:lang w:val="en-GB"/>
              </w:rPr>
            </w:pPr>
            <w:r>
              <w:t>3 522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985DC9"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52D70F" w14:textId="77777777" w:rsidR="00ED748D" w:rsidRDefault="00ED748D" w:rsidP="002B23FD">
            <w:pPr>
              <w:pStyle w:val="TableDataEntries"/>
              <w:rPr>
                <w:lang w:val="en-GB"/>
              </w:rPr>
            </w:pPr>
            <w:r>
              <w:t xml:space="preserve"> 0.</w:t>
            </w:r>
            <w:r w:rsidR="00576F1D">
              <w:t>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1161FE" w14:textId="77777777" w:rsidR="00ED748D" w:rsidRDefault="00ED748D" w:rsidP="002B23FD">
            <w:pPr>
              <w:pStyle w:val="TableDataEntries"/>
              <w:rPr>
                <w:lang w:val="en-GB"/>
              </w:rPr>
            </w:pPr>
            <w:r>
              <w:t xml:space="preserve"> 0.</w:t>
            </w:r>
            <w:r w:rsidR="00576F1D">
              <w:t>21</w:t>
            </w:r>
          </w:p>
        </w:tc>
      </w:tr>
      <w:tr w:rsidR="00ED748D" w14:paraId="3F3768E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F26E26" w14:textId="77777777" w:rsidR="00ED748D" w:rsidRDefault="00ED748D" w:rsidP="002B23FD">
            <w:pPr>
              <w:pStyle w:val="TableDataEntries"/>
              <w:jc w:val="left"/>
              <w:rPr>
                <w:lang w:val="en-GB"/>
              </w:rPr>
            </w:pPr>
            <w:r>
              <w:rPr>
                <w:lang w:val="en-GB"/>
              </w:rPr>
              <w:t xml:space="preserve">95+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7896A0" w14:textId="77777777" w:rsidR="00ED748D" w:rsidRDefault="00ED748D" w:rsidP="002B23FD">
            <w:pPr>
              <w:pStyle w:val="TableDataEntries"/>
              <w:rPr>
                <w:lang w:val="en-GB"/>
              </w:rPr>
            </w:pPr>
            <w:r>
              <w:t>3 140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37447B" w14:textId="77777777" w:rsidR="00ED748D" w:rsidRDefault="00ED748D" w:rsidP="002B23FD">
            <w:pPr>
              <w:pStyle w:val="TableDataEntries"/>
              <w:rPr>
                <w:lang w:val="en-GB"/>
              </w:rPr>
            </w:pPr>
            <w:r>
              <w:t xml:space="preserve"> 0.</w:t>
            </w:r>
            <w:r w:rsidR="00576F1D">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4AD9AE" w14:textId="77777777" w:rsidR="00ED748D" w:rsidRDefault="00ED748D" w:rsidP="002B23FD">
            <w:pPr>
              <w:pStyle w:val="TableDataEntries"/>
              <w:rPr>
                <w:lang w:val="en-GB"/>
              </w:rPr>
            </w:pPr>
            <w:r>
              <w:t xml:space="preserve"> 0.</w:t>
            </w:r>
            <w:r w:rsidR="00576F1D">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8DCE7D" w14:textId="77777777" w:rsidR="00ED748D" w:rsidRDefault="00ED748D" w:rsidP="002B23FD">
            <w:pPr>
              <w:pStyle w:val="TableDataEntries"/>
              <w:rPr>
                <w:lang w:val="en-GB"/>
              </w:rPr>
            </w:pPr>
            <w:r>
              <w:t xml:space="preserve"> 0.</w:t>
            </w:r>
            <w:r w:rsidR="00576F1D">
              <w:t>16</w:t>
            </w:r>
          </w:p>
        </w:tc>
      </w:tr>
      <w:tr w:rsidR="00ED748D" w:rsidRPr="00801E43" w14:paraId="301D3CB5" w14:textId="77777777" w:rsidTr="002B23FD">
        <w:trPr>
          <w:trHeight w:val="230"/>
        </w:trPr>
        <w:tc>
          <w:tcPr>
            <w:tcW w:w="21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BC12BEE" w14:textId="77777777" w:rsidR="00ED748D" w:rsidRPr="00801E43" w:rsidRDefault="00ED748D" w:rsidP="002B23FD">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5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CBF2F83" w14:textId="77777777" w:rsidR="00ED748D" w:rsidRPr="00801E43" w:rsidRDefault="00ED748D" w:rsidP="002B23FD">
            <w:pPr>
              <w:pStyle w:val="TableDataEntries"/>
              <w:rPr>
                <w:rFonts w:ascii="Franklin Gothic Demi" w:hAnsi="Franklin Gothic Demi"/>
                <w:lang w:val="en-GB"/>
              </w:rPr>
            </w:pP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D8E9D90"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 xml:space="preserve"> </w:t>
            </w:r>
            <w:r w:rsidR="00576F1D">
              <w:rPr>
                <w:rFonts w:ascii="Franklin Gothic Demi" w:hAnsi="Franklin Gothic Demi"/>
              </w:rPr>
              <w:t>0.00</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33F8982" w14:textId="77777777" w:rsidR="00ED748D" w:rsidRPr="00801E43" w:rsidRDefault="00576F1D" w:rsidP="002B23FD">
            <w:pPr>
              <w:pStyle w:val="TableDataEntries"/>
              <w:rPr>
                <w:rFonts w:ascii="Franklin Gothic Demi" w:hAnsi="Franklin Gothic Demi"/>
                <w:lang w:val="en-GB"/>
              </w:rPr>
            </w:pPr>
            <w:r>
              <w:rPr>
                <w:rFonts w:ascii="Franklin Gothic Demi" w:hAnsi="Franklin Gothic Demi"/>
              </w:rPr>
              <w:t>0.71</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78B2527" w14:textId="77777777" w:rsidR="00ED748D" w:rsidRPr="00801E43" w:rsidRDefault="00576F1D" w:rsidP="002B23FD">
            <w:pPr>
              <w:pStyle w:val="TableDataEntries"/>
              <w:rPr>
                <w:rFonts w:ascii="Franklin Gothic Demi" w:hAnsi="Franklin Gothic Demi"/>
                <w:lang w:val="en-GB"/>
              </w:rPr>
            </w:pPr>
            <w:r>
              <w:rPr>
                <w:rFonts w:ascii="Franklin Gothic Demi" w:hAnsi="Franklin Gothic Demi"/>
              </w:rPr>
              <w:t>2.63</w:t>
            </w:r>
          </w:p>
        </w:tc>
      </w:tr>
    </w:tbl>
    <w:p w14:paraId="6CAEC930" w14:textId="77777777" w:rsidR="00ED748D" w:rsidRPr="00E4232C" w:rsidRDefault="00ED748D" w:rsidP="00ED748D">
      <w:pPr>
        <w:pStyle w:val="Note"/>
      </w:pPr>
      <w:r w:rsidRPr="00E4232C">
        <w:rPr>
          <w:rStyle w:val="NoteLabel"/>
        </w:rPr>
        <w:t>a</w:t>
      </w:r>
      <w:r>
        <w:t xml:space="preserve"> Based on average costs reported in UNSW (2010, p. 33) inflate to 2019 dollars using the national CPI.</w:t>
      </w:r>
    </w:p>
    <w:p w14:paraId="086923B0" w14:textId="77777777" w:rsidR="00EA7092" w:rsidRPr="00280175" w:rsidRDefault="00EA7092" w:rsidP="00EA7092">
      <w:pPr>
        <w:pStyle w:val="Note"/>
        <w:rPr>
          <w:lang w:bidi="fa-IR"/>
        </w:rPr>
      </w:pPr>
      <w:r w:rsidRPr="00280175">
        <w:rPr>
          <w:lang w:bidi="fa-IR"/>
        </w:rPr>
        <w:t xml:space="preserve">Note: low, central and high estimates are based on the assumption that falls are not higher, 10 per cent higher and 37 per cent higher, respectively, in inaccessible housing </w:t>
      </w:r>
    </w:p>
    <w:p w14:paraId="448AC41F" w14:textId="77777777" w:rsidR="00ED748D" w:rsidRPr="00280175" w:rsidRDefault="00ED748D" w:rsidP="00ED748D">
      <w:pPr>
        <w:pStyle w:val="Source"/>
      </w:pPr>
      <w:r w:rsidRPr="00280175">
        <w:rPr>
          <w:lang w:bidi="fa-IR"/>
        </w:rPr>
        <w:t xml:space="preserve">Source: </w:t>
      </w:r>
      <w:r w:rsidRPr="00280175">
        <w:t>University of NSW, The Incidence and Cost of Falls Injury Among Older People in New South Wales 2006/07, A Report to NSW Health, September 2010; CIE.</w:t>
      </w:r>
    </w:p>
    <w:p w14:paraId="1A92A10C" w14:textId="77777777" w:rsidR="00ED748D" w:rsidRPr="004B79EC" w:rsidRDefault="00ED748D" w:rsidP="004B79EC">
      <w:pPr>
        <w:pStyle w:val="Heading4-Appendix"/>
      </w:pPr>
      <w:r w:rsidRPr="004B79EC">
        <w:t>Non-hospital treatment</w:t>
      </w:r>
    </w:p>
    <w:p w14:paraId="0638FD4A" w14:textId="77777777" w:rsidR="00EC65E7" w:rsidRDefault="00ED748D" w:rsidP="00ED748D">
      <w:pPr>
        <w:pStyle w:val="BodyText"/>
        <w:rPr>
          <w:lang w:bidi="fa-IR"/>
        </w:rPr>
      </w:pPr>
      <w:r>
        <w:rPr>
          <w:lang w:bidi="fa-IR"/>
        </w:rPr>
        <w:t>Th</w:t>
      </w:r>
      <w:r w:rsidR="009C53D0">
        <w:rPr>
          <w:lang w:bidi="fa-IR"/>
        </w:rPr>
        <w:t>ere</w:t>
      </w:r>
      <w:r>
        <w:rPr>
          <w:lang w:bidi="fa-IR"/>
        </w:rPr>
        <w:t xml:space="preserve"> may also be medical costs where people have a fall, but do not attend a hospital. Using a similar approach as above, </w:t>
      </w:r>
      <w:r w:rsidR="00481F6D">
        <w:rPr>
          <w:lang w:bidi="fa-IR"/>
        </w:rPr>
        <w:t xml:space="preserve">it is </w:t>
      </w:r>
      <w:r>
        <w:rPr>
          <w:lang w:bidi="fa-IR"/>
        </w:rPr>
        <w:t>estimate</w:t>
      </w:r>
      <w:r w:rsidR="00481F6D">
        <w:rPr>
          <w:lang w:bidi="fa-IR"/>
        </w:rPr>
        <w:t>d</w:t>
      </w:r>
      <w:r>
        <w:rPr>
          <w:lang w:bidi="fa-IR"/>
        </w:rPr>
        <w:t xml:space="preserve"> there could be between </w:t>
      </w:r>
      <w:r w:rsidR="00305C7B">
        <w:rPr>
          <w:lang w:bidi="fa-IR"/>
        </w:rPr>
        <w:t xml:space="preserve">zero and </w:t>
      </w:r>
      <w:r>
        <w:rPr>
          <w:lang w:bidi="fa-IR"/>
        </w:rPr>
        <w:t xml:space="preserve">an additional </w:t>
      </w:r>
      <w:r w:rsidR="001F3A2E">
        <w:rPr>
          <w:lang w:bidi="fa-IR"/>
        </w:rPr>
        <w:t>4 896</w:t>
      </w:r>
      <w:r>
        <w:rPr>
          <w:lang w:bidi="fa-IR"/>
        </w:rPr>
        <w:t xml:space="preserve"> fall</w:t>
      </w:r>
      <w:r>
        <w:rPr>
          <w:lang w:bidi="fa-IR"/>
        </w:rPr>
        <w:noBreakHyphen/>
        <w:t>related non</w:t>
      </w:r>
      <w:r>
        <w:rPr>
          <w:lang w:bidi="fa-IR"/>
        </w:rPr>
        <w:noBreakHyphen/>
        <w:t xml:space="preserve">hospital treatments provided per year due to people with accessibility needs living in inaccessible housing, with a central case estimate of </w:t>
      </w:r>
      <w:r w:rsidR="00731C2A">
        <w:rPr>
          <w:lang w:bidi="fa-IR"/>
        </w:rPr>
        <w:t>1 323</w:t>
      </w:r>
      <w:r>
        <w:rPr>
          <w:lang w:bidi="fa-IR"/>
        </w:rPr>
        <w:t xml:space="preserve"> non</w:t>
      </w:r>
      <w:r>
        <w:rPr>
          <w:lang w:bidi="fa-IR"/>
        </w:rPr>
        <w:noBreakHyphen/>
        <w:t>hospital treatments per year</w:t>
      </w:r>
      <w:r w:rsidR="009C793C">
        <w:rPr>
          <w:lang w:bidi="fa-IR"/>
        </w:rPr>
        <w:t xml:space="preserve"> (table B.12)</w:t>
      </w:r>
      <w:r>
        <w:rPr>
          <w:lang w:bidi="fa-IR"/>
        </w:rPr>
        <w:t>. These estimates are based on the following.</w:t>
      </w:r>
    </w:p>
    <w:p w14:paraId="5359AEA3" w14:textId="77777777" w:rsidR="00EC65E7" w:rsidRDefault="00EC65E7">
      <w:pPr>
        <w:spacing w:before="140"/>
        <w:rPr>
          <w:rFonts w:asciiTheme="minorHAnsi" w:eastAsia="Times New Roman" w:hAnsiTheme="minorHAnsi"/>
          <w:lang w:bidi="fa-IR"/>
        </w:rPr>
      </w:pPr>
      <w:r>
        <w:rPr>
          <w:lang w:bidi="fa-IR"/>
        </w:rPr>
        <w:br w:type="page"/>
      </w:r>
    </w:p>
    <w:p w14:paraId="328D8A3E" w14:textId="77777777" w:rsidR="00ED748D" w:rsidRDefault="00ED748D" w:rsidP="00ED748D">
      <w:pPr>
        <w:pStyle w:val="ListBullet"/>
        <w:numPr>
          <w:ilvl w:val="0"/>
          <w:numId w:val="16"/>
        </w:numPr>
        <w:rPr>
          <w:lang w:bidi="fa-IR"/>
        </w:rPr>
      </w:pPr>
      <w:r>
        <w:rPr>
          <w:lang w:bidi="fa-IR"/>
        </w:rPr>
        <w:t>The non</w:t>
      </w:r>
      <w:r>
        <w:rPr>
          <w:lang w:bidi="fa-IR"/>
        </w:rPr>
        <w:noBreakHyphen/>
        <w:t>hospital treatment rate from falls is taken from NSW data for people living in the community from 2006</w:t>
      </w:r>
      <w:r>
        <w:rPr>
          <w:lang w:bidi="fa-IR"/>
        </w:rPr>
        <w:noBreakHyphen/>
        <w:t>07 reported in a UNSW report to NSW Health.</w:t>
      </w:r>
      <w:r>
        <w:rPr>
          <w:rStyle w:val="FootnoteReference"/>
          <w:lang w:bidi="fa-IR"/>
        </w:rPr>
        <w:footnoteReference w:id="467"/>
      </w:r>
      <w:r>
        <w:rPr>
          <w:lang w:bidi="fa-IR"/>
        </w:rPr>
        <w:t xml:space="preserve"> </w:t>
      </w:r>
    </w:p>
    <w:p w14:paraId="7AFD3CFE" w14:textId="77777777" w:rsidR="00ED748D" w:rsidRDefault="00ED748D" w:rsidP="00ED748D">
      <w:pPr>
        <w:pStyle w:val="ListBullet2"/>
        <w:numPr>
          <w:ilvl w:val="1"/>
          <w:numId w:val="16"/>
        </w:numPr>
        <w:ind w:left="568" w:hanging="284"/>
        <w:rPr>
          <w:lang w:bidi="fa-IR"/>
        </w:rPr>
      </w:pPr>
      <w:r>
        <w:rPr>
          <w:lang w:bidi="fa-IR"/>
        </w:rPr>
        <w:t>Actual data, as reported by UNSW, is used for age groups over 65.</w:t>
      </w:r>
    </w:p>
    <w:p w14:paraId="6019DF9F" w14:textId="77777777" w:rsidR="00ED748D" w:rsidRDefault="00ED748D" w:rsidP="00ED748D">
      <w:pPr>
        <w:pStyle w:val="ListBullet2"/>
        <w:numPr>
          <w:ilvl w:val="1"/>
          <w:numId w:val="16"/>
        </w:numPr>
        <w:ind w:left="568" w:hanging="284"/>
        <w:rPr>
          <w:lang w:bidi="fa-IR"/>
        </w:rPr>
      </w:pPr>
      <w:r>
        <w:rPr>
          <w:lang w:bidi="fa-IR"/>
        </w:rPr>
        <w:t xml:space="preserve">The incidence of falls resulting in non-hospital treatment among people under the age of 65 with mobility limitation is not reported. As above, </w:t>
      </w:r>
      <w:r w:rsidR="00481F6D">
        <w:rPr>
          <w:lang w:bidi="fa-IR"/>
        </w:rPr>
        <w:t>it is</w:t>
      </w:r>
      <w:r>
        <w:rPr>
          <w:lang w:bidi="fa-IR"/>
        </w:rPr>
        <w:t xml:space="preserve"> assumed that the incidence of falls was around the same as for the broader population in the 65</w:t>
      </w:r>
      <w:r>
        <w:rPr>
          <w:lang w:bidi="fa-IR"/>
        </w:rPr>
        <w:noBreakHyphen/>
        <w:t>69 year age bracket, as reported by UNSW.</w:t>
      </w:r>
    </w:p>
    <w:p w14:paraId="5BA4C0A2" w14:textId="77777777" w:rsidR="00ED748D" w:rsidRDefault="00ED748D" w:rsidP="00ED748D">
      <w:pPr>
        <w:pStyle w:val="ListBullet2"/>
        <w:numPr>
          <w:ilvl w:val="1"/>
          <w:numId w:val="16"/>
        </w:numPr>
        <w:ind w:left="568" w:hanging="284"/>
        <w:rPr>
          <w:lang w:bidi="fa-IR"/>
        </w:rPr>
      </w:pPr>
      <w:r>
        <w:rPr>
          <w:lang w:bidi="fa-IR"/>
        </w:rPr>
        <w:t>The proportion of falls in the home resulting in non</w:t>
      </w:r>
      <w:r>
        <w:rPr>
          <w:lang w:bidi="fa-IR"/>
        </w:rPr>
        <w:noBreakHyphen/>
        <w:t>hospital medical treatment was not reported. However, the total non</w:t>
      </w:r>
      <w:r>
        <w:rPr>
          <w:lang w:bidi="fa-IR"/>
        </w:rPr>
        <w:noBreakHyphen/>
        <w:t xml:space="preserve">hospital treatment rate </w:t>
      </w:r>
      <w:r w:rsidR="00481F6D">
        <w:rPr>
          <w:lang w:bidi="fa-IR"/>
        </w:rPr>
        <w:t>was adjusted</w:t>
      </w:r>
      <w:r>
        <w:rPr>
          <w:lang w:bidi="fa-IR"/>
        </w:rPr>
        <w:t xml:space="preserve"> based on the Victorian data showing that 56.3 per cent of falls resulting in ED presentations occur in the home.</w:t>
      </w:r>
      <w:r>
        <w:rPr>
          <w:rStyle w:val="FootnoteReference"/>
          <w:lang w:bidi="fa-IR"/>
        </w:rPr>
        <w:footnoteReference w:id="468"/>
      </w:r>
    </w:p>
    <w:p w14:paraId="5A7EF9F1" w14:textId="77777777" w:rsidR="00ED748D" w:rsidRDefault="00ED748D" w:rsidP="00ED748D">
      <w:pPr>
        <w:pStyle w:val="ListBullet"/>
        <w:numPr>
          <w:ilvl w:val="0"/>
          <w:numId w:val="16"/>
        </w:numPr>
        <w:rPr>
          <w:lang w:bidi="fa-IR"/>
        </w:rPr>
      </w:pPr>
      <w:r>
        <w:rPr>
          <w:lang w:bidi="fa-IR"/>
        </w:rPr>
        <w:t>As above, when people with accessibility needs live in inaccessible housing, the incidence of falls is estimated to be:</w:t>
      </w:r>
    </w:p>
    <w:p w14:paraId="54476C64" w14:textId="77777777" w:rsidR="00ED748D" w:rsidRDefault="005B3A25" w:rsidP="00ED748D">
      <w:pPr>
        <w:pStyle w:val="ListBullet2"/>
        <w:numPr>
          <w:ilvl w:val="1"/>
          <w:numId w:val="16"/>
        </w:numPr>
        <w:ind w:left="568" w:hanging="284"/>
        <w:rPr>
          <w:lang w:bidi="fa-IR"/>
        </w:rPr>
      </w:pPr>
      <w:r>
        <w:rPr>
          <w:lang w:bidi="fa-IR"/>
        </w:rPr>
        <w:t>not</w:t>
      </w:r>
      <w:r w:rsidR="00ED748D">
        <w:rPr>
          <w:lang w:bidi="fa-IR"/>
        </w:rPr>
        <w:t xml:space="preserve"> higher under the low estimate scenario</w:t>
      </w:r>
    </w:p>
    <w:p w14:paraId="53160A00" w14:textId="77777777" w:rsidR="00ED748D" w:rsidRDefault="005B3A25" w:rsidP="00ED748D">
      <w:pPr>
        <w:pStyle w:val="ListBullet2"/>
        <w:numPr>
          <w:ilvl w:val="1"/>
          <w:numId w:val="16"/>
        </w:numPr>
        <w:ind w:left="568" w:hanging="284"/>
        <w:rPr>
          <w:lang w:bidi="fa-IR"/>
        </w:rPr>
      </w:pPr>
      <w:r>
        <w:rPr>
          <w:lang w:bidi="fa-IR"/>
        </w:rPr>
        <w:t>10</w:t>
      </w:r>
      <w:r w:rsidR="00ED748D">
        <w:rPr>
          <w:lang w:bidi="fa-IR"/>
        </w:rPr>
        <w:t xml:space="preserve"> per cent higher under the </w:t>
      </w:r>
      <w:r w:rsidR="00993B77">
        <w:rPr>
          <w:lang w:bidi="fa-IR"/>
        </w:rPr>
        <w:t>central</w:t>
      </w:r>
      <w:r w:rsidR="00ED748D">
        <w:rPr>
          <w:lang w:bidi="fa-IR"/>
        </w:rPr>
        <w:t xml:space="preserve"> estimate scenario</w:t>
      </w:r>
    </w:p>
    <w:p w14:paraId="0F8A7B65" w14:textId="77777777" w:rsidR="00ED748D" w:rsidRDefault="00993B77" w:rsidP="00ED748D">
      <w:pPr>
        <w:pStyle w:val="ListBullet2"/>
        <w:numPr>
          <w:ilvl w:val="1"/>
          <w:numId w:val="16"/>
        </w:numPr>
        <w:ind w:left="568" w:hanging="284"/>
        <w:rPr>
          <w:lang w:bidi="fa-IR"/>
        </w:rPr>
      </w:pPr>
      <w:r>
        <w:rPr>
          <w:lang w:bidi="fa-IR"/>
        </w:rPr>
        <w:t>37</w:t>
      </w:r>
      <w:r w:rsidR="00ED748D">
        <w:rPr>
          <w:lang w:bidi="fa-IR"/>
        </w:rPr>
        <w:t> per cent higher under the high estimate scenario (see above).</w:t>
      </w:r>
    </w:p>
    <w:p w14:paraId="4EAC798D" w14:textId="0BEFE3BF" w:rsidR="00ED748D" w:rsidRDefault="00B27E24" w:rsidP="00ED748D">
      <w:pPr>
        <w:pStyle w:val="Caption"/>
        <w:ind w:left="568" w:hanging="568"/>
      </w:pPr>
      <w:bookmarkStart w:id="681" w:name="_Toc45654203"/>
      <w:bookmarkStart w:id="682" w:name="_Toc44598572"/>
      <w:bookmarkStart w:id="683" w:name="_Toc44695944"/>
      <w:bookmarkStart w:id="684" w:name="_Toc57643679"/>
      <w:bookmarkStart w:id="685" w:name="_Toc70505626"/>
      <w:r>
        <w:t>B.12</w:t>
      </w:r>
      <w:r w:rsidR="00ED748D" w:rsidRPr="00695C93">
        <w:tab/>
      </w:r>
      <w:r w:rsidR="00ED748D">
        <w:t>Estimated number of additional non-hospital treatments due to inaccessible housing</w:t>
      </w:r>
      <w:bookmarkEnd w:id="681"/>
      <w:bookmarkEnd w:id="682"/>
      <w:bookmarkEnd w:id="683"/>
      <w:bookmarkEnd w:id="684"/>
      <w:bookmarkEnd w:id="685"/>
    </w:p>
    <w:tbl>
      <w:tblPr>
        <w:tblW w:w="7940" w:type="dxa"/>
        <w:tblLayout w:type="fixed"/>
        <w:tblLook w:val="0000" w:firstRow="0" w:lastRow="0" w:firstColumn="0" w:lastColumn="0" w:noHBand="0" w:noVBand="0"/>
        <w:tblCaption w:val="Table B.12: Estimated number of additional non-hospital treatments due to inaccessible housing"/>
        <w:tblDescription w:val="Table B.12 shows the estimated number of additional non-hospital treatments due to inaccessible housing, grouped by age. The total central estimate is 1323, while the high estimate is 4896 additional non-hospital treatments."/>
      </w:tblPr>
      <w:tblGrid>
        <w:gridCol w:w="814"/>
        <w:gridCol w:w="1018"/>
        <w:gridCol w:w="1018"/>
        <w:gridCol w:w="1018"/>
        <w:gridCol w:w="1018"/>
        <w:gridCol w:w="1018"/>
        <w:gridCol w:w="1018"/>
        <w:gridCol w:w="1018"/>
      </w:tblGrid>
      <w:tr w:rsidR="00696C70" w:rsidRPr="005A1FB8" w14:paraId="1131AC01" w14:textId="77777777" w:rsidTr="00D13F4A">
        <w:trPr>
          <w:trHeight w:val="1017"/>
          <w:tblHeader/>
        </w:trPr>
        <w:tc>
          <w:tcPr>
            <w:tcW w:w="814" w:type="dxa"/>
            <w:shd w:val="clear" w:color="auto" w:fill="6F6652"/>
            <w:tcMar>
              <w:left w:w="57" w:type="dxa"/>
              <w:right w:w="57" w:type="dxa"/>
            </w:tcMar>
          </w:tcPr>
          <w:p w14:paraId="49C00857" w14:textId="77777777" w:rsidR="00696C70" w:rsidRPr="005A1FB8" w:rsidRDefault="002C4208" w:rsidP="002B23FD">
            <w:pPr>
              <w:pStyle w:val="TableDataColumnHeading"/>
              <w:jc w:val="left"/>
              <w:rPr>
                <w:color w:val="FFFFFF" w:themeColor="background1"/>
                <w:lang w:val="en-GB"/>
              </w:rPr>
            </w:pPr>
            <w:r w:rsidRPr="005A1FB8">
              <w:rPr>
                <w:color w:val="FFFFFF" w:themeColor="background1"/>
                <w:lang w:val="en-GB"/>
              </w:rPr>
              <w:t>Age</w:t>
            </w:r>
            <w:r w:rsidR="007A22A8" w:rsidRPr="005A1FB8">
              <w:rPr>
                <w:color w:val="FFFFFF" w:themeColor="background1"/>
                <w:lang w:val="en-GB"/>
              </w:rPr>
              <w:t xml:space="preserve"> group</w:t>
            </w:r>
          </w:p>
        </w:tc>
        <w:tc>
          <w:tcPr>
            <w:tcW w:w="1018" w:type="dxa"/>
            <w:shd w:val="clear" w:color="auto" w:fill="6F6652"/>
            <w:tcMar>
              <w:left w:w="57" w:type="dxa"/>
              <w:right w:w="57" w:type="dxa"/>
            </w:tcMar>
          </w:tcPr>
          <w:p w14:paraId="670CBD95" w14:textId="77777777" w:rsidR="00696C70" w:rsidRPr="005A1FB8" w:rsidRDefault="00696C70" w:rsidP="002B23FD">
            <w:pPr>
              <w:pStyle w:val="TableDataColumnHeading"/>
              <w:rPr>
                <w:color w:val="FFFFFF" w:themeColor="background1"/>
                <w:lang w:val="en-GB"/>
              </w:rPr>
            </w:pPr>
            <w:r w:rsidRPr="005A1FB8">
              <w:rPr>
                <w:color w:val="FFFFFF" w:themeColor="background1"/>
                <w:lang w:val="en-GB"/>
              </w:rPr>
              <w:t>Population affected</w:t>
            </w:r>
            <w:r w:rsidRPr="005A1FB8">
              <w:rPr>
                <w:rStyle w:val="NoteLabel"/>
                <w:color w:val="FFFFFF" w:themeColor="background1"/>
              </w:rPr>
              <w:t>a</w:t>
            </w:r>
          </w:p>
        </w:tc>
        <w:tc>
          <w:tcPr>
            <w:tcW w:w="1018" w:type="dxa"/>
            <w:shd w:val="clear" w:color="auto" w:fill="6F6652"/>
            <w:tcMar>
              <w:left w:w="57" w:type="dxa"/>
              <w:right w:w="57" w:type="dxa"/>
            </w:tcMar>
          </w:tcPr>
          <w:p w14:paraId="6ED1DE02" w14:textId="77777777" w:rsidR="00696C70" w:rsidRPr="005A1FB8" w:rsidRDefault="00696C70" w:rsidP="002B23FD">
            <w:pPr>
              <w:pStyle w:val="TableDataColumnHeading"/>
              <w:rPr>
                <w:b/>
                <w:bCs/>
                <w:color w:val="FFFFFF" w:themeColor="background1"/>
                <w:lang w:val="en-GB"/>
              </w:rPr>
            </w:pPr>
            <w:r w:rsidRPr="005A1FB8">
              <w:rPr>
                <w:color w:val="FFFFFF" w:themeColor="background1"/>
                <w:lang w:val="en-GB"/>
              </w:rPr>
              <w:t>Non</w:t>
            </w:r>
            <w:r w:rsidRPr="005A1FB8">
              <w:rPr>
                <w:color w:val="FFFFFF" w:themeColor="background1"/>
                <w:lang w:val="en-GB"/>
              </w:rPr>
              <w:noBreakHyphen/>
              <w:t>hospital treatment rate from falls</w:t>
            </w:r>
            <w:r w:rsidRPr="005A1FB8">
              <w:rPr>
                <w:rStyle w:val="NoteLabel"/>
                <w:color w:val="FFFFFF" w:themeColor="background1"/>
              </w:rPr>
              <w:t>b</w:t>
            </w:r>
          </w:p>
        </w:tc>
        <w:tc>
          <w:tcPr>
            <w:tcW w:w="1018" w:type="dxa"/>
            <w:shd w:val="clear" w:color="auto" w:fill="6F6652"/>
            <w:tcMar>
              <w:left w:w="57" w:type="dxa"/>
              <w:right w:w="57" w:type="dxa"/>
            </w:tcMar>
          </w:tcPr>
          <w:p w14:paraId="043EED9D" w14:textId="77777777" w:rsidR="00696C70" w:rsidRPr="005A1FB8" w:rsidRDefault="00696C70" w:rsidP="002B23FD">
            <w:pPr>
              <w:pStyle w:val="TableDataColumnHeading"/>
              <w:rPr>
                <w:color w:val="FFFFFF" w:themeColor="background1"/>
                <w:lang w:val="en-GB"/>
              </w:rPr>
            </w:pPr>
            <w:r w:rsidRPr="005A1FB8">
              <w:rPr>
                <w:color w:val="FFFFFF" w:themeColor="background1"/>
                <w:lang w:val="en-GB"/>
              </w:rPr>
              <w:t>Non</w:t>
            </w:r>
            <w:r w:rsidRPr="005A1FB8">
              <w:rPr>
                <w:color w:val="FFFFFF" w:themeColor="background1"/>
                <w:lang w:val="en-GB"/>
              </w:rPr>
              <w:noBreakHyphen/>
              <w:t>hospital treatment rate from falls at home</w:t>
            </w:r>
            <w:r w:rsidRPr="005A1FB8">
              <w:rPr>
                <w:rStyle w:val="NoteLabel"/>
                <w:color w:val="FFFFFF" w:themeColor="background1"/>
              </w:rPr>
              <w:t>c</w:t>
            </w:r>
          </w:p>
        </w:tc>
        <w:tc>
          <w:tcPr>
            <w:tcW w:w="1018" w:type="dxa"/>
            <w:shd w:val="clear" w:color="auto" w:fill="6F6652"/>
            <w:tcMar>
              <w:left w:w="57" w:type="dxa"/>
              <w:right w:w="57" w:type="dxa"/>
            </w:tcMar>
          </w:tcPr>
          <w:p w14:paraId="7D2E4F50" w14:textId="77777777" w:rsidR="00696C70" w:rsidRPr="005A1FB8" w:rsidRDefault="00696C70" w:rsidP="002B23FD">
            <w:pPr>
              <w:pStyle w:val="TableDataColumnHeading"/>
              <w:rPr>
                <w:color w:val="FFFFFF" w:themeColor="background1"/>
                <w:lang w:val="en-GB"/>
              </w:rPr>
            </w:pPr>
            <w:r w:rsidRPr="005A1FB8">
              <w:rPr>
                <w:color w:val="FFFFFF" w:themeColor="background1"/>
                <w:lang w:val="en-GB"/>
              </w:rPr>
              <w:t>Estimated non</w:t>
            </w:r>
            <w:r w:rsidRPr="005A1FB8">
              <w:rPr>
                <w:color w:val="FFFFFF" w:themeColor="background1"/>
                <w:lang w:val="en-GB"/>
              </w:rPr>
              <w:noBreakHyphen/>
              <w:t>hospital treatment - baseline</w:t>
            </w:r>
          </w:p>
        </w:tc>
        <w:tc>
          <w:tcPr>
            <w:tcW w:w="3054" w:type="dxa"/>
            <w:gridSpan w:val="3"/>
            <w:shd w:val="clear" w:color="auto" w:fill="6F6652"/>
            <w:tcMar>
              <w:left w:w="57" w:type="dxa"/>
              <w:right w:w="57" w:type="dxa"/>
            </w:tcMar>
          </w:tcPr>
          <w:p w14:paraId="74A5A180" w14:textId="77777777" w:rsidR="00696C70" w:rsidRPr="005A1FB8" w:rsidRDefault="00696C70" w:rsidP="002B23FD">
            <w:pPr>
              <w:pStyle w:val="TableDataColumnHeading"/>
              <w:jc w:val="center"/>
              <w:rPr>
                <w:color w:val="FFFFFF" w:themeColor="background1"/>
                <w:lang w:val="en-GB"/>
              </w:rPr>
            </w:pPr>
            <w:r w:rsidRPr="005A1FB8">
              <w:rPr>
                <w:color w:val="FFFFFF" w:themeColor="background1"/>
                <w:lang w:val="en-GB"/>
              </w:rPr>
              <w:t>Additional non</w:t>
            </w:r>
            <w:r w:rsidRPr="005A1FB8">
              <w:rPr>
                <w:color w:val="FFFFFF" w:themeColor="background1"/>
                <w:lang w:val="en-GB"/>
              </w:rPr>
              <w:noBreakHyphen/>
              <w:t>hospital treatments due to inaccessible housing</w:t>
            </w:r>
          </w:p>
        </w:tc>
      </w:tr>
      <w:tr w:rsidR="00ED748D" w:rsidRPr="005A1FB8" w14:paraId="7826738A" w14:textId="77777777" w:rsidTr="002B23FD">
        <w:trPr>
          <w:trHeight w:val="461"/>
          <w:tblHeader/>
        </w:trPr>
        <w:tc>
          <w:tcPr>
            <w:tcW w:w="814" w:type="dxa"/>
            <w:shd w:val="clear" w:color="auto" w:fill="6F6652"/>
            <w:tcMar>
              <w:left w:w="57" w:type="dxa"/>
              <w:right w:w="57" w:type="dxa"/>
            </w:tcMar>
          </w:tcPr>
          <w:p w14:paraId="39A0699F" w14:textId="77777777" w:rsidR="00ED748D" w:rsidRPr="005A1FB8" w:rsidRDefault="00ED748D" w:rsidP="005A1FB8">
            <w:pPr>
              <w:pStyle w:val="TableDataColumnHeading"/>
              <w:spacing w:before="0"/>
              <w:jc w:val="left"/>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5A00C8A2"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6B1DE0D1"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74469654"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5301FDA4"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p>
        </w:tc>
        <w:tc>
          <w:tcPr>
            <w:tcW w:w="1018" w:type="dxa"/>
            <w:shd w:val="clear" w:color="auto" w:fill="6F6652"/>
            <w:tcMar>
              <w:left w:w="57" w:type="dxa"/>
              <w:right w:w="57" w:type="dxa"/>
            </w:tcMar>
          </w:tcPr>
          <w:p w14:paraId="0E6C506D"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Low estimate</w:t>
            </w:r>
            <w:r w:rsidRPr="005A1FB8">
              <w:rPr>
                <w:rStyle w:val="NoteLabel"/>
                <w:rFonts w:ascii="Franklin Gothic Medium" w:hAnsi="Franklin Gothic Medium"/>
                <w:color w:val="FFFFFF" w:themeColor="background1"/>
              </w:rPr>
              <w:t>d</w:t>
            </w:r>
          </w:p>
        </w:tc>
        <w:tc>
          <w:tcPr>
            <w:tcW w:w="1018" w:type="dxa"/>
            <w:shd w:val="clear" w:color="auto" w:fill="6F6652"/>
            <w:tcMar>
              <w:left w:w="57" w:type="dxa"/>
              <w:right w:w="57" w:type="dxa"/>
            </w:tcMar>
          </w:tcPr>
          <w:p w14:paraId="6C5622E3"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Central case</w:t>
            </w:r>
          </w:p>
        </w:tc>
        <w:tc>
          <w:tcPr>
            <w:tcW w:w="1018" w:type="dxa"/>
            <w:shd w:val="clear" w:color="auto" w:fill="6F6652"/>
            <w:tcMar>
              <w:left w:w="57" w:type="dxa"/>
              <w:right w:w="57" w:type="dxa"/>
            </w:tcMar>
          </w:tcPr>
          <w:p w14:paraId="3F854EA2" w14:textId="77777777" w:rsidR="00ED748D" w:rsidRPr="005A1FB8" w:rsidRDefault="00ED748D" w:rsidP="005A1FB8">
            <w:pPr>
              <w:pStyle w:val="TableDataColumnHeading"/>
              <w:spacing w:before="0"/>
              <w:rPr>
                <w:rFonts w:ascii="Franklin Gothic Medium" w:hAnsi="Franklin Gothic Medium"/>
                <w:color w:val="FFFFFF" w:themeColor="background1"/>
                <w:lang w:val="en-GB"/>
              </w:rPr>
            </w:pPr>
            <w:r w:rsidRPr="005A1FB8">
              <w:rPr>
                <w:rFonts w:ascii="Franklin Gothic Medium" w:hAnsi="Franklin Gothic Medium"/>
                <w:color w:val="FFFFFF" w:themeColor="background1"/>
                <w:lang w:val="en-GB"/>
              </w:rPr>
              <w:t>High estimate</w:t>
            </w:r>
            <w:r w:rsidRPr="005A1FB8">
              <w:rPr>
                <w:rStyle w:val="NoteLabel"/>
                <w:rFonts w:ascii="Franklin Gothic Medium" w:hAnsi="Franklin Gothic Medium"/>
                <w:color w:val="FFFFFF" w:themeColor="background1"/>
              </w:rPr>
              <w:t>f</w:t>
            </w:r>
          </w:p>
        </w:tc>
      </w:tr>
      <w:tr w:rsidR="00ED748D" w14:paraId="1B9850A5" w14:textId="77777777" w:rsidTr="002B23FD">
        <w:trPr>
          <w:trHeight w:val="230"/>
          <w:tblHeader/>
        </w:trPr>
        <w:tc>
          <w:tcPr>
            <w:tcW w:w="814" w:type="dxa"/>
            <w:tcBorders>
              <w:bottom w:val="single" w:sz="8" w:space="0" w:color="FFFFFF" w:themeColor="background1"/>
            </w:tcBorders>
            <w:shd w:val="clear" w:color="auto" w:fill="auto"/>
            <w:tcMar>
              <w:left w:w="57" w:type="dxa"/>
              <w:right w:w="57" w:type="dxa"/>
            </w:tcMar>
          </w:tcPr>
          <w:p w14:paraId="762B7B67" w14:textId="77777777" w:rsidR="00ED748D" w:rsidRDefault="00ED748D" w:rsidP="002B23FD">
            <w:pPr>
              <w:pStyle w:val="TableUnit"/>
              <w:jc w:val="left"/>
              <w:rPr>
                <w:lang w:val="en-GB"/>
              </w:rPr>
            </w:pPr>
          </w:p>
        </w:tc>
        <w:tc>
          <w:tcPr>
            <w:tcW w:w="1018" w:type="dxa"/>
            <w:tcBorders>
              <w:bottom w:val="single" w:sz="8" w:space="0" w:color="FFFFFF" w:themeColor="background1"/>
            </w:tcBorders>
            <w:shd w:val="clear" w:color="auto" w:fill="auto"/>
            <w:tcMar>
              <w:left w:w="57" w:type="dxa"/>
              <w:right w:w="57" w:type="dxa"/>
            </w:tcMar>
          </w:tcPr>
          <w:p w14:paraId="7D2A0B6F" w14:textId="77777777" w:rsidR="00ED748D" w:rsidRDefault="00ED748D" w:rsidP="002B23FD">
            <w:pPr>
              <w:pStyle w:val="TableUnit"/>
              <w:rPr>
                <w:lang w:val="en-GB"/>
              </w:rPr>
            </w:pPr>
            <w:r>
              <w:rPr>
                <w:lang w:val="en-GB"/>
              </w:rPr>
              <w:t>'000</w:t>
            </w:r>
          </w:p>
        </w:tc>
        <w:tc>
          <w:tcPr>
            <w:tcW w:w="1018" w:type="dxa"/>
            <w:tcBorders>
              <w:bottom w:val="single" w:sz="8" w:space="0" w:color="FFFFFF" w:themeColor="background1"/>
            </w:tcBorders>
            <w:shd w:val="clear" w:color="auto" w:fill="auto"/>
            <w:tcMar>
              <w:left w:w="57" w:type="dxa"/>
              <w:right w:w="57" w:type="dxa"/>
            </w:tcMar>
          </w:tcPr>
          <w:p w14:paraId="5105AC9D"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61BBF6A6" w14:textId="77777777" w:rsidR="00ED748D" w:rsidRDefault="00ED748D" w:rsidP="002B23FD">
            <w:pPr>
              <w:pStyle w:val="TableUnit"/>
              <w:rPr>
                <w:lang w:val="en-GB"/>
              </w:rPr>
            </w:pPr>
            <w:r>
              <w:rPr>
                <w:lang w:val="en-GB"/>
              </w:rPr>
              <w:t>Rate per 100 000</w:t>
            </w:r>
          </w:p>
        </w:tc>
        <w:tc>
          <w:tcPr>
            <w:tcW w:w="1018" w:type="dxa"/>
            <w:tcBorders>
              <w:bottom w:val="single" w:sz="8" w:space="0" w:color="FFFFFF" w:themeColor="background1"/>
            </w:tcBorders>
            <w:shd w:val="clear" w:color="auto" w:fill="auto"/>
            <w:tcMar>
              <w:left w:w="57" w:type="dxa"/>
              <w:right w:w="57" w:type="dxa"/>
            </w:tcMar>
          </w:tcPr>
          <w:p w14:paraId="02F22290"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1E24A324"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7E9351BA" w14:textId="77777777" w:rsidR="00ED748D" w:rsidRDefault="00ED748D" w:rsidP="002B23FD">
            <w:pPr>
              <w:pStyle w:val="TableUnit"/>
              <w:rPr>
                <w:lang w:val="en-GB"/>
              </w:rPr>
            </w:pPr>
            <w:r>
              <w:rPr>
                <w:lang w:val="en-GB"/>
              </w:rPr>
              <w:t>No.</w:t>
            </w:r>
          </w:p>
        </w:tc>
        <w:tc>
          <w:tcPr>
            <w:tcW w:w="1018" w:type="dxa"/>
            <w:tcBorders>
              <w:bottom w:val="single" w:sz="8" w:space="0" w:color="FFFFFF" w:themeColor="background1"/>
            </w:tcBorders>
            <w:shd w:val="clear" w:color="auto" w:fill="auto"/>
            <w:tcMar>
              <w:left w:w="57" w:type="dxa"/>
              <w:right w:w="57" w:type="dxa"/>
            </w:tcMar>
          </w:tcPr>
          <w:p w14:paraId="74B33F82" w14:textId="77777777" w:rsidR="00ED748D" w:rsidRDefault="00ED748D" w:rsidP="002B23FD">
            <w:pPr>
              <w:pStyle w:val="TableUnit"/>
              <w:rPr>
                <w:lang w:val="en-GB"/>
              </w:rPr>
            </w:pPr>
            <w:r>
              <w:rPr>
                <w:lang w:val="en-GB"/>
              </w:rPr>
              <w:t>No.</w:t>
            </w:r>
          </w:p>
        </w:tc>
      </w:tr>
      <w:tr w:rsidR="00ED748D" w14:paraId="5131AEB5"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5A8B81" w14:textId="77777777" w:rsidR="00ED748D" w:rsidRDefault="00ED748D" w:rsidP="002B23FD">
            <w:pPr>
              <w:pStyle w:val="TableDataEntries"/>
              <w:jc w:val="left"/>
              <w:rPr>
                <w:lang w:val="en-GB"/>
              </w:rPr>
            </w:pPr>
            <w:r>
              <w:rPr>
                <w:lang w:val="en-GB"/>
              </w:rPr>
              <w:t xml:space="preserve">0 to 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A6AB3B" w14:textId="77777777" w:rsidR="00ED748D" w:rsidRDefault="00ED748D" w:rsidP="002B23FD">
            <w:pPr>
              <w:pStyle w:val="TableDataEntries"/>
              <w:rPr>
                <w:lang w:val="en-GB"/>
              </w:rPr>
            </w:pPr>
            <w:r>
              <w:t xml:space="preserve"> 7.70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03C854"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292CD0"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A8E96C" w14:textId="77777777" w:rsidR="00ED748D" w:rsidRDefault="00ED748D" w:rsidP="002B23FD">
            <w:pPr>
              <w:pStyle w:val="TableDataEntries"/>
              <w:rPr>
                <w:lang w:val="en-GB"/>
              </w:rPr>
            </w:pPr>
            <w:r>
              <w:t xml:space="preserve"> 238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0FC77A"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6454BB" w14:textId="77777777" w:rsidR="00ED748D" w:rsidRDefault="00ED748D" w:rsidP="002B23FD">
            <w:pPr>
              <w:pStyle w:val="TableDataEntries"/>
              <w:rPr>
                <w:lang w:val="en-GB"/>
              </w:rPr>
            </w:pPr>
            <w:r>
              <w:t xml:space="preserve"> </w:t>
            </w:r>
            <w:r w:rsidR="001A32A7">
              <w:t>24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1379BA" w14:textId="77777777" w:rsidR="00ED748D" w:rsidRDefault="00ED748D" w:rsidP="002B23FD">
            <w:pPr>
              <w:pStyle w:val="TableDataEntries"/>
              <w:rPr>
                <w:lang w:val="en-GB"/>
              </w:rPr>
            </w:pPr>
            <w:r>
              <w:t xml:space="preserve"> </w:t>
            </w:r>
            <w:r w:rsidR="001A32A7">
              <w:t>88</w:t>
            </w:r>
          </w:p>
        </w:tc>
      </w:tr>
      <w:tr w:rsidR="00ED748D" w14:paraId="0BB5C801"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08434C" w14:textId="77777777" w:rsidR="00ED748D" w:rsidRDefault="00ED748D" w:rsidP="002B23FD">
            <w:pPr>
              <w:pStyle w:val="TableDataEntries"/>
              <w:jc w:val="left"/>
              <w:rPr>
                <w:lang w:val="en-GB"/>
              </w:rPr>
            </w:pPr>
            <w:r>
              <w:rPr>
                <w:lang w:val="en-GB"/>
              </w:rPr>
              <w:t xml:space="preserve">5 to 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0AA9E1" w14:textId="77777777" w:rsidR="00ED748D" w:rsidRDefault="00ED748D" w:rsidP="002B23FD">
            <w:pPr>
              <w:pStyle w:val="TableDataEntries"/>
              <w:rPr>
                <w:lang w:val="en-GB"/>
              </w:rPr>
            </w:pPr>
            <w:r>
              <w:t xml:space="preserve"> 6.60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23EC89"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362EC4"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ACFDBA" w14:textId="77777777" w:rsidR="00ED748D" w:rsidRDefault="00ED748D" w:rsidP="002B23FD">
            <w:pPr>
              <w:pStyle w:val="TableDataEntries"/>
              <w:rPr>
                <w:lang w:val="en-GB"/>
              </w:rPr>
            </w:pPr>
            <w:r>
              <w:t xml:space="preserve"> 204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8EB152"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356E15" w14:textId="77777777" w:rsidR="00ED748D" w:rsidRDefault="00ED748D" w:rsidP="002B23FD">
            <w:pPr>
              <w:pStyle w:val="TableDataEntries"/>
              <w:rPr>
                <w:lang w:val="en-GB"/>
              </w:rPr>
            </w:pPr>
            <w:r>
              <w:t xml:space="preserve"> </w:t>
            </w:r>
            <w:r w:rsidR="001A32A7">
              <w:t>20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CCE68E" w14:textId="77777777" w:rsidR="00ED748D" w:rsidRDefault="00ED748D" w:rsidP="002B23FD">
            <w:pPr>
              <w:pStyle w:val="TableDataEntries"/>
              <w:rPr>
                <w:lang w:val="en-GB"/>
              </w:rPr>
            </w:pPr>
            <w:r>
              <w:t xml:space="preserve"> </w:t>
            </w:r>
            <w:r w:rsidR="001A32A7">
              <w:t>75</w:t>
            </w:r>
          </w:p>
        </w:tc>
      </w:tr>
      <w:tr w:rsidR="00ED748D" w14:paraId="78CDD989"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C68FED" w14:textId="77777777" w:rsidR="00ED748D" w:rsidRDefault="00ED748D" w:rsidP="002B23FD">
            <w:pPr>
              <w:pStyle w:val="TableDataEntries"/>
              <w:jc w:val="left"/>
              <w:rPr>
                <w:lang w:val="en-GB"/>
              </w:rPr>
            </w:pPr>
            <w:r>
              <w:rPr>
                <w:lang w:val="en-GB"/>
              </w:rPr>
              <w:t xml:space="preserve">10 to 14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8C4E76" w14:textId="77777777" w:rsidR="00ED748D" w:rsidRDefault="00ED748D" w:rsidP="002B23FD">
            <w:pPr>
              <w:pStyle w:val="TableDataEntries"/>
              <w:rPr>
                <w:lang w:val="en-GB"/>
              </w:rPr>
            </w:pPr>
            <w:r>
              <w:t xml:space="preserve"> 5.60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AAFD20"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BDA2FF"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22D977" w14:textId="77777777" w:rsidR="00ED748D" w:rsidRDefault="00ED748D" w:rsidP="002B23FD">
            <w:pPr>
              <w:pStyle w:val="TableDataEntries"/>
              <w:rPr>
                <w:lang w:val="en-GB"/>
              </w:rPr>
            </w:pPr>
            <w:r>
              <w:t xml:space="preserve"> 173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FD9959"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F0D37C" w14:textId="77777777" w:rsidR="00ED748D" w:rsidRDefault="00ED748D" w:rsidP="002B23FD">
            <w:pPr>
              <w:pStyle w:val="TableDataEntries"/>
              <w:rPr>
                <w:lang w:val="en-GB"/>
              </w:rPr>
            </w:pPr>
            <w:r>
              <w:t xml:space="preserve"> </w:t>
            </w:r>
            <w:r w:rsidR="001A32A7">
              <w:t>17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EE01F4" w14:textId="77777777" w:rsidR="00ED748D" w:rsidRDefault="00ED748D" w:rsidP="002B23FD">
            <w:pPr>
              <w:pStyle w:val="TableDataEntries"/>
              <w:rPr>
                <w:lang w:val="en-GB"/>
              </w:rPr>
            </w:pPr>
            <w:r>
              <w:t xml:space="preserve"> </w:t>
            </w:r>
            <w:r w:rsidR="001A32A7">
              <w:t>64</w:t>
            </w:r>
          </w:p>
        </w:tc>
      </w:tr>
      <w:tr w:rsidR="00ED748D" w14:paraId="778DEF3A"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1F4C31" w14:textId="77777777" w:rsidR="00ED748D" w:rsidRDefault="00ED748D" w:rsidP="002B23FD">
            <w:pPr>
              <w:pStyle w:val="TableDataEntries"/>
              <w:jc w:val="left"/>
              <w:rPr>
                <w:lang w:val="en-GB"/>
              </w:rPr>
            </w:pPr>
            <w:r>
              <w:rPr>
                <w:lang w:val="en-GB"/>
              </w:rPr>
              <w:t xml:space="preserve">15 to 19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BAAB2D" w14:textId="77777777" w:rsidR="00ED748D" w:rsidRDefault="00ED748D" w:rsidP="002B23FD">
            <w:pPr>
              <w:pStyle w:val="TableDataEntries"/>
              <w:rPr>
                <w:lang w:val="en-GB"/>
              </w:rPr>
            </w:pPr>
            <w:r>
              <w:t xml:space="preserve"> 8.80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4599BD"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27D0EF"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874288" w14:textId="77777777" w:rsidR="00ED748D" w:rsidRDefault="00ED748D" w:rsidP="002B23FD">
            <w:pPr>
              <w:pStyle w:val="TableDataEntries"/>
              <w:rPr>
                <w:lang w:val="en-GB"/>
              </w:rPr>
            </w:pPr>
            <w:r>
              <w:t xml:space="preserve"> 272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102FDA"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088CDF" w14:textId="77777777" w:rsidR="00ED748D" w:rsidRDefault="00ED748D" w:rsidP="002B23FD">
            <w:pPr>
              <w:pStyle w:val="TableDataEntries"/>
              <w:rPr>
                <w:lang w:val="en-GB"/>
              </w:rPr>
            </w:pPr>
            <w:r>
              <w:t xml:space="preserve"> </w:t>
            </w:r>
            <w:r w:rsidR="001A32A7">
              <w:t>27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111636" w14:textId="77777777" w:rsidR="00ED748D" w:rsidRDefault="00ED748D" w:rsidP="002B23FD">
            <w:pPr>
              <w:pStyle w:val="TableDataEntries"/>
              <w:rPr>
                <w:lang w:val="en-GB"/>
              </w:rPr>
            </w:pPr>
            <w:r>
              <w:t xml:space="preserve"> </w:t>
            </w:r>
            <w:r w:rsidR="001A32A7">
              <w:t>100</w:t>
            </w:r>
          </w:p>
        </w:tc>
      </w:tr>
      <w:tr w:rsidR="00ED748D" w14:paraId="22DD004E"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1F8D91" w14:textId="77777777" w:rsidR="00ED748D" w:rsidRDefault="00ED748D" w:rsidP="002B23FD">
            <w:pPr>
              <w:pStyle w:val="TableDataEntries"/>
              <w:jc w:val="left"/>
              <w:rPr>
                <w:lang w:val="en-GB"/>
              </w:rPr>
            </w:pPr>
            <w:r>
              <w:rPr>
                <w:lang w:val="en-GB"/>
              </w:rPr>
              <w:t xml:space="preserve">20 to 24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86B324" w14:textId="77777777" w:rsidR="00ED748D" w:rsidRDefault="00ED748D" w:rsidP="002B23FD">
            <w:pPr>
              <w:pStyle w:val="TableDataEntries"/>
              <w:rPr>
                <w:lang w:val="en-GB"/>
              </w:rPr>
            </w:pPr>
            <w:r>
              <w:t xml:space="preserve"> 5.40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934025"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10C400"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3C17CD" w14:textId="77777777" w:rsidR="00ED748D" w:rsidRDefault="00ED748D" w:rsidP="002B23FD">
            <w:pPr>
              <w:pStyle w:val="TableDataEntries"/>
              <w:rPr>
                <w:lang w:val="en-GB"/>
              </w:rPr>
            </w:pPr>
            <w:r>
              <w:t xml:space="preserve"> 167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6A1193"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312924" w14:textId="77777777" w:rsidR="00ED748D" w:rsidRDefault="00ED748D" w:rsidP="002B23FD">
            <w:pPr>
              <w:pStyle w:val="TableDataEntries"/>
              <w:rPr>
                <w:lang w:val="en-GB"/>
              </w:rPr>
            </w:pPr>
            <w:r>
              <w:t xml:space="preserve"> </w:t>
            </w:r>
            <w:r w:rsidR="001A32A7">
              <w:t>17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0423C4" w14:textId="77777777" w:rsidR="00ED748D" w:rsidRDefault="00ED748D" w:rsidP="002B23FD">
            <w:pPr>
              <w:pStyle w:val="TableDataEntries"/>
              <w:rPr>
                <w:lang w:val="en-GB"/>
              </w:rPr>
            </w:pPr>
            <w:r>
              <w:t xml:space="preserve"> </w:t>
            </w:r>
            <w:r w:rsidR="001A32A7">
              <w:t>62</w:t>
            </w:r>
          </w:p>
        </w:tc>
      </w:tr>
      <w:tr w:rsidR="00ED748D" w14:paraId="138F6537"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616B9B" w14:textId="77777777" w:rsidR="00ED748D" w:rsidRDefault="00ED748D" w:rsidP="002B23FD">
            <w:pPr>
              <w:pStyle w:val="TableDataEntries"/>
              <w:jc w:val="left"/>
              <w:rPr>
                <w:lang w:val="en-GB"/>
              </w:rPr>
            </w:pPr>
            <w:r>
              <w:rPr>
                <w:lang w:val="en-GB"/>
              </w:rPr>
              <w:t xml:space="preserve">25 to 29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69E6C9" w14:textId="77777777" w:rsidR="00ED748D" w:rsidRDefault="00ED748D" w:rsidP="002B23FD">
            <w:pPr>
              <w:pStyle w:val="TableDataEntries"/>
              <w:rPr>
                <w:lang w:val="en-GB"/>
              </w:rPr>
            </w:pPr>
            <w:r>
              <w:t xml:space="preserve"> 8.40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C77FD1"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7F43C1"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56F9E3" w14:textId="77777777" w:rsidR="00ED748D" w:rsidRDefault="00ED748D" w:rsidP="002B23FD">
            <w:pPr>
              <w:pStyle w:val="TableDataEntries"/>
              <w:rPr>
                <w:lang w:val="en-GB"/>
              </w:rPr>
            </w:pPr>
            <w:r>
              <w:t xml:space="preserve"> 259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BD4AD6"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ECD79F" w14:textId="77777777" w:rsidR="00ED748D" w:rsidRDefault="00ED748D" w:rsidP="002B23FD">
            <w:pPr>
              <w:pStyle w:val="TableDataEntries"/>
              <w:rPr>
                <w:lang w:val="en-GB"/>
              </w:rPr>
            </w:pPr>
            <w:r>
              <w:t xml:space="preserve"> </w:t>
            </w:r>
            <w:r w:rsidR="001A32A7">
              <w:t>26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18CD79" w14:textId="77777777" w:rsidR="00ED748D" w:rsidRDefault="00ED748D" w:rsidP="002B23FD">
            <w:pPr>
              <w:pStyle w:val="TableDataEntries"/>
              <w:rPr>
                <w:lang w:val="en-GB"/>
              </w:rPr>
            </w:pPr>
            <w:r>
              <w:t xml:space="preserve"> </w:t>
            </w:r>
            <w:r w:rsidR="001A32A7">
              <w:t>96</w:t>
            </w:r>
          </w:p>
        </w:tc>
      </w:tr>
      <w:tr w:rsidR="00ED748D" w14:paraId="4AC6198E"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2AA2AD" w14:textId="77777777" w:rsidR="00ED748D" w:rsidRDefault="00ED748D" w:rsidP="002B23FD">
            <w:pPr>
              <w:pStyle w:val="TableDataEntries"/>
              <w:jc w:val="left"/>
              <w:rPr>
                <w:lang w:val="en-GB"/>
              </w:rPr>
            </w:pPr>
            <w:r>
              <w:rPr>
                <w:lang w:val="en-GB"/>
              </w:rPr>
              <w:t xml:space="preserve">30 to 34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AFD3CA" w14:textId="77777777" w:rsidR="00ED748D" w:rsidRDefault="00ED748D" w:rsidP="002B23FD">
            <w:pPr>
              <w:pStyle w:val="TableDataEntries"/>
              <w:rPr>
                <w:lang w:val="en-GB"/>
              </w:rPr>
            </w:pPr>
            <w:r>
              <w:t xml:space="preserve"> 11.90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5CB97B"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44A05E"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C8F338" w14:textId="77777777" w:rsidR="00ED748D" w:rsidRDefault="00ED748D" w:rsidP="002B23FD">
            <w:pPr>
              <w:pStyle w:val="TableDataEntries"/>
              <w:rPr>
                <w:lang w:val="en-GB"/>
              </w:rPr>
            </w:pPr>
            <w:r>
              <w:t xml:space="preserve"> 367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27603E"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A40D81" w14:textId="77777777" w:rsidR="00ED748D" w:rsidRDefault="00ED748D" w:rsidP="002B23FD">
            <w:pPr>
              <w:pStyle w:val="TableDataEntries"/>
              <w:rPr>
                <w:lang w:val="en-GB"/>
              </w:rPr>
            </w:pPr>
            <w:r>
              <w:t xml:space="preserve"> </w:t>
            </w:r>
            <w:r w:rsidR="001A32A7">
              <w:t>37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A6E5AF" w14:textId="77777777" w:rsidR="00ED748D" w:rsidRDefault="00ED748D" w:rsidP="002B23FD">
            <w:pPr>
              <w:pStyle w:val="TableDataEntries"/>
              <w:rPr>
                <w:lang w:val="en-GB"/>
              </w:rPr>
            </w:pPr>
            <w:r>
              <w:t xml:space="preserve"> </w:t>
            </w:r>
            <w:r w:rsidR="001A32A7">
              <w:t>136</w:t>
            </w:r>
          </w:p>
        </w:tc>
      </w:tr>
      <w:tr w:rsidR="00ED748D" w14:paraId="247DCC80"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CF3228" w14:textId="77777777" w:rsidR="00ED748D" w:rsidRDefault="00ED748D" w:rsidP="002B23FD">
            <w:pPr>
              <w:pStyle w:val="TableDataEntries"/>
              <w:jc w:val="left"/>
              <w:rPr>
                <w:lang w:val="en-GB"/>
              </w:rPr>
            </w:pPr>
            <w:r>
              <w:rPr>
                <w:lang w:val="en-GB"/>
              </w:rPr>
              <w:t xml:space="preserve">35 to 39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C3ECA5" w14:textId="77777777" w:rsidR="00ED748D" w:rsidRDefault="00ED748D" w:rsidP="002B23FD">
            <w:pPr>
              <w:pStyle w:val="TableDataEntries"/>
              <w:rPr>
                <w:lang w:val="en-GB"/>
              </w:rPr>
            </w:pPr>
            <w:r>
              <w:t xml:space="preserve"> 11.50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5A2DB1"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97982C"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B5A4A7" w14:textId="77777777" w:rsidR="00ED748D" w:rsidRDefault="00ED748D" w:rsidP="002B23FD">
            <w:pPr>
              <w:pStyle w:val="TableDataEntries"/>
              <w:rPr>
                <w:lang w:val="en-GB"/>
              </w:rPr>
            </w:pPr>
            <w:r>
              <w:t xml:space="preserve"> 355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7A7E40"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4A2017" w14:textId="77777777" w:rsidR="00ED748D" w:rsidRDefault="00ED748D" w:rsidP="002B23FD">
            <w:pPr>
              <w:pStyle w:val="TableDataEntries"/>
              <w:rPr>
                <w:lang w:val="en-GB"/>
              </w:rPr>
            </w:pPr>
            <w:r>
              <w:t xml:space="preserve"> </w:t>
            </w:r>
            <w:r w:rsidR="001A32A7">
              <w:t>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BDC6BA" w14:textId="77777777" w:rsidR="00ED748D" w:rsidRDefault="00ED748D" w:rsidP="002B23FD">
            <w:pPr>
              <w:pStyle w:val="TableDataEntries"/>
              <w:rPr>
                <w:lang w:val="en-GB"/>
              </w:rPr>
            </w:pPr>
            <w:r>
              <w:t xml:space="preserve"> </w:t>
            </w:r>
            <w:r w:rsidR="001A32A7">
              <w:t>131</w:t>
            </w:r>
          </w:p>
        </w:tc>
      </w:tr>
      <w:tr w:rsidR="00ED748D" w14:paraId="0B489885"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1B18F4" w14:textId="77777777" w:rsidR="00ED748D" w:rsidRDefault="00ED748D" w:rsidP="002B23FD">
            <w:pPr>
              <w:pStyle w:val="TableDataEntries"/>
              <w:jc w:val="left"/>
              <w:rPr>
                <w:lang w:val="en-GB"/>
              </w:rPr>
            </w:pPr>
            <w:r>
              <w:rPr>
                <w:lang w:val="en-GB"/>
              </w:rPr>
              <w:t xml:space="preserve">40 to 44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9902EF" w14:textId="77777777" w:rsidR="00ED748D" w:rsidRDefault="00ED748D" w:rsidP="002B23FD">
            <w:pPr>
              <w:pStyle w:val="TableDataEntries"/>
              <w:rPr>
                <w:lang w:val="en-GB"/>
              </w:rPr>
            </w:pPr>
            <w:r>
              <w:t xml:space="preserve"> 16.70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1270CD"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7E4A8E"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FEFA82" w14:textId="77777777" w:rsidR="00ED748D" w:rsidRDefault="00ED748D" w:rsidP="002B23FD">
            <w:pPr>
              <w:pStyle w:val="TableDataEntries"/>
              <w:rPr>
                <w:lang w:val="en-GB"/>
              </w:rPr>
            </w:pPr>
            <w:r>
              <w:t xml:space="preserve"> 515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DD2DA8"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2D7D78" w14:textId="77777777" w:rsidR="00ED748D" w:rsidRDefault="00ED748D" w:rsidP="002B23FD">
            <w:pPr>
              <w:pStyle w:val="TableDataEntries"/>
              <w:rPr>
                <w:lang w:val="en-GB"/>
              </w:rPr>
            </w:pPr>
            <w:r>
              <w:t xml:space="preserve"> </w:t>
            </w:r>
            <w:r w:rsidR="001A32A7">
              <w:t>52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332CC1" w14:textId="77777777" w:rsidR="00ED748D" w:rsidRDefault="00ED748D" w:rsidP="002B23FD">
            <w:pPr>
              <w:pStyle w:val="TableDataEntries"/>
              <w:rPr>
                <w:lang w:val="en-GB"/>
              </w:rPr>
            </w:pPr>
            <w:r>
              <w:t xml:space="preserve"> </w:t>
            </w:r>
            <w:r w:rsidR="001A32A7">
              <w:t>191</w:t>
            </w:r>
          </w:p>
        </w:tc>
      </w:tr>
      <w:tr w:rsidR="00ED748D" w14:paraId="0E7D35EB"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0FE6D4" w14:textId="77777777" w:rsidR="00ED748D" w:rsidRDefault="00ED748D" w:rsidP="002B23FD">
            <w:pPr>
              <w:pStyle w:val="TableDataEntries"/>
              <w:jc w:val="left"/>
              <w:rPr>
                <w:lang w:val="en-GB"/>
              </w:rPr>
            </w:pPr>
            <w:r>
              <w:rPr>
                <w:lang w:val="en-GB"/>
              </w:rPr>
              <w:t xml:space="preserve">45 to 49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173BEB" w14:textId="77777777" w:rsidR="00ED748D" w:rsidRDefault="00ED748D" w:rsidP="002B23FD">
            <w:pPr>
              <w:pStyle w:val="TableDataEntries"/>
              <w:rPr>
                <w:lang w:val="en-GB"/>
              </w:rPr>
            </w:pPr>
            <w:r>
              <w:t xml:space="preserve"> 23.20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62653D"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D297D8"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182CA3" w14:textId="77777777" w:rsidR="00ED748D" w:rsidRDefault="00ED748D" w:rsidP="002B23FD">
            <w:pPr>
              <w:pStyle w:val="TableDataEntries"/>
              <w:rPr>
                <w:lang w:val="en-GB"/>
              </w:rPr>
            </w:pPr>
            <w:r>
              <w:t xml:space="preserve"> 716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7523A9"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E5D7F3" w14:textId="77777777" w:rsidR="00ED748D" w:rsidRDefault="00ED748D" w:rsidP="002B23FD">
            <w:pPr>
              <w:pStyle w:val="TableDataEntries"/>
              <w:rPr>
                <w:lang w:val="en-GB"/>
              </w:rPr>
            </w:pPr>
            <w:r>
              <w:t xml:space="preserve"> </w:t>
            </w:r>
            <w:r w:rsidR="001A32A7">
              <w:t>72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9A38AE" w14:textId="77777777" w:rsidR="00ED748D" w:rsidRDefault="00ED748D" w:rsidP="002B23FD">
            <w:pPr>
              <w:pStyle w:val="TableDataEntries"/>
              <w:rPr>
                <w:lang w:val="en-GB"/>
              </w:rPr>
            </w:pPr>
            <w:r>
              <w:t xml:space="preserve"> </w:t>
            </w:r>
            <w:r w:rsidR="001A32A7">
              <w:t>265</w:t>
            </w:r>
          </w:p>
        </w:tc>
      </w:tr>
      <w:tr w:rsidR="00ED748D" w14:paraId="28BB9832"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8A2F84" w14:textId="77777777" w:rsidR="00ED748D" w:rsidRDefault="00ED748D" w:rsidP="002B23FD">
            <w:pPr>
              <w:pStyle w:val="TableDataEntries"/>
              <w:jc w:val="left"/>
              <w:rPr>
                <w:lang w:val="en-GB"/>
              </w:rPr>
            </w:pPr>
            <w:r>
              <w:rPr>
                <w:lang w:val="en-GB"/>
              </w:rPr>
              <w:t xml:space="preserve">50 to 54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4DCF2A" w14:textId="77777777" w:rsidR="00ED748D" w:rsidRDefault="00ED748D" w:rsidP="002B23FD">
            <w:pPr>
              <w:pStyle w:val="TableDataEntries"/>
              <w:rPr>
                <w:lang w:val="en-GB"/>
              </w:rPr>
            </w:pPr>
            <w:r>
              <w:t xml:space="preserve"> 25.20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1173F8"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9AD8B9"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78ECB3" w14:textId="77777777" w:rsidR="00ED748D" w:rsidRDefault="00ED748D" w:rsidP="002B23FD">
            <w:pPr>
              <w:pStyle w:val="TableDataEntries"/>
              <w:rPr>
                <w:lang w:val="en-GB"/>
              </w:rPr>
            </w:pPr>
            <w:r>
              <w:t xml:space="preserve"> 778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1D7168"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949B0B" w14:textId="77777777" w:rsidR="00ED748D" w:rsidRDefault="00ED748D" w:rsidP="002B23FD">
            <w:pPr>
              <w:pStyle w:val="TableDataEntries"/>
              <w:rPr>
                <w:lang w:val="en-GB"/>
              </w:rPr>
            </w:pPr>
            <w:r>
              <w:t xml:space="preserve"> </w:t>
            </w:r>
            <w:r w:rsidR="001A32A7">
              <w:t>78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0CBD00" w14:textId="77777777" w:rsidR="00ED748D" w:rsidRDefault="00ED748D" w:rsidP="002B23FD">
            <w:pPr>
              <w:pStyle w:val="TableDataEntries"/>
              <w:rPr>
                <w:lang w:val="en-GB"/>
              </w:rPr>
            </w:pPr>
            <w:r>
              <w:t xml:space="preserve"> </w:t>
            </w:r>
            <w:r w:rsidR="001A32A7">
              <w:t>288</w:t>
            </w:r>
          </w:p>
        </w:tc>
      </w:tr>
      <w:tr w:rsidR="00ED748D" w14:paraId="728C8325"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CA7EEB" w14:textId="77777777" w:rsidR="00ED748D" w:rsidRDefault="00ED748D" w:rsidP="002B23FD">
            <w:pPr>
              <w:pStyle w:val="TableDataEntries"/>
              <w:jc w:val="left"/>
              <w:rPr>
                <w:lang w:val="en-GB"/>
              </w:rPr>
            </w:pPr>
            <w:r>
              <w:rPr>
                <w:lang w:val="en-GB"/>
              </w:rPr>
              <w:t xml:space="preserve">55 to 59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73E585" w14:textId="77777777" w:rsidR="00ED748D" w:rsidRDefault="00ED748D" w:rsidP="002B23FD">
            <w:pPr>
              <w:pStyle w:val="TableDataEntries"/>
              <w:rPr>
                <w:lang w:val="en-GB"/>
              </w:rPr>
            </w:pPr>
            <w:r>
              <w:t xml:space="preserve"> 34.80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390B97"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7E6564"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047662" w14:textId="77777777" w:rsidR="00ED748D" w:rsidRDefault="00ED748D" w:rsidP="002B23FD">
            <w:pPr>
              <w:pStyle w:val="TableDataEntries"/>
              <w:rPr>
                <w:lang w:val="en-GB"/>
              </w:rPr>
            </w:pPr>
            <w:r>
              <w:t>1 074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3E6B43"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A5C520" w14:textId="77777777" w:rsidR="00ED748D" w:rsidRDefault="00ED748D" w:rsidP="002B23FD">
            <w:pPr>
              <w:pStyle w:val="TableDataEntries"/>
              <w:rPr>
                <w:lang w:val="en-GB"/>
              </w:rPr>
            </w:pPr>
            <w:r>
              <w:t xml:space="preserve"> </w:t>
            </w:r>
            <w:r w:rsidR="001A32A7">
              <w:t>107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884A05" w14:textId="77777777" w:rsidR="00ED748D" w:rsidRDefault="00ED748D" w:rsidP="002B23FD">
            <w:pPr>
              <w:pStyle w:val="TableDataEntries"/>
              <w:rPr>
                <w:lang w:val="en-GB"/>
              </w:rPr>
            </w:pPr>
            <w:r>
              <w:t xml:space="preserve"> </w:t>
            </w:r>
            <w:r w:rsidR="001A32A7">
              <w:t>397</w:t>
            </w:r>
          </w:p>
        </w:tc>
      </w:tr>
      <w:tr w:rsidR="00ED748D" w14:paraId="1455AF19"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9020C6" w14:textId="77777777" w:rsidR="00ED748D" w:rsidRDefault="00ED748D" w:rsidP="002B23FD">
            <w:pPr>
              <w:pStyle w:val="TableDataEntries"/>
              <w:jc w:val="left"/>
              <w:rPr>
                <w:lang w:val="en-GB"/>
              </w:rPr>
            </w:pPr>
            <w:r>
              <w:rPr>
                <w:lang w:val="en-GB"/>
              </w:rPr>
              <w:t xml:space="preserve">60 to 64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460900" w14:textId="77777777" w:rsidR="00ED748D" w:rsidRDefault="00ED748D" w:rsidP="002B23FD">
            <w:pPr>
              <w:pStyle w:val="TableDataEntries"/>
              <w:rPr>
                <w:lang w:val="en-GB"/>
              </w:rPr>
            </w:pPr>
            <w:r>
              <w:t xml:space="preserve"> 31.80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D3F9E6"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26CF89"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F49297" w14:textId="77777777" w:rsidR="00ED748D" w:rsidRDefault="00ED748D" w:rsidP="002B23FD">
            <w:pPr>
              <w:pStyle w:val="TableDataEntries"/>
              <w:rPr>
                <w:lang w:val="en-GB"/>
              </w:rPr>
            </w:pPr>
            <w:r>
              <w:t xml:space="preserve"> 981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A859D6"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8B3C50" w14:textId="77777777" w:rsidR="00ED748D" w:rsidRDefault="00ED748D" w:rsidP="002B23FD">
            <w:pPr>
              <w:pStyle w:val="TableDataEntries"/>
              <w:rPr>
                <w:lang w:val="en-GB"/>
              </w:rPr>
            </w:pPr>
            <w:r>
              <w:t xml:space="preserve"> </w:t>
            </w:r>
            <w:r w:rsidR="001A32A7">
              <w:t>98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958D2C" w14:textId="77777777" w:rsidR="00ED748D" w:rsidRDefault="00ED748D" w:rsidP="002B23FD">
            <w:pPr>
              <w:pStyle w:val="TableDataEntries"/>
              <w:rPr>
                <w:lang w:val="en-GB"/>
              </w:rPr>
            </w:pPr>
            <w:r>
              <w:t xml:space="preserve"> </w:t>
            </w:r>
            <w:r w:rsidR="001A32A7">
              <w:t>363</w:t>
            </w:r>
          </w:p>
        </w:tc>
      </w:tr>
      <w:tr w:rsidR="00ED748D" w14:paraId="65A18CCD"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2B0AF4" w14:textId="77777777" w:rsidR="00ED748D" w:rsidRDefault="00ED748D" w:rsidP="002B23FD">
            <w:pPr>
              <w:pStyle w:val="TableDataEntries"/>
              <w:jc w:val="left"/>
              <w:rPr>
                <w:lang w:val="en-GB"/>
              </w:rPr>
            </w:pPr>
            <w:r>
              <w:rPr>
                <w:lang w:val="en-GB"/>
              </w:rPr>
              <w:t xml:space="preserve">65 to 69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500750" w14:textId="77777777" w:rsidR="00ED748D" w:rsidRDefault="00ED748D" w:rsidP="002B23FD">
            <w:pPr>
              <w:pStyle w:val="TableDataEntries"/>
              <w:rPr>
                <w:lang w:val="en-GB"/>
              </w:rPr>
            </w:pPr>
            <w:r>
              <w:t xml:space="preserve"> 35.70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354548" w14:textId="77777777" w:rsidR="00ED748D" w:rsidRDefault="00ED748D" w:rsidP="002B23FD">
            <w:pPr>
              <w:pStyle w:val="TableDataEntries"/>
              <w:rPr>
                <w:lang w:val="en-GB"/>
              </w:rPr>
            </w:pPr>
            <w:r>
              <w:t>5 480.35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AF9DFE" w14:textId="77777777" w:rsidR="00ED748D" w:rsidRDefault="00ED748D" w:rsidP="002B23FD">
            <w:pPr>
              <w:pStyle w:val="TableDataEntries"/>
              <w:rPr>
                <w:lang w:val="en-GB"/>
              </w:rPr>
            </w:pPr>
            <w:r>
              <w:t>3 085.43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4CF402" w14:textId="77777777" w:rsidR="00ED748D" w:rsidRDefault="00ED748D" w:rsidP="002B23FD">
            <w:pPr>
              <w:pStyle w:val="TableDataEntries"/>
              <w:rPr>
                <w:lang w:val="en-GB"/>
              </w:rPr>
            </w:pPr>
            <w:r>
              <w:t>1 102</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39EFA9"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ABCE54" w14:textId="77777777" w:rsidR="00ED748D" w:rsidRDefault="00ED748D" w:rsidP="002B23FD">
            <w:pPr>
              <w:pStyle w:val="TableDataEntries"/>
              <w:rPr>
                <w:lang w:val="en-GB"/>
              </w:rPr>
            </w:pPr>
            <w:r>
              <w:t xml:space="preserve"> </w:t>
            </w:r>
            <w:r w:rsidR="001A32A7">
              <w:t>110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176599" w14:textId="77777777" w:rsidR="00ED748D" w:rsidRDefault="00ED748D" w:rsidP="002B23FD">
            <w:pPr>
              <w:pStyle w:val="TableDataEntries"/>
              <w:rPr>
                <w:lang w:val="en-GB"/>
              </w:rPr>
            </w:pPr>
            <w:r>
              <w:t xml:space="preserve"> </w:t>
            </w:r>
            <w:r w:rsidR="001A32A7">
              <w:t>408</w:t>
            </w:r>
          </w:p>
        </w:tc>
      </w:tr>
      <w:tr w:rsidR="00ED748D" w14:paraId="5E27C250"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A375BC" w14:textId="77777777" w:rsidR="00ED748D" w:rsidRDefault="00ED748D" w:rsidP="002B23FD">
            <w:pPr>
              <w:pStyle w:val="TableDataEntries"/>
              <w:jc w:val="left"/>
              <w:rPr>
                <w:lang w:val="en-GB"/>
              </w:rPr>
            </w:pPr>
            <w:r>
              <w:rPr>
                <w:lang w:val="en-GB"/>
              </w:rPr>
              <w:t xml:space="preserve">70 to 74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E857EE" w14:textId="77777777" w:rsidR="00ED748D" w:rsidRDefault="00ED748D" w:rsidP="002B23FD">
            <w:pPr>
              <w:pStyle w:val="TableDataEntries"/>
              <w:rPr>
                <w:lang w:val="en-GB"/>
              </w:rPr>
            </w:pPr>
            <w:r>
              <w:t xml:space="preserve"> 23.00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822CDD" w14:textId="77777777" w:rsidR="00ED748D" w:rsidRDefault="00ED748D" w:rsidP="002B23FD">
            <w:pPr>
              <w:pStyle w:val="TableDataEntries"/>
              <w:rPr>
                <w:lang w:val="en-GB"/>
              </w:rPr>
            </w:pPr>
            <w:r>
              <w:t>5 990.53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FFF2C6" w14:textId="77777777" w:rsidR="00ED748D" w:rsidRDefault="00ED748D" w:rsidP="002B23FD">
            <w:pPr>
              <w:pStyle w:val="TableDataEntries"/>
              <w:rPr>
                <w:lang w:val="en-GB"/>
              </w:rPr>
            </w:pPr>
            <w:r>
              <w:t>3 372.67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1183A0" w14:textId="77777777" w:rsidR="00ED748D" w:rsidRDefault="00ED748D" w:rsidP="002B23FD">
            <w:pPr>
              <w:pStyle w:val="TableDataEntries"/>
              <w:rPr>
                <w:lang w:val="en-GB"/>
              </w:rPr>
            </w:pPr>
            <w:r>
              <w:t xml:space="preserve"> 776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F367F8"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E85C93" w14:textId="77777777" w:rsidR="00ED748D" w:rsidRDefault="00ED748D" w:rsidP="002B23FD">
            <w:pPr>
              <w:pStyle w:val="TableDataEntries"/>
              <w:rPr>
                <w:lang w:val="en-GB"/>
              </w:rPr>
            </w:pPr>
            <w:r>
              <w:t xml:space="preserve"> </w:t>
            </w:r>
            <w:r w:rsidR="001A32A7">
              <w:t>78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34582E" w14:textId="77777777" w:rsidR="00ED748D" w:rsidRDefault="00ED748D" w:rsidP="002B23FD">
            <w:pPr>
              <w:pStyle w:val="TableDataEntries"/>
              <w:rPr>
                <w:lang w:val="en-GB"/>
              </w:rPr>
            </w:pPr>
            <w:r>
              <w:t xml:space="preserve"> </w:t>
            </w:r>
            <w:r w:rsidR="001A32A7">
              <w:t>287</w:t>
            </w:r>
          </w:p>
        </w:tc>
      </w:tr>
      <w:tr w:rsidR="00ED748D" w14:paraId="3D0E69F2"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565C97" w14:textId="77777777" w:rsidR="00ED748D" w:rsidRDefault="00ED748D" w:rsidP="002B23FD">
            <w:pPr>
              <w:pStyle w:val="TableDataEntries"/>
              <w:jc w:val="left"/>
              <w:rPr>
                <w:lang w:val="en-GB"/>
              </w:rPr>
            </w:pPr>
            <w:r>
              <w:rPr>
                <w:lang w:val="en-GB"/>
              </w:rPr>
              <w:t xml:space="preserve">75 to 79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2AEB6B" w14:textId="77777777" w:rsidR="00ED748D" w:rsidRDefault="00ED748D" w:rsidP="002B23FD">
            <w:pPr>
              <w:pStyle w:val="TableDataEntries"/>
              <w:rPr>
                <w:lang w:val="en-GB"/>
              </w:rPr>
            </w:pPr>
            <w:r>
              <w:t xml:space="preserve"> 25.80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962430" w14:textId="77777777" w:rsidR="00ED748D" w:rsidRDefault="00ED748D" w:rsidP="002B23FD">
            <w:pPr>
              <w:pStyle w:val="TableDataEntries"/>
              <w:rPr>
                <w:lang w:val="en-GB"/>
              </w:rPr>
            </w:pPr>
            <w:r>
              <w:t>7 808.49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F727BE" w14:textId="77777777" w:rsidR="00ED748D" w:rsidRDefault="00ED748D" w:rsidP="002B23FD">
            <w:pPr>
              <w:pStyle w:val="TableDataEntries"/>
              <w:rPr>
                <w:lang w:val="en-GB"/>
              </w:rPr>
            </w:pPr>
            <w:r>
              <w:t>4 396.18</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BC89D9" w14:textId="77777777" w:rsidR="00ED748D" w:rsidRDefault="00ED748D" w:rsidP="002B23FD">
            <w:pPr>
              <w:pStyle w:val="TableDataEntries"/>
              <w:rPr>
                <w:lang w:val="en-GB"/>
              </w:rPr>
            </w:pPr>
            <w:r>
              <w:t>1 134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014444"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A4B70D" w14:textId="77777777" w:rsidR="00ED748D" w:rsidRDefault="00ED748D" w:rsidP="002B23FD">
            <w:pPr>
              <w:pStyle w:val="TableDataEntries"/>
              <w:rPr>
                <w:lang w:val="en-GB"/>
              </w:rPr>
            </w:pPr>
            <w:r>
              <w:t xml:space="preserve"> </w:t>
            </w:r>
            <w:r w:rsidR="001A32A7">
              <w:t>113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0F391A" w14:textId="77777777" w:rsidR="00ED748D" w:rsidRDefault="00ED748D" w:rsidP="002B23FD">
            <w:pPr>
              <w:pStyle w:val="TableDataEntries"/>
              <w:rPr>
                <w:lang w:val="en-GB"/>
              </w:rPr>
            </w:pPr>
            <w:r>
              <w:t xml:space="preserve"> </w:t>
            </w:r>
            <w:r w:rsidR="001A32A7">
              <w:t>420</w:t>
            </w:r>
          </w:p>
        </w:tc>
      </w:tr>
      <w:tr w:rsidR="00ED748D" w14:paraId="30B3FADF"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033809" w14:textId="77777777" w:rsidR="00ED748D" w:rsidRDefault="00ED748D" w:rsidP="002B23FD">
            <w:pPr>
              <w:pStyle w:val="TableDataEntries"/>
              <w:jc w:val="left"/>
              <w:rPr>
                <w:lang w:val="en-GB"/>
              </w:rPr>
            </w:pPr>
            <w:r>
              <w:rPr>
                <w:lang w:val="en-GB"/>
              </w:rPr>
              <w:t xml:space="preserve">80 to 84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89AA48" w14:textId="77777777" w:rsidR="00ED748D" w:rsidRDefault="00ED748D" w:rsidP="002B23FD">
            <w:pPr>
              <w:pStyle w:val="TableDataEntries"/>
              <w:rPr>
                <w:lang w:val="en-GB"/>
              </w:rPr>
            </w:pPr>
            <w:r>
              <w:t xml:space="preserve"> 18.30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564D1E" w14:textId="77777777" w:rsidR="00ED748D" w:rsidRDefault="00ED748D" w:rsidP="002B23FD">
            <w:pPr>
              <w:pStyle w:val="TableDataEntries"/>
              <w:rPr>
                <w:lang w:val="en-GB"/>
              </w:rPr>
            </w:pPr>
            <w:r>
              <w:t>8 014.45</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D9643F" w14:textId="77777777" w:rsidR="00ED748D" w:rsidRDefault="00ED748D" w:rsidP="002B23FD">
            <w:pPr>
              <w:pStyle w:val="TableDataEntries"/>
              <w:rPr>
                <w:lang w:val="en-GB"/>
              </w:rPr>
            </w:pPr>
            <w:r>
              <w:t>4 512.14</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E79163" w14:textId="77777777" w:rsidR="00ED748D" w:rsidRDefault="00ED748D" w:rsidP="002B23FD">
            <w:pPr>
              <w:pStyle w:val="TableDataEntries"/>
              <w:rPr>
                <w:lang w:val="en-GB"/>
              </w:rPr>
            </w:pPr>
            <w:r>
              <w:t xml:space="preserve"> 826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C16E44"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AFDE60" w14:textId="77777777" w:rsidR="00ED748D" w:rsidRDefault="00ED748D" w:rsidP="002B23FD">
            <w:pPr>
              <w:pStyle w:val="TableDataEntries"/>
              <w:rPr>
                <w:lang w:val="en-GB"/>
              </w:rPr>
            </w:pPr>
            <w:r>
              <w:t xml:space="preserve"> </w:t>
            </w:r>
            <w:r w:rsidR="001A32A7">
              <w:t>83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F2E123" w14:textId="77777777" w:rsidR="00ED748D" w:rsidRDefault="00ED748D" w:rsidP="002B23FD">
            <w:pPr>
              <w:pStyle w:val="TableDataEntries"/>
              <w:rPr>
                <w:lang w:val="en-GB"/>
              </w:rPr>
            </w:pPr>
            <w:r>
              <w:t xml:space="preserve"> </w:t>
            </w:r>
            <w:r w:rsidR="001A32A7">
              <w:t>306</w:t>
            </w:r>
          </w:p>
        </w:tc>
      </w:tr>
      <w:tr w:rsidR="00ED748D" w14:paraId="5B4378E0"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BF9EF" w14:textId="77777777" w:rsidR="00ED748D" w:rsidRDefault="00ED748D" w:rsidP="002B23FD">
            <w:pPr>
              <w:pStyle w:val="TableDataEntries"/>
              <w:jc w:val="left"/>
              <w:rPr>
                <w:lang w:val="en-GB"/>
              </w:rPr>
            </w:pPr>
            <w:r>
              <w:rPr>
                <w:lang w:val="en-GB"/>
              </w:rPr>
              <w:t xml:space="preserve">85 to 89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9FECC9" w14:textId="77777777" w:rsidR="00ED748D" w:rsidRDefault="00ED748D" w:rsidP="002B23FD">
            <w:pPr>
              <w:pStyle w:val="TableDataEntries"/>
              <w:rPr>
                <w:lang w:val="en-GB"/>
              </w:rPr>
            </w:pPr>
            <w:r>
              <w:t xml:space="preserve"> 13.00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4BC63E" w14:textId="77777777" w:rsidR="00ED748D" w:rsidRDefault="00ED748D" w:rsidP="002B23FD">
            <w:pPr>
              <w:pStyle w:val="TableDataEntries"/>
              <w:rPr>
                <w:lang w:val="en-GB"/>
              </w:rPr>
            </w:pPr>
            <w:r>
              <w:t>18 702.50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010FAA" w14:textId="77777777" w:rsidR="00ED748D" w:rsidRDefault="00ED748D" w:rsidP="002B23FD">
            <w:pPr>
              <w:pStyle w:val="TableDataEntries"/>
              <w:rPr>
                <w:lang w:val="en-GB"/>
              </w:rPr>
            </w:pPr>
            <w:r>
              <w:t>10 529.51</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C2D01E" w14:textId="77777777" w:rsidR="00ED748D" w:rsidRDefault="00ED748D" w:rsidP="002B23FD">
            <w:pPr>
              <w:pStyle w:val="TableDataEntries"/>
              <w:rPr>
                <w:lang w:val="en-GB"/>
              </w:rPr>
            </w:pPr>
            <w:r>
              <w:t>1 369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B6BCFB"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7CB7DB" w14:textId="77777777" w:rsidR="00ED748D" w:rsidRDefault="00ED748D" w:rsidP="002B23FD">
            <w:pPr>
              <w:pStyle w:val="TableDataEntries"/>
              <w:rPr>
                <w:lang w:val="en-GB"/>
              </w:rPr>
            </w:pPr>
            <w:r>
              <w:t xml:space="preserve"> </w:t>
            </w:r>
            <w:r w:rsidR="001A32A7">
              <w:t>137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A6421F" w14:textId="77777777" w:rsidR="00ED748D" w:rsidRDefault="00ED748D" w:rsidP="002B23FD">
            <w:pPr>
              <w:pStyle w:val="TableDataEntries"/>
              <w:rPr>
                <w:lang w:val="en-GB"/>
              </w:rPr>
            </w:pPr>
            <w:r>
              <w:t xml:space="preserve"> </w:t>
            </w:r>
            <w:r w:rsidR="001A32A7">
              <w:t>506</w:t>
            </w:r>
          </w:p>
        </w:tc>
      </w:tr>
      <w:tr w:rsidR="00ED748D" w14:paraId="108F54E1"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810C81" w14:textId="77777777" w:rsidR="00ED748D" w:rsidRDefault="00ED748D" w:rsidP="002B23FD">
            <w:pPr>
              <w:pStyle w:val="TableDataEntries"/>
              <w:jc w:val="left"/>
              <w:rPr>
                <w:lang w:val="en-GB"/>
              </w:rPr>
            </w:pPr>
            <w:r>
              <w:rPr>
                <w:lang w:val="en-GB"/>
              </w:rPr>
              <w:t xml:space="preserve">90 to 94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C9969D" w14:textId="77777777" w:rsidR="00ED748D" w:rsidRDefault="00ED748D" w:rsidP="002B23FD">
            <w:pPr>
              <w:pStyle w:val="TableDataEntries"/>
              <w:rPr>
                <w:lang w:val="en-GB"/>
              </w:rPr>
            </w:pPr>
            <w:r>
              <w:t xml:space="preserve"> 7.70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A3F880" w14:textId="77777777" w:rsidR="00ED748D" w:rsidRDefault="00ED748D" w:rsidP="002B23FD">
            <w:pPr>
              <w:pStyle w:val="TableDataEntries"/>
              <w:rPr>
                <w:lang w:val="en-GB"/>
              </w:rPr>
            </w:pPr>
            <w:r>
              <w:t>16 130.17</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811CD1" w14:textId="77777777" w:rsidR="00ED748D" w:rsidRDefault="00ED748D" w:rsidP="002B23FD">
            <w:pPr>
              <w:pStyle w:val="TableDataEntries"/>
              <w:rPr>
                <w:lang w:val="en-GB"/>
              </w:rPr>
            </w:pPr>
            <w:r>
              <w:t>9 081.29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3B615A" w14:textId="77777777" w:rsidR="00ED748D" w:rsidRDefault="00ED748D" w:rsidP="002B23FD">
            <w:pPr>
              <w:pStyle w:val="TableDataEntries"/>
              <w:rPr>
                <w:lang w:val="en-GB"/>
              </w:rPr>
            </w:pPr>
            <w:r>
              <w:t xml:space="preserve"> 699</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12BB53"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A91BEA" w14:textId="77777777" w:rsidR="00ED748D" w:rsidRDefault="00ED748D" w:rsidP="002B23FD">
            <w:pPr>
              <w:pStyle w:val="TableDataEntries"/>
              <w:rPr>
                <w:lang w:val="en-GB"/>
              </w:rPr>
            </w:pPr>
            <w:r>
              <w:t xml:space="preserve"> </w:t>
            </w:r>
            <w:r w:rsidR="001A32A7">
              <w:t>70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A0EC20" w14:textId="77777777" w:rsidR="00ED748D" w:rsidRDefault="00ED748D" w:rsidP="002B23FD">
            <w:pPr>
              <w:pStyle w:val="TableDataEntries"/>
              <w:rPr>
                <w:lang w:val="en-GB"/>
              </w:rPr>
            </w:pPr>
            <w:r>
              <w:t xml:space="preserve"> </w:t>
            </w:r>
            <w:r w:rsidR="001A32A7">
              <w:t>259</w:t>
            </w:r>
          </w:p>
        </w:tc>
      </w:tr>
      <w:tr w:rsidR="00ED748D" w14:paraId="094EEF03" w14:textId="77777777" w:rsidTr="002B23FD">
        <w:trPr>
          <w:trHeight w:val="230"/>
        </w:trPr>
        <w:tc>
          <w:tcPr>
            <w:tcW w:w="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B7F9A1" w14:textId="77777777" w:rsidR="00ED748D" w:rsidRDefault="00ED748D" w:rsidP="002B23FD">
            <w:pPr>
              <w:pStyle w:val="TableDataEntries"/>
              <w:jc w:val="left"/>
              <w:rPr>
                <w:lang w:val="en-GB"/>
              </w:rPr>
            </w:pPr>
            <w:r>
              <w:rPr>
                <w:lang w:val="en-GB"/>
              </w:rPr>
              <w:t xml:space="preserve">95+ </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F070AD" w14:textId="77777777" w:rsidR="00ED748D" w:rsidRDefault="00ED748D" w:rsidP="002B23FD">
            <w:pPr>
              <w:pStyle w:val="TableDataEntries"/>
              <w:rPr>
                <w:lang w:val="en-GB"/>
              </w:rPr>
            </w:pPr>
            <w:r>
              <w:t xml:space="preserve"> 4.00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1F78DB" w14:textId="77777777" w:rsidR="00ED748D" w:rsidRDefault="00ED748D" w:rsidP="002B23FD">
            <w:pPr>
              <w:pStyle w:val="TableDataEntries"/>
              <w:rPr>
                <w:lang w:val="en-GB"/>
              </w:rPr>
            </w:pPr>
            <w:r>
              <w:t>54 601.06</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6C6BDD" w14:textId="77777777" w:rsidR="00ED748D" w:rsidRDefault="00ED748D" w:rsidP="002B23FD">
            <w:pPr>
              <w:pStyle w:val="TableDataEntries"/>
              <w:rPr>
                <w:lang w:val="en-GB"/>
              </w:rPr>
            </w:pPr>
            <w:r>
              <w:t>30 740.40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72ABF6" w14:textId="77777777" w:rsidR="00ED748D" w:rsidRDefault="00ED748D" w:rsidP="002B23FD">
            <w:pPr>
              <w:pStyle w:val="TableDataEntries"/>
              <w:rPr>
                <w:lang w:val="en-GB"/>
              </w:rPr>
            </w:pPr>
            <w:r>
              <w:t>1 230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3C02C9" w14:textId="77777777" w:rsidR="00ED748D" w:rsidRDefault="00ED748D" w:rsidP="002B23FD">
            <w:pPr>
              <w:pStyle w:val="TableDataEntries"/>
              <w:rPr>
                <w:lang w:val="en-GB"/>
              </w:rPr>
            </w:pPr>
            <w:r>
              <w:t xml:space="preserve"> </w:t>
            </w:r>
            <w:r w:rsidR="001A32A7">
              <w:t>0</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43D420" w14:textId="77777777" w:rsidR="00ED748D" w:rsidRDefault="00ED748D" w:rsidP="002B23FD">
            <w:pPr>
              <w:pStyle w:val="TableDataEntries"/>
              <w:rPr>
                <w:lang w:val="en-GB"/>
              </w:rPr>
            </w:pPr>
            <w:r>
              <w:t xml:space="preserve"> </w:t>
            </w:r>
            <w:r w:rsidR="001A32A7">
              <w:t>123</w:t>
            </w:r>
          </w:p>
        </w:tc>
        <w:tc>
          <w:tcPr>
            <w:tcW w:w="10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2DBA40" w14:textId="77777777" w:rsidR="00ED748D" w:rsidRDefault="00ED748D" w:rsidP="002B23FD">
            <w:pPr>
              <w:pStyle w:val="TableDataEntries"/>
              <w:rPr>
                <w:lang w:val="en-GB"/>
              </w:rPr>
            </w:pPr>
            <w:r>
              <w:t xml:space="preserve"> </w:t>
            </w:r>
            <w:r w:rsidR="001A32A7">
              <w:t>455</w:t>
            </w:r>
          </w:p>
        </w:tc>
      </w:tr>
      <w:tr w:rsidR="00ED748D" w:rsidRPr="00801E43" w14:paraId="324C46DE" w14:textId="77777777" w:rsidTr="002B23FD">
        <w:trPr>
          <w:trHeight w:val="230"/>
        </w:trPr>
        <w:tc>
          <w:tcPr>
            <w:tcW w:w="81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433FDB0" w14:textId="77777777" w:rsidR="00ED748D" w:rsidRPr="00801E43" w:rsidRDefault="00ED748D" w:rsidP="002B23FD">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9981A3C"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 xml:space="preserve"> 325.10</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B334CB5" w14:textId="77777777" w:rsidR="00ED748D" w:rsidRPr="00801E43" w:rsidRDefault="00ED748D" w:rsidP="002B23FD">
            <w:pPr>
              <w:pStyle w:val="TableDataEntries"/>
              <w:rPr>
                <w:rFonts w:ascii="Franklin Gothic Demi" w:hAnsi="Franklin Gothic Demi"/>
                <w:lang w:val="en-GB"/>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A129E96" w14:textId="77777777" w:rsidR="00ED748D" w:rsidRPr="00801E43" w:rsidRDefault="00ED748D" w:rsidP="002B23FD">
            <w:pPr>
              <w:pStyle w:val="TableDataEntries"/>
              <w:rPr>
                <w:rFonts w:ascii="Franklin Gothic Demi" w:hAnsi="Franklin Gothic Demi"/>
                <w:lang w:val="en-GB"/>
              </w:rPr>
            </w:pP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75AAA73"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13 232</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C49BBF7" w14:textId="77777777" w:rsidR="00ED748D" w:rsidRPr="00801E43" w:rsidRDefault="001A32A7" w:rsidP="002B23FD">
            <w:pPr>
              <w:pStyle w:val="TableDataEntries"/>
              <w:rPr>
                <w:rFonts w:ascii="Franklin Gothic Demi" w:hAnsi="Franklin Gothic Demi"/>
                <w:lang w:val="en-GB"/>
              </w:rPr>
            </w:pPr>
            <w:r>
              <w:rPr>
                <w:rFonts w:ascii="Franklin Gothic Demi" w:hAnsi="Franklin Gothic Demi"/>
              </w:rPr>
              <w:t>0</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3BCE9CB" w14:textId="77777777" w:rsidR="00ED748D" w:rsidRPr="00801E43" w:rsidRDefault="001A32A7" w:rsidP="002B23FD">
            <w:pPr>
              <w:pStyle w:val="TableDataEntries"/>
              <w:rPr>
                <w:rFonts w:ascii="Franklin Gothic Demi" w:hAnsi="Franklin Gothic Demi"/>
                <w:lang w:val="en-GB"/>
              </w:rPr>
            </w:pPr>
            <w:r>
              <w:rPr>
                <w:rFonts w:ascii="Franklin Gothic Demi" w:hAnsi="Franklin Gothic Demi"/>
              </w:rPr>
              <w:t>1 323</w:t>
            </w:r>
          </w:p>
        </w:tc>
        <w:tc>
          <w:tcPr>
            <w:tcW w:w="10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161DC46" w14:textId="77777777" w:rsidR="00ED748D" w:rsidRPr="00801E43" w:rsidRDefault="001A32A7" w:rsidP="002B23FD">
            <w:pPr>
              <w:pStyle w:val="TableDataEntries"/>
              <w:rPr>
                <w:rFonts w:ascii="Franklin Gothic Demi" w:hAnsi="Franklin Gothic Demi"/>
                <w:lang w:val="en-GB"/>
              </w:rPr>
            </w:pPr>
            <w:r>
              <w:rPr>
                <w:rFonts w:ascii="Franklin Gothic Demi" w:hAnsi="Franklin Gothic Demi"/>
              </w:rPr>
              <w:t>4 896</w:t>
            </w:r>
          </w:p>
        </w:tc>
      </w:tr>
    </w:tbl>
    <w:p w14:paraId="33477988" w14:textId="77777777" w:rsidR="00ED748D" w:rsidRPr="00E4232C" w:rsidRDefault="00ED748D" w:rsidP="00ED748D">
      <w:pPr>
        <w:pStyle w:val="Note"/>
      </w:pPr>
      <w:r w:rsidRPr="00E4232C">
        <w:rPr>
          <w:rStyle w:val="NoteLabel"/>
        </w:rPr>
        <w:t>a</w:t>
      </w:r>
      <w:r>
        <w:t xml:space="preserve"> Based on 2018 SDAC data. Population at risk of falls due to inaccessible housing defined as </w:t>
      </w:r>
      <w:r w:rsidR="00E57409">
        <w:t>people that</w:t>
      </w:r>
      <w:r>
        <w:t>: have a mobility limitation; either require assistance or have trouble moving around their place of residence; live in a household; and live in a dwelling that has not been modified to meet their need</w:t>
      </w:r>
      <w:r w:rsidR="009C53D0">
        <w:t>s</w:t>
      </w:r>
      <w:r>
        <w:t xml:space="preserve">. </w:t>
      </w:r>
      <w:r w:rsidRPr="00845C4B">
        <w:rPr>
          <w:rStyle w:val="NoteLabel"/>
        </w:rPr>
        <w:t>b</w:t>
      </w:r>
      <w:r>
        <w:t xml:space="preserve"> Based on non</w:t>
      </w:r>
      <w:r>
        <w:noBreakHyphen/>
        <w:t>hospital treatment rates from the community (i.e. excluding residential aged care) in NSW in 2006</w:t>
      </w:r>
      <w:r>
        <w:noBreakHyphen/>
        <w:t xml:space="preserve">07 reported in UNSW, 2010, p. 28. </w:t>
      </w:r>
      <w:r w:rsidRPr="00845C4B">
        <w:rPr>
          <w:rStyle w:val="NoteLabel"/>
        </w:rPr>
        <w:t>c</w:t>
      </w:r>
      <w:r>
        <w:t xml:space="preserve"> Adjusted based on 56.3 per cent of falls resulting in emergency department attendance occurring at home as reported in Stathakis, V. Gray, S. and Berecki</w:t>
      </w:r>
      <w:r>
        <w:noBreakHyphen/>
        <w:t xml:space="preserve">Gisolf, J. 2015, p. 2. </w:t>
      </w:r>
      <w:r>
        <w:rPr>
          <w:rStyle w:val="NoteLabel"/>
        </w:rPr>
        <w:t xml:space="preserve">d </w:t>
      </w:r>
      <w:r>
        <w:t xml:space="preserve">Based on accessible housing reducing falls by 27 per cent. </w:t>
      </w:r>
      <w:r>
        <w:rPr>
          <w:rStyle w:val="NoteLabel"/>
        </w:rPr>
        <w:t xml:space="preserve">e </w:t>
      </w:r>
      <w:r>
        <w:t xml:space="preserve">Based on accessible housing reducing falls by 37 per cent. </w:t>
      </w:r>
      <w:r>
        <w:rPr>
          <w:rStyle w:val="NoteLabel"/>
        </w:rPr>
        <w:t xml:space="preserve">f </w:t>
      </w:r>
      <w:r>
        <w:t xml:space="preserve">Based on accessible housing reducing falls by 46 per cent. </w:t>
      </w:r>
    </w:p>
    <w:p w14:paraId="580E29CD" w14:textId="77777777" w:rsidR="00ED748D" w:rsidRPr="00280175" w:rsidRDefault="00ED748D" w:rsidP="00ED748D">
      <w:pPr>
        <w:pStyle w:val="Source"/>
        <w:rPr>
          <w:iCs/>
        </w:rPr>
      </w:pPr>
      <w:r w:rsidRPr="00280175">
        <w:rPr>
          <w:iCs/>
        </w:rPr>
        <w:t>Source: ABS Survey of Disability, Ageing and Carers 2018; University of NSW, The Incidence and Cost of Falls Injury Among Older People in New South Wales 2006/07, A Report to NSW Health, September 2010; Stathakis, V. Gray, S. and Berecki</w:t>
      </w:r>
      <w:r w:rsidRPr="00280175">
        <w:rPr>
          <w:iCs/>
        </w:rPr>
        <w:noBreakHyphen/>
        <w:t>Gisolf, J. 2015, “Fall</w:t>
      </w:r>
      <w:r w:rsidRPr="00280175">
        <w:rPr>
          <w:iCs/>
        </w:rPr>
        <w:noBreakHyphen/>
        <w:t>related injury profile for Victorians aged 65 years and older”, Hazard, Edition No. 80, Summer 2015, Victorian Injury Surveillance Unit, Monash University Accident Research Centre; CIE.</w:t>
      </w:r>
    </w:p>
    <w:p w14:paraId="32667DAF" w14:textId="77777777" w:rsidR="00EC65E7" w:rsidRDefault="00ED748D" w:rsidP="00ED748D">
      <w:pPr>
        <w:pStyle w:val="BodyText"/>
        <w:rPr>
          <w:lang w:bidi="fa-IR"/>
        </w:rPr>
      </w:pPr>
      <w:r>
        <w:rPr>
          <w:lang w:bidi="fa-IR"/>
        </w:rPr>
        <w:t xml:space="preserve">Based on the above estimates of the number of additional non-hospital treatments avoided due to people with accessibility needs living in </w:t>
      </w:r>
      <w:r w:rsidR="006E4FE9">
        <w:rPr>
          <w:lang w:bidi="fa-IR"/>
        </w:rPr>
        <w:t>in</w:t>
      </w:r>
      <w:r>
        <w:rPr>
          <w:lang w:bidi="fa-IR"/>
        </w:rPr>
        <w:t xml:space="preserve">accessible housing, </w:t>
      </w:r>
      <w:r w:rsidR="00481F6D">
        <w:rPr>
          <w:lang w:bidi="fa-IR"/>
        </w:rPr>
        <w:t xml:space="preserve">it is </w:t>
      </w:r>
      <w:r>
        <w:rPr>
          <w:lang w:bidi="fa-IR"/>
        </w:rPr>
        <w:t>estimate</w:t>
      </w:r>
      <w:r w:rsidR="00481F6D">
        <w:rPr>
          <w:lang w:bidi="fa-IR"/>
        </w:rPr>
        <w:t>d</w:t>
      </w:r>
      <w:r>
        <w:rPr>
          <w:lang w:bidi="fa-IR"/>
        </w:rPr>
        <w:t xml:space="preserve"> an additional cost of between </w:t>
      </w:r>
      <w:r w:rsidR="00451406">
        <w:rPr>
          <w:lang w:bidi="fa-IR"/>
        </w:rPr>
        <w:t>zero</w:t>
      </w:r>
      <w:r>
        <w:rPr>
          <w:lang w:bidi="fa-IR"/>
        </w:rPr>
        <w:t xml:space="preserve"> and $2.</w:t>
      </w:r>
      <w:r w:rsidR="00451406">
        <w:rPr>
          <w:lang w:bidi="fa-IR"/>
        </w:rPr>
        <w:t>2</w:t>
      </w:r>
      <w:r>
        <w:rPr>
          <w:lang w:bidi="fa-IR"/>
        </w:rPr>
        <w:t> million per year, with a central case estimate of around $</w:t>
      </w:r>
      <w:r w:rsidR="00451406">
        <w:rPr>
          <w:lang w:bidi="fa-IR"/>
        </w:rPr>
        <w:t>0</w:t>
      </w:r>
      <w:r>
        <w:rPr>
          <w:lang w:bidi="fa-IR"/>
        </w:rPr>
        <w:t>.</w:t>
      </w:r>
      <w:r w:rsidR="00451406">
        <w:rPr>
          <w:lang w:bidi="fa-IR"/>
        </w:rPr>
        <w:t>6</w:t>
      </w:r>
      <w:r>
        <w:rPr>
          <w:lang w:bidi="fa-IR"/>
        </w:rPr>
        <w:t> million per year</w:t>
      </w:r>
      <w:r w:rsidR="006E4FE9">
        <w:rPr>
          <w:lang w:bidi="fa-IR"/>
        </w:rPr>
        <w:t xml:space="preserve"> (table B.13)</w:t>
      </w:r>
      <w:r>
        <w:rPr>
          <w:lang w:bidi="fa-IR"/>
        </w:rPr>
        <w:t xml:space="preserve">. </w:t>
      </w:r>
      <w:r w:rsidR="00FD5F51">
        <w:rPr>
          <w:lang w:bidi="fa-IR"/>
        </w:rPr>
        <w:t>Health care costs are based on the average cost reported in UNSW (2010) inflated to 2019 dollar terms, using the national CPI.</w:t>
      </w:r>
      <w:r w:rsidR="00FD5F51">
        <w:rPr>
          <w:rStyle w:val="FootnoteReference"/>
          <w:lang w:bidi="fa-IR"/>
        </w:rPr>
        <w:footnoteReference w:id="469"/>
      </w:r>
    </w:p>
    <w:p w14:paraId="20F05EBE" w14:textId="77777777" w:rsidR="00EC65E7" w:rsidRDefault="00EC65E7">
      <w:pPr>
        <w:spacing w:before="140"/>
        <w:rPr>
          <w:rFonts w:asciiTheme="minorHAnsi" w:eastAsia="Times New Roman" w:hAnsiTheme="minorHAnsi"/>
          <w:lang w:bidi="fa-IR"/>
        </w:rPr>
      </w:pPr>
      <w:r>
        <w:rPr>
          <w:lang w:bidi="fa-IR"/>
        </w:rPr>
        <w:br w:type="page"/>
      </w:r>
    </w:p>
    <w:p w14:paraId="406F7365" w14:textId="382D2424" w:rsidR="00ED748D" w:rsidRDefault="00B27E24" w:rsidP="00ED748D">
      <w:pPr>
        <w:pStyle w:val="Caption"/>
        <w:ind w:left="568" w:hanging="568"/>
      </w:pPr>
      <w:bookmarkStart w:id="686" w:name="_Toc45654204"/>
      <w:bookmarkStart w:id="687" w:name="_Toc44598573"/>
      <w:bookmarkStart w:id="688" w:name="_Toc44695945"/>
      <w:bookmarkStart w:id="689" w:name="_Toc57643680"/>
      <w:bookmarkStart w:id="690" w:name="_Toc70505627"/>
      <w:r>
        <w:t>B.13</w:t>
      </w:r>
      <w:r w:rsidR="00ED748D" w:rsidRPr="00695C93">
        <w:tab/>
      </w:r>
      <w:r w:rsidR="00ED748D">
        <w:t>Estimated cost of additional non</w:t>
      </w:r>
      <w:r w:rsidR="00ED748D">
        <w:noBreakHyphen/>
        <w:t>hospital treatments due to inaccessible housing</w:t>
      </w:r>
      <w:bookmarkEnd w:id="686"/>
      <w:bookmarkEnd w:id="687"/>
      <w:bookmarkEnd w:id="688"/>
      <w:bookmarkEnd w:id="689"/>
      <w:bookmarkEnd w:id="690"/>
    </w:p>
    <w:tbl>
      <w:tblPr>
        <w:tblW w:w="7939" w:type="dxa"/>
        <w:tblLayout w:type="fixed"/>
        <w:tblLook w:val="0000" w:firstRow="0" w:lastRow="0" w:firstColumn="0" w:lastColumn="0" w:noHBand="0" w:noVBand="0"/>
        <w:tblCaption w:val="Table B.13: Estimated cost of additional non hospital treatments due to inaccessible housing"/>
        <w:tblDescription w:val="Table B.13 lists the estimated cost of additional non-hospital treatments due to inaccessible housing, grouped by age. The total central case estimate is $580,000, and the high estimate is $2,150,000."/>
      </w:tblPr>
      <w:tblGrid>
        <w:gridCol w:w="2119"/>
        <w:gridCol w:w="1509"/>
        <w:gridCol w:w="1437"/>
        <w:gridCol w:w="1437"/>
        <w:gridCol w:w="1437"/>
      </w:tblGrid>
      <w:tr w:rsidR="00696C70" w14:paraId="73397C2F" w14:textId="77777777" w:rsidTr="00D13F4A">
        <w:trPr>
          <w:trHeight w:val="749"/>
          <w:tblHeader/>
        </w:trPr>
        <w:tc>
          <w:tcPr>
            <w:tcW w:w="2119" w:type="dxa"/>
            <w:shd w:val="clear" w:color="auto" w:fill="6F6652"/>
            <w:tcMar>
              <w:left w:w="57" w:type="dxa"/>
              <w:right w:w="57" w:type="dxa"/>
            </w:tcMar>
          </w:tcPr>
          <w:p w14:paraId="0EAAB167" w14:textId="77777777" w:rsidR="00696C70" w:rsidRDefault="002C4208" w:rsidP="002B23FD">
            <w:pPr>
              <w:pStyle w:val="TableDataColumnHeading"/>
              <w:jc w:val="left"/>
              <w:rPr>
                <w:lang w:val="en-GB"/>
              </w:rPr>
            </w:pPr>
            <w:r>
              <w:rPr>
                <w:lang w:val="en-GB"/>
              </w:rPr>
              <w:t>Age</w:t>
            </w:r>
            <w:r w:rsidR="007A22A8">
              <w:rPr>
                <w:lang w:val="en-GB"/>
              </w:rPr>
              <w:t xml:space="preserve"> group</w:t>
            </w:r>
          </w:p>
        </w:tc>
        <w:tc>
          <w:tcPr>
            <w:tcW w:w="1509" w:type="dxa"/>
            <w:shd w:val="clear" w:color="auto" w:fill="6F6652"/>
            <w:tcMar>
              <w:left w:w="57" w:type="dxa"/>
              <w:right w:w="57" w:type="dxa"/>
            </w:tcMar>
          </w:tcPr>
          <w:p w14:paraId="45646960" w14:textId="77777777" w:rsidR="00696C70" w:rsidRDefault="00696C70" w:rsidP="002B23FD">
            <w:pPr>
              <w:pStyle w:val="TableDataColumnHeading"/>
              <w:rPr>
                <w:lang w:val="en-GB"/>
              </w:rPr>
            </w:pPr>
            <w:r>
              <w:rPr>
                <w:lang w:val="en-GB"/>
              </w:rPr>
              <w:t>Average cost per non</w:t>
            </w:r>
            <w:r>
              <w:rPr>
                <w:lang w:val="en-GB"/>
              </w:rPr>
              <w:noBreakHyphen/>
              <w:t>hospital treatment</w:t>
            </w:r>
            <w:r w:rsidRPr="00C20B6B">
              <w:rPr>
                <w:rStyle w:val="NoteLabel"/>
              </w:rPr>
              <w:t>a</w:t>
            </w:r>
          </w:p>
        </w:tc>
        <w:tc>
          <w:tcPr>
            <w:tcW w:w="4311" w:type="dxa"/>
            <w:gridSpan w:val="3"/>
            <w:shd w:val="clear" w:color="auto" w:fill="6F6652"/>
            <w:tcMar>
              <w:left w:w="57" w:type="dxa"/>
              <w:right w:w="57" w:type="dxa"/>
            </w:tcMar>
          </w:tcPr>
          <w:p w14:paraId="382B611E" w14:textId="77777777" w:rsidR="00696C70" w:rsidRDefault="00696C70" w:rsidP="002B23FD">
            <w:pPr>
              <w:pStyle w:val="TableDataColumnHeading"/>
              <w:jc w:val="center"/>
              <w:rPr>
                <w:lang w:val="en-GB"/>
              </w:rPr>
            </w:pPr>
            <w:r>
              <w:rPr>
                <w:lang w:val="en-GB"/>
              </w:rPr>
              <w:t>Cost of additional non</w:t>
            </w:r>
            <w:r>
              <w:rPr>
                <w:lang w:val="en-GB"/>
              </w:rPr>
              <w:noBreakHyphen/>
              <w:t>hospital treatments due to inaccessible housing</w:t>
            </w:r>
          </w:p>
        </w:tc>
      </w:tr>
      <w:tr w:rsidR="00ED748D" w:rsidRPr="005A1FB8" w14:paraId="34966A9B" w14:textId="77777777" w:rsidTr="005A1FB8">
        <w:trPr>
          <w:trHeight w:val="64"/>
          <w:tblHeader/>
        </w:trPr>
        <w:tc>
          <w:tcPr>
            <w:tcW w:w="2119" w:type="dxa"/>
            <w:shd w:val="clear" w:color="auto" w:fill="6F6652"/>
            <w:tcMar>
              <w:left w:w="57" w:type="dxa"/>
              <w:right w:w="57" w:type="dxa"/>
            </w:tcMar>
          </w:tcPr>
          <w:p w14:paraId="7F5E116E" w14:textId="77777777" w:rsidR="00ED748D" w:rsidRPr="005A1FB8" w:rsidRDefault="00ED748D" w:rsidP="005A1FB8">
            <w:pPr>
              <w:pStyle w:val="TableDataColumnHeading"/>
              <w:spacing w:before="0"/>
              <w:jc w:val="left"/>
              <w:rPr>
                <w:rFonts w:ascii="Franklin Gothic Medium" w:hAnsi="Franklin Gothic Medium"/>
                <w:lang w:val="en-GB"/>
              </w:rPr>
            </w:pPr>
          </w:p>
        </w:tc>
        <w:tc>
          <w:tcPr>
            <w:tcW w:w="1509" w:type="dxa"/>
            <w:shd w:val="clear" w:color="auto" w:fill="6F6652"/>
            <w:tcMar>
              <w:left w:w="57" w:type="dxa"/>
              <w:right w:w="57" w:type="dxa"/>
            </w:tcMar>
          </w:tcPr>
          <w:p w14:paraId="56CF9AA0" w14:textId="77777777" w:rsidR="00ED748D" w:rsidRPr="005A1FB8" w:rsidRDefault="00ED748D" w:rsidP="005A1FB8">
            <w:pPr>
              <w:pStyle w:val="TableDataColumnHeading"/>
              <w:spacing w:before="0"/>
              <w:rPr>
                <w:rFonts w:ascii="Franklin Gothic Medium" w:hAnsi="Franklin Gothic Medium"/>
                <w:lang w:val="en-GB"/>
              </w:rPr>
            </w:pPr>
          </w:p>
        </w:tc>
        <w:tc>
          <w:tcPr>
            <w:tcW w:w="1437" w:type="dxa"/>
            <w:shd w:val="clear" w:color="auto" w:fill="6F6652"/>
            <w:tcMar>
              <w:left w:w="57" w:type="dxa"/>
              <w:right w:w="57" w:type="dxa"/>
            </w:tcMar>
          </w:tcPr>
          <w:p w14:paraId="756BDB17"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Low estimate</w:t>
            </w:r>
          </w:p>
        </w:tc>
        <w:tc>
          <w:tcPr>
            <w:tcW w:w="1437" w:type="dxa"/>
            <w:shd w:val="clear" w:color="auto" w:fill="6F6652"/>
            <w:tcMar>
              <w:left w:w="57" w:type="dxa"/>
              <w:right w:w="57" w:type="dxa"/>
            </w:tcMar>
          </w:tcPr>
          <w:p w14:paraId="45C101EF"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Central case</w:t>
            </w:r>
          </w:p>
        </w:tc>
        <w:tc>
          <w:tcPr>
            <w:tcW w:w="1437" w:type="dxa"/>
            <w:shd w:val="clear" w:color="auto" w:fill="6F6652"/>
            <w:tcMar>
              <w:left w:w="57" w:type="dxa"/>
              <w:right w:w="57" w:type="dxa"/>
            </w:tcMar>
          </w:tcPr>
          <w:p w14:paraId="1873FBFA" w14:textId="77777777" w:rsidR="00ED748D" w:rsidRPr="005A1FB8" w:rsidRDefault="00ED748D" w:rsidP="005A1FB8">
            <w:pPr>
              <w:pStyle w:val="TableDataColumnHeading"/>
              <w:spacing w:before="0"/>
              <w:rPr>
                <w:rFonts w:ascii="Franklin Gothic Medium" w:hAnsi="Franklin Gothic Medium"/>
                <w:lang w:val="en-GB"/>
              </w:rPr>
            </w:pPr>
            <w:r w:rsidRPr="005A1FB8">
              <w:rPr>
                <w:rFonts w:ascii="Franklin Gothic Medium" w:hAnsi="Franklin Gothic Medium"/>
                <w:lang w:val="en-GB"/>
              </w:rPr>
              <w:t>High estimate</w:t>
            </w:r>
          </w:p>
        </w:tc>
      </w:tr>
      <w:tr w:rsidR="00ED748D" w14:paraId="7B4AA429" w14:textId="77777777" w:rsidTr="002B23FD">
        <w:trPr>
          <w:trHeight w:val="230"/>
          <w:tblHeader/>
        </w:trPr>
        <w:tc>
          <w:tcPr>
            <w:tcW w:w="2119" w:type="dxa"/>
            <w:tcBorders>
              <w:bottom w:val="single" w:sz="8" w:space="0" w:color="FFFFFF" w:themeColor="background1"/>
            </w:tcBorders>
            <w:shd w:val="clear" w:color="auto" w:fill="auto"/>
            <w:tcMar>
              <w:left w:w="57" w:type="dxa"/>
              <w:right w:w="57" w:type="dxa"/>
            </w:tcMar>
          </w:tcPr>
          <w:p w14:paraId="09848C69" w14:textId="77777777" w:rsidR="00ED748D" w:rsidRDefault="00ED748D" w:rsidP="002B23FD">
            <w:pPr>
              <w:pStyle w:val="TableUnit"/>
              <w:jc w:val="left"/>
              <w:rPr>
                <w:lang w:val="en-GB"/>
              </w:rPr>
            </w:pPr>
          </w:p>
        </w:tc>
        <w:tc>
          <w:tcPr>
            <w:tcW w:w="1509" w:type="dxa"/>
            <w:tcBorders>
              <w:bottom w:val="single" w:sz="8" w:space="0" w:color="FFFFFF" w:themeColor="background1"/>
            </w:tcBorders>
            <w:shd w:val="clear" w:color="auto" w:fill="auto"/>
            <w:tcMar>
              <w:left w:w="57" w:type="dxa"/>
              <w:right w:w="57" w:type="dxa"/>
            </w:tcMar>
          </w:tcPr>
          <w:p w14:paraId="3D0B524A" w14:textId="77777777" w:rsidR="00ED748D" w:rsidRDefault="00ED748D" w:rsidP="002B23FD">
            <w:pPr>
              <w:pStyle w:val="TableUnit"/>
              <w:rPr>
                <w:lang w:val="en-GB"/>
              </w:rPr>
            </w:pPr>
            <w:r>
              <w:rPr>
                <w:lang w:val="en-GB"/>
              </w:rPr>
              <w:t>$</w:t>
            </w:r>
          </w:p>
        </w:tc>
        <w:tc>
          <w:tcPr>
            <w:tcW w:w="1437" w:type="dxa"/>
            <w:tcBorders>
              <w:bottom w:val="single" w:sz="8" w:space="0" w:color="FFFFFF" w:themeColor="background1"/>
            </w:tcBorders>
            <w:shd w:val="clear" w:color="auto" w:fill="auto"/>
            <w:tcMar>
              <w:left w:w="57" w:type="dxa"/>
              <w:right w:w="57" w:type="dxa"/>
            </w:tcMar>
          </w:tcPr>
          <w:p w14:paraId="7660B8EC"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77A31FFB" w14:textId="77777777" w:rsidR="00ED748D" w:rsidRDefault="00ED748D" w:rsidP="002B23FD">
            <w:pPr>
              <w:pStyle w:val="TableUnit"/>
              <w:rPr>
                <w:lang w:val="en-GB"/>
              </w:rPr>
            </w:pPr>
            <w:r>
              <w:rPr>
                <w:lang w:val="en-GB"/>
              </w:rPr>
              <w:t>$ million</w:t>
            </w:r>
          </w:p>
        </w:tc>
        <w:tc>
          <w:tcPr>
            <w:tcW w:w="1437" w:type="dxa"/>
            <w:tcBorders>
              <w:bottom w:val="single" w:sz="8" w:space="0" w:color="FFFFFF" w:themeColor="background1"/>
            </w:tcBorders>
            <w:shd w:val="clear" w:color="auto" w:fill="auto"/>
            <w:tcMar>
              <w:left w:w="57" w:type="dxa"/>
              <w:right w:w="57" w:type="dxa"/>
            </w:tcMar>
          </w:tcPr>
          <w:p w14:paraId="480ECFE7" w14:textId="77777777" w:rsidR="00ED748D" w:rsidRDefault="00ED748D" w:rsidP="002B23FD">
            <w:pPr>
              <w:pStyle w:val="TableUnit"/>
              <w:rPr>
                <w:lang w:val="en-GB"/>
              </w:rPr>
            </w:pPr>
            <w:r>
              <w:rPr>
                <w:lang w:val="en-GB"/>
              </w:rPr>
              <w:t>$ million</w:t>
            </w:r>
          </w:p>
        </w:tc>
      </w:tr>
      <w:tr w:rsidR="00ED748D" w14:paraId="71114689"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88B187" w14:textId="77777777" w:rsidR="00ED748D" w:rsidRDefault="00ED748D" w:rsidP="002B23FD">
            <w:pPr>
              <w:pStyle w:val="TableDataEntries"/>
              <w:jc w:val="left"/>
              <w:rPr>
                <w:lang w:val="en-GB"/>
              </w:rPr>
            </w:pPr>
            <w:r>
              <w:rPr>
                <w:lang w:val="en-GB"/>
              </w:rPr>
              <w:t>0 to 4 years</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0F72F8"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BA4F5D"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837043"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768D23" w14:textId="77777777" w:rsidR="00ED748D" w:rsidRDefault="00ED748D" w:rsidP="002B23FD">
            <w:pPr>
              <w:pStyle w:val="TableDataEntries"/>
              <w:rPr>
                <w:lang w:val="en-GB"/>
              </w:rPr>
            </w:pPr>
            <w:r>
              <w:t xml:space="preserve"> 0.04</w:t>
            </w:r>
          </w:p>
        </w:tc>
      </w:tr>
      <w:tr w:rsidR="00ED748D" w14:paraId="2943DFC7"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CBF945" w14:textId="77777777" w:rsidR="00ED748D" w:rsidRDefault="00ED748D" w:rsidP="002B23FD">
            <w:pPr>
              <w:pStyle w:val="TableDataEntries"/>
              <w:jc w:val="left"/>
              <w:rPr>
                <w:lang w:val="en-GB"/>
              </w:rPr>
            </w:pPr>
            <w:r>
              <w:rPr>
                <w:lang w:val="en-GB"/>
              </w:rPr>
              <w:t>5 to 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269D84"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759571"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F2C446"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60A26C" w14:textId="77777777" w:rsidR="00ED748D" w:rsidRDefault="00ED748D" w:rsidP="002B23FD">
            <w:pPr>
              <w:pStyle w:val="TableDataEntries"/>
              <w:rPr>
                <w:lang w:val="en-GB"/>
              </w:rPr>
            </w:pPr>
            <w:r>
              <w:t xml:space="preserve"> 0.</w:t>
            </w:r>
            <w:r w:rsidR="003B06F8">
              <w:t>03</w:t>
            </w:r>
          </w:p>
        </w:tc>
      </w:tr>
      <w:tr w:rsidR="00ED748D" w14:paraId="51419E4E"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ECA744" w14:textId="77777777" w:rsidR="00ED748D" w:rsidRDefault="00ED748D" w:rsidP="002B23FD">
            <w:pPr>
              <w:pStyle w:val="TableDataEntries"/>
              <w:jc w:val="left"/>
              <w:rPr>
                <w:lang w:val="en-GB"/>
              </w:rPr>
            </w:pPr>
            <w:r>
              <w:rPr>
                <w:lang w:val="en-GB"/>
              </w:rPr>
              <w:t>10 to 14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D9AA9B"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72BA0D"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5851FA"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4DA1B7" w14:textId="77777777" w:rsidR="00ED748D" w:rsidRDefault="00ED748D" w:rsidP="002B23FD">
            <w:pPr>
              <w:pStyle w:val="TableDataEntries"/>
              <w:rPr>
                <w:lang w:val="en-GB"/>
              </w:rPr>
            </w:pPr>
            <w:r>
              <w:t xml:space="preserve"> 0.03</w:t>
            </w:r>
          </w:p>
        </w:tc>
      </w:tr>
      <w:tr w:rsidR="00ED748D" w14:paraId="5980EEF3"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62F259" w14:textId="77777777" w:rsidR="00ED748D" w:rsidRDefault="00ED748D" w:rsidP="002B23FD">
            <w:pPr>
              <w:pStyle w:val="TableDataEntries"/>
              <w:jc w:val="left"/>
              <w:rPr>
                <w:lang w:val="en-GB"/>
              </w:rPr>
            </w:pPr>
            <w:r>
              <w:rPr>
                <w:lang w:val="en-GB"/>
              </w:rPr>
              <w:t>15 to 19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F81C45"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615809"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7B2A5B"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14E423" w14:textId="77777777" w:rsidR="00ED748D" w:rsidRDefault="00ED748D" w:rsidP="002B23FD">
            <w:pPr>
              <w:pStyle w:val="TableDataEntries"/>
              <w:rPr>
                <w:lang w:val="en-GB"/>
              </w:rPr>
            </w:pPr>
            <w:r>
              <w:t xml:space="preserve"> 0.</w:t>
            </w:r>
            <w:r w:rsidR="003B06F8">
              <w:t>04</w:t>
            </w:r>
          </w:p>
        </w:tc>
      </w:tr>
      <w:tr w:rsidR="00ED748D" w14:paraId="19FB870F"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5BD11F" w14:textId="77777777" w:rsidR="00ED748D" w:rsidRDefault="00ED748D" w:rsidP="002B23FD">
            <w:pPr>
              <w:pStyle w:val="TableDataEntries"/>
              <w:jc w:val="left"/>
              <w:rPr>
                <w:lang w:val="en-GB"/>
              </w:rPr>
            </w:pPr>
            <w:r>
              <w:rPr>
                <w:lang w:val="en-GB"/>
              </w:rPr>
              <w:t>20 to 24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725ADE"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14D0DC"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9D7C70"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BB9979" w14:textId="77777777" w:rsidR="00ED748D" w:rsidRDefault="00ED748D" w:rsidP="002B23FD">
            <w:pPr>
              <w:pStyle w:val="TableDataEntries"/>
              <w:rPr>
                <w:lang w:val="en-GB"/>
              </w:rPr>
            </w:pPr>
            <w:r>
              <w:t xml:space="preserve"> 0.</w:t>
            </w:r>
            <w:r w:rsidR="003B06F8">
              <w:t>02</w:t>
            </w:r>
          </w:p>
        </w:tc>
      </w:tr>
      <w:tr w:rsidR="00ED748D" w14:paraId="41092BDF"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790498" w14:textId="77777777" w:rsidR="00ED748D" w:rsidRDefault="00ED748D" w:rsidP="002B23FD">
            <w:pPr>
              <w:pStyle w:val="TableDataEntries"/>
              <w:jc w:val="left"/>
              <w:rPr>
                <w:lang w:val="en-GB"/>
              </w:rPr>
            </w:pPr>
            <w:r>
              <w:rPr>
                <w:lang w:val="en-GB"/>
              </w:rPr>
              <w:t>25 to 29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B21342"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99B53A"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CA3B6D"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5697C5" w14:textId="77777777" w:rsidR="00ED748D" w:rsidRDefault="00ED748D" w:rsidP="002B23FD">
            <w:pPr>
              <w:pStyle w:val="TableDataEntries"/>
              <w:rPr>
                <w:lang w:val="en-GB"/>
              </w:rPr>
            </w:pPr>
            <w:r>
              <w:t xml:space="preserve"> 0.</w:t>
            </w:r>
            <w:r w:rsidR="003B06F8">
              <w:t>04</w:t>
            </w:r>
          </w:p>
        </w:tc>
      </w:tr>
      <w:tr w:rsidR="00ED748D" w14:paraId="777C9E6F"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E4D28C" w14:textId="77777777" w:rsidR="00ED748D" w:rsidRDefault="00ED748D" w:rsidP="002B23FD">
            <w:pPr>
              <w:pStyle w:val="TableDataEntries"/>
              <w:jc w:val="left"/>
              <w:rPr>
                <w:lang w:val="en-GB"/>
              </w:rPr>
            </w:pPr>
            <w:r>
              <w:rPr>
                <w:lang w:val="en-GB"/>
              </w:rPr>
              <w:t>30 to 34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6DF1BE"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DFD84B"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79A005"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FCB370" w14:textId="77777777" w:rsidR="00ED748D" w:rsidRDefault="00ED748D" w:rsidP="002B23FD">
            <w:pPr>
              <w:pStyle w:val="TableDataEntries"/>
              <w:rPr>
                <w:lang w:val="en-GB"/>
              </w:rPr>
            </w:pPr>
            <w:r>
              <w:t xml:space="preserve"> 0.</w:t>
            </w:r>
            <w:r w:rsidR="003B06F8">
              <w:t>05</w:t>
            </w:r>
          </w:p>
        </w:tc>
      </w:tr>
      <w:tr w:rsidR="00ED748D" w14:paraId="6B93DAD0"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D704DC" w14:textId="77777777" w:rsidR="00ED748D" w:rsidRDefault="00ED748D" w:rsidP="002B23FD">
            <w:pPr>
              <w:pStyle w:val="TableDataEntries"/>
              <w:jc w:val="left"/>
              <w:rPr>
                <w:lang w:val="en-GB"/>
              </w:rPr>
            </w:pPr>
            <w:r>
              <w:rPr>
                <w:lang w:val="en-GB"/>
              </w:rPr>
              <w:t xml:space="preserve">35 to 39 </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E21B34"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3A64F9"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406F15" w14:textId="77777777" w:rsidR="00ED748D" w:rsidRDefault="00ED748D" w:rsidP="002B23FD">
            <w:pPr>
              <w:pStyle w:val="TableDataEntries"/>
              <w:rPr>
                <w:lang w:val="en-GB"/>
              </w:rPr>
            </w:pPr>
            <w:r>
              <w:t xml:space="preserve"> 0.</w:t>
            </w:r>
            <w:r w:rsidR="003B06F8">
              <w:t>01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F27589" w14:textId="77777777" w:rsidR="00ED748D" w:rsidRDefault="00ED748D" w:rsidP="002B23FD">
            <w:pPr>
              <w:pStyle w:val="TableDataEntries"/>
              <w:rPr>
                <w:lang w:val="en-GB"/>
              </w:rPr>
            </w:pPr>
            <w:r>
              <w:t xml:space="preserve"> 0.</w:t>
            </w:r>
            <w:r w:rsidR="003B06F8">
              <w:t>05</w:t>
            </w:r>
          </w:p>
        </w:tc>
      </w:tr>
      <w:tr w:rsidR="00ED748D" w14:paraId="6D428827"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3E59CC" w14:textId="77777777" w:rsidR="00ED748D" w:rsidRDefault="00ED748D" w:rsidP="002B23FD">
            <w:pPr>
              <w:pStyle w:val="TableDataEntries"/>
              <w:jc w:val="left"/>
              <w:rPr>
                <w:lang w:val="en-GB"/>
              </w:rPr>
            </w:pPr>
            <w:r>
              <w:rPr>
                <w:lang w:val="en-GB"/>
              </w:rPr>
              <w:t>40 to 44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07A0E1"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B3B34D"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F26976" w14:textId="77777777" w:rsidR="00ED748D" w:rsidRDefault="00ED748D" w:rsidP="002B23FD">
            <w:pPr>
              <w:pStyle w:val="TableDataEntries"/>
              <w:rPr>
                <w:lang w:val="en-GB"/>
              </w:rPr>
            </w:pPr>
            <w:r>
              <w:t xml:space="preserve"> 0.</w:t>
            </w:r>
            <w:r w:rsidR="003B06F8">
              <w:t>02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C4C190" w14:textId="77777777" w:rsidR="00ED748D" w:rsidRDefault="00ED748D" w:rsidP="002B23FD">
            <w:pPr>
              <w:pStyle w:val="TableDataEntries"/>
              <w:rPr>
                <w:lang w:val="en-GB"/>
              </w:rPr>
            </w:pPr>
            <w:r>
              <w:t xml:space="preserve"> 0.</w:t>
            </w:r>
            <w:r w:rsidR="003B06F8">
              <w:t>08</w:t>
            </w:r>
          </w:p>
        </w:tc>
      </w:tr>
      <w:tr w:rsidR="00ED748D" w14:paraId="19ABD77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6E2E04" w14:textId="77777777" w:rsidR="00ED748D" w:rsidRDefault="00ED748D" w:rsidP="002B23FD">
            <w:pPr>
              <w:pStyle w:val="TableDataEntries"/>
              <w:jc w:val="left"/>
              <w:rPr>
                <w:lang w:val="en-GB"/>
              </w:rPr>
            </w:pPr>
            <w:r>
              <w:rPr>
                <w:lang w:val="en-GB"/>
              </w:rPr>
              <w:t>45 to 49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E80E05"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6EA2FD"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6FC790" w14:textId="77777777" w:rsidR="00ED748D" w:rsidRDefault="00ED748D" w:rsidP="002B23FD">
            <w:pPr>
              <w:pStyle w:val="TableDataEntries"/>
              <w:rPr>
                <w:lang w:val="en-GB"/>
              </w:rPr>
            </w:pPr>
            <w:r>
              <w:t xml:space="preserve"> 0.</w:t>
            </w:r>
            <w:r w:rsidR="003B06F8">
              <w:t>03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479856" w14:textId="77777777" w:rsidR="00ED748D" w:rsidRDefault="00ED748D" w:rsidP="002B23FD">
            <w:pPr>
              <w:pStyle w:val="TableDataEntries"/>
              <w:rPr>
                <w:lang w:val="en-GB"/>
              </w:rPr>
            </w:pPr>
            <w:r>
              <w:t xml:space="preserve"> 0.</w:t>
            </w:r>
            <w:r w:rsidR="003B06F8">
              <w:t>11</w:t>
            </w:r>
          </w:p>
        </w:tc>
      </w:tr>
      <w:tr w:rsidR="00ED748D" w14:paraId="123C2AB2"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768B62" w14:textId="77777777" w:rsidR="00ED748D" w:rsidRDefault="00ED748D" w:rsidP="002B23FD">
            <w:pPr>
              <w:pStyle w:val="TableDataEntries"/>
              <w:jc w:val="left"/>
              <w:rPr>
                <w:lang w:val="en-GB"/>
              </w:rPr>
            </w:pPr>
            <w:r>
              <w:rPr>
                <w:lang w:val="en-GB"/>
              </w:rPr>
              <w:t>50 to 54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CE188E"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90AD12"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4C48D5" w14:textId="77777777" w:rsidR="00ED748D" w:rsidRDefault="00ED748D" w:rsidP="002B23FD">
            <w:pPr>
              <w:pStyle w:val="TableDataEntries"/>
              <w:rPr>
                <w:lang w:val="en-GB"/>
              </w:rPr>
            </w:pPr>
            <w:r>
              <w:t xml:space="preserve"> 0.</w:t>
            </w:r>
            <w:r w:rsidR="003B06F8">
              <w:t>03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92DD2E" w14:textId="77777777" w:rsidR="00ED748D" w:rsidRDefault="00ED748D" w:rsidP="002B23FD">
            <w:pPr>
              <w:pStyle w:val="TableDataEntries"/>
              <w:rPr>
                <w:lang w:val="en-GB"/>
              </w:rPr>
            </w:pPr>
            <w:r>
              <w:t xml:space="preserve"> 0.</w:t>
            </w:r>
            <w:r w:rsidR="003B06F8">
              <w:t>11</w:t>
            </w:r>
          </w:p>
        </w:tc>
      </w:tr>
      <w:tr w:rsidR="00ED748D" w14:paraId="7F175D74"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3EA13E" w14:textId="77777777" w:rsidR="00ED748D" w:rsidRDefault="00ED748D" w:rsidP="002B23FD">
            <w:pPr>
              <w:pStyle w:val="TableDataEntries"/>
              <w:jc w:val="left"/>
              <w:rPr>
                <w:lang w:val="en-GB"/>
              </w:rPr>
            </w:pPr>
            <w:r>
              <w:rPr>
                <w:lang w:val="en-GB"/>
              </w:rPr>
              <w:t>55 to 59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BC924D"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457873"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2AC3DF" w14:textId="77777777" w:rsidR="00ED748D" w:rsidRDefault="00ED748D" w:rsidP="002B23FD">
            <w:pPr>
              <w:pStyle w:val="TableDataEntries"/>
              <w:rPr>
                <w:lang w:val="en-GB"/>
              </w:rPr>
            </w:pPr>
            <w:r>
              <w:t xml:space="preserve"> 0.</w:t>
            </w:r>
            <w:r w:rsidR="003B06F8">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A911A9" w14:textId="77777777" w:rsidR="00ED748D" w:rsidRDefault="00ED748D" w:rsidP="002B23FD">
            <w:pPr>
              <w:pStyle w:val="TableDataEntries"/>
              <w:rPr>
                <w:lang w:val="en-GB"/>
              </w:rPr>
            </w:pPr>
            <w:r>
              <w:t xml:space="preserve"> 0.</w:t>
            </w:r>
            <w:r w:rsidR="003B06F8">
              <w:t>16</w:t>
            </w:r>
          </w:p>
        </w:tc>
      </w:tr>
      <w:tr w:rsidR="00ED748D" w14:paraId="72B4B61D"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691BE8" w14:textId="77777777" w:rsidR="00ED748D" w:rsidRDefault="00ED748D" w:rsidP="002B23FD">
            <w:pPr>
              <w:pStyle w:val="TableDataEntries"/>
              <w:jc w:val="left"/>
              <w:rPr>
                <w:lang w:val="en-GB"/>
              </w:rPr>
            </w:pPr>
            <w:r>
              <w:rPr>
                <w:lang w:val="en-GB"/>
              </w:rPr>
              <w:t>60 to 64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607B5B"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69375C"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7DB470" w14:textId="77777777" w:rsidR="00ED748D" w:rsidRDefault="00ED748D" w:rsidP="002B23FD">
            <w:pPr>
              <w:pStyle w:val="TableDataEntries"/>
              <w:rPr>
                <w:lang w:val="en-GB"/>
              </w:rPr>
            </w:pPr>
            <w:r>
              <w:t xml:space="preserve"> 0.</w:t>
            </w:r>
            <w:r w:rsidR="003B06F8">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801BBB" w14:textId="77777777" w:rsidR="00ED748D" w:rsidRDefault="00ED748D" w:rsidP="002B23FD">
            <w:pPr>
              <w:pStyle w:val="TableDataEntries"/>
              <w:rPr>
                <w:lang w:val="en-GB"/>
              </w:rPr>
            </w:pPr>
            <w:r>
              <w:t xml:space="preserve"> 0.</w:t>
            </w:r>
            <w:r w:rsidR="003B06F8">
              <w:t>14</w:t>
            </w:r>
          </w:p>
        </w:tc>
      </w:tr>
      <w:tr w:rsidR="00ED748D" w14:paraId="604888B7"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BB66EE" w14:textId="77777777" w:rsidR="00ED748D" w:rsidRDefault="00ED748D" w:rsidP="002B23FD">
            <w:pPr>
              <w:pStyle w:val="TableDataEntries"/>
              <w:jc w:val="left"/>
              <w:rPr>
                <w:lang w:val="en-GB"/>
              </w:rPr>
            </w:pPr>
            <w:r>
              <w:rPr>
                <w:lang w:val="en-GB"/>
              </w:rPr>
              <w:t>65 to 69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687D9F" w14:textId="77777777" w:rsidR="00ED748D" w:rsidRDefault="00ED748D" w:rsidP="002B23FD">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A80956"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7B1A82" w14:textId="77777777" w:rsidR="00ED748D" w:rsidRDefault="00ED748D" w:rsidP="002B23FD">
            <w:pPr>
              <w:pStyle w:val="TableDataEntries"/>
              <w:rPr>
                <w:lang w:val="en-GB"/>
              </w:rPr>
            </w:pPr>
            <w:r>
              <w:t xml:space="preserve"> 0.</w:t>
            </w:r>
            <w:r w:rsidR="003B06F8">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B4C725" w14:textId="77777777" w:rsidR="00ED748D" w:rsidRDefault="00ED748D" w:rsidP="002B23FD">
            <w:pPr>
              <w:pStyle w:val="TableDataEntries"/>
              <w:rPr>
                <w:lang w:val="en-GB"/>
              </w:rPr>
            </w:pPr>
            <w:r>
              <w:t xml:space="preserve"> 0.</w:t>
            </w:r>
            <w:r w:rsidR="003B06F8">
              <w:t>16</w:t>
            </w:r>
          </w:p>
        </w:tc>
      </w:tr>
      <w:tr w:rsidR="00ED748D" w14:paraId="3CC26DB9"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B1D01C" w14:textId="77777777" w:rsidR="00ED748D" w:rsidRDefault="00ED748D" w:rsidP="002B23FD">
            <w:pPr>
              <w:pStyle w:val="TableDataEntries"/>
              <w:jc w:val="left"/>
              <w:rPr>
                <w:lang w:val="en-GB"/>
              </w:rPr>
            </w:pPr>
            <w:r>
              <w:rPr>
                <w:lang w:val="en-GB"/>
              </w:rPr>
              <w:t>70 to 74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89B723" w14:textId="77777777" w:rsidR="00ED748D" w:rsidRDefault="00ED748D" w:rsidP="002B23FD">
            <w:pPr>
              <w:pStyle w:val="TableDataEntries"/>
              <w:rPr>
                <w:lang w:val="en-GB"/>
              </w:rPr>
            </w:pPr>
            <w:r>
              <w:t xml:space="preserve"> 469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4381F2"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DCFEA6" w14:textId="77777777" w:rsidR="00ED748D" w:rsidRDefault="00ED748D" w:rsidP="002B23FD">
            <w:pPr>
              <w:pStyle w:val="TableDataEntries"/>
              <w:rPr>
                <w:lang w:val="en-GB"/>
              </w:rPr>
            </w:pPr>
            <w:r>
              <w:t xml:space="preserve"> 0.</w:t>
            </w:r>
            <w:r w:rsidR="003B06F8">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220910" w14:textId="77777777" w:rsidR="00ED748D" w:rsidRDefault="00ED748D" w:rsidP="002B23FD">
            <w:pPr>
              <w:pStyle w:val="TableDataEntries"/>
              <w:rPr>
                <w:lang w:val="en-GB"/>
              </w:rPr>
            </w:pPr>
            <w:r>
              <w:t xml:space="preserve"> 0.</w:t>
            </w:r>
            <w:r w:rsidR="003B06F8">
              <w:t>13</w:t>
            </w:r>
          </w:p>
        </w:tc>
      </w:tr>
      <w:tr w:rsidR="00ED748D" w14:paraId="068EFD4B"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F833EB" w14:textId="77777777" w:rsidR="00ED748D" w:rsidRDefault="00ED748D" w:rsidP="002B23FD">
            <w:pPr>
              <w:pStyle w:val="TableDataEntries"/>
              <w:jc w:val="left"/>
              <w:rPr>
                <w:lang w:val="en-GB"/>
              </w:rPr>
            </w:pPr>
            <w:r>
              <w:rPr>
                <w:lang w:val="en-GB"/>
              </w:rPr>
              <w:t>75 to 79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EC6C75" w14:textId="77777777" w:rsidR="00ED748D" w:rsidRDefault="00ED748D" w:rsidP="002B23FD">
            <w:pPr>
              <w:pStyle w:val="TableDataEntries"/>
              <w:rPr>
                <w:lang w:val="en-GB"/>
              </w:rPr>
            </w:pPr>
            <w:r>
              <w:t xml:space="preserve"> 524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096CD1"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A05D21" w14:textId="77777777" w:rsidR="00ED748D" w:rsidRDefault="00ED748D" w:rsidP="002B23FD">
            <w:pPr>
              <w:pStyle w:val="TableDataEntries"/>
              <w:rPr>
                <w:lang w:val="en-GB"/>
              </w:rPr>
            </w:pPr>
            <w:r>
              <w:t xml:space="preserve"> 0.</w:t>
            </w:r>
            <w:r w:rsidR="003B06F8">
              <w:t>06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216E3C" w14:textId="77777777" w:rsidR="00ED748D" w:rsidRDefault="00ED748D" w:rsidP="002B23FD">
            <w:pPr>
              <w:pStyle w:val="TableDataEntries"/>
              <w:rPr>
                <w:lang w:val="en-GB"/>
              </w:rPr>
            </w:pPr>
            <w:r>
              <w:t xml:space="preserve"> 0.</w:t>
            </w:r>
            <w:r w:rsidR="003B06F8">
              <w:t>22</w:t>
            </w:r>
          </w:p>
        </w:tc>
      </w:tr>
      <w:tr w:rsidR="00ED748D" w14:paraId="0EC29C33"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97E5B6" w14:textId="77777777" w:rsidR="00ED748D" w:rsidRDefault="00ED748D" w:rsidP="002B23FD">
            <w:pPr>
              <w:pStyle w:val="TableDataEntries"/>
              <w:jc w:val="left"/>
              <w:rPr>
                <w:lang w:val="en-GB"/>
              </w:rPr>
            </w:pPr>
            <w:r>
              <w:rPr>
                <w:lang w:val="en-GB"/>
              </w:rPr>
              <w:t>80 to 84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544B2F" w14:textId="77777777" w:rsidR="00ED748D" w:rsidRDefault="00ED748D" w:rsidP="002B23FD">
            <w:pPr>
              <w:pStyle w:val="TableDataEntries"/>
              <w:rPr>
                <w:lang w:val="en-GB"/>
              </w:rPr>
            </w:pPr>
            <w:r>
              <w:t xml:space="preserve"> 499</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D542A2"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6A24BB" w14:textId="77777777" w:rsidR="00ED748D" w:rsidRDefault="00ED748D" w:rsidP="002B23FD">
            <w:pPr>
              <w:pStyle w:val="TableDataEntries"/>
              <w:rPr>
                <w:lang w:val="en-GB"/>
              </w:rPr>
            </w:pPr>
            <w:r>
              <w:t xml:space="preserve"> 0.</w:t>
            </w:r>
            <w:r w:rsidR="003B06F8">
              <w:t>04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0FF8A4" w14:textId="77777777" w:rsidR="00ED748D" w:rsidRDefault="00ED748D" w:rsidP="002B23FD">
            <w:pPr>
              <w:pStyle w:val="TableDataEntries"/>
              <w:rPr>
                <w:lang w:val="en-GB"/>
              </w:rPr>
            </w:pPr>
            <w:r>
              <w:t xml:space="preserve"> 0.</w:t>
            </w:r>
            <w:r w:rsidR="003B06F8">
              <w:t>15</w:t>
            </w:r>
          </w:p>
        </w:tc>
      </w:tr>
      <w:tr w:rsidR="00ED748D" w14:paraId="66770E85"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EF043A" w14:textId="77777777" w:rsidR="00ED748D" w:rsidRDefault="00ED748D" w:rsidP="002B23FD">
            <w:pPr>
              <w:pStyle w:val="TableDataEntries"/>
              <w:jc w:val="left"/>
              <w:rPr>
                <w:lang w:val="en-GB"/>
              </w:rPr>
            </w:pPr>
            <w:r>
              <w:rPr>
                <w:lang w:val="en-GB"/>
              </w:rPr>
              <w:t>85 to 89</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820BA6" w14:textId="77777777" w:rsidR="00ED748D" w:rsidRDefault="00ED748D" w:rsidP="002B23FD">
            <w:pPr>
              <w:pStyle w:val="TableDataEntries"/>
              <w:rPr>
                <w:lang w:val="en-GB"/>
              </w:rPr>
            </w:pPr>
            <w:r>
              <w:t xml:space="preserve"> 576</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05AC54"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B1083B" w14:textId="77777777" w:rsidR="00ED748D" w:rsidRDefault="00ED748D" w:rsidP="002B23FD">
            <w:pPr>
              <w:pStyle w:val="TableDataEntries"/>
              <w:rPr>
                <w:lang w:val="en-GB"/>
              </w:rPr>
            </w:pPr>
            <w:r>
              <w:t xml:space="preserve"> 0.</w:t>
            </w:r>
            <w:r w:rsidR="003B06F8">
              <w:t>08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9580B2" w14:textId="77777777" w:rsidR="00ED748D" w:rsidRDefault="00ED748D" w:rsidP="002B23FD">
            <w:pPr>
              <w:pStyle w:val="TableDataEntries"/>
              <w:rPr>
                <w:lang w:val="en-GB"/>
              </w:rPr>
            </w:pPr>
            <w:r>
              <w:t xml:space="preserve"> 0.</w:t>
            </w:r>
            <w:r w:rsidR="003B06F8">
              <w:t>29</w:t>
            </w:r>
          </w:p>
        </w:tc>
      </w:tr>
      <w:tr w:rsidR="00ED748D" w14:paraId="20A54997"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74E6B4" w14:textId="77777777" w:rsidR="00ED748D" w:rsidRDefault="00ED748D" w:rsidP="002B23FD">
            <w:pPr>
              <w:pStyle w:val="TableDataEntries"/>
              <w:jc w:val="left"/>
              <w:rPr>
                <w:lang w:val="en-GB"/>
              </w:rPr>
            </w:pPr>
            <w:r>
              <w:rPr>
                <w:lang w:val="en-GB"/>
              </w:rPr>
              <w:t>90 to 94</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C32776" w14:textId="77777777" w:rsidR="00ED748D" w:rsidRDefault="00ED748D" w:rsidP="002B23FD">
            <w:pPr>
              <w:pStyle w:val="TableDataEntries"/>
              <w:rPr>
                <w:lang w:val="en-GB"/>
              </w:rPr>
            </w:pPr>
            <w:r>
              <w:t xml:space="preserve"> 450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CDA9D2"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F89500" w14:textId="77777777" w:rsidR="00ED748D" w:rsidRDefault="00ED748D" w:rsidP="002B23FD">
            <w:pPr>
              <w:pStyle w:val="TableDataEntries"/>
              <w:rPr>
                <w:lang w:val="en-GB"/>
              </w:rPr>
            </w:pPr>
            <w:r>
              <w:t xml:space="preserve"> 0.</w:t>
            </w:r>
            <w:r w:rsidR="003B06F8">
              <w:t>03</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78E992" w14:textId="77777777" w:rsidR="00ED748D" w:rsidRDefault="00ED748D" w:rsidP="002B23FD">
            <w:pPr>
              <w:pStyle w:val="TableDataEntries"/>
              <w:rPr>
                <w:lang w:val="en-GB"/>
              </w:rPr>
            </w:pPr>
            <w:r>
              <w:t xml:space="preserve"> 0.</w:t>
            </w:r>
            <w:r w:rsidR="003B06F8">
              <w:t>12</w:t>
            </w:r>
          </w:p>
        </w:tc>
      </w:tr>
      <w:tr w:rsidR="00ED748D" w14:paraId="46E73818" w14:textId="77777777" w:rsidTr="002B23FD">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04E2E4" w14:textId="77777777" w:rsidR="00ED748D" w:rsidRDefault="00ED748D" w:rsidP="002B23FD">
            <w:pPr>
              <w:pStyle w:val="TableDataEntries"/>
              <w:jc w:val="left"/>
              <w:rPr>
                <w:lang w:val="en-GB"/>
              </w:rPr>
            </w:pPr>
            <w:r>
              <w:rPr>
                <w:lang w:val="en-GB"/>
              </w:rPr>
              <w:t>95+</w:t>
            </w:r>
          </w:p>
        </w:tc>
        <w:tc>
          <w:tcPr>
            <w:tcW w:w="15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80E310" w14:textId="77777777" w:rsidR="00ED748D" w:rsidRDefault="00ED748D" w:rsidP="002B23FD">
            <w:pPr>
              <w:pStyle w:val="TableDataEntries"/>
              <w:rPr>
                <w:lang w:val="en-GB"/>
              </w:rPr>
            </w:pPr>
            <w:r>
              <w:t xml:space="preserve"> 377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93AEAD" w14:textId="77777777" w:rsidR="00ED748D" w:rsidRDefault="00ED748D" w:rsidP="002B23FD">
            <w:pPr>
              <w:pStyle w:val="TableDataEntries"/>
              <w:rPr>
                <w:lang w:val="en-GB"/>
              </w:rPr>
            </w:pPr>
            <w:r>
              <w:t xml:space="preserve"> 0.</w:t>
            </w:r>
            <w:r w:rsidR="003B06F8">
              <w:t>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A0E1F1" w14:textId="77777777" w:rsidR="00ED748D" w:rsidRDefault="00ED748D" w:rsidP="002B23FD">
            <w:pPr>
              <w:pStyle w:val="TableDataEntries"/>
              <w:rPr>
                <w:lang w:val="en-GB"/>
              </w:rPr>
            </w:pPr>
            <w:r>
              <w:t xml:space="preserve"> 0.</w:t>
            </w:r>
            <w:r w:rsidR="003B06F8">
              <w:t>05</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088BC8" w14:textId="77777777" w:rsidR="00ED748D" w:rsidRDefault="00ED748D" w:rsidP="002B23FD">
            <w:pPr>
              <w:pStyle w:val="TableDataEntries"/>
              <w:rPr>
                <w:lang w:val="en-GB"/>
              </w:rPr>
            </w:pPr>
            <w:r>
              <w:t xml:space="preserve"> 0.</w:t>
            </w:r>
            <w:r w:rsidR="003B06F8">
              <w:t>17</w:t>
            </w:r>
          </w:p>
        </w:tc>
      </w:tr>
      <w:tr w:rsidR="00ED748D" w:rsidRPr="00801E43" w14:paraId="1921B94A" w14:textId="77777777" w:rsidTr="002B23FD">
        <w:trPr>
          <w:trHeight w:val="230"/>
        </w:trPr>
        <w:tc>
          <w:tcPr>
            <w:tcW w:w="211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F5FD2A7" w14:textId="77777777" w:rsidR="00ED748D" w:rsidRPr="00801E43" w:rsidRDefault="00ED748D" w:rsidP="002B23FD">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5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A2113A8" w14:textId="77777777" w:rsidR="00ED748D" w:rsidRPr="00801E43" w:rsidRDefault="00ED748D" w:rsidP="002B23FD">
            <w:pPr>
              <w:pStyle w:val="TableDataEntries"/>
              <w:rPr>
                <w:rFonts w:ascii="Franklin Gothic Demi" w:hAnsi="Franklin Gothic Demi"/>
                <w:lang w:val="en-GB"/>
              </w:rPr>
            </w:pP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1FBD658" w14:textId="77777777" w:rsidR="00ED748D" w:rsidRPr="00801E43" w:rsidRDefault="003B06F8" w:rsidP="002B23FD">
            <w:pPr>
              <w:pStyle w:val="TableDataEntries"/>
              <w:rPr>
                <w:rFonts w:ascii="Franklin Gothic Demi" w:hAnsi="Franklin Gothic Demi"/>
                <w:lang w:val="en-GB"/>
              </w:rPr>
            </w:pPr>
            <w:r>
              <w:rPr>
                <w:rFonts w:ascii="Franklin Gothic Demi" w:hAnsi="Franklin Gothic Demi"/>
              </w:rPr>
              <w:t>0.00</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55ABE4B" w14:textId="77777777" w:rsidR="00ED748D" w:rsidRPr="00801E43" w:rsidRDefault="003B06F8" w:rsidP="002B23FD">
            <w:pPr>
              <w:pStyle w:val="TableDataEntries"/>
              <w:rPr>
                <w:rFonts w:ascii="Franklin Gothic Demi" w:hAnsi="Franklin Gothic Demi"/>
                <w:lang w:val="en-GB"/>
              </w:rPr>
            </w:pPr>
            <w:r>
              <w:rPr>
                <w:rFonts w:ascii="Franklin Gothic Demi" w:hAnsi="Franklin Gothic Demi"/>
              </w:rPr>
              <w:t>0.58</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543124C" w14:textId="77777777" w:rsidR="00ED748D" w:rsidRPr="00801E43" w:rsidRDefault="00ED748D" w:rsidP="002B23FD">
            <w:pPr>
              <w:pStyle w:val="TableDataEntries"/>
              <w:rPr>
                <w:rFonts w:ascii="Franklin Gothic Demi" w:hAnsi="Franklin Gothic Demi"/>
                <w:lang w:val="en-GB"/>
              </w:rPr>
            </w:pPr>
            <w:r w:rsidRPr="00801E43">
              <w:rPr>
                <w:rFonts w:ascii="Franklin Gothic Demi" w:hAnsi="Franklin Gothic Demi"/>
              </w:rPr>
              <w:t>2.</w:t>
            </w:r>
            <w:r w:rsidR="003B06F8">
              <w:rPr>
                <w:rFonts w:ascii="Franklin Gothic Demi" w:hAnsi="Franklin Gothic Demi"/>
              </w:rPr>
              <w:t>15</w:t>
            </w:r>
          </w:p>
        </w:tc>
      </w:tr>
    </w:tbl>
    <w:p w14:paraId="3DCE10E4" w14:textId="77777777" w:rsidR="00ED748D" w:rsidRPr="00E4232C" w:rsidRDefault="00ED748D" w:rsidP="00ED748D">
      <w:pPr>
        <w:pStyle w:val="Note"/>
      </w:pPr>
      <w:r w:rsidRPr="00E4232C">
        <w:rPr>
          <w:rStyle w:val="NoteLabel"/>
        </w:rPr>
        <w:t>a</w:t>
      </w:r>
      <w:r>
        <w:t xml:space="preserve"> Based on average costs reported in UNSW (2010, p. 33) inflate to 2019 dollars using the national CPI.</w:t>
      </w:r>
    </w:p>
    <w:p w14:paraId="256ADFD5" w14:textId="77777777" w:rsidR="00EA7092" w:rsidRDefault="00EA7092" w:rsidP="00EA7092">
      <w:pPr>
        <w:pStyle w:val="Note"/>
        <w:rPr>
          <w:lang w:bidi="fa-IR"/>
        </w:rPr>
      </w:pPr>
      <w:r>
        <w:rPr>
          <w:lang w:bidi="fa-IR"/>
        </w:rPr>
        <w:t xml:space="preserve">Note: low, central and high estimates are based on the assumption that falls are not higher, 10 per cent higher and 37 per cent higher, respectively, in inaccessible housing </w:t>
      </w:r>
    </w:p>
    <w:p w14:paraId="1019C287" w14:textId="77777777" w:rsidR="00ED748D" w:rsidRDefault="00ED748D" w:rsidP="00ED748D">
      <w:pPr>
        <w:pStyle w:val="Source"/>
      </w:pPr>
      <w:r w:rsidRPr="009C53D0">
        <w:rPr>
          <w:iCs/>
          <w:lang w:bidi="fa-IR"/>
        </w:rPr>
        <w:t xml:space="preserve">Source: </w:t>
      </w:r>
      <w:r w:rsidRPr="009C53D0">
        <w:rPr>
          <w:iCs/>
        </w:rPr>
        <w:t>University</w:t>
      </w:r>
      <w:r>
        <w:t xml:space="preserve"> of NSW, </w:t>
      </w:r>
      <w:r w:rsidRPr="00FB0C5C">
        <w:rPr>
          <w:i/>
          <w:iCs/>
        </w:rPr>
        <w:t>The Incidence and Cost of Falls Injury Among Older People in New South Wales 2006/07</w:t>
      </w:r>
      <w:r>
        <w:t>, A Report to NSW Health, September 2010; CIE.</w:t>
      </w:r>
    </w:p>
    <w:p w14:paraId="474867D8" w14:textId="77777777" w:rsidR="003D2407" w:rsidRPr="00F4477B" w:rsidRDefault="003D2407" w:rsidP="00F4477B">
      <w:pPr>
        <w:pStyle w:val="Heading3-Appendix"/>
      </w:pPr>
      <w:r w:rsidRPr="00F4477B">
        <w:t>Morbidity costs</w:t>
      </w:r>
    </w:p>
    <w:p w14:paraId="3FC4A927" w14:textId="77777777" w:rsidR="003D2407" w:rsidRPr="00EB749F" w:rsidRDefault="003D2407" w:rsidP="003D2407">
      <w:pPr>
        <w:pStyle w:val="BodyText"/>
        <w:rPr>
          <w:lang w:bidi="fa-IR"/>
        </w:rPr>
      </w:pPr>
      <w:r>
        <w:rPr>
          <w:lang w:bidi="fa-IR"/>
        </w:rPr>
        <w:t>The Consultation RIS did not estimate the morbidity costs associated with falls. However, some submissions noted that the morbidity costs associated with falls can be significant. For example, the submission from Occupational Therap</w:t>
      </w:r>
      <w:r w:rsidR="000F5AFE">
        <w:rPr>
          <w:lang w:bidi="fa-IR"/>
        </w:rPr>
        <w:t>y</w:t>
      </w:r>
      <w:r>
        <w:rPr>
          <w:lang w:bidi="fa-IR"/>
        </w:rPr>
        <w:t xml:space="preserve"> Australia noted that a fall can impair an older person’s long</w:t>
      </w:r>
      <w:r>
        <w:rPr>
          <w:lang w:bidi="fa-IR"/>
        </w:rPr>
        <w:noBreakHyphen/>
        <w:t>term mobility and independence, often irreversibly and is detrimental to the individual’s quality of life.</w:t>
      </w:r>
      <w:r>
        <w:rPr>
          <w:rStyle w:val="FootnoteReference"/>
          <w:lang w:bidi="fa-IR"/>
        </w:rPr>
        <w:footnoteReference w:id="470"/>
      </w:r>
    </w:p>
    <w:p w14:paraId="769A1548" w14:textId="77777777" w:rsidR="003D2407" w:rsidRDefault="003D2407" w:rsidP="003D2407">
      <w:pPr>
        <w:pStyle w:val="BodyText"/>
        <w:rPr>
          <w:lang w:bidi="fa-IR"/>
        </w:rPr>
      </w:pPr>
      <w:r>
        <w:rPr>
          <w:lang w:bidi="fa-IR"/>
        </w:rPr>
        <w:t>Morbidity costs depend on multiple factors, such as the type of injury and the duration of disability. An AIHW and Flinders University study on hospitalised injury due to falls in older people provides information on the types of injuries for hospitalised fall</w:t>
      </w:r>
      <w:r>
        <w:rPr>
          <w:lang w:bidi="fa-IR"/>
        </w:rPr>
        <w:noBreakHyphen/>
        <w:t>related injury cases. Around 52 per cent of hospitalised injuries are fractures and the report also provides detail on the location of the fracture.</w:t>
      </w:r>
      <w:r>
        <w:rPr>
          <w:rStyle w:val="FootnoteReference"/>
          <w:lang w:bidi="fa-IR"/>
        </w:rPr>
        <w:footnoteReference w:id="471"/>
      </w:r>
      <w:r>
        <w:rPr>
          <w:lang w:bidi="fa-IR"/>
        </w:rPr>
        <w:t xml:space="preserve"> Putting this information together gives the share of injuries shown in table </w:t>
      </w:r>
      <w:r w:rsidR="00001534">
        <w:rPr>
          <w:lang w:bidi="fa-IR"/>
        </w:rPr>
        <w:t>B.14</w:t>
      </w:r>
      <w:r>
        <w:rPr>
          <w:lang w:bidi="fa-IR"/>
        </w:rPr>
        <w:t>. The table includes more than 85 per cent of all hospitalised injuries (the remaining injuries were not specified).</w:t>
      </w:r>
    </w:p>
    <w:p w14:paraId="102F5C60" w14:textId="77777777" w:rsidR="003D2407" w:rsidRDefault="00834383" w:rsidP="003D2407">
      <w:pPr>
        <w:pStyle w:val="BodyText"/>
        <w:rPr>
          <w:lang w:bidi="fa-IR"/>
        </w:rPr>
      </w:pPr>
      <w:r>
        <w:rPr>
          <w:lang w:bidi="fa-IR"/>
        </w:rPr>
        <w:t>CIE</w:t>
      </w:r>
      <w:r w:rsidR="003D2407">
        <w:rPr>
          <w:lang w:bidi="fa-IR"/>
        </w:rPr>
        <w:t xml:space="preserve"> appl</w:t>
      </w:r>
      <w:r>
        <w:rPr>
          <w:lang w:bidi="fa-IR"/>
        </w:rPr>
        <w:t>ies</w:t>
      </w:r>
      <w:r w:rsidR="003D2407">
        <w:rPr>
          <w:lang w:bidi="fa-IR"/>
        </w:rPr>
        <w:t xml:space="preserve"> disability weights from a study based on patient</w:t>
      </w:r>
      <w:r w:rsidR="003D2407">
        <w:rPr>
          <w:lang w:bidi="fa-IR"/>
        </w:rPr>
        <w:noBreakHyphen/>
        <w:t>reported data from a multinational dataset covering injuries from various causes (not just falls).</w:t>
      </w:r>
      <w:r w:rsidR="003D2407">
        <w:rPr>
          <w:rStyle w:val="FootnoteReference"/>
          <w:lang w:bidi="fa-IR"/>
        </w:rPr>
        <w:footnoteReference w:id="472"/>
      </w:r>
      <w:r w:rsidR="003D2407">
        <w:rPr>
          <w:lang w:bidi="fa-IR"/>
        </w:rPr>
        <w:t xml:space="preserve"> Disability weights were calculated at intervals of 3 months, 6 months and 12 months post injury.</w:t>
      </w:r>
    </w:p>
    <w:p w14:paraId="03F7940A" w14:textId="77777777" w:rsidR="003D2407" w:rsidRDefault="003D2407" w:rsidP="003D2407">
      <w:pPr>
        <w:pStyle w:val="ListBullet"/>
        <w:rPr>
          <w:lang w:bidi="fa-IR"/>
        </w:rPr>
      </w:pPr>
      <w:r>
        <w:rPr>
          <w:lang w:bidi="fa-IR"/>
        </w:rPr>
        <w:t>An annualised disability weight was based on a weighted</w:t>
      </w:r>
      <w:r>
        <w:rPr>
          <w:lang w:bidi="fa-IR"/>
        </w:rPr>
        <w:noBreakHyphen/>
        <w:t>average of the disability weights at each time period.</w:t>
      </w:r>
    </w:p>
    <w:p w14:paraId="4BF6E9D9" w14:textId="77777777" w:rsidR="003D2407" w:rsidRDefault="003D2407" w:rsidP="003D2407">
      <w:pPr>
        <w:pStyle w:val="ListBullet"/>
        <w:rPr>
          <w:lang w:bidi="fa-IR"/>
        </w:rPr>
      </w:pPr>
      <w:r>
        <w:rPr>
          <w:lang w:bidi="fa-IR"/>
        </w:rPr>
        <w:t>The study assumed that weights calculated 12 months post injury represented both:</w:t>
      </w:r>
    </w:p>
    <w:p w14:paraId="5A75F5BC" w14:textId="77777777" w:rsidR="003D2407" w:rsidRDefault="003D2407" w:rsidP="003D2407">
      <w:pPr>
        <w:pStyle w:val="ListBullet2"/>
        <w:rPr>
          <w:lang w:bidi="fa-IR"/>
        </w:rPr>
      </w:pPr>
      <w:r>
        <w:rPr>
          <w:lang w:bidi="fa-IR"/>
        </w:rPr>
        <w:t>the degree of residential disability at 12 months; and</w:t>
      </w:r>
    </w:p>
    <w:p w14:paraId="7A610735" w14:textId="77777777" w:rsidR="003D2407" w:rsidRDefault="003D2407" w:rsidP="003D2407">
      <w:pPr>
        <w:pStyle w:val="ListBullet2"/>
        <w:rPr>
          <w:lang w:bidi="fa-IR"/>
        </w:rPr>
      </w:pPr>
      <w:r>
        <w:rPr>
          <w:lang w:bidi="fa-IR"/>
        </w:rPr>
        <w:t>the expected lifelong disability.</w:t>
      </w:r>
    </w:p>
    <w:p w14:paraId="775E7B41" w14:textId="77777777" w:rsidR="003D2407" w:rsidRDefault="003D2407" w:rsidP="003D2407">
      <w:pPr>
        <w:pStyle w:val="BodyText"/>
        <w:rPr>
          <w:lang w:bidi="fa-IR"/>
        </w:rPr>
      </w:pPr>
      <w:r>
        <w:rPr>
          <w:lang w:bidi="fa-IR"/>
        </w:rPr>
        <w:t>Putting this information together and applying OBPR’s preferred VLY estimate of $213 000 per year</w:t>
      </w:r>
      <w:r>
        <w:rPr>
          <w:rStyle w:val="FootnoteReference"/>
          <w:lang w:bidi="fa-IR"/>
        </w:rPr>
        <w:footnoteReference w:id="473"/>
      </w:r>
      <w:r>
        <w:rPr>
          <w:lang w:bidi="fa-IR"/>
        </w:rPr>
        <w:t xml:space="preserve"> implies that the weighted average morbidity cost of each hospitalised fall is around </w:t>
      </w:r>
    </w:p>
    <w:p w14:paraId="7EAB6851" w14:textId="77777777" w:rsidR="003D2407" w:rsidRDefault="003D2407" w:rsidP="003D2407">
      <w:pPr>
        <w:pStyle w:val="ListBullet"/>
        <w:rPr>
          <w:lang w:bidi="fa-IR"/>
        </w:rPr>
      </w:pPr>
      <w:r>
        <w:rPr>
          <w:lang w:bidi="fa-IR"/>
        </w:rPr>
        <w:t>$30 289 in the first year post injury</w:t>
      </w:r>
    </w:p>
    <w:p w14:paraId="10CDE76F" w14:textId="77777777" w:rsidR="003D2407" w:rsidRDefault="003D2407" w:rsidP="003D2407">
      <w:pPr>
        <w:pStyle w:val="ListBullet"/>
        <w:rPr>
          <w:lang w:bidi="fa-IR"/>
        </w:rPr>
      </w:pPr>
      <w:r>
        <w:rPr>
          <w:lang w:bidi="fa-IR"/>
        </w:rPr>
        <w:t>$27 794 per year in subsequent years (table </w:t>
      </w:r>
      <w:r w:rsidR="00C134D7">
        <w:rPr>
          <w:lang w:bidi="fa-IR"/>
        </w:rPr>
        <w:t>B.14</w:t>
      </w:r>
      <w:r>
        <w:rPr>
          <w:lang w:bidi="fa-IR"/>
        </w:rPr>
        <w:t>).</w:t>
      </w:r>
    </w:p>
    <w:p w14:paraId="4634587A" w14:textId="77777777" w:rsidR="003D2407" w:rsidRDefault="003D2407" w:rsidP="003D2407">
      <w:pPr>
        <w:pStyle w:val="BodyText"/>
        <w:rPr>
          <w:lang w:bidi="fa-IR"/>
        </w:rPr>
      </w:pPr>
      <w:r>
        <w:rPr>
          <w:lang w:bidi="fa-IR"/>
        </w:rPr>
        <w:t xml:space="preserve">Note that extrapolating the composition of injuries from falls around the house from over 65s to younger cohorts could significantly overstate the morbidity of younger cohorts. In general, it would be reasonable to expect that younger people </w:t>
      </w:r>
      <w:r w:rsidR="00263205">
        <w:rPr>
          <w:lang w:bidi="fa-IR"/>
        </w:rPr>
        <w:t>(either with or without mobility issues or both compar</w:t>
      </w:r>
      <w:r w:rsidR="00C241F1">
        <w:rPr>
          <w:lang w:bidi="fa-IR"/>
        </w:rPr>
        <w:t>ed</w:t>
      </w:r>
      <w:r w:rsidR="00263205">
        <w:rPr>
          <w:lang w:bidi="fa-IR"/>
        </w:rPr>
        <w:t xml:space="preserve"> to older cohorts with similar conditions) </w:t>
      </w:r>
      <w:r>
        <w:rPr>
          <w:lang w:bidi="fa-IR"/>
        </w:rPr>
        <w:t xml:space="preserve">could suffer less severe injuries from falls around the house than older cohorts. However, </w:t>
      </w:r>
      <w:r w:rsidR="00B10BA8">
        <w:rPr>
          <w:lang w:bidi="fa-IR"/>
        </w:rPr>
        <w:t>CIE</w:t>
      </w:r>
      <w:r>
        <w:rPr>
          <w:lang w:bidi="fa-IR"/>
        </w:rPr>
        <w:t xml:space="preserve"> did not identify any comparable data for the younger age groups.</w:t>
      </w:r>
    </w:p>
    <w:p w14:paraId="61332147" w14:textId="3DD816E9" w:rsidR="003D2407" w:rsidRDefault="00B27E24" w:rsidP="003D2407">
      <w:pPr>
        <w:pStyle w:val="Caption"/>
      </w:pPr>
      <w:bookmarkStart w:id="691" w:name="_Toc58000347"/>
      <w:bookmarkStart w:id="692" w:name="_Toc70505628"/>
      <w:r>
        <w:t>B.14</w:t>
      </w:r>
      <w:r w:rsidR="003D2407" w:rsidRPr="00695C93">
        <w:tab/>
      </w:r>
      <w:r w:rsidR="003D2407">
        <w:t>Morbidity costs for fall</w:t>
      </w:r>
      <w:r w:rsidR="003D2407">
        <w:noBreakHyphen/>
        <w:t>related injuries</w:t>
      </w:r>
      <w:bookmarkEnd w:id="691"/>
      <w:bookmarkEnd w:id="692"/>
    </w:p>
    <w:tbl>
      <w:tblPr>
        <w:tblW w:w="8222" w:type="dxa"/>
        <w:tblLayout w:type="fixed"/>
        <w:tblLook w:val="0000" w:firstRow="0" w:lastRow="0" w:firstColumn="0" w:lastColumn="0" w:noHBand="0" w:noVBand="0"/>
        <w:tblCaption w:val="Table B.14: Morbidity costs for fall-related injuries"/>
        <w:tblDescription w:val="Table B.14 lists the morbidity costs for fall-related injuries. The weighted average morbidity cost of each hospitalised fall is around $30 289 in the first year post injury and $27 794 per year in subsequent years.&#10;"/>
      </w:tblPr>
      <w:tblGrid>
        <w:gridCol w:w="3686"/>
        <w:gridCol w:w="850"/>
        <w:gridCol w:w="948"/>
        <w:gridCol w:w="818"/>
        <w:gridCol w:w="818"/>
        <w:gridCol w:w="1102"/>
      </w:tblGrid>
      <w:tr w:rsidR="005A1FB8" w:rsidRPr="005A1FB8" w14:paraId="1BA407B9" w14:textId="77777777" w:rsidTr="005A1FB8">
        <w:trPr>
          <w:trHeight w:val="979"/>
          <w:tblHeader/>
        </w:trPr>
        <w:tc>
          <w:tcPr>
            <w:tcW w:w="3686" w:type="dxa"/>
            <w:tcBorders>
              <w:bottom w:val="single" w:sz="8" w:space="0" w:color="FFFFFF" w:themeColor="background1"/>
            </w:tcBorders>
            <w:shd w:val="clear" w:color="auto" w:fill="6F6652"/>
            <w:tcMar>
              <w:left w:w="57" w:type="dxa"/>
              <w:right w:w="57" w:type="dxa"/>
            </w:tcMar>
          </w:tcPr>
          <w:p w14:paraId="01907C49" w14:textId="77777777" w:rsidR="003D2407" w:rsidRPr="005A1FB8" w:rsidRDefault="00407DCA" w:rsidP="00C32439">
            <w:pPr>
              <w:pStyle w:val="TableDataColumnHeading"/>
              <w:jc w:val="left"/>
              <w:rPr>
                <w:color w:val="FFFFFF" w:themeColor="background1"/>
              </w:rPr>
            </w:pPr>
            <w:r w:rsidRPr="005A1FB8">
              <w:rPr>
                <w:color w:val="FFFFFF" w:themeColor="background1"/>
              </w:rPr>
              <w:t>Injury</w:t>
            </w:r>
          </w:p>
        </w:tc>
        <w:tc>
          <w:tcPr>
            <w:tcW w:w="850" w:type="dxa"/>
            <w:tcBorders>
              <w:bottom w:val="single" w:sz="8" w:space="0" w:color="FFFFFF" w:themeColor="background1"/>
            </w:tcBorders>
            <w:shd w:val="clear" w:color="auto" w:fill="6F6652"/>
            <w:tcMar>
              <w:left w:w="57" w:type="dxa"/>
              <w:right w:w="57" w:type="dxa"/>
            </w:tcMar>
          </w:tcPr>
          <w:p w14:paraId="1EFCA7AE" w14:textId="77777777" w:rsidR="003D2407" w:rsidRPr="005A1FB8" w:rsidRDefault="003D2407" w:rsidP="00C32439">
            <w:pPr>
              <w:pStyle w:val="TableDataColumnHeading"/>
              <w:rPr>
                <w:color w:val="FFFFFF" w:themeColor="background1"/>
              </w:rPr>
            </w:pPr>
            <w:r w:rsidRPr="005A1FB8">
              <w:rPr>
                <w:color w:val="FFFFFF" w:themeColor="background1"/>
              </w:rPr>
              <w:t>Share of injuries from falls (%)</w:t>
            </w:r>
          </w:p>
        </w:tc>
        <w:tc>
          <w:tcPr>
            <w:tcW w:w="948" w:type="dxa"/>
            <w:tcBorders>
              <w:bottom w:val="single" w:sz="8" w:space="0" w:color="FFFFFF" w:themeColor="background1"/>
            </w:tcBorders>
            <w:shd w:val="clear" w:color="auto" w:fill="6F6652"/>
            <w:tcMar>
              <w:left w:w="57" w:type="dxa"/>
              <w:right w:w="57" w:type="dxa"/>
            </w:tcMar>
          </w:tcPr>
          <w:p w14:paraId="5DB989AA" w14:textId="77777777" w:rsidR="003D2407" w:rsidRPr="005A1FB8" w:rsidRDefault="003D2407" w:rsidP="00C32439">
            <w:pPr>
              <w:pStyle w:val="TableDataColumnHeading"/>
              <w:rPr>
                <w:color w:val="FFFFFF" w:themeColor="background1"/>
              </w:rPr>
            </w:pPr>
            <w:r w:rsidRPr="005A1FB8">
              <w:rPr>
                <w:color w:val="FFFFFF" w:themeColor="background1"/>
              </w:rPr>
              <w:t>Annualised disability weight</w:t>
            </w:r>
          </w:p>
        </w:tc>
        <w:tc>
          <w:tcPr>
            <w:tcW w:w="818" w:type="dxa"/>
            <w:tcBorders>
              <w:bottom w:val="single" w:sz="8" w:space="0" w:color="FFFFFF" w:themeColor="background1"/>
            </w:tcBorders>
            <w:shd w:val="clear" w:color="auto" w:fill="6F6652"/>
            <w:tcMar>
              <w:left w:w="57" w:type="dxa"/>
              <w:right w:w="57" w:type="dxa"/>
            </w:tcMar>
          </w:tcPr>
          <w:p w14:paraId="31E320BA" w14:textId="77777777" w:rsidR="003D2407" w:rsidRPr="005A1FB8" w:rsidRDefault="003D2407" w:rsidP="00C32439">
            <w:pPr>
              <w:pStyle w:val="TableDataColumnHeading"/>
              <w:rPr>
                <w:color w:val="FFFFFF" w:themeColor="background1"/>
              </w:rPr>
            </w:pPr>
            <w:r w:rsidRPr="005A1FB8">
              <w:rPr>
                <w:color w:val="FFFFFF" w:themeColor="background1"/>
              </w:rPr>
              <w:t>Long-term disability weight</w:t>
            </w:r>
          </w:p>
        </w:tc>
        <w:tc>
          <w:tcPr>
            <w:tcW w:w="818" w:type="dxa"/>
            <w:tcBorders>
              <w:bottom w:val="single" w:sz="8" w:space="0" w:color="FFFFFF" w:themeColor="background1"/>
            </w:tcBorders>
            <w:shd w:val="clear" w:color="auto" w:fill="6F6652"/>
            <w:tcMar>
              <w:left w:w="57" w:type="dxa"/>
              <w:right w:w="57" w:type="dxa"/>
            </w:tcMar>
          </w:tcPr>
          <w:p w14:paraId="716B592F" w14:textId="77777777" w:rsidR="003D2407" w:rsidRPr="005A1FB8" w:rsidRDefault="003D2407" w:rsidP="00C32439">
            <w:pPr>
              <w:pStyle w:val="TableDataColumnHeading"/>
              <w:rPr>
                <w:color w:val="FFFFFF" w:themeColor="background1"/>
              </w:rPr>
            </w:pPr>
            <w:r w:rsidRPr="005A1FB8">
              <w:rPr>
                <w:color w:val="FFFFFF" w:themeColor="background1"/>
              </w:rPr>
              <w:t>Annualised cost ($ per year)</w:t>
            </w:r>
            <w:r w:rsidRPr="005A1FB8">
              <w:rPr>
                <w:rStyle w:val="NoteLabel"/>
                <w:color w:val="FFFFFF" w:themeColor="background1"/>
              </w:rPr>
              <w:t>a</w:t>
            </w:r>
          </w:p>
        </w:tc>
        <w:tc>
          <w:tcPr>
            <w:tcW w:w="1102" w:type="dxa"/>
            <w:tcBorders>
              <w:bottom w:val="single" w:sz="8" w:space="0" w:color="FFFFFF" w:themeColor="background1"/>
            </w:tcBorders>
            <w:shd w:val="clear" w:color="auto" w:fill="6F6652"/>
            <w:tcMar>
              <w:left w:w="57" w:type="dxa"/>
              <w:right w:w="57" w:type="dxa"/>
            </w:tcMar>
          </w:tcPr>
          <w:p w14:paraId="3E494334" w14:textId="77777777" w:rsidR="003D2407" w:rsidRPr="005A1FB8" w:rsidRDefault="003D2407" w:rsidP="00C32439">
            <w:pPr>
              <w:pStyle w:val="TableDataColumnHeading"/>
              <w:rPr>
                <w:color w:val="FFFFFF" w:themeColor="background1"/>
              </w:rPr>
            </w:pPr>
            <w:r w:rsidRPr="005A1FB8">
              <w:rPr>
                <w:color w:val="FFFFFF" w:themeColor="background1"/>
              </w:rPr>
              <w:t>Long-term annual cost ($ per year)</w:t>
            </w:r>
            <w:r w:rsidRPr="005A1FB8">
              <w:rPr>
                <w:rStyle w:val="NoteLabel"/>
                <w:color w:val="FFFFFF" w:themeColor="background1"/>
              </w:rPr>
              <w:t xml:space="preserve"> a</w:t>
            </w:r>
          </w:p>
        </w:tc>
      </w:tr>
      <w:tr w:rsidR="003D2407" w14:paraId="7D4BC403"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8F1E9" w14:textId="77777777" w:rsidR="003D2407" w:rsidRDefault="003D2407" w:rsidP="00C32439">
            <w:pPr>
              <w:pStyle w:val="TableDataEntries"/>
              <w:jc w:val="left"/>
            </w:pPr>
            <w:r>
              <w:t>Head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F57033" w14:textId="77777777" w:rsidR="003D2407" w:rsidRDefault="003D2407" w:rsidP="00C32439">
            <w:pPr>
              <w:pStyle w:val="TableDataEntries"/>
            </w:pPr>
            <w:r>
              <w:t>3.6</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DE5EC5" w14:textId="77777777" w:rsidR="003D2407" w:rsidRDefault="003D2407" w:rsidP="00C32439">
            <w:pPr>
              <w:pStyle w:val="TableDataEntries"/>
            </w:pPr>
            <w:r>
              <w:t xml:space="preserve"> 0.158</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E68A5A" w14:textId="77777777" w:rsidR="003D2407" w:rsidRDefault="003D2407" w:rsidP="00C32439">
            <w:pPr>
              <w:pStyle w:val="TableDataEntries"/>
            </w:pPr>
            <w:r>
              <w:t xml:space="preserve"> 0.143</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66FEB" w14:textId="77777777" w:rsidR="003D2407" w:rsidRDefault="003D2407" w:rsidP="00C32439">
            <w:pPr>
              <w:pStyle w:val="TableDataEntries"/>
            </w:pPr>
            <w:r>
              <w:t xml:space="preserve"> 33 654</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106050" w14:textId="77777777" w:rsidR="003D2407" w:rsidRDefault="003D2407" w:rsidP="00C32439">
            <w:pPr>
              <w:pStyle w:val="TableDataEntries"/>
            </w:pPr>
            <w:r>
              <w:t xml:space="preserve"> 30 459</w:t>
            </w:r>
          </w:p>
        </w:tc>
      </w:tr>
      <w:tr w:rsidR="003D2407" w14:paraId="0934EFE2"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AB96F5" w14:textId="77777777" w:rsidR="003D2407" w:rsidRDefault="003D2407" w:rsidP="00C32439">
            <w:pPr>
              <w:pStyle w:val="TableDataEntries"/>
              <w:jc w:val="left"/>
            </w:pPr>
            <w:r>
              <w:t>Neck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B162F" w14:textId="77777777" w:rsidR="003D2407" w:rsidRDefault="003D2407" w:rsidP="00C32439">
            <w:pPr>
              <w:pStyle w:val="TableDataEntries"/>
            </w:pPr>
            <w:r>
              <w:t>1.0</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1EF977" w14:textId="77777777" w:rsidR="003D2407" w:rsidRDefault="003D2407" w:rsidP="00C32439">
            <w:pPr>
              <w:pStyle w:val="TableDataEntries"/>
            </w:pPr>
            <w:r>
              <w:t xml:space="preserve"> 0.187</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5535C0" w14:textId="77777777" w:rsidR="003D2407" w:rsidRDefault="003D2407" w:rsidP="00C32439">
            <w:pPr>
              <w:pStyle w:val="TableDataEntries"/>
            </w:pPr>
            <w:r>
              <w:t xml:space="preserve"> 0.170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FBF9B0" w14:textId="77777777" w:rsidR="003D2407" w:rsidRDefault="003D2407" w:rsidP="00C32439">
            <w:pPr>
              <w:pStyle w:val="TableDataEntries"/>
            </w:pPr>
            <w:r>
              <w:t xml:space="preserve"> 39 831</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6C734" w14:textId="77777777" w:rsidR="003D2407" w:rsidRDefault="003D2407" w:rsidP="00C32439">
            <w:pPr>
              <w:pStyle w:val="TableDataEntries"/>
            </w:pPr>
            <w:r>
              <w:t xml:space="preserve"> 36 210</w:t>
            </w:r>
          </w:p>
        </w:tc>
      </w:tr>
      <w:tr w:rsidR="003D2407" w14:paraId="57E1E697"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E36A59" w14:textId="77777777" w:rsidR="003D2407" w:rsidRDefault="003D2407" w:rsidP="00C32439">
            <w:pPr>
              <w:pStyle w:val="TableDataEntries"/>
              <w:jc w:val="left"/>
            </w:pPr>
            <w:r>
              <w:t>Thorax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73A97C" w14:textId="77777777" w:rsidR="003D2407" w:rsidRDefault="003D2407" w:rsidP="00C32439">
            <w:pPr>
              <w:pStyle w:val="TableDataEntries"/>
            </w:pPr>
            <w:r>
              <w:t>5.4</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39A2A9" w14:textId="77777777" w:rsidR="003D2407" w:rsidRDefault="003D2407" w:rsidP="00C32439">
            <w:pPr>
              <w:pStyle w:val="TableDataEntries"/>
            </w:pPr>
            <w:r>
              <w:t xml:space="preserve"> 0.185</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1F21A" w14:textId="77777777" w:rsidR="003D2407" w:rsidRDefault="003D2407" w:rsidP="00C32439">
            <w:pPr>
              <w:pStyle w:val="TableDataEntries"/>
            </w:pPr>
            <w:r>
              <w:t xml:space="preserve"> 0.179</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51BEF0" w14:textId="77777777" w:rsidR="003D2407" w:rsidRDefault="003D2407" w:rsidP="00C32439">
            <w:pPr>
              <w:pStyle w:val="TableDataEntries"/>
            </w:pPr>
            <w:r>
              <w:t xml:space="preserve"> 39 405</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16E1D2" w14:textId="77777777" w:rsidR="003D2407" w:rsidRDefault="003D2407" w:rsidP="00C32439">
            <w:pPr>
              <w:pStyle w:val="TableDataEntries"/>
            </w:pPr>
            <w:r>
              <w:t xml:space="preserve"> 38 127</w:t>
            </w:r>
          </w:p>
        </w:tc>
      </w:tr>
      <w:tr w:rsidR="003D2407" w14:paraId="0B862AB8"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581CA1" w14:textId="77777777" w:rsidR="003D2407" w:rsidRDefault="003D2407" w:rsidP="00C32439">
            <w:pPr>
              <w:pStyle w:val="TableDataEntries"/>
              <w:jc w:val="left"/>
            </w:pPr>
            <w:r>
              <w:t>Abdomen, lower back, lumbar spine and pelvis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4F03F0" w14:textId="77777777" w:rsidR="003D2407" w:rsidRDefault="003D2407" w:rsidP="00C32439">
            <w:pPr>
              <w:pStyle w:val="TableDataEntries"/>
            </w:pPr>
            <w:r>
              <w:t>6.5</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56D18D" w14:textId="77777777" w:rsidR="003D2407" w:rsidRDefault="003D2407" w:rsidP="00C32439">
            <w:pPr>
              <w:pStyle w:val="TableDataEntries"/>
            </w:pPr>
            <w:r>
              <w:t xml:space="preserve"> 0.205</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B1CD03" w14:textId="77777777" w:rsidR="003D2407" w:rsidRDefault="003D2407" w:rsidP="00C32439">
            <w:pPr>
              <w:pStyle w:val="TableDataEntries"/>
            </w:pPr>
            <w:r>
              <w:t xml:space="preserve"> 0.194</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12CE2B" w14:textId="77777777" w:rsidR="003D2407" w:rsidRDefault="003D2407" w:rsidP="00C32439">
            <w:pPr>
              <w:pStyle w:val="TableDataEntries"/>
            </w:pPr>
            <w:r>
              <w:t xml:space="preserve"> 43 665</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7C3EE7" w14:textId="77777777" w:rsidR="003D2407" w:rsidRDefault="003D2407" w:rsidP="00C32439">
            <w:pPr>
              <w:pStyle w:val="TableDataEntries"/>
            </w:pPr>
            <w:r>
              <w:t xml:space="preserve"> 41 322</w:t>
            </w:r>
          </w:p>
        </w:tc>
      </w:tr>
      <w:tr w:rsidR="003D2407" w14:paraId="000EE657"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17FA1" w14:textId="77777777" w:rsidR="003D2407" w:rsidRDefault="003D2407" w:rsidP="00C32439">
            <w:pPr>
              <w:pStyle w:val="TableDataEntries"/>
              <w:jc w:val="left"/>
            </w:pPr>
            <w:r>
              <w:t>Shoulder and upper arm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2A1276" w14:textId="77777777" w:rsidR="003D2407" w:rsidRDefault="003D2407" w:rsidP="00C32439">
            <w:pPr>
              <w:pStyle w:val="TableDataEntries"/>
            </w:pPr>
            <w:r>
              <w:t>5.9</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1323F1" w14:textId="77777777" w:rsidR="003D2407" w:rsidRDefault="003D2407" w:rsidP="00C32439">
            <w:pPr>
              <w:pStyle w:val="TableDataEntries"/>
            </w:pPr>
            <w:r>
              <w:t xml:space="preserve"> 0.153</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569DAE" w14:textId="77777777" w:rsidR="003D2407" w:rsidRDefault="003D2407" w:rsidP="00C32439">
            <w:pPr>
              <w:pStyle w:val="TableDataEntries"/>
            </w:pPr>
            <w:r>
              <w:t xml:space="preserve"> 0.142</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EC00D7" w14:textId="77777777" w:rsidR="003D2407" w:rsidRDefault="003D2407" w:rsidP="00C32439">
            <w:pPr>
              <w:pStyle w:val="TableDataEntries"/>
            </w:pPr>
            <w:r>
              <w:t xml:space="preserve"> 32 589</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90FC5" w14:textId="77777777" w:rsidR="003D2407" w:rsidRDefault="003D2407" w:rsidP="00C32439">
            <w:pPr>
              <w:pStyle w:val="TableDataEntries"/>
            </w:pPr>
            <w:r>
              <w:t xml:space="preserve"> 30 246</w:t>
            </w:r>
          </w:p>
        </w:tc>
      </w:tr>
      <w:tr w:rsidR="003D2407" w14:paraId="7EB852A3"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A74F0D" w14:textId="77777777" w:rsidR="003D2407" w:rsidRDefault="003D2407" w:rsidP="00C32439">
            <w:pPr>
              <w:pStyle w:val="TableDataEntries"/>
              <w:jc w:val="left"/>
            </w:pPr>
            <w:r>
              <w:t>Elbow and forearm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908F72" w14:textId="77777777" w:rsidR="003D2407" w:rsidRDefault="003D2407" w:rsidP="00C32439">
            <w:pPr>
              <w:pStyle w:val="TableDataEntries"/>
            </w:pPr>
            <w:r>
              <w:t>6.3</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DBFB35" w14:textId="77777777" w:rsidR="003D2407" w:rsidRDefault="003D2407" w:rsidP="00C32439">
            <w:pPr>
              <w:pStyle w:val="TableDataEntries"/>
            </w:pPr>
            <w:r>
              <w:t xml:space="preserve"> 0.081</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40DE38" w14:textId="77777777" w:rsidR="003D2407" w:rsidRDefault="003D2407" w:rsidP="00C32439">
            <w:pPr>
              <w:pStyle w:val="TableDataEntries"/>
            </w:pPr>
            <w:r>
              <w:t xml:space="preserve"> 0.070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99EC80" w14:textId="77777777" w:rsidR="003D2407" w:rsidRDefault="003D2407" w:rsidP="00C32439">
            <w:pPr>
              <w:pStyle w:val="TableDataEntries"/>
            </w:pPr>
            <w:r>
              <w:t xml:space="preserve"> 17 253</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12C265" w14:textId="77777777" w:rsidR="003D2407" w:rsidRDefault="003D2407" w:rsidP="00C32439">
            <w:pPr>
              <w:pStyle w:val="TableDataEntries"/>
            </w:pPr>
            <w:r>
              <w:t xml:space="preserve"> 14 910</w:t>
            </w:r>
          </w:p>
        </w:tc>
      </w:tr>
      <w:tr w:rsidR="003D2407" w14:paraId="06F3BA3D"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472F08" w14:textId="77777777" w:rsidR="003D2407" w:rsidRDefault="003D2407" w:rsidP="00C32439">
            <w:pPr>
              <w:pStyle w:val="TableDataEntries"/>
              <w:jc w:val="left"/>
            </w:pPr>
            <w:r>
              <w:t>Wrist and hand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3E41A" w14:textId="77777777" w:rsidR="003D2407" w:rsidRDefault="003D2407" w:rsidP="00C32439">
            <w:pPr>
              <w:pStyle w:val="TableDataEntries"/>
            </w:pPr>
            <w:r>
              <w:t>0.9</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29B01" w14:textId="77777777" w:rsidR="003D2407" w:rsidRDefault="003D2407" w:rsidP="00C32439">
            <w:pPr>
              <w:pStyle w:val="TableDataEntries"/>
            </w:pPr>
            <w:r>
              <w:t xml:space="preserve"> 0.085</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F14A42" w14:textId="77777777" w:rsidR="003D2407" w:rsidRDefault="003D2407" w:rsidP="00C32439">
            <w:pPr>
              <w:pStyle w:val="TableDataEntries"/>
            </w:pPr>
            <w:r>
              <w:t xml:space="preserve"> 0.070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BA9819" w14:textId="77777777" w:rsidR="003D2407" w:rsidRDefault="003D2407" w:rsidP="00C32439">
            <w:pPr>
              <w:pStyle w:val="TableDataEntries"/>
            </w:pPr>
            <w:r>
              <w:t xml:space="preserve"> 18 105</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69D3EB" w14:textId="77777777" w:rsidR="003D2407" w:rsidRDefault="003D2407" w:rsidP="00C32439">
            <w:pPr>
              <w:pStyle w:val="TableDataEntries"/>
            </w:pPr>
            <w:r>
              <w:t xml:space="preserve"> 14 910</w:t>
            </w:r>
          </w:p>
        </w:tc>
      </w:tr>
      <w:tr w:rsidR="003D2407" w14:paraId="4D6E30C2"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3C5DCC" w14:textId="77777777" w:rsidR="003D2407" w:rsidRDefault="003D2407" w:rsidP="00C32439">
            <w:pPr>
              <w:pStyle w:val="TableDataEntries"/>
              <w:jc w:val="left"/>
            </w:pPr>
            <w:r>
              <w:t>Hip and thigh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E73852" w14:textId="77777777" w:rsidR="003D2407" w:rsidRDefault="003D2407" w:rsidP="00C32439">
            <w:pPr>
              <w:pStyle w:val="TableDataEntries"/>
            </w:pPr>
            <w:r>
              <w:t>16.9</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687A22" w14:textId="77777777" w:rsidR="003D2407" w:rsidRDefault="003D2407" w:rsidP="00C32439">
            <w:pPr>
              <w:pStyle w:val="TableDataEntries"/>
            </w:pPr>
            <w:r>
              <w:t xml:space="preserve"> 0.281</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2223BF" w14:textId="77777777" w:rsidR="003D2407" w:rsidRDefault="003D2407" w:rsidP="00C32439">
            <w:pPr>
              <w:pStyle w:val="TableDataEntries"/>
            </w:pPr>
            <w:r>
              <w:t xml:space="preserve"> 0.273</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C23578" w14:textId="77777777" w:rsidR="003D2407" w:rsidRDefault="003D2407" w:rsidP="00C32439">
            <w:pPr>
              <w:pStyle w:val="TableDataEntries"/>
            </w:pPr>
            <w:r>
              <w:t xml:space="preserve"> 59 853</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A29B1" w14:textId="77777777" w:rsidR="003D2407" w:rsidRDefault="003D2407" w:rsidP="00C32439">
            <w:pPr>
              <w:pStyle w:val="TableDataEntries"/>
            </w:pPr>
            <w:r>
              <w:t xml:space="preserve"> 58 149</w:t>
            </w:r>
          </w:p>
        </w:tc>
      </w:tr>
      <w:tr w:rsidR="003D2407" w14:paraId="50AA3A46"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516AEE" w14:textId="77777777" w:rsidR="003D2407" w:rsidRDefault="003D2407" w:rsidP="00C32439">
            <w:pPr>
              <w:pStyle w:val="TableDataEntries"/>
              <w:jc w:val="left"/>
            </w:pPr>
            <w:r>
              <w:t>Knee and lower leg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7FE7E1" w14:textId="77777777" w:rsidR="003D2407" w:rsidRDefault="003D2407" w:rsidP="00C32439">
            <w:pPr>
              <w:pStyle w:val="TableDataEntries"/>
            </w:pPr>
            <w:r>
              <w:t>4.7</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EF7E27" w14:textId="77777777" w:rsidR="003D2407" w:rsidRDefault="003D2407" w:rsidP="00C32439">
            <w:pPr>
              <w:pStyle w:val="TableDataEntries"/>
            </w:pPr>
            <w:r>
              <w:t xml:space="preserve"> 0.188</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C768B9" w14:textId="77777777" w:rsidR="003D2407" w:rsidRDefault="003D2407" w:rsidP="00C32439">
            <w:pPr>
              <w:pStyle w:val="TableDataEntries"/>
            </w:pPr>
            <w:r>
              <w:t xml:space="preserve"> 0.172</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0950C8" w14:textId="77777777" w:rsidR="003D2407" w:rsidRDefault="003D2407" w:rsidP="00C32439">
            <w:pPr>
              <w:pStyle w:val="TableDataEntries"/>
            </w:pPr>
            <w:r>
              <w:t xml:space="preserve"> 40 044</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6CDEC0" w14:textId="77777777" w:rsidR="003D2407" w:rsidRDefault="003D2407" w:rsidP="00C32439">
            <w:pPr>
              <w:pStyle w:val="TableDataEntries"/>
            </w:pPr>
            <w:r>
              <w:t xml:space="preserve"> 36 636</w:t>
            </w:r>
          </w:p>
        </w:tc>
      </w:tr>
      <w:tr w:rsidR="003D2407" w14:paraId="37A27C68"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8A770F" w14:textId="77777777" w:rsidR="003D2407" w:rsidRDefault="003D2407" w:rsidP="00C32439">
            <w:pPr>
              <w:pStyle w:val="TableDataEntries"/>
              <w:jc w:val="left"/>
            </w:pPr>
            <w:r>
              <w:t>Ankle and foot fracture</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0635F1" w14:textId="77777777" w:rsidR="003D2407" w:rsidRDefault="003D2407" w:rsidP="00C32439">
            <w:pPr>
              <w:pStyle w:val="TableDataEntries"/>
            </w:pPr>
            <w:r>
              <w:t>0.7</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5040EE" w14:textId="77777777" w:rsidR="003D2407" w:rsidRDefault="003D2407" w:rsidP="00C32439">
            <w:pPr>
              <w:pStyle w:val="TableDataEntries"/>
            </w:pPr>
            <w:r>
              <w:t xml:space="preserve"> 0.163</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D7D742" w14:textId="77777777" w:rsidR="003D2407" w:rsidRDefault="003D2407" w:rsidP="00C32439">
            <w:pPr>
              <w:pStyle w:val="TableDataEntries"/>
            </w:pPr>
            <w:r>
              <w:t xml:space="preserve"> 0.142</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69CEEE" w14:textId="77777777" w:rsidR="003D2407" w:rsidRDefault="003D2407" w:rsidP="00C32439">
            <w:pPr>
              <w:pStyle w:val="TableDataEntries"/>
            </w:pPr>
            <w:r>
              <w:t xml:space="preserve"> 34 719</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342CAB" w14:textId="77777777" w:rsidR="003D2407" w:rsidRDefault="003D2407" w:rsidP="00C32439">
            <w:pPr>
              <w:pStyle w:val="TableDataEntries"/>
            </w:pPr>
            <w:r>
              <w:t xml:space="preserve"> 30 246</w:t>
            </w:r>
          </w:p>
        </w:tc>
      </w:tr>
      <w:tr w:rsidR="003D2407" w14:paraId="2B929337"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8B64EA" w14:textId="77777777" w:rsidR="003D2407" w:rsidRDefault="003D2407" w:rsidP="00C32439">
            <w:pPr>
              <w:pStyle w:val="TableDataEntries"/>
              <w:jc w:val="left"/>
            </w:pPr>
            <w:r>
              <w:t>Dislocation</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AB5B9E" w14:textId="77777777" w:rsidR="003D2407" w:rsidRDefault="003D2407" w:rsidP="00C32439">
            <w:pPr>
              <w:pStyle w:val="TableDataEntries"/>
            </w:pPr>
            <w:r>
              <w:t>1.5</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E6AAEB" w14:textId="77777777" w:rsidR="003D2407" w:rsidRDefault="003D2407" w:rsidP="00C32439">
            <w:pPr>
              <w:pStyle w:val="TableDataEntries"/>
            </w:pPr>
            <w:r>
              <w:t xml:space="preserve"> 0.189</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37D023" w14:textId="77777777" w:rsidR="003D2407" w:rsidRDefault="003D2407" w:rsidP="00C32439">
            <w:pPr>
              <w:pStyle w:val="TableDataEntries"/>
            </w:pPr>
            <w:r>
              <w:t xml:space="preserve"> 0.170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8B598" w14:textId="77777777" w:rsidR="003D2407" w:rsidRDefault="003D2407" w:rsidP="00C32439">
            <w:pPr>
              <w:pStyle w:val="TableDataEntries"/>
            </w:pPr>
            <w:r>
              <w:t xml:space="preserve"> 40 257</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9B4AD4" w14:textId="77777777" w:rsidR="003D2407" w:rsidRDefault="003D2407" w:rsidP="00C32439">
            <w:pPr>
              <w:pStyle w:val="TableDataEntries"/>
            </w:pPr>
            <w:r>
              <w:t xml:space="preserve"> 36 210</w:t>
            </w:r>
          </w:p>
        </w:tc>
      </w:tr>
      <w:tr w:rsidR="003D2407" w14:paraId="7938D287"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26638C" w14:textId="77777777" w:rsidR="003D2407" w:rsidRDefault="003D2407" w:rsidP="00C32439">
            <w:pPr>
              <w:pStyle w:val="TableDataEntries"/>
              <w:jc w:val="left"/>
            </w:pPr>
            <w:r>
              <w:t>Soft-tissue injury</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C5BF0A" w14:textId="77777777" w:rsidR="003D2407" w:rsidRDefault="003D2407" w:rsidP="00C32439">
            <w:pPr>
              <w:pStyle w:val="TableDataEntries"/>
            </w:pPr>
            <w:r>
              <w:t>3.2</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3E998E" w14:textId="77777777" w:rsidR="003D2407" w:rsidRDefault="003D2407" w:rsidP="00C32439">
            <w:pPr>
              <w:pStyle w:val="TableDataEntries"/>
            </w:pPr>
            <w:r>
              <w:t xml:space="preserve"> 0.090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95BBE6" w14:textId="77777777" w:rsidR="003D2407" w:rsidRDefault="003D2407" w:rsidP="00C32439">
            <w:pPr>
              <w:pStyle w:val="TableDataEntries"/>
            </w:pPr>
            <w:r>
              <w:t xml:space="preserve"> 0.058</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561BD4" w14:textId="77777777" w:rsidR="003D2407" w:rsidRDefault="003D2407" w:rsidP="00C32439">
            <w:pPr>
              <w:pStyle w:val="TableDataEntries"/>
            </w:pPr>
            <w:r>
              <w:t xml:space="preserve"> 19 170</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6737A" w14:textId="77777777" w:rsidR="003D2407" w:rsidRDefault="003D2407" w:rsidP="00C32439">
            <w:pPr>
              <w:pStyle w:val="TableDataEntries"/>
            </w:pPr>
            <w:r>
              <w:t xml:space="preserve"> 12 354</w:t>
            </w:r>
          </w:p>
        </w:tc>
      </w:tr>
      <w:tr w:rsidR="003D2407" w14:paraId="7490F5FD"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F182A0" w14:textId="77777777" w:rsidR="003D2407" w:rsidRDefault="003D2407" w:rsidP="00C32439">
            <w:pPr>
              <w:pStyle w:val="TableDataEntries"/>
              <w:jc w:val="left"/>
            </w:pPr>
            <w:r>
              <w:t>Open wound</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2CF816" w14:textId="77777777" w:rsidR="003D2407" w:rsidRDefault="003D2407" w:rsidP="00C32439">
            <w:pPr>
              <w:pStyle w:val="TableDataEntries"/>
            </w:pPr>
            <w:r>
              <w:t>12.9</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36342A" w14:textId="77777777" w:rsidR="003D2407" w:rsidRDefault="003D2407" w:rsidP="00C32439">
            <w:pPr>
              <w:pStyle w:val="TableDataEntries"/>
            </w:pPr>
            <w:r>
              <w:t xml:space="preserve"> 0.091</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7C16BC" w14:textId="77777777" w:rsidR="003D2407" w:rsidRDefault="003D2407" w:rsidP="00C32439">
            <w:pPr>
              <w:pStyle w:val="TableDataEntries"/>
            </w:pPr>
            <w:r>
              <w:t xml:space="preserve"> 0.076</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80FE37" w14:textId="77777777" w:rsidR="003D2407" w:rsidRDefault="003D2407" w:rsidP="00C32439">
            <w:pPr>
              <w:pStyle w:val="TableDataEntries"/>
            </w:pPr>
            <w:r>
              <w:t xml:space="preserve"> 19 383</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A56E9A" w14:textId="77777777" w:rsidR="003D2407" w:rsidRDefault="003D2407" w:rsidP="00C32439">
            <w:pPr>
              <w:pStyle w:val="TableDataEntries"/>
            </w:pPr>
            <w:r>
              <w:t xml:space="preserve"> 16 188</w:t>
            </w:r>
          </w:p>
        </w:tc>
      </w:tr>
      <w:tr w:rsidR="003D2407" w14:paraId="4486227C"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9E843" w14:textId="77777777" w:rsidR="003D2407" w:rsidRDefault="003D2407" w:rsidP="00C32439">
            <w:pPr>
              <w:pStyle w:val="TableDataEntries"/>
              <w:jc w:val="left"/>
            </w:pPr>
            <w:r>
              <w:t>Intracranial injury</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904E32" w14:textId="77777777" w:rsidR="003D2407" w:rsidRDefault="003D2407" w:rsidP="00C32439">
            <w:pPr>
              <w:pStyle w:val="TableDataEntries"/>
            </w:pPr>
            <w:r>
              <w:t>5.9</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14B7BF" w14:textId="77777777" w:rsidR="003D2407" w:rsidRDefault="003D2407" w:rsidP="00C32439">
            <w:pPr>
              <w:pStyle w:val="TableDataEntries"/>
            </w:pPr>
            <w:r>
              <w:t xml:space="preserve"> 0.197</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D9DD3A" w14:textId="77777777" w:rsidR="003D2407" w:rsidRDefault="003D2407" w:rsidP="00C32439">
            <w:pPr>
              <w:pStyle w:val="TableDataEntries"/>
            </w:pPr>
            <w:r>
              <w:t xml:space="preserve"> 0.186</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08AE72" w14:textId="77777777" w:rsidR="003D2407" w:rsidRDefault="003D2407" w:rsidP="00C32439">
            <w:pPr>
              <w:pStyle w:val="TableDataEntries"/>
            </w:pPr>
            <w:r>
              <w:t xml:space="preserve"> 41 961</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1923FB" w14:textId="77777777" w:rsidR="003D2407" w:rsidRDefault="003D2407" w:rsidP="00C32439">
            <w:pPr>
              <w:pStyle w:val="TableDataEntries"/>
            </w:pPr>
            <w:r>
              <w:t xml:space="preserve"> 39 618</w:t>
            </w:r>
          </w:p>
        </w:tc>
      </w:tr>
      <w:tr w:rsidR="003D2407" w14:paraId="32B7C7BE" w14:textId="77777777" w:rsidTr="005A1FB8">
        <w:trPr>
          <w:trHeight w:val="245"/>
        </w:trPr>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E5C1C4" w14:textId="77777777" w:rsidR="003D2407" w:rsidRDefault="003D2407" w:rsidP="00C32439">
            <w:pPr>
              <w:pStyle w:val="TableDataEntries"/>
              <w:jc w:val="left"/>
            </w:pPr>
            <w:r>
              <w:t>Superficial injury</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476A6C" w14:textId="77777777" w:rsidR="003D2407" w:rsidRDefault="003D2407" w:rsidP="00C32439">
            <w:pPr>
              <w:pStyle w:val="TableDataEntries"/>
            </w:pPr>
            <w:r>
              <w:t>9.7</w:t>
            </w:r>
          </w:p>
        </w:tc>
        <w:tc>
          <w:tcPr>
            <w:tcW w:w="94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CA927E" w14:textId="77777777" w:rsidR="003D2407" w:rsidRDefault="003D2407" w:rsidP="00C32439">
            <w:pPr>
              <w:pStyle w:val="TableDataEntries"/>
            </w:pPr>
            <w:r>
              <w:t xml:space="preserve"> 0.100</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62BCC5" w14:textId="77777777" w:rsidR="003D2407" w:rsidRDefault="003D2407" w:rsidP="00C32439">
            <w:pPr>
              <w:pStyle w:val="TableDataEntries"/>
            </w:pPr>
            <w:r>
              <w:t xml:space="preserve"> 0.076</w:t>
            </w:r>
          </w:p>
        </w:tc>
        <w:tc>
          <w:tcPr>
            <w:tcW w:w="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F0B8F8" w14:textId="77777777" w:rsidR="003D2407" w:rsidRDefault="003D2407" w:rsidP="00C32439">
            <w:pPr>
              <w:pStyle w:val="TableDataEntries"/>
            </w:pPr>
            <w:r>
              <w:t xml:space="preserve"> 21 300</w:t>
            </w:r>
          </w:p>
        </w:tc>
        <w:tc>
          <w:tcPr>
            <w:tcW w:w="1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F4CF0C" w14:textId="77777777" w:rsidR="003D2407" w:rsidRDefault="003D2407" w:rsidP="00C32439">
            <w:pPr>
              <w:pStyle w:val="TableDataEntries"/>
            </w:pPr>
            <w:r>
              <w:t xml:space="preserve"> 16 188</w:t>
            </w:r>
          </w:p>
        </w:tc>
      </w:tr>
      <w:tr w:rsidR="003D2407" w:rsidRPr="00425E87" w14:paraId="324766E1" w14:textId="77777777" w:rsidTr="005A1FB8">
        <w:trPr>
          <w:trHeight w:val="245"/>
        </w:trPr>
        <w:tc>
          <w:tcPr>
            <w:tcW w:w="368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F768955" w14:textId="77777777" w:rsidR="003D2407" w:rsidRPr="00425E87" w:rsidRDefault="003D2407" w:rsidP="00C32439">
            <w:pPr>
              <w:pStyle w:val="TableDataEntries"/>
              <w:jc w:val="left"/>
              <w:rPr>
                <w:rFonts w:ascii="Franklin Gothic Demi" w:hAnsi="Franklin Gothic Demi"/>
              </w:rPr>
            </w:pPr>
            <w:r w:rsidRPr="00425E87">
              <w:rPr>
                <w:rFonts w:ascii="Franklin Gothic Demi" w:hAnsi="Franklin Gothic Demi"/>
              </w:rPr>
              <w:t>Total/weighted average</w:t>
            </w:r>
          </w:p>
        </w:tc>
        <w:tc>
          <w:tcPr>
            <w:tcW w:w="85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17F5C65" w14:textId="77777777" w:rsidR="003D2407" w:rsidRPr="00425E87" w:rsidRDefault="003D2407" w:rsidP="00C32439">
            <w:pPr>
              <w:pStyle w:val="TableDataEntries"/>
              <w:rPr>
                <w:rFonts w:ascii="Franklin Gothic Demi" w:hAnsi="Franklin Gothic Demi"/>
              </w:rPr>
            </w:pPr>
            <w:r w:rsidRPr="00425E87">
              <w:rPr>
                <w:rFonts w:ascii="Franklin Gothic Demi" w:hAnsi="Franklin Gothic Demi"/>
              </w:rPr>
              <w:t>85.2</w:t>
            </w:r>
          </w:p>
        </w:tc>
        <w:tc>
          <w:tcPr>
            <w:tcW w:w="94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E08525A" w14:textId="77777777" w:rsidR="003D2407" w:rsidRPr="00425E87" w:rsidRDefault="003D2407" w:rsidP="00C32439">
            <w:pPr>
              <w:pStyle w:val="TableDataEntries"/>
              <w:rPr>
                <w:rFonts w:ascii="Franklin Gothic Demi" w:hAnsi="Franklin Gothic Demi"/>
              </w:rPr>
            </w:pPr>
          </w:p>
        </w:tc>
        <w:tc>
          <w:tcPr>
            <w:tcW w:w="8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04C215D" w14:textId="77777777" w:rsidR="003D2407" w:rsidRPr="00425E87" w:rsidRDefault="003D2407" w:rsidP="00C32439">
            <w:pPr>
              <w:pStyle w:val="TableDataEntries"/>
              <w:rPr>
                <w:rFonts w:ascii="Franklin Gothic Demi" w:hAnsi="Franklin Gothic Demi"/>
              </w:rPr>
            </w:pPr>
          </w:p>
        </w:tc>
        <w:tc>
          <w:tcPr>
            <w:tcW w:w="8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3A89806" w14:textId="77777777" w:rsidR="003D2407" w:rsidRPr="00425E87" w:rsidRDefault="003D2407" w:rsidP="00C32439">
            <w:pPr>
              <w:pStyle w:val="TableDataEntries"/>
              <w:rPr>
                <w:rFonts w:ascii="Franklin Gothic Demi" w:hAnsi="Franklin Gothic Demi"/>
              </w:rPr>
            </w:pPr>
            <w:r w:rsidRPr="00425E87">
              <w:rPr>
                <w:rFonts w:ascii="Franklin Gothic Demi" w:hAnsi="Franklin Gothic Demi"/>
              </w:rPr>
              <w:t xml:space="preserve"> 30 289</w:t>
            </w:r>
          </w:p>
        </w:tc>
        <w:tc>
          <w:tcPr>
            <w:tcW w:w="110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5DCCA3C" w14:textId="77777777" w:rsidR="003D2407" w:rsidRPr="00425E87" w:rsidRDefault="003D2407" w:rsidP="00C32439">
            <w:pPr>
              <w:pStyle w:val="TableDataEntries"/>
              <w:rPr>
                <w:rFonts w:ascii="Franklin Gothic Demi" w:hAnsi="Franklin Gothic Demi"/>
              </w:rPr>
            </w:pPr>
            <w:r w:rsidRPr="00425E87">
              <w:rPr>
                <w:rFonts w:ascii="Franklin Gothic Demi" w:hAnsi="Franklin Gothic Demi"/>
              </w:rPr>
              <w:t xml:space="preserve"> 27 794</w:t>
            </w:r>
          </w:p>
        </w:tc>
      </w:tr>
    </w:tbl>
    <w:p w14:paraId="78429BD4" w14:textId="77777777" w:rsidR="003D2407" w:rsidRPr="00E4232C" w:rsidRDefault="003D2407" w:rsidP="003D2407">
      <w:pPr>
        <w:pStyle w:val="Note"/>
      </w:pPr>
      <w:r w:rsidRPr="00E4232C">
        <w:rPr>
          <w:rStyle w:val="NoteLabel"/>
        </w:rPr>
        <w:t>a</w:t>
      </w:r>
      <w:r>
        <w:t xml:space="preserve"> Applies a VLY of $213 000 per year based on OBPR guidelines.</w:t>
      </w:r>
    </w:p>
    <w:p w14:paraId="2E6108E8" w14:textId="77777777" w:rsidR="003D2407" w:rsidRPr="00280175" w:rsidRDefault="003D2407" w:rsidP="003D2407">
      <w:pPr>
        <w:pStyle w:val="Source"/>
        <w:rPr>
          <w:iCs/>
          <w:lang w:bidi="fa-IR"/>
        </w:rPr>
      </w:pPr>
      <w:r w:rsidRPr="00280175">
        <w:rPr>
          <w:iCs/>
          <w:lang w:bidi="fa-IR"/>
        </w:rPr>
        <w:t xml:space="preserve">Source: </w:t>
      </w:r>
      <w:r w:rsidRPr="00280175">
        <w:rPr>
          <w:iCs/>
        </w:rPr>
        <w:t>AIHW: Pointer, S. 2019, Trends in hospitalised injury due to falls in older people, 2007</w:t>
      </w:r>
      <w:r w:rsidRPr="00280175">
        <w:rPr>
          <w:iCs/>
        </w:rPr>
        <w:noBreakHyphen/>
        <w:t>08 to 2016</w:t>
      </w:r>
      <w:r w:rsidRPr="00280175">
        <w:rPr>
          <w:iCs/>
        </w:rPr>
        <w:noBreakHyphen/>
        <w:t>17, Injury research and statistics series no. 126, Cat. No. INJCAT 206, Canberra: AIHW, pp. 14</w:t>
      </w:r>
      <w:r w:rsidRPr="00280175">
        <w:rPr>
          <w:iCs/>
        </w:rPr>
        <w:noBreakHyphen/>
        <w:t>15; Gabbe, B.J. Lyons, R.A. Simpson, P.M. Rivara, F.P. Ameratunga, S. Polinder, S., Derrett, S. and Harrison, J.E. 2016, Disability weights based on patient</w:t>
      </w:r>
      <w:r w:rsidRPr="00280175">
        <w:rPr>
          <w:iCs/>
        </w:rPr>
        <w:noBreakHyphen/>
        <w:t>reported data from a multinational injury cohort, World Health Organisation Bulletin, November 2016 94(11): 806</w:t>
      </w:r>
      <w:r w:rsidRPr="00280175">
        <w:rPr>
          <w:iCs/>
        </w:rPr>
        <w:noBreakHyphen/>
        <w:t>816C; Australian Government Department of Prime Minister and Cabinet, Office of Best Practice Regulation, Best Practi</w:t>
      </w:r>
      <w:r w:rsidRPr="009C53D0">
        <w:rPr>
          <w:iCs/>
        </w:rPr>
        <w:t>ce Regu</w:t>
      </w:r>
      <w:r w:rsidR="009C53D0">
        <w:rPr>
          <w:iCs/>
        </w:rPr>
        <w:t>l</w:t>
      </w:r>
      <w:r w:rsidRPr="009C53D0">
        <w:rPr>
          <w:iCs/>
        </w:rPr>
        <w:t>ation Guidance</w:t>
      </w:r>
      <w:r w:rsidRPr="00280175">
        <w:rPr>
          <w:iCs/>
        </w:rPr>
        <w:t xml:space="preserve"> Note, Value of statistical life, August 2019, CIE.</w:t>
      </w:r>
    </w:p>
    <w:p w14:paraId="5B9F6D8B" w14:textId="77777777" w:rsidR="003D2407" w:rsidRDefault="003D2407" w:rsidP="003D2407">
      <w:pPr>
        <w:pStyle w:val="BodyText"/>
        <w:rPr>
          <w:lang w:bidi="fa-IR"/>
        </w:rPr>
      </w:pPr>
      <w:r>
        <w:rPr>
          <w:lang w:bidi="fa-IR"/>
        </w:rPr>
        <w:t>Based on the above disability weights and the average life expectancy for each age cohort, the lifetime morbidity cost of injuries is shown in table </w:t>
      </w:r>
      <w:r w:rsidR="00296F77">
        <w:rPr>
          <w:lang w:bidi="fa-IR"/>
        </w:rPr>
        <w:t>B.15</w:t>
      </w:r>
      <w:r>
        <w:rPr>
          <w:lang w:bidi="fa-IR"/>
        </w:rPr>
        <w:t>. In general, these morbidity costs are relatively high, particularly for younger age cohorts. To a large extent, this reflects:</w:t>
      </w:r>
    </w:p>
    <w:p w14:paraId="0E3A4F5B" w14:textId="77777777" w:rsidR="003D2407" w:rsidRDefault="003D2407" w:rsidP="003D2407">
      <w:pPr>
        <w:pStyle w:val="ListBullet"/>
        <w:rPr>
          <w:lang w:bidi="fa-IR"/>
        </w:rPr>
      </w:pPr>
      <w:r>
        <w:rPr>
          <w:lang w:bidi="fa-IR"/>
        </w:rPr>
        <w:t>the assumption that the level of residual disability at 12 months post</w:t>
      </w:r>
      <w:r>
        <w:rPr>
          <w:lang w:bidi="fa-IR"/>
        </w:rPr>
        <w:noBreakHyphen/>
        <w:t xml:space="preserve">injury reflects the expected lifelong disability </w:t>
      </w:r>
    </w:p>
    <w:p w14:paraId="6E031213" w14:textId="77777777" w:rsidR="003D2407" w:rsidRDefault="00407DCA" w:rsidP="003D2407">
      <w:pPr>
        <w:pStyle w:val="ListBullet"/>
        <w:rPr>
          <w:lang w:bidi="fa-IR"/>
        </w:rPr>
      </w:pPr>
      <w:r>
        <w:rPr>
          <w:lang w:bidi="fa-IR"/>
        </w:rPr>
        <w:t xml:space="preserve">that </w:t>
      </w:r>
      <w:r w:rsidR="003D2407">
        <w:rPr>
          <w:lang w:bidi="fa-IR"/>
        </w:rPr>
        <w:t>the level of permanent disability is estimated to be only slightly lower than the level of disability in the first</w:t>
      </w:r>
      <w:r w:rsidR="003D2407">
        <w:rPr>
          <w:lang w:bidi="fa-IR"/>
        </w:rPr>
        <w:noBreakHyphen/>
        <w:t>year post</w:t>
      </w:r>
      <w:r w:rsidR="003D2407">
        <w:rPr>
          <w:lang w:bidi="fa-IR"/>
        </w:rPr>
        <w:noBreakHyphen/>
        <w:t>injury.</w:t>
      </w:r>
    </w:p>
    <w:p w14:paraId="06D94FB4" w14:textId="77777777" w:rsidR="003D2407" w:rsidRDefault="003D2407" w:rsidP="003D2407">
      <w:pPr>
        <w:pStyle w:val="BodyText"/>
        <w:rPr>
          <w:lang w:bidi="fa-IR"/>
        </w:rPr>
      </w:pPr>
      <w:r>
        <w:rPr>
          <w:lang w:bidi="fa-IR"/>
        </w:rPr>
        <w:t xml:space="preserve">While these may be reasonable estimates for older age groups, it is less clear that injuries from falls around the house would </w:t>
      </w:r>
      <w:r w:rsidR="007A22A8">
        <w:rPr>
          <w:lang w:bidi="fa-IR"/>
        </w:rPr>
        <w:t xml:space="preserve">cause the same level of </w:t>
      </w:r>
      <w:r>
        <w:rPr>
          <w:lang w:bidi="fa-IR"/>
        </w:rPr>
        <w:t>permanent disab</w:t>
      </w:r>
      <w:r w:rsidR="007A22A8">
        <w:rPr>
          <w:lang w:bidi="fa-IR"/>
        </w:rPr>
        <w:t>ility</w:t>
      </w:r>
      <w:r>
        <w:rPr>
          <w:lang w:bidi="fa-IR"/>
        </w:rPr>
        <w:t xml:space="preserve"> for younger age groups.</w:t>
      </w:r>
    </w:p>
    <w:p w14:paraId="59D355F9" w14:textId="56ACD183" w:rsidR="003D2407" w:rsidRDefault="00B27E24" w:rsidP="003D2407">
      <w:pPr>
        <w:pStyle w:val="Caption"/>
      </w:pPr>
      <w:bookmarkStart w:id="693" w:name="_Toc58000348"/>
      <w:bookmarkStart w:id="694" w:name="_Toc70505629"/>
      <w:r>
        <w:t>B.15</w:t>
      </w:r>
      <w:r w:rsidR="003D2407" w:rsidRPr="00695C93">
        <w:tab/>
      </w:r>
      <w:r w:rsidR="003D2407">
        <w:t>Estimated lifetime morbidity cost by age cohort</w:t>
      </w:r>
      <w:bookmarkEnd w:id="693"/>
      <w:bookmarkEnd w:id="694"/>
    </w:p>
    <w:tbl>
      <w:tblPr>
        <w:tblW w:w="8222" w:type="dxa"/>
        <w:tblLayout w:type="fixed"/>
        <w:tblLook w:val="0000" w:firstRow="0" w:lastRow="0" w:firstColumn="0" w:lastColumn="0" w:noHBand="0" w:noVBand="0"/>
        <w:tblCaption w:val="Table B.15: Estimated lifetime morbidity cost by age cohort"/>
        <w:tblDescription w:val="Table B.15 lists life expectancy and lifetime morbidity cost, grouped by age cohort. The lifetime morbidity cost decreases as age increases - from $872,309 at age 0-4 years, to $101.168 at age 95+, when life expectancy is just 2.7 years."/>
      </w:tblPr>
      <w:tblGrid>
        <w:gridCol w:w="3978"/>
        <w:gridCol w:w="1777"/>
        <w:gridCol w:w="2467"/>
      </w:tblGrid>
      <w:tr w:rsidR="003D2407" w14:paraId="5148D83B" w14:textId="77777777" w:rsidTr="005A1FB8">
        <w:trPr>
          <w:trHeight w:val="64"/>
          <w:tblHeader/>
        </w:trPr>
        <w:tc>
          <w:tcPr>
            <w:tcW w:w="3978" w:type="dxa"/>
            <w:tcBorders>
              <w:bottom w:val="single" w:sz="8" w:space="0" w:color="FFFFFF" w:themeColor="background1"/>
            </w:tcBorders>
            <w:shd w:val="clear" w:color="auto" w:fill="6F6652"/>
            <w:tcMar>
              <w:left w:w="57" w:type="dxa"/>
              <w:right w:w="57" w:type="dxa"/>
            </w:tcMar>
          </w:tcPr>
          <w:p w14:paraId="1B962A65" w14:textId="77777777" w:rsidR="003D2407" w:rsidRDefault="007A22A8" w:rsidP="00C32439">
            <w:pPr>
              <w:pStyle w:val="TableDataColumnHeading"/>
              <w:jc w:val="left"/>
            </w:pPr>
            <w:r>
              <w:t>Age group</w:t>
            </w:r>
          </w:p>
        </w:tc>
        <w:tc>
          <w:tcPr>
            <w:tcW w:w="1777" w:type="dxa"/>
            <w:tcBorders>
              <w:bottom w:val="single" w:sz="8" w:space="0" w:color="FFFFFF" w:themeColor="background1"/>
            </w:tcBorders>
            <w:shd w:val="clear" w:color="auto" w:fill="6F6652"/>
            <w:tcMar>
              <w:left w:w="57" w:type="dxa"/>
              <w:right w:w="57" w:type="dxa"/>
            </w:tcMar>
          </w:tcPr>
          <w:p w14:paraId="6AE51E9C" w14:textId="77777777" w:rsidR="003D2407" w:rsidRDefault="003D2407" w:rsidP="00C32439">
            <w:pPr>
              <w:pStyle w:val="TableDataColumnHeading"/>
            </w:pPr>
            <w:r>
              <w:t>Life expectancy (years)</w:t>
            </w:r>
          </w:p>
        </w:tc>
        <w:tc>
          <w:tcPr>
            <w:tcW w:w="2467" w:type="dxa"/>
            <w:tcBorders>
              <w:bottom w:val="single" w:sz="8" w:space="0" w:color="FFFFFF" w:themeColor="background1"/>
            </w:tcBorders>
            <w:shd w:val="clear" w:color="auto" w:fill="6F6652"/>
            <w:tcMar>
              <w:left w:w="57" w:type="dxa"/>
              <w:right w:w="57" w:type="dxa"/>
            </w:tcMar>
          </w:tcPr>
          <w:p w14:paraId="72D4302B" w14:textId="77777777" w:rsidR="003D2407" w:rsidRDefault="003D2407" w:rsidP="00C32439">
            <w:pPr>
              <w:pStyle w:val="TableDataColumnHeading"/>
            </w:pPr>
            <w:r>
              <w:t>Lifetime morbidity cost ($)</w:t>
            </w:r>
          </w:p>
        </w:tc>
      </w:tr>
      <w:tr w:rsidR="003D2407" w14:paraId="6E76F1BF"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9C3DF3" w14:textId="77777777" w:rsidR="003D2407" w:rsidRDefault="003D2407" w:rsidP="00C32439">
            <w:pPr>
              <w:pStyle w:val="TableDataEntries"/>
              <w:jc w:val="left"/>
            </w:pPr>
            <w:r>
              <w:t>0 to 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019068" w14:textId="77777777" w:rsidR="003D2407" w:rsidRDefault="003D2407" w:rsidP="00C32439">
            <w:pPr>
              <w:pStyle w:val="TableDataEntries"/>
            </w:pPr>
            <w:r>
              <w:t>81.04</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0DCCCF" w14:textId="77777777" w:rsidR="003D2407" w:rsidRDefault="003D2407" w:rsidP="00C32439">
            <w:pPr>
              <w:pStyle w:val="TableDataEntries"/>
            </w:pPr>
            <w:r>
              <w:t xml:space="preserve"> 872 309</w:t>
            </w:r>
          </w:p>
        </w:tc>
      </w:tr>
      <w:tr w:rsidR="003D2407" w14:paraId="2B5CCA0A"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251057" w14:textId="77777777" w:rsidR="003D2407" w:rsidRDefault="003D2407" w:rsidP="00C32439">
            <w:pPr>
              <w:pStyle w:val="TableDataEntries"/>
              <w:jc w:val="left"/>
            </w:pPr>
            <w:r>
              <w:t>5 to 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F0BF6E" w14:textId="77777777" w:rsidR="003D2407" w:rsidRDefault="003D2407" w:rsidP="00C32439">
            <w:pPr>
              <w:pStyle w:val="TableDataEntries"/>
            </w:pPr>
            <w:r>
              <w:t>76.13</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CD965" w14:textId="77777777" w:rsidR="003D2407" w:rsidRDefault="003D2407" w:rsidP="00C32439">
            <w:pPr>
              <w:pStyle w:val="TableDataEntries"/>
            </w:pPr>
            <w:r>
              <w:t xml:space="preserve"> 859 130</w:t>
            </w:r>
          </w:p>
        </w:tc>
      </w:tr>
      <w:tr w:rsidR="003D2407" w14:paraId="7D94F5D3"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FAD03" w14:textId="77777777" w:rsidR="003D2407" w:rsidRDefault="003D2407" w:rsidP="00C32439">
            <w:pPr>
              <w:pStyle w:val="TableDataEntries"/>
              <w:jc w:val="left"/>
            </w:pPr>
            <w:r>
              <w:t>10 to 14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D1B97" w14:textId="77777777" w:rsidR="003D2407" w:rsidRDefault="003D2407" w:rsidP="00C32439">
            <w:pPr>
              <w:pStyle w:val="TableDataEntries"/>
            </w:pPr>
            <w:r>
              <w:t>71.16</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F83EFA" w14:textId="77777777" w:rsidR="003D2407" w:rsidRDefault="003D2407" w:rsidP="00C32439">
            <w:pPr>
              <w:pStyle w:val="TableDataEntries"/>
            </w:pPr>
            <w:r>
              <w:t xml:space="preserve"> 843 670</w:t>
            </w:r>
          </w:p>
        </w:tc>
      </w:tr>
      <w:tr w:rsidR="003D2407" w14:paraId="41C6416B"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A7AD57" w14:textId="77777777" w:rsidR="003D2407" w:rsidRDefault="003D2407" w:rsidP="00C32439">
            <w:pPr>
              <w:pStyle w:val="TableDataEntries"/>
              <w:jc w:val="left"/>
            </w:pPr>
            <w:r>
              <w:t>15 to 19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B1CF06" w14:textId="77777777" w:rsidR="003D2407" w:rsidRDefault="003D2407" w:rsidP="00C32439">
            <w:pPr>
              <w:pStyle w:val="TableDataEntries"/>
            </w:pPr>
            <w:r>
              <w:t>66.21</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601304" w14:textId="77777777" w:rsidR="003D2407" w:rsidRDefault="003D2407" w:rsidP="00C32439">
            <w:pPr>
              <w:pStyle w:val="TableDataEntries"/>
            </w:pPr>
            <w:r>
              <w:t xml:space="preserve"> 825 876</w:t>
            </w:r>
          </w:p>
        </w:tc>
      </w:tr>
      <w:tr w:rsidR="003D2407" w14:paraId="7FE3C44A"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C86BDA" w14:textId="77777777" w:rsidR="003D2407" w:rsidRDefault="003D2407" w:rsidP="00C32439">
            <w:pPr>
              <w:pStyle w:val="TableDataEntries"/>
              <w:jc w:val="left"/>
            </w:pPr>
            <w:r>
              <w:t>20 to 24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DE7D10" w14:textId="77777777" w:rsidR="003D2407" w:rsidRDefault="003D2407" w:rsidP="00C32439">
            <w:pPr>
              <w:pStyle w:val="TableDataEntries"/>
            </w:pPr>
            <w:r>
              <w:t>61.33</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093D2" w14:textId="77777777" w:rsidR="003D2407" w:rsidRDefault="003D2407" w:rsidP="00C32439">
            <w:pPr>
              <w:pStyle w:val="TableDataEntries"/>
            </w:pPr>
            <w:r>
              <w:t xml:space="preserve"> 805 530</w:t>
            </w:r>
          </w:p>
        </w:tc>
      </w:tr>
      <w:tr w:rsidR="003D2407" w14:paraId="3F3E7D83"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EE4564" w14:textId="77777777" w:rsidR="003D2407" w:rsidRDefault="003D2407" w:rsidP="00C32439">
            <w:pPr>
              <w:pStyle w:val="TableDataEntries"/>
              <w:jc w:val="left"/>
            </w:pPr>
            <w:r>
              <w:t>25 to 29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E8E691" w14:textId="77777777" w:rsidR="003D2407" w:rsidRDefault="003D2407" w:rsidP="00C32439">
            <w:pPr>
              <w:pStyle w:val="TableDataEntries"/>
            </w:pPr>
            <w:r>
              <w:t>56.45</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E22F54" w14:textId="77777777" w:rsidR="003D2407" w:rsidRDefault="003D2407" w:rsidP="00C32439">
            <w:pPr>
              <w:pStyle w:val="TableDataEntries"/>
            </w:pPr>
            <w:r>
              <w:t xml:space="preserve"> 782 095</w:t>
            </w:r>
          </w:p>
        </w:tc>
      </w:tr>
      <w:tr w:rsidR="003D2407" w14:paraId="05158A37"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61D5D1" w14:textId="77777777" w:rsidR="003D2407" w:rsidRDefault="003D2407" w:rsidP="00C32439">
            <w:pPr>
              <w:pStyle w:val="TableDataEntries"/>
              <w:jc w:val="left"/>
            </w:pPr>
            <w:r>
              <w:t>30 to 34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549ADA" w14:textId="77777777" w:rsidR="003D2407" w:rsidRDefault="003D2407" w:rsidP="00C32439">
            <w:pPr>
              <w:pStyle w:val="TableDataEntries"/>
            </w:pPr>
            <w:r>
              <w:t>51.59</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C5748F" w14:textId="77777777" w:rsidR="003D2407" w:rsidRDefault="003D2407" w:rsidP="00C32439">
            <w:pPr>
              <w:pStyle w:val="TableDataEntries"/>
            </w:pPr>
            <w:r>
              <w:t xml:space="preserve"> 755 111</w:t>
            </w:r>
          </w:p>
        </w:tc>
      </w:tr>
      <w:tr w:rsidR="003D2407" w14:paraId="39D174A1"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6401A0" w14:textId="77777777" w:rsidR="003D2407" w:rsidRDefault="003D2407" w:rsidP="00C32439">
            <w:pPr>
              <w:pStyle w:val="TableDataEntries"/>
              <w:jc w:val="left"/>
            </w:pPr>
            <w:r>
              <w:t>35 to 39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F1FF4" w14:textId="77777777" w:rsidR="003D2407" w:rsidRDefault="003D2407" w:rsidP="00C32439">
            <w:pPr>
              <w:pStyle w:val="TableDataEntries"/>
            </w:pPr>
            <w:r>
              <w:t>46.77</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9C2C3" w14:textId="77777777" w:rsidR="003D2407" w:rsidRDefault="003D2407" w:rsidP="00C32439">
            <w:pPr>
              <w:pStyle w:val="TableDataEntries"/>
            </w:pPr>
            <w:r>
              <w:t xml:space="preserve"> 724 199</w:t>
            </w:r>
          </w:p>
        </w:tc>
      </w:tr>
      <w:tr w:rsidR="003D2407" w14:paraId="11141D4F"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740A66" w14:textId="77777777" w:rsidR="003D2407" w:rsidRDefault="003D2407" w:rsidP="00C32439">
            <w:pPr>
              <w:pStyle w:val="TableDataEntries"/>
              <w:jc w:val="left"/>
            </w:pPr>
            <w:r>
              <w:t>40 to 44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BFB098" w14:textId="77777777" w:rsidR="003D2407" w:rsidRDefault="003D2407" w:rsidP="00C32439">
            <w:pPr>
              <w:pStyle w:val="TableDataEntries"/>
            </w:pPr>
            <w:r>
              <w:t>41.99</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E659EA" w14:textId="77777777" w:rsidR="003D2407" w:rsidRDefault="003D2407" w:rsidP="00C32439">
            <w:pPr>
              <w:pStyle w:val="TableDataEntries"/>
            </w:pPr>
            <w:r>
              <w:t xml:space="preserve"> 688 932</w:t>
            </w:r>
          </w:p>
        </w:tc>
      </w:tr>
      <w:tr w:rsidR="003D2407" w14:paraId="0788E8D4"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B5151F" w14:textId="77777777" w:rsidR="003D2407" w:rsidRDefault="003D2407" w:rsidP="00C32439">
            <w:pPr>
              <w:pStyle w:val="TableDataEntries"/>
              <w:jc w:val="left"/>
            </w:pPr>
            <w:r>
              <w:t>45 to 49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F833A7" w14:textId="77777777" w:rsidR="003D2407" w:rsidRDefault="003D2407" w:rsidP="00C32439">
            <w:pPr>
              <w:pStyle w:val="TableDataEntries"/>
            </w:pPr>
            <w:r>
              <w:t>37.28</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2955D" w14:textId="77777777" w:rsidR="003D2407" w:rsidRDefault="003D2407" w:rsidP="00C32439">
            <w:pPr>
              <w:pStyle w:val="TableDataEntries"/>
            </w:pPr>
            <w:r>
              <w:t xml:space="preserve"> 648 902</w:t>
            </w:r>
          </w:p>
        </w:tc>
      </w:tr>
      <w:tr w:rsidR="003D2407" w14:paraId="626E0A77"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58D0E7" w14:textId="77777777" w:rsidR="003D2407" w:rsidRDefault="003D2407" w:rsidP="00C32439">
            <w:pPr>
              <w:pStyle w:val="TableDataEntries"/>
              <w:jc w:val="left"/>
            </w:pPr>
            <w:r>
              <w:t>50 to 54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52F720" w14:textId="77777777" w:rsidR="003D2407" w:rsidRDefault="003D2407" w:rsidP="00C32439">
            <w:pPr>
              <w:pStyle w:val="TableDataEntries"/>
            </w:pPr>
            <w:r>
              <w:t>32.65</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DF4BDD" w14:textId="77777777" w:rsidR="003D2407" w:rsidRDefault="003D2407" w:rsidP="00C32439">
            <w:pPr>
              <w:pStyle w:val="TableDataEntries"/>
            </w:pPr>
            <w:r>
              <w:t xml:space="preserve"> 603 805</w:t>
            </w:r>
          </w:p>
        </w:tc>
      </w:tr>
      <w:tr w:rsidR="003D2407" w14:paraId="5A07C7E7"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946560" w14:textId="77777777" w:rsidR="003D2407" w:rsidRDefault="003D2407" w:rsidP="00C32439">
            <w:pPr>
              <w:pStyle w:val="TableDataEntries"/>
              <w:jc w:val="left"/>
            </w:pPr>
            <w:r>
              <w:t>55 to 59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01EE2B" w14:textId="77777777" w:rsidR="003D2407" w:rsidRDefault="003D2407" w:rsidP="00C32439">
            <w:pPr>
              <w:pStyle w:val="TableDataEntries"/>
            </w:pPr>
            <w:r>
              <w:t>28.14</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1A9661" w14:textId="77777777" w:rsidR="003D2407" w:rsidRDefault="003D2407" w:rsidP="00C32439">
            <w:pPr>
              <w:pStyle w:val="TableDataEntries"/>
            </w:pPr>
            <w:r>
              <w:t xml:space="preserve"> 553 488</w:t>
            </w:r>
          </w:p>
        </w:tc>
      </w:tr>
      <w:tr w:rsidR="003D2407" w14:paraId="1A3B9E5F"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8CD064" w14:textId="77777777" w:rsidR="003D2407" w:rsidRDefault="003D2407" w:rsidP="00C32439">
            <w:pPr>
              <w:pStyle w:val="TableDataEntries"/>
              <w:jc w:val="left"/>
            </w:pPr>
            <w:r>
              <w:t>60 to 64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23869C" w14:textId="77777777" w:rsidR="003D2407" w:rsidRDefault="003D2407" w:rsidP="00C32439">
            <w:pPr>
              <w:pStyle w:val="TableDataEntries"/>
            </w:pPr>
            <w:r>
              <w:t>23.77</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EFF94C" w14:textId="77777777" w:rsidR="003D2407" w:rsidRDefault="003D2407" w:rsidP="00C32439">
            <w:pPr>
              <w:pStyle w:val="TableDataEntries"/>
            </w:pPr>
            <w:r>
              <w:t xml:space="preserve"> 497 852</w:t>
            </w:r>
          </w:p>
        </w:tc>
      </w:tr>
      <w:tr w:rsidR="003D2407" w14:paraId="6F5EACA3"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375A1B" w14:textId="77777777" w:rsidR="003D2407" w:rsidRDefault="003D2407" w:rsidP="00C32439">
            <w:pPr>
              <w:pStyle w:val="TableDataEntries"/>
              <w:jc w:val="left"/>
            </w:pPr>
            <w:r>
              <w:t>65 to 69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88B577" w14:textId="77777777" w:rsidR="003D2407" w:rsidRDefault="003D2407" w:rsidP="00C32439">
            <w:pPr>
              <w:pStyle w:val="TableDataEntries"/>
            </w:pPr>
            <w:r>
              <w:t>19.55</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A69995" w14:textId="77777777" w:rsidR="003D2407" w:rsidRDefault="003D2407" w:rsidP="00C32439">
            <w:pPr>
              <w:pStyle w:val="TableDataEntries"/>
            </w:pPr>
            <w:r>
              <w:t xml:space="preserve"> 436 909</w:t>
            </w:r>
          </w:p>
        </w:tc>
      </w:tr>
      <w:tr w:rsidR="003D2407" w14:paraId="6744425E"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11DC4F" w14:textId="77777777" w:rsidR="003D2407" w:rsidRDefault="003D2407" w:rsidP="00C32439">
            <w:pPr>
              <w:pStyle w:val="TableDataEntries"/>
              <w:jc w:val="left"/>
            </w:pPr>
            <w:r>
              <w:t>70 to 74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3D81B7" w14:textId="77777777" w:rsidR="003D2407" w:rsidRDefault="003D2407" w:rsidP="00C32439">
            <w:pPr>
              <w:pStyle w:val="TableDataEntries"/>
            </w:pPr>
            <w:r>
              <w:t>15.55</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A61A1B" w14:textId="77777777" w:rsidR="003D2407" w:rsidRDefault="003D2407" w:rsidP="00C32439">
            <w:pPr>
              <w:pStyle w:val="TableDataEntries"/>
            </w:pPr>
            <w:r>
              <w:t xml:space="preserve"> 371 689</w:t>
            </w:r>
          </w:p>
        </w:tc>
      </w:tr>
      <w:tr w:rsidR="003D2407" w14:paraId="6BB4BA6D"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B2F1B5" w14:textId="77777777" w:rsidR="003D2407" w:rsidRDefault="003D2407" w:rsidP="00C32439">
            <w:pPr>
              <w:pStyle w:val="TableDataEntries"/>
              <w:jc w:val="left"/>
            </w:pPr>
            <w:r>
              <w:t>75 to 79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EF7343" w14:textId="77777777" w:rsidR="003D2407" w:rsidRDefault="003D2407" w:rsidP="00C32439">
            <w:pPr>
              <w:pStyle w:val="TableDataEntries"/>
            </w:pPr>
            <w:r>
              <w:t>11.87</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25A842" w14:textId="77777777" w:rsidR="003D2407" w:rsidRDefault="003D2407" w:rsidP="00C32439">
            <w:pPr>
              <w:pStyle w:val="TableDataEntries"/>
            </w:pPr>
            <w:r>
              <w:t xml:space="preserve"> 304 396</w:t>
            </w:r>
          </w:p>
        </w:tc>
      </w:tr>
      <w:tr w:rsidR="003D2407" w14:paraId="722DD905"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60C842" w14:textId="77777777" w:rsidR="003D2407" w:rsidRDefault="003D2407" w:rsidP="00C32439">
            <w:pPr>
              <w:pStyle w:val="TableDataEntries"/>
              <w:jc w:val="left"/>
            </w:pPr>
            <w:r>
              <w:t>80 to 84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EF4BBE" w14:textId="77777777" w:rsidR="003D2407" w:rsidRDefault="003D2407" w:rsidP="00C32439">
            <w:pPr>
              <w:pStyle w:val="TableDataEntries"/>
            </w:pPr>
            <w:r>
              <w:t>8.62</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39819B" w14:textId="77777777" w:rsidR="003D2407" w:rsidRDefault="003D2407" w:rsidP="00C32439">
            <w:pPr>
              <w:pStyle w:val="TableDataEntries"/>
            </w:pPr>
            <w:r>
              <w:t xml:space="preserve"> 238 572</w:t>
            </w:r>
          </w:p>
        </w:tc>
      </w:tr>
      <w:tr w:rsidR="003D2407" w14:paraId="454D93E8"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EB7A1E" w14:textId="77777777" w:rsidR="003D2407" w:rsidRDefault="003D2407" w:rsidP="00C32439">
            <w:pPr>
              <w:pStyle w:val="TableDataEntries"/>
              <w:jc w:val="left"/>
            </w:pPr>
            <w:r>
              <w:t>85 to 89</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B8C0EA" w14:textId="77777777" w:rsidR="003D2407" w:rsidRDefault="003D2407" w:rsidP="00C32439">
            <w:pPr>
              <w:pStyle w:val="TableDataEntries"/>
            </w:pPr>
            <w:r>
              <w:t>5.97</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CDC00D" w14:textId="77777777" w:rsidR="003D2407" w:rsidRDefault="003D2407" w:rsidP="00C32439">
            <w:pPr>
              <w:pStyle w:val="TableDataEntries"/>
            </w:pPr>
            <w:r>
              <w:t xml:space="preserve"> 180 218</w:t>
            </w:r>
          </w:p>
        </w:tc>
      </w:tr>
      <w:tr w:rsidR="003D2407" w14:paraId="4BC4726C" w14:textId="77777777" w:rsidTr="005A1FB8">
        <w:trPr>
          <w:trHeight w:val="245"/>
        </w:trPr>
        <w:tc>
          <w:tcPr>
            <w:tcW w:w="3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2FF54F" w14:textId="77777777" w:rsidR="003D2407" w:rsidRDefault="003D2407" w:rsidP="00C32439">
            <w:pPr>
              <w:pStyle w:val="TableDataEntries"/>
              <w:jc w:val="left"/>
            </w:pPr>
            <w:r>
              <w:t>90 to 94</w:t>
            </w:r>
          </w:p>
        </w:tc>
        <w:tc>
          <w:tcPr>
            <w:tcW w:w="17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E2C338" w14:textId="77777777" w:rsidR="003D2407" w:rsidRDefault="003D2407" w:rsidP="00C32439">
            <w:pPr>
              <w:pStyle w:val="TableDataEntries"/>
            </w:pPr>
            <w:r>
              <w:t>4.08</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682E49" w14:textId="77777777" w:rsidR="003D2407" w:rsidRDefault="003D2407" w:rsidP="00C32439">
            <w:pPr>
              <w:pStyle w:val="TableDataEntries"/>
            </w:pPr>
            <w:r>
              <w:t xml:space="preserve"> 135 431</w:t>
            </w:r>
          </w:p>
        </w:tc>
      </w:tr>
      <w:tr w:rsidR="003D2407" w14:paraId="1409A32D" w14:textId="77777777" w:rsidTr="005A1FB8">
        <w:trPr>
          <w:trHeight w:val="245"/>
        </w:trPr>
        <w:tc>
          <w:tcPr>
            <w:tcW w:w="3978" w:type="dxa"/>
            <w:tcBorders>
              <w:top w:val="single" w:sz="8" w:space="0" w:color="FFFFFF" w:themeColor="background1"/>
              <w:bottom w:val="single" w:sz="6" w:space="0" w:color="6F6652"/>
            </w:tcBorders>
            <w:shd w:val="clear" w:color="auto" w:fill="E9E8E5" w:themeFill="background2"/>
            <w:tcMar>
              <w:left w:w="57" w:type="dxa"/>
              <w:right w:w="57" w:type="dxa"/>
            </w:tcMar>
          </w:tcPr>
          <w:p w14:paraId="4A667326" w14:textId="77777777" w:rsidR="003D2407" w:rsidRDefault="003D2407" w:rsidP="00C32439">
            <w:pPr>
              <w:pStyle w:val="TableDataEntries"/>
              <w:jc w:val="left"/>
            </w:pPr>
            <w:r>
              <w:t>95+</w:t>
            </w:r>
          </w:p>
        </w:tc>
        <w:tc>
          <w:tcPr>
            <w:tcW w:w="1777" w:type="dxa"/>
            <w:tcBorders>
              <w:top w:val="single" w:sz="8" w:space="0" w:color="FFFFFF" w:themeColor="background1"/>
              <w:bottom w:val="single" w:sz="6" w:space="0" w:color="6F6652"/>
            </w:tcBorders>
            <w:shd w:val="clear" w:color="auto" w:fill="E9E8E5" w:themeFill="background2"/>
            <w:tcMar>
              <w:left w:w="57" w:type="dxa"/>
              <w:right w:w="57" w:type="dxa"/>
            </w:tcMar>
          </w:tcPr>
          <w:p w14:paraId="575C5172" w14:textId="77777777" w:rsidR="003D2407" w:rsidRDefault="003D2407" w:rsidP="00C32439">
            <w:pPr>
              <w:pStyle w:val="TableDataEntries"/>
            </w:pPr>
            <w:r>
              <w:t>2.70</w:t>
            </w:r>
          </w:p>
        </w:tc>
        <w:tc>
          <w:tcPr>
            <w:tcW w:w="2467" w:type="dxa"/>
            <w:tcBorders>
              <w:top w:val="single" w:sz="8" w:space="0" w:color="FFFFFF" w:themeColor="background1"/>
              <w:bottom w:val="single" w:sz="6" w:space="0" w:color="6F6652"/>
            </w:tcBorders>
            <w:shd w:val="clear" w:color="auto" w:fill="E9E8E5" w:themeFill="background2"/>
            <w:tcMar>
              <w:left w:w="57" w:type="dxa"/>
              <w:right w:w="57" w:type="dxa"/>
            </w:tcMar>
          </w:tcPr>
          <w:p w14:paraId="0BAD57B0" w14:textId="77777777" w:rsidR="003D2407" w:rsidRDefault="003D2407" w:rsidP="00C32439">
            <w:pPr>
              <w:pStyle w:val="TableDataEntries"/>
            </w:pPr>
            <w:r>
              <w:t xml:space="preserve"> 101 168</w:t>
            </w:r>
          </w:p>
        </w:tc>
      </w:tr>
    </w:tbl>
    <w:p w14:paraId="50C5BD94" w14:textId="77777777" w:rsidR="003D2407" w:rsidRDefault="003D2407" w:rsidP="003D2407">
      <w:pPr>
        <w:pStyle w:val="Source"/>
        <w:rPr>
          <w:lang w:bidi="fa-IR"/>
        </w:rPr>
      </w:pPr>
      <w:r w:rsidRPr="00280175">
        <w:rPr>
          <w:iCs/>
          <w:lang w:bidi="fa-IR"/>
        </w:rPr>
        <w:t xml:space="preserve">Source: </w:t>
      </w:r>
      <w:r w:rsidRPr="00280175">
        <w:rPr>
          <w:iCs/>
          <w:lang w:val="en-US"/>
        </w:rPr>
        <w:t>ABS,</w:t>
      </w:r>
      <w:r>
        <w:rPr>
          <w:lang w:val="en-US"/>
        </w:rPr>
        <w:t xml:space="preserve"> Life Tables, States, Territories and Australia 2016</w:t>
      </w:r>
      <w:r>
        <w:rPr>
          <w:lang w:val="en-US"/>
        </w:rPr>
        <w:noBreakHyphen/>
        <w:t xml:space="preserve">2018, </w:t>
      </w:r>
      <w:hyperlink r:id="rId83" w:tooltip="More information can be found at the website via this link" w:history="1">
        <w:r>
          <w:rPr>
            <w:rStyle w:val="Hyperlink"/>
          </w:rPr>
          <w:t>https://www.abs.gov.au/AUSSTATS/abs@.nsf/Lookup/3302.0.55.001Main+Features12016-2018?OpenDocument</w:t>
        </w:r>
      </w:hyperlink>
      <w:r>
        <w:t xml:space="preserve">, accessed 15 January 2020, </w:t>
      </w:r>
      <w:r>
        <w:rPr>
          <w:lang w:bidi="fa-IR"/>
        </w:rPr>
        <w:t>CIE estimates.</w:t>
      </w:r>
    </w:p>
    <w:p w14:paraId="4D06B480" w14:textId="010A5107" w:rsidR="003D2407" w:rsidRDefault="003D2407" w:rsidP="003D2407">
      <w:pPr>
        <w:pStyle w:val="BodyText"/>
        <w:rPr>
          <w:lang w:bidi="fa-IR"/>
        </w:rPr>
      </w:pPr>
      <w:r>
        <w:rPr>
          <w:lang w:bidi="fa-IR"/>
        </w:rPr>
        <w:t xml:space="preserve">Given the relatively high morbidity costs implied by these estimates, </w:t>
      </w:r>
      <w:r w:rsidR="00112EE2">
        <w:rPr>
          <w:lang w:bidi="fa-IR"/>
        </w:rPr>
        <w:t>it is</w:t>
      </w:r>
      <w:r>
        <w:rPr>
          <w:lang w:bidi="fa-IR"/>
        </w:rPr>
        <w:t xml:space="preserve"> assume</w:t>
      </w:r>
      <w:r w:rsidR="00112EE2">
        <w:rPr>
          <w:lang w:bidi="fa-IR"/>
        </w:rPr>
        <w:t>d that</w:t>
      </w:r>
      <w:r>
        <w:rPr>
          <w:lang w:bidi="fa-IR"/>
        </w:rPr>
        <w:t xml:space="preserve"> these are incurred for hospitalised injuries only. Applying these estimates to the estimated number of additional hospitalisations (see </w:t>
      </w:r>
      <w:r w:rsidR="00112EE2">
        <w:rPr>
          <w:lang w:bidi="fa-IR"/>
        </w:rPr>
        <w:t xml:space="preserve">table B.8 </w:t>
      </w:r>
      <w:r>
        <w:rPr>
          <w:lang w:bidi="fa-IR"/>
        </w:rPr>
        <w:t>above) suggests the morbidity cost from falls could be in a range between zero and $</w:t>
      </w:r>
      <w:r w:rsidR="00C0553D">
        <w:rPr>
          <w:lang w:bidi="fa-IR"/>
        </w:rPr>
        <w:t>500 </w:t>
      </w:r>
      <w:r>
        <w:rPr>
          <w:lang w:bidi="fa-IR"/>
        </w:rPr>
        <w:t>million, with a central case estimate of around $</w:t>
      </w:r>
      <w:r w:rsidR="00C0553D">
        <w:rPr>
          <w:lang w:bidi="fa-IR"/>
        </w:rPr>
        <w:t>135.1</w:t>
      </w:r>
      <w:r>
        <w:rPr>
          <w:lang w:bidi="fa-IR"/>
        </w:rPr>
        <w:t> million (table </w:t>
      </w:r>
      <w:r w:rsidR="00362332">
        <w:rPr>
          <w:lang w:bidi="fa-IR"/>
        </w:rPr>
        <w:t>B.16</w:t>
      </w:r>
      <w:r>
        <w:rPr>
          <w:lang w:bidi="fa-IR"/>
        </w:rPr>
        <w:t>).</w:t>
      </w:r>
    </w:p>
    <w:p w14:paraId="15477542" w14:textId="40C5CB05" w:rsidR="003D2407" w:rsidRDefault="00B27E24" w:rsidP="003D2407">
      <w:pPr>
        <w:pStyle w:val="Caption"/>
      </w:pPr>
      <w:bookmarkStart w:id="695" w:name="_Toc58000349"/>
      <w:bookmarkStart w:id="696" w:name="_Toc70505630"/>
      <w:r>
        <w:t>B.16</w:t>
      </w:r>
      <w:r w:rsidR="003D2407" w:rsidRPr="00695C93">
        <w:tab/>
      </w:r>
      <w:r w:rsidR="003D2407">
        <w:t>Estimated lifetime morbidity cost from falls</w:t>
      </w:r>
      <w:bookmarkEnd w:id="695"/>
      <w:bookmarkEnd w:id="696"/>
    </w:p>
    <w:tbl>
      <w:tblPr>
        <w:tblW w:w="0" w:type="auto"/>
        <w:tblLayout w:type="fixed"/>
        <w:tblLook w:val="0000" w:firstRow="0" w:lastRow="0" w:firstColumn="0" w:lastColumn="0" w:noHBand="0" w:noVBand="0"/>
        <w:tblCaption w:val="Table B.16: Estimated lifetime morbidity cost from falls"/>
        <w:tblDescription w:val="Table B.16 lists the estimated lifetime morbidity cost from falls, grouped by age. The total cost for all age groups is $135,110,000 (medium estimate) to $499,920,000 (high estimate)."/>
      </w:tblPr>
      <w:tblGrid>
        <w:gridCol w:w="2250"/>
        <w:gridCol w:w="1422"/>
        <w:gridCol w:w="1421"/>
        <w:gridCol w:w="1422"/>
        <w:gridCol w:w="1422"/>
      </w:tblGrid>
      <w:tr w:rsidR="003D2407" w14:paraId="1BB15EDE" w14:textId="77777777" w:rsidTr="00CC0A1A">
        <w:trPr>
          <w:trHeight w:val="1296"/>
          <w:tblHeader/>
        </w:trPr>
        <w:tc>
          <w:tcPr>
            <w:tcW w:w="2250" w:type="dxa"/>
            <w:tcBorders>
              <w:bottom w:val="single" w:sz="8" w:space="0" w:color="FFFFFF" w:themeColor="background1"/>
            </w:tcBorders>
            <w:shd w:val="clear" w:color="auto" w:fill="6F6652"/>
            <w:tcMar>
              <w:left w:w="57" w:type="dxa"/>
              <w:right w:w="57" w:type="dxa"/>
            </w:tcMar>
          </w:tcPr>
          <w:p w14:paraId="716A27E3" w14:textId="77777777" w:rsidR="003D2407" w:rsidRDefault="003D2407" w:rsidP="00C32439">
            <w:pPr>
              <w:pStyle w:val="TableDataColumnHeading"/>
              <w:jc w:val="left"/>
            </w:pPr>
            <w:r>
              <w:t>Age group</w:t>
            </w:r>
          </w:p>
        </w:tc>
        <w:tc>
          <w:tcPr>
            <w:tcW w:w="1422" w:type="dxa"/>
            <w:tcBorders>
              <w:bottom w:val="single" w:sz="8" w:space="0" w:color="FFFFFF" w:themeColor="background1"/>
            </w:tcBorders>
            <w:shd w:val="clear" w:color="auto" w:fill="6F6652"/>
            <w:tcMar>
              <w:left w:w="57" w:type="dxa"/>
              <w:right w:w="57" w:type="dxa"/>
            </w:tcMar>
          </w:tcPr>
          <w:p w14:paraId="1089112D" w14:textId="77777777" w:rsidR="003D2407" w:rsidRDefault="003D2407" w:rsidP="00C32439">
            <w:pPr>
              <w:pStyle w:val="TableDataColumnHeading"/>
            </w:pPr>
            <w:r>
              <w:t>Average lifetime morbidity cost ($)</w:t>
            </w:r>
          </w:p>
        </w:tc>
        <w:tc>
          <w:tcPr>
            <w:tcW w:w="1421" w:type="dxa"/>
            <w:tcBorders>
              <w:bottom w:val="single" w:sz="8" w:space="0" w:color="FFFFFF" w:themeColor="background1"/>
            </w:tcBorders>
            <w:shd w:val="clear" w:color="auto" w:fill="6F6652"/>
            <w:tcMar>
              <w:left w:w="57" w:type="dxa"/>
              <w:right w:w="57" w:type="dxa"/>
            </w:tcMar>
          </w:tcPr>
          <w:p w14:paraId="7564996D" w14:textId="77777777" w:rsidR="003D2407" w:rsidRDefault="003D2407" w:rsidP="00C32439">
            <w:pPr>
              <w:pStyle w:val="TableDataColumnHeading"/>
            </w:pPr>
            <w:r>
              <w:t>Lifetime morbidity cost from hospitalised falls - low estimate ($ million)</w:t>
            </w:r>
          </w:p>
        </w:tc>
        <w:tc>
          <w:tcPr>
            <w:tcW w:w="1422" w:type="dxa"/>
            <w:tcBorders>
              <w:bottom w:val="single" w:sz="8" w:space="0" w:color="FFFFFF" w:themeColor="background1"/>
            </w:tcBorders>
            <w:shd w:val="clear" w:color="auto" w:fill="6F6652"/>
            <w:tcMar>
              <w:left w:w="57" w:type="dxa"/>
              <w:right w:w="57" w:type="dxa"/>
            </w:tcMar>
          </w:tcPr>
          <w:p w14:paraId="2F5EDFA3" w14:textId="77777777" w:rsidR="003D2407" w:rsidRDefault="003D2407" w:rsidP="00C32439">
            <w:pPr>
              <w:pStyle w:val="TableDataColumnHeading"/>
            </w:pPr>
            <w:r>
              <w:t>Lifetime morbidity cost from hospitalised falls - medium estimate ($ million)</w:t>
            </w:r>
          </w:p>
        </w:tc>
        <w:tc>
          <w:tcPr>
            <w:tcW w:w="1422" w:type="dxa"/>
            <w:tcBorders>
              <w:bottom w:val="single" w:sz="8" w:space="0" w:color="FFFFFF" w:themeColor="background1"/>
            </w:tcBorders>
            <w:shd w:val="clear" w:color="auto" w:fill="6F6652"/>
            <w:tcMar>
              <w:left w:w="57" w:type="dxa"/>
              <w:right w:w="57" w:type="dxa"/>
            </w:tcMar>
          </w:tcPr>
          <w:p w14:paraId="65B63F90" w14:textId="77777777" w:rsidR="003D2407" w:rsidRDefault="003D2407" w:rsidP="00C32439">
            <w:pPr>
              <w:pStyle w:val="TableDataColumnHeading"/>
            </w:pPr>
            <w:r>
              <w:t>Lifetime morbidity cost from hospitalised falls - high estimate ($ million)</w:t>
            </w:r>
          </w:p>
        </w:tc>
      </w:tr>
      <w:tr w:rsidR="00C0553D" w14:paraId="2B31C110"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911F2B" w14:textId="77777777" w:rsidR="00C0553D" w:rsidRDefault="00C0553D" w:rsidP="00C0553D">
            <w:pPr>
              <w:pStyle w:val="TableDataEntries"/>
              <w:jc w:val="left"/>
            </w:pPr>
            <w:r>
              <w:t>0 to 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65C17D" w14:textId="77777777" w:rsidR="00C0553D" w:rsidRDefault="00C0553D" w:rsidP="00C0553D">
            <w:pPr>
              <w:pStyle w:val="TableDataEntries"/>
            </w:pPr>
            <w:r>
              <w:t>872 309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BC9E77"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183511" w14:textId="77777777" w:rsidR="00C0553D" w:rsidRPr="00CC0A1A" w:rsidRDefault="00C0553D" w:rsidP="00CC0A1A">
            <w:pPr>
              <w:pStyle w:val="TableDataEntries"/>
            </w:pPr>
            <w:r w:rsidRPr="00CC0A1A">
              <w:t xml:space="preserve"> 3.86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B88E24" w14:textId="77777777" w:rsidR="00C0553D" w:rsidRPr="00CC0A1A" w:rsidRDefault="00C0553D" w:rsidP="00CC0A1A">
            <w:pPr>
              <w:pStyle w:val="TableDataEntries"/>
            </w:pPr>
            <w:r w:rsidRPr="00CC0A1A">
              <w:t xml:space="preserve"> 14.28</w:t>
            </w:r>
          </w:p>
        </w:tc>
      </w:tr>
      <w:tr w:rsidR="00C0553D" w14:paraId="5A4BDA43"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C84F51" w14:textId="77777777" w:rsidR="00C0553D" w:rsidRDefault="00C0553D" w:rsidP="00C0553D">
            <w:pPr>
              <w:pStyle w:val="TableDataEntries"/>
              <w:jc w:val="left"/>
            </w:pPr>
            <w:r>
              <w:t>5 to 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979B5C" w14:textId="77777777" w:rsidR="00C0553D" w:rsidRDefault="00C0553D" w:rsidP="00C0553D">
            <w:pPr>
              <w:pStyle w:val="TableDataEntries"/>
            </w:pPr>
            <w:r>
              <w:t>859 130</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2FF675"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0EBEC5" w14:textId="77777777" w:rsidR="00C0553D" w:rsidRPr="00CC0A1A" w:rsidRDefault="00C0553D" w:rsidP="00CC0A1A">
            <w:pPr>
              <w:pStyle w:val="TableDataEntries"/>
            </w:pPr>
            <w:r w:rsidRPr="00CC0A1A">
              <w:t xml:space="preserve"> 3.26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B9645B" w14:textId="77777777" w:rsidR="00C0553D" w:rsidRPr="00CC0A1A" w:rsidRDefault="00C0553D" w:rsidP="00CC0A1A">
            <w:pPr>
              <w:pStyle w:val="TableDataEntries"/>
            </w:pPr>
            <w:r w:rsidRPr="00CC0A1A">
              <w:t xml:space="preserve"> 12.06</w:t>
            </w:r>
          </w:p>
        </w:tc>
      </w:tr>
      <w:tr w:rsidR="00C0553D" w14:paraId="7F952203"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012910" w14:textId="77777777" w:rsidR="00C0553D" w:rsidRDefault="00C0553D" w:rsidP="00C0553D">
            <w:pPr>
              <w:pStyle w:val="TableDataEntries"/>
              <w:jc w:val="left"/>
            </w:pPr>
            <w:r>
              <w:t>10 to 14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9113CA" w14:textId="77777777" w:rsidR="00C0553D" w:rsidRDefault="00C0553D" w:rsidP="00C0553D">
            <w:pPr>
              <w:pStyle w:val="TableDataEntries"/>
            </w:pPr>
            <w:r>
              <w:t>843 670</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B12970"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8F8D99" w14:textId="77777777" w:rsidR="00C0553D" w:rsidRPr="00CC0A1A" w:rsidRDefault="00C0553D" w:rsidP="00CC0A1A">
            <w:pPr>
              <w:pStyle w:val="TableDataEntries"/>
            </w:pPr>
            <w:r w:rsidRPr="00CC0A1A">
              <w:t xml:space="preserve"> 2.71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37ED3D" w14:textId="77777777" w:rsidR="00C0553D" w:rsidRPr="00CC0A1A" w:rsidRDefault="00C0553D" w:rsidP="00CC0A1A">
            <w:pPr>
              <w:pStyle w:val="TableDataEntries"/>
            </w:pPr>
            <w:r w:rsidRPr="00CC0A1A">
              <w:t xml:space="preserve"> 10.05</w:t>
            </w:r>
          </w:p>
        </w:tc>
      </w:tr>
      <w:tr w:rsidR="00C0553D" w14:paraId="6A9D7551"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46B9AA" w14:textId="77777777" w:rsidR="00C0553D" w:rsidRDefault="00C0553D" w:rsidP="00C0553D">
            <w:pPr>
              <w:pStyle w:val="TableDataEntries"/>
              <w:jc w:val="left"/>
            </w:pPr>
            <w:r>
              <w:t xml:space="preserve">15 to 19 </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4D69E1" w14:textId="77777777" w:rsidR="00C0553D" w:rsidRDefault="00C0553D" w:rsidP="00C0553D">
            <w:pPr>
              <w:pStyle w:val="TableDataEntries"/>
            </w:pPr>
            <w:r>
              <w:t>825 876</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E39C47"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EF2AD4" w14:textId="77777777" w:rsidR="00C0553D" w:rsidRPr="00CC0A1A" w:rsidRDefault="00C0553D" w:rsidP="00CC0A1A">
            <w:pPr>
              <w:pStyle w:val="TableDataEntries"/>
            </w:pPr>
            <w:r w:rsidRPr="00CC0A1A">
              <w:t xml:space="preserve"> 4.18</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4AFB75" w14:textId="77777777" w:rsidR="00C0553D" w:rsidRPr="00CC0A1A" w:rsidRDefault="00C0553D" w:rsidP="00CC0A1A">
            <w:pPr>
              <w:pStyle w:val="TableDataEntries"/>
            </w:pPr>
            <w:r w:rsidRPr="00CC0A1A">
              <w:t xml:space="preserve"> 15.45</w:t>
            </w:r>
          </w:p>
        </w:tc>
      </w:tr>
      <w:tr w:rsidR="00C0553D" w14:paraId="4A41D401"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AA9F02" w14:textId="77777777" w:rsidR="00C0553D" w:rsidRDefault="00C0553D" w:rsidP="00C0553D">
            <w:pPr>
              <w:pStyle w:val="TableDataEntries"/>
              <w:jc w:val="left"/>
            </w:pPr>
            <w:r>
              <w:t>20 to 24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A2EFDB" w14:textId="77777777" w:rsidR="00C0553D" w:rsidRDefault="00C0553D" w:rsidP="00C0553D">
            <w:pPr>
              <w:pStyle w:val="TableDataEntries"/>
            </w:pPr>
            <w:r>
              <w:t>805 530</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D8A67D"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77BBAF" w14:textId="77777777" w:rsidR="00C0553D" w:rsidRPr="00CC0A1A" w:rsidRDefault="00C0553D" w:rsidP="00CC0A1A">
            <w:pPr>
              <w:pStyle w:val="TableDataEntries"/>
            </w:pPr>
            <w:r w:rsidRPr="00CC0A1A">
              <w:t xml:space="preserve"> 2.50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682435" w14:textId="77777777" w:rsidR="00C0553D" w:rsidRPr="00CC0A1A" w:rsidRDefault="00C0553D" w:rsidP="00CC0A1A">
            <w:pPr>
              <w:pStyle w:val="TableDataEntries"/>
            </w:pPr>
            <w:r w:rsidRPr="00CC0A1A">
              <w:t xml:space="preserve"> 9.25</w:t>
            </w:r>
          </w:p>
        </w:tc>
      </w:tr>
      <w:tr w:rsidR="00C0553D" w14:paraId="50FE3ABB"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6F0088" w14:textId="77777777" w:rsidR="00C0553D" w:rsidRDefault="00C0553D" w:rsidP="00C0553D">
            <w:pPr>
              <w:pStyle w:val="TableDataEntries"/>
              <w:jc w:val="left"/>
            </w:pPr>
            <w:r>
              <w:t xml:space="preserve">25 to 29 </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7436E6" w14:textId="77777777" w:rsidR="00C0553D" w:rsidRDefault="00C0553D" w:rsidP="00C0553D">
            <w:pPr>
              <w:pStyle w:val="TableDataEntries"/>
            </w:pPr>
            <w:r>
              <w:t>782 095</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AF90F"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E196AF" w14:textId="77777777" w:rsidR="00C0553D" w:rsidRPr="00CC0A1A" w:rsidRDefault="00C0553D" w:rsidP="00CC0A1A">
            <w:pPr>
              <w:pStyle w:val="TableDataEntries"/>
            </w:pPr>
            <w:r w:rsidRPr="00CC0A1A">
              <w:t xml:space="preserve"> 3.78</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5E7012" w14:textId="77777777" w:rsidR="00C0553D" w:rsidRPr="00CC0A1A" w:rsidRDefault="00C0553D" w:rsidP="00CC0A1A">
            <w:pPr>
              <w:pStyle w:val="TableDataEntries"/>
            </w:pPr>
            <w:r w:rsidRPr="00CC0A1A">
              <w:t xml:space="preserve"> 13.97</w:t>
            </w:r>
          </w:p>
        </w:tc>
      </w:tr>
      <w:tr w:rsidR="00C0553D" w14:paraId="3C523A52"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1FE9C1" w14:textId="77777777" w:rsidR="00C0553D" w:rsidRDefault="00C0553D" w:rsidP="00C0553D">
            <w:pPr>
              <w:pStyle w:val="TableDataEntries"/>
              <w:jc w:val="left"/>
            </w:pPr>
            <w:r>
              <w:t xml:space="preserve">30 to 34 </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577871" w14:textId="77777777" w:rsidR="00C0553D" w:rsidRDefault="00C0553D" w:rsidP="00C0553D">
            <w:pPr>
              <w:pStyle w:val="TableDataEntries"/>
            </w:pPr>
            <w:r>
              <w:t>755 111</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B44D09"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FC1EC5" w14:textId="77777777" w:rsidR="00C0553D" w:rsidRPr="00CC0A1A" w:rsidRDefault="00C0553D" w:rsidP="00CC0A1A">
            <w:pPr>
              <w:pStyle w:val="TableDataEntries"/>
            </w:pPr>
            <w:r w:rsidRPr="00CC0A1A">
              <w:t xml:space="preserve"> 5.16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3556DC" w14:textId="77777777" w:rsidR="00C0553D" w:rsidRPr="00CC0A1A" w:rsidRDefault="00C0553D" w:rsidP="00CC0A1A">
            <w:pPr>
              <w:pStyle w:val="TableDataEntries"/>
            </w:pPr>
            <w:r w:rsidRPr="00CC0A1A">
              <w:t xml:space="preserve"> 19.11</w:t>
            </w:r>
          </w:p>
        </w:tc>
      </w:tr>
      <w:tr w:rsidR="00C0553D" w14:paraId="2F64A864"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943421" w14:textId="77777777" w:rsidR="00C0553D" w:rsidRDefault="00C0553D" w:rsidP="00C0553D">
            <w:pPr>
              <w:pStyle w:val="TableDataEntries"/>
              <w:jc w:val="left"/>
            </w:pPr>
            <w:r>
              <w:t>35 to 39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A0B5C0" w14:textId="77777777" w:rsidR="00C0553D" w:rsidRDefault="00C0553D" w:rsidP="00C0553D">
            <w:pPr>
              <w:pStyle w:val="TableDataEntries"/>
            </w:pPr>
            <w:r>
              <w:t>724 199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93F7A"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B4CBB1" w14:textId="77777777" w:rsidR="00C0553D" w:rsidRPr="00CC0A1A" w:rsidRDefault="00C0553D" w:rsidP="00CC0A1A">
            <w:pPr>
              <w:pStyle w:val="TableDataEntries"/>
            </w:pPr>
            <w:r w:rsidRPr="00CC0A1A">
              <w:t xml:space="preserve"> 4.79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F70AC2" w14:textId="77777777" w:rsidR="00C0553D" w:rsidRPr="00CC0A1A" w:rsidRDefault="00C0553D" w:rsidP="00CC0A1A">
            <w:pPr>
              <w:pStyle w:val="TableDataEntries"/>
            </w:pPr>
            <w:r w:rsidRPr="00CC0A1A">
              <w:t xml:space="preserve"> 17.71</w:t>
            </w:r>
          </w:p>
        </w:tc>
      </w:tr>
      <w:tr w:rsidR="00C0553D" w14:paraId="4C90F3E8"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9CDE18" w14:textId="77777777" w:rsidR="00C0553D" w:rsidRDefault="00C0553D" w:rsidP="00C0553D">
            <w:pPr>
              <w:pStyle w:val="TableDataEntries"/>
              <w:jc w:val="left"/>
            </w:pPr>
            <w:r>
              <w:t>40 to 44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1096B" w14:textId="77777777" w:rsidR="00C0553D" w:rsidRDefault="00C0553D" w:rsidP="00C0553D">
            <w:pPr>
              <w:pStyle w:val="TableDataEntries"/>
            </w:pPr>
            <w:r>
              <w:t>688 932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D351BE"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F3DA3C" w14:textId="77777777" w:rsidR="00C0553D" w:rsidRPr="00CC0A1A" w:rsidRDefault="00C0553D" w:rsidP="00CC0A1A">
            <w:pPr>
              <w:pStyle w:val="TableDataEntries"/>
            </w:pPr>
            <w:r w:rsidRPr="00CC0A1A">
              <w:t xml:space="preserve"> 6.61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08256F" w14:textId="77777777" w:rsidR="00C0553D" w:rsidRPr="00CC0A1A" w:rsidRDefault="00C0553D" w:rsidP="00CC0A1A">
            <w:pPr>
              <w:pStyle w:val="TableDataEntries"/>
            </w:pPr>
            <w:r w:rsidRPr="00CC0A1A">
              <w:t xml:space="preserve"> 24.46</w:t>
            </w:r>
          </w:p>
        </w:tc>
      </w:tr>
      <w:tr w:rsidR="00C0553D" w14:paraId="4C5C997E"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E9EA4A" w14:textId="77777777" w:rsidR="00C0553D" w:rsidRDefault="00C0553D" w:rsidP="00C0553D">
            <w:pPr>
              <w:pStyle w:val="TableDataEntries"/>
              <w:jc w:val="left"/>
            </w:pPr>
            <w:r>
              <w:t>45 to 49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CDFF02" w14:textId="77777777" w:rsidR="00C0553D" w:rsidRDefault="00C0553D" w:rsidP="00C0553D">
            <w:pPr>
              <w:pStyle w:val="TableDataEntries"/>
            </w:pPr>
            <w:r>
              <w:t>648 902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BCDFBF"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E06B24" w14:textId="77777777" w:rsidR="00C0553D" w:rsidRPr="00CC0A1A" w:rsidRDefault="00C0553D" w:rsidP="00CC0A1A">
            <w:pPr>
              <w:pStyle w:val="TableDataEntries"/>
            </w:pPr>
            <w:r w:rsidRPr="00CC0A1A">
              <w:t xml:space="preserve"> 8.65</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7B2C3A" w14:textId="77777777" w:rsidR="00C0553D" w:rsidRPr="00CC0A1A" w:rsidRDefault="00C0553D" w:rsidP="00CC0A1A">
            <w:pPr>
              <w:pStyle w:val="TableDataEntries"/>
            </w:pPr>
            <w:r w:rsidRPr="00CC0A1A">
              <w:t xml:space="preserve"> 32.01</w:t>
            </w:r>
          </w:p>
        </w:tc>
      </w:tr>
      <w:tr w:rsidR="00C0553D" w14:paraId="1606EE37"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794A52" w14:textId="77777777" w:rsidR="00C0553D" w:rsidRDefault="00C0553D" w:rsidP="00C0553D">
            <w:pPr>
              <w:pStyle w:val="TableDataEntries"/>
              <w:jc w:val="left"/>
            </w:pPr>
            <w:r>
              <w:t>50 to 54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24F393" w14:textId="77777777" w:rsidR="00C0553D" w:rsidRDefault="00C0553D" w:rsidP="00C0553D">
            <w:pPr>
              <w:pStyle w:val="TableDataEntries"/>
            </w:pPr>
            <w:r>
              <w:t>603 805</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A10254"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E325A2" w14:textId="77777777" w:rsidR="00C0553D" w:rsidRPr="00CC0A1A" w:rsidRDefault="00C0553D" w:rsidP="00CC0A1A">
            <w:pPr>
              <w:pStyle w:val="TableDataEntries"/>
            </w:pPr>
            <w:r w:rsidRPr="00CC0A1A">
              <w:t xml:space="preserve"> 8.74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279EE2" w14:textId="77777777" w:rsidR="00C0553D" w:rsidRPr="00CC0A1A" w:rsidRDefault="00C0553D" w:rsidP="00CC0A1A">
            <w:pPr>
              <w:pStyle w:val="TableDataEntries"/>
            </w:pPr>
            <w:r w:rsidRPr="00CC0A1A">
              <w:t xml:space="preserve"> 32.35</w:t>
            </w:r>
          </w:p>
        </w:tc>
      </w:tr>
      <w:tr w:rsidR="00C0553D" w14:paraId="726BA264"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ED6A9B" w14:textId="77777777" w:rsidR="00C0553D" w:rsidRDefault="00C0553D" w:rsidP="00C0553D">
            <w:pPr>
              <w:pStyle w:val="TableDataEntries"/>
              <w:jc w:val="left"/>
            </w:pPr>
            <w:r>
              <w:t>55 to 59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1F7FBF" w14:textId="77777777" w:rsidR="00C0553D" w:rsidRDefault="00C0553D" w:rsidP="00C0553D">
            <w:pPr>
              <w:pStyle w:val="TableDataEntries"/>
            </w:pPr>
            <w:r>
              <w:t>553 488</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748826"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97D167" w14:textId="77777777" w:rsidR="00C0553D" w:rsidRPr="00CC0A1A" w:rsidRDefault="00C0553D" w:rsidP="00CC0A1A">
            <w:pPr>
              <w:pStyle w:val="TableDataEntries"/>
            </w:pPr>
            <w:r w:rsidRPr="00CC0A1A">
              <w:t xml:space="preserve"> 11.07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492DB7" w14:textId="77777777" w:rsidR="00C0553D" w:rsidRPr="00CC0A1A" w:rsidRDefault="00C0553D" w:rsidP="00CC0A1A">
            <w:pPr>
              <w:pStyle w:val="TableDataEntries"/>
            </w:pPr>
            <w:r w:rsidRPr="00CC0A1A">
              <w:t xml:space="preserve"> 40.95</w:t>
            </w:r>
          </w:p>
        </w:tc>
      </w:tr>
      <w:tr w:rsidR="00C0553D" w14:paraId="2455D4F5"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41B929" w14:textId="77777777" w:rsidR="00C0553D" w:rsidRDefault="00C0553D" w:rsidP="00C0553D">
            <w:pPr>
              <w:pStyle w:val="TableDataEntries"/>
              <w:jc w:val="left"/>
            </w:pPr>
            <w:r>
              <w:t>60 to 64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6923D9" w14:textId="77777777" w:rsidR="00C0553D" w:rsidRDefault="00C0553D" w:rsidP="00C0553D">
            <w:pPr>
              <w:pStyle w:val="TableDataEntries"/>
            </w:pPr>
            <w:r>
              <w:t>497 852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912062"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9446AA" w14:textId="77777777" w:rsidR="00C0553D" w:rsidRPr="00CC0A1A" w:rsidRDefault="00C0553D" w:rsidP="00CC0A1A">
            <w:pPr>
              <w:pStyle w:val="TableDataEntries"/>
            </w:pPr>
            <w:r w:rsidRPr="00CC0A1A">
              <w:t xml:space="preserve"> 9.10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67B34A" w14:textId="77777777" w:rsidR="00C0553D" w:rsidRPr="00CC0A1A" w:rsidRDefault="00C0553D" w:rsidP="00CC0A1A">
            <w:pPr>
              <w:pStyle w:val="TableDataEntries"/>
            </w:pPr>
            <w:r w:rsidRPr="00CC0A1A">
              <w:t xml:space="preserve"> 33.66</w:t>
            </w:r>
          </w:p>
        </w:tc>
      </w:tr>
      <w:tr w:rsidR="00C0553D" w14:paraId="1AFF41A5"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781E4" w14:textId="77777777" w:rsidR="00C0553D" w:rsidRDefault="00C0553D" w:rsidP="00C0553D">
            <w:pPr>
              <w:pStyle w:val="TableDataEntries"/>
              <w:jc w:val="left"/>
            </w:pPr>
            <w:r>
              <w:t>65 to 69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EB4DC" w14:textId="77777777" w:rsidR="00C0553D" w:rsidRDefault="00C0553D" w:rsidP="00C0553D">
            <w:pPr>
              <w:pStyle w:val="TableDataEntries"/>
            </w:pPr>
            <w:r>
              <w:t>436 909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8D3C22"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48A086" w14:textId="77777777" w:rsidR="00C0553D" w:rsidRPr="00CC0A1A" w:rsidRDefault="00C0553D" w:rsidP="00CC0A1A">
            <w:pPr>
              <w:pStyle w:val="TableDataEntries"/>
            </w:pPr>
            <w:r w:rsidRPr="00CC0A1A">
              <w:t xml:space="preserve"> 8.96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42E2B0" w14:textId="77777777" w:rsidR="00C0553D" w:rsidRPr="00CC0A1A" w:rsidRDefault="00C0553D" w:rsidP="00CC0A1A">
            <w:pPr>
              <w:pStyle w:val="TableDataEntries"/>
            </w:pPr>
            <w:r w:rsidRPr="00CC0A1A">
              <w:t xml:space="preserve"> 33.16</w:t>
            </w:r>
          </w:p>
        </w:tc>
      </w:tr>
      <w:tr w:rsidR="00C0553D" w14:paraId="0399414E"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862A43" w14:textId="77777777" w:rsidR="00C0553D" w:rsidRDefault="00C0553D" w:rsidP="00C0553D">
            <w:pPr>
              <w:pStyle w:val="TableDataEntries"/>
              <w:jc w:val="left"/>
            </w:pPr>
            <w:r>
              <w:t>70 to 74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102595" w14:textId="77777777" w:rsidR="00C0553D" w:rsidRDefault="00C0553D" w:rsidP="00C0553D">
            <w:pPr>
              <w:pStyle w:val="TableDataEntries"/>
            </w:pPr>
            <w:r>
              <w:t>371 689</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7E856C"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D12DDE" w14:textId="77777777" w:rsidR="00C0553D" w:rsidRPr="00CC0A1A" w:rsidRDefault="00C0553D" w:rsidP="00CC0A1A">
            <w:pPr>
              <w:pStyle w:val="TableDataEntries"/>
            </w:pPr>
            <w:r w:rsidRPr="00CC0A1A">
              <w:t xml:space="preserve"> 7.30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D968E0" w14:textId="77777777" w:rsidR="00C0553D" w:rsidRPr="00CC0A1A" w:rsidRDefault="00C0553D" w:rsidP="00CC0A1A">
            <w:pPr>
              <w:pStyle w:val="TableDataEntries"/>
            </w:pPr>
            <w:r w:rsidRPr="00CC0A1A">
              <w:t xml:space="preserve"> 27.01</w:t>
            </w:r>
          </w:p>
        </w:tc>
      </w:tr>
      <w:tr w:rsidR="00C0553D" w14:paraId="5235D5A7"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6AFE57" w14:textId="77777777" w:rsidR="00C0553D" w:rsidRDefault="00C0553D" w:rsidP="00C0553D">
            <w:pPr>
              <w:pStyle w:val="TableDataEntries"/>
              <w:jc w:val="left"/>
            </w:pPr>
            <w:r>
              <w:t>75 to 79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AC2181" w14:textId="77777777" w:rsidR="00C0553D" w:rsidRDefault="00C0553D" w:rsidP="00C0553D">
            <w:pPr>
              <w:pStyle w:val="TableDataEntries"/>
            </w:pPr>
            <w:r>
              <w:t>304 396</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8E19CB"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8068F9" w14:textId="77777777" w:rsidR="00C0553D" w:rsidRPr="00CC0A1A" w:rsidRDefault="00C0553D" w:rsidP="00CC0A1A">
            <w:pPr>
              <w:pStyle w:val="TableDataEntries"/>
            </w:pPr>
            <w:r w:rsidRPr="00CC0A1A">
              <w:t xml:space="preserve"> 11.40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47E556" w14:textId="77777777" w:rsidR="00C0553D" w:rsidRPr="00CC0A1A" w:rsidRDefault="00C0553D" w:rsidP="00CC0A1A">
            <w:pPr>
              <w:pStyle w:val="TableDataEntries"/>
            </w:pPr>
            <w:r w:rsidRPr="00CC0A1A">
              <w:t xml:space="preserve"> 42.16</w:t>
            </w:r>
          </w:p>
        </w:tc>
      </w:tr>
      <w:tr w:rsidR="00C0553D" w14:paraId="3850F626"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525775" w14:textId="77777777" w:rsidR="00C0553D" w:rsidRDefault="00C0553D" w:rsidP="00C0553D">
            <w:pPr>
              <w:pStyle w:val="TableDataEntries"/>
              <w:jc w:val="left"/>
            </w:pPr>
            <w:r>
              <w:t>80 to 84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F22401" w14:textId="77777777" w:rsidR="00C0553D" w:rsidRDefault="00C0553D" w:rsidP="00C0553D">
            <w:pPr>
              <w:pStyle w:val="TableDataEntries"/>
            </w:pPr>
            <w:r>
              <w:t>238 572</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5C27FC"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76BE6C" w14:textId="77777777" w:rsidR="00C0553D" w:rsidRPr="00CC0A1A" w:rsidRDefault="00C0553D" w:rsidP="00CC0A1A">
            <w:pPr>
              <w:pStyle w:val="TableDataEntries"/>
            </w:pPr>
            <w:r w:rsidRPr="00CC0A1A">
              <w:t xml:space="preserve"> 11.51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7400D5" w14:textId="77777777" w:rsidR="00C0553D" w:rsidRPr="00CC0A1A" w:rsidRDefault="00C0553D" w:rsidP="00CC0A1A">
            <w:pPr>
              <w:pStyle w:val="TableDataEntries"/>
            </w:pPr>
            <w:r w:rsidRPr="00CC0A1A">
              <w:t xml:space="preserve"> 42.60</w:t>
            </w:r>
          </w:p>
        </w:tc>
      </w:tr>
      <w:tr w:rsidR="00C0553D" w14:paraId="55F9EF93"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FFD292" w14:textId="77777777" w:rsidR="00C0553D" w:rsidRDefault="00C0553D" w:rsidP="00C0553D">
            <w:pPr>
              <w:pStyle w:val="TableDataEntries"/>
              <w:jc w:val="left"/>
            </w:pPr>
            <w:r>
              <w:t>85 to 89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3DD872" w14:textId="77777777" w:rsidR="00C0553D" w:rsidRDefault="00C0553D" w:rsidP="00C0553D">
            <w:pPr>
              <w:pStyle w:val="TableDataEntries"/>
            </w:pPr>
            <w:r>
              <w:t>180 218</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A56A1A"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E43560" w14:textId="77777777" w:rsidR="00C0553D" w:rsidRPr="00CC0A1A" w:rsidRDefault="00C0553D" w:rsidP="00CC0A1A">
            <w:pPr>
              <w:pStyle w:val="TableDataEntries"/>
            </w:pPr>
            <w:r w:rsidRPr="00CC0A1A">
              <w:t xml:space="preserve"> 10.96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E053C1" w14:textId="77777777" w:rsidR="00C0553D" w:rsidRPr="00CC0A1A" w:rsidRDefault="00C0553D" w:rsidP="00CC0A1A">
            <w:pPr>
              <w:pStyle w:val="TableDataEntries"/>
            </w:pPr>
            <w:r w:rsidRPr="00CC0A1A">
              <w:t xml:space="preserve"> 40.55</w:t>
            </w:r>
          </w:p>
        </w:tc>
      </w:tr>
      <w:tr w:rsidR="00C0553D" w14:paraId="6EA4FB3D"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68B9C9" w14:textId="77777777" w:rsidR="00C0553D" w:rsidRDefault="00C0553D" w:rsidP="00C0553D">
            <w:pPr>
              <w:pStyle w:val="TableDataEntries"/>
              <w:jc w:val="left"/>
            </w:pPr>
            <w:r>
              <w:t>90 to 94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AC369F" w14:textId="77777777" w:rsidR="00C0553D" w:rsidRDefault="00C0553D" w:rsidP="00C0553D">
            <w:pPr>
              <w:pStyle w:val="TableDataEntries"/>
            </w:pPr>
            <w:r>
              <w:t>135 431</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B87376"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325FE4" w14:textId="77777777" w:rsidR="00C0553D" w:rsidRPr="00CC0A1A" w:rsidRDefault="00C0553D" w:rsidP="00CC0A1A">
            <w:pPr>
              <w:pStyle w:val="TableDataEntries"/>
            </w:pPr>
            <w:r w:rsidRPr="00CC0A1A">
              <w:t xml:space="preserve"> 7.17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958890" w14:textId="77777777" w:rsidR="00C0553D" w:rsidRPr="00CC0A1A" w:rsidRDefault="00C0553D" w:rsidP="00CC0A1A">
            <w:pPr>
              <w:pStyle w:val="TableDataEntries"/>
            </w:pPr>
            <w:r w:rsidRPr="00CC0A1A">
              <w:t xml:space="preserve"> 26.52</w:t>
            </w:r>
          </w:p>
        </w:tc>
      </w:tr>
      <w:tr w:rsidR="00C0553D" w14:paraId="41F1E5C0" w14:textId="77777777" w:rsidTr="00D6774F">
        <w:trPr>
          <w:trHeight w:val="245"/>
        </w:trPr>
        <w:tc>
          <w:tcPr>
            <w:tcW w:w="22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4747D3" w14:textId="77777777" w:rsidR="00C0553D" w:rsidRDefault="00C0553D" w:rsidP="00C0553D">
            <w:pPr>
              <w:pStyle w:val="TableDataEntries"/>
              <w:jc w:val="left"/>
            </w:pPr>
            <w:r>
              <w:t>95+</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9B3C73" w14:textId="77777777" w:rsidR="00C0553D" w:rsidRDefault="00C0553D" w:rsidP="00C0553D">
            <w:pPr>
              <w:pStyle w:val="TableDataEntries"/>
            </w:pPr>
            <w:r>
              <w:t>101 168</w:t>
            </w:r>
          </w:p>
        </w:tc>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6AD699" w14:textId="77777777" w:rsidR="00C0553D" w:rsidRDefault="00C0553D" w:rsidP="00C0553D">
            <w:pPr>
              <w:pStyle w:val="TableDataEntries"/>
            </w:pPr>
            <w:r>
              <w:t xml:space="preserve"> 0.00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B7AF16" w14:textId="77777777" w:rsidR="00C0553D" w:rsidRPr="00CC0A1A" w:rsidRDefault="00C0553D" w:rsidP="00CC0A1A">
            <w:pPr>
              <w:pStyle w:val="TableDataEntries"/>
            </w:pPr>
            <w:r w:rsidRPr="00CC0A1A">
              <w:t xml:space="preserve"> 3.41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C48A13" w14:textId="77777777" w:rsidR="00C0553D" w:rsidRPr="00CC0A1A" w:rsidRDefault="00C0553D" w:rsidP="00CC0A1A">
            <w:pPr>
              <w:pStyle w:val="TableDataEntries"/>
            </w:pPr>
            <w:r w:rsidRPr="00CC0A1A">
              <w:t xml:space="preserve"> 12.61</w:t>
            </w:r>
          </w:p>
        </w:tc>
      </w:tr>
      <w:tr w:rsidR="00C0553D" w:rsidRPr="00CC0A1A" w14:paraId="2B6791DD" w14:textId="77777777" w:rsidTr="00D6774F">
        <w:trPr>
          <w:trHeight w:val="245"/>
        </w:trPr>
        <w:tc>
          <w:tcPr>
            <w:tcW w:w="225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807D156" w14:textId="77777777" w:rsidR="00C0553D" w:rsidRPr="00CC0A1A" w:rsidRDefault="00C0553D" w:rsidP="00C0553D">
            <w:pPr>
              <w:pStyle w:val="TableDataEntries"/>
              <w:jc w:val="left"/>
              <w:rPr>
                <w:rFonts w:ascii="Franklin Gothic Demi" w:hAnsi="Franklin Gothic Demi"/>
              </w:rPr>
            </w:pPr>
            <w:r w:rsidRPr="00CC0A1A">
              <w:rPr>
                <w:rFonts w:ascii="Franklin Gothic Demi" w:hAnsi="Franklin Gothic Demi"/>
              </w:rPr>
              <w:t>Total</w:t>
            </w:r>
          </w:p>
        </w:tc>
        <w:tc>
          <w:tcPr>
            <w:tcW w:w="142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EF6C13C" w14:textId="77777777" w:rsidR="00C0553D" w:rsidRPr="00CC0A1A" w:rsidRDefault="00C0553D" w:rsidP="00C0553D">
            <w:pPr>
              <w:pStyle w:val="TableDataEntries"/>
              <w:rPr>
                <w:rFonts w:ascii="Franklin Gothic Demi" w:hAnsi="Franklin Gothic Demi"/>
              </w:rPr>
            </w:pPr>
          </w:p>
        </w:tc>
        <w:tc>
          <w:tcPr>
            <w:tcW w:w="142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B5FF157" w14:textId="77777777" w:rsidR="00C0553D" w:rsidRPr="00CC0A1A" w:rsidRDefault="00C0553D" w:rsidP="00C0553D">
            <w:pPr>
              <w:pStyle w:val="TableDataEntries"/>
              <w:rPr>
                <w:rFonts w:ascii="Franklin Gothic Demi" w:hAnsi="Franklin Gothic Demi"/>
              </w:rPr>
            </w:pPr>
            <w:r w:rsidRPr="00CC0A1A">
              <w:rPr>
                <w:rFonts w:ascii="Franklin Gothic Demi" w:hAnsi="Franklin Gothic Demi"/>
              </w:rPr>
              <w:t xml:space="preserve"> 0.00</w:t>
            </w:r>
          </w:p>
        </w:tc>
        <w:tc>
          <w:tcPr>
            <w:tcW w:w="142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ABA6893" w14:textId="77777777" w:rsidR="00C0553D" w:rsidRPr="00CC0A1A" w:rsidRDefault="00C0553D" w:rsidP="00CC0A1A">
            <w:pPr>
              <w:pStyle w:val="TableDataEntries"/>
              <w:rPr>
                <w:rFonts w:ascii="Franklin Gothic Demi" w:hAnsi="Franklin Gothic Demi"/>
              </w:rPr>
            </w:pPr>
            <w:r w:rsidRPr="00CC0A1A">
              <w:rPr>
                <w:rFonts w:ascii="Franklin Gothic Demi" w:hAnsi="Franklin Gothic Demi"/>
              </w:rPr>
              <w:t xml:space="preserve"> 135.11</w:t>
            </w:r>
          </w:p>
        </w:tc>
        <w:tc>
          <w:tcPr>
            <w:tcW w:w="142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C4AC4AB" w14:textId="77777777" w:rsidR="00C0553D" w:rsidRPr="00CC0A1A" w:rsidRDefault="00C0553D" w:rsidP="00CC0A1A">
            <w:pPr>
              <w:pStyle w:val="TableDataEntries"/>
              <w:rPr>
                <w:rFonts w:ascii="Franklin Gothic Demi" w:hAnsi="Franklin Gothic Demi"/>
              </w:rPr>
            </w:pPr>
            <w:r w:rsidRPr="00CC0A1A">
              <w:rPr>
                <w:rFonts w:ascii="Franklin Gothic Demi" w:hAnsi="Franklin Gothic Demi"/>
              </w:rPr>
              <w:t xml:space="preserve"> 499.92</w:t>
            </w:r>
          </w:p>
        </w:tc>
      </w:tr>
    </w:tbl>
    <w:p w14:paraId="3F539889" w14:textId="77777777" w:rsidR="00EA7092" w:rsidRPr="00280175" w:rsidRDefault="00EA7092" w:rsidP="00EA7092">
      <w:pPr>
        <w:pStyle w:val="Note"/>
        <w:rPr>
          <w:lang w:bidi="fa-IR"/>
        </w:rPr>
      </w:pPr>
      <w:r w:rsidRPr="00280175">
        <w:rPr>
          <w:lang w:bidi="fa-IR"/>
        </w:rPr>
        <w:t xml:space="preserve">Note: low, central and high estimates are based on the assumption that falls are not higher, 10 per cent higher and 37 per cent higher, respectively, in inaccessible housing </w:t>
      </w:r>
    </w:p>
    <w:p w14:paraId="050FA407" w14:textId="77777777" w:rsidR="004E736E" w:rsidRPr="00280175" w:rsidRDefault="003D2407" w:rsidP="00F11742">
      <w:pPr>
        <w:pStyle w:val="Source"/>
        <w:rPr>
          <w:lang w:bidi="fa-IR"/>
        </w:rPr>
      </w:pPr>
      <w:r w:rsidRPr="00280175">
        <w:rPr>
          <w:lang w:bidi="fa-IR"/>
        </w:rPr>
        <w:t>Source: CIE estimates.</w:t>
      </w:r>
    </w:p>
    <w:p w14:paraId="4414555E" w14:textId="77777777" w:rsidR="004E736E" w:rsidRPr="004B79EC" w:rsidRDefault="004E736E" w:rsidP="004B79EC">
      <w:pPr>
        <w:pStyle w:val="Heading1-Appendix"/>
      </w:pPr>
      <w:bookmarkStart w:id="697" w:name="_Toc32321775"/>
      <w:bookmarkStart w:id="698" w:name="_Ref55130688"/>
      <w:bookmarkStart w:id="699" w:name="_Toc44598464"/>
      <w:bookmarkStart w:id="700" w:name="_Toc45654095"/>
      <w:r w:rsidRPr="004B79EC">
        <w:t xml:space="preserve">Approach to estimating the costs of additional </w:t>
      </w:r>
      <w:bookmarkEnd w:id="697"/>
      <w:r w:rsidRPr="004B79EC">
        <w:t>care</w:t>
      </w:r>
      <w:bookmarkEnd w:id="698"/>
      <w:bookmarkEnd w:id="699"/>
      <w:bookmarkEnd w:id="700"/>
    </w:p>
    <w:p w14:paraId="5B1BD329" w14:textId="77777777" w:rsidR="006E73B2" w:rsidRPr="004B79EC" w:rsidRDefault="006E73B2" w:rsidP="004B79EC">
      <w:pPr>
        <w:pStyle w:val="Heading2-Appendix"/>
      </w:pPr>
      <w:r w:rsidRPr="004B79EC">
        <w:t>The impact of accessible housing on care received</w:t>
      </w:r>
    </w:p>
    <w:p w14:paraId="5580A7D5" w14:textId="77777777" w:rsidR="00466946" w:rsidRDefault="00466946" w:rsidP="00466946">
      <w:pPr>
        <w:pStyle w:val="BodyText"/>
        <w:rPr>
          <w:lang w:bidi="fa-IR"/>
        </w:rPr>
      </w:pPr>
      <w:r>
        <w:rPr>
          <w:lang w:eastAsia="en-US" w:bidi="fa-IR"/>
        </w:rPr>
        <w:t xml:space="preserve">Although there is some qualitative evidence of inaccessible housing features increasing both formal and informal care needs, there is limited quantitative evidence. </w:t>
      </w:r>
      <w:r>
        <w:rPr>
          <w:lang w:bidi="fa-IR"/>
        </w:rPr>
        <w:t>The main quantitative evidence on the impact of an accessible home environment is an Australian study comparing the self</w:t>
      </w:r>
      <w:r>
        <w:rPr>
          <w:lang w:bidi="fa-IR"/>
        </w:rPr>
        <w:noBreakHyphen/>
        <w:t>reported amount of formal and informal care received by 157 older people and people with disability (average age of 72) living in the community before and after home modifications funded through Home and Community Care (HACC) Program (Carnemolla and Bridge 2019).</w:t>
      </w:r>
      <w:r>
        <w:rPr>
          <w:rStyle w:val="FootnoteReference"/>
          <w:lang w:bidi="fa-IR"/>
        </w:rPr>
        <w:footnoteReference w:id="474"/>
      </w:r>
    </w:p>
    <w:p w14:paraId="43B36B59" w14:textId="77777777" w:rsidR="00466946" w:rsidRDefault="00466946" w:rsidP="00466946">
      <w:pPr>
        <w:pStyle w:val="BodyText"/>
        <w:rPr>
          <w:lang w:bidi="fa-IR"/>
        </w:rPr>
      </w:pPr>
      <w:r>
        <w:rPr>
          <w:lang w:bidi="fa-IR"/>
        </w:rPr>
        <w:t>A key issue is whether it is appropriate to extrapolate these findings based on the impacts of home modifications to the features included in the NCC proposal.</w:t>
      </w:r>
    </w:p>
    <w:p w14:paraId="552A0E6C" w14:textId="77777777" w:rsidR="00466946" w:rsidRDefault="00CC0A1A" w:rsidP="00466946">
      <w:pPr>
        <w:pStyle w:val="ListBullet"/>
        <w:rPr>
          <w:lang w:bidi="fa-IR"/>
        </w:rPr>
      </w:pPr>
      <w:r>
        <w:rPr>
          <w:lang w:bidi="fa-IR"/>
        </w:rPr>
        <w:t>H</w:t>
      </w:r>
      <w:r w:rsidR="00466946">
        <w:rPr>
          <w:lang w:bidi="fa-IR"/>
        </w:rPr>
        <w:t>ome modifications may not fully meet some accessibility needs,</w:t>
      </w:r>
      <w:r w:rsidR="00466946">
        <w:rPr>
          <w:rStyle w:val="FootnoteReference"/>
          <w:lang w:bidi="fa-IR"/>
        </w:rPr>
        <w:footnoteReference w:id="475"/>
      </w:r>
      <w:r w:rsidR="00466946">
        <w:rPr>
          <w:lang w:bidi="fa-IR"/>
        </w:rPr>
        <w:t xml:space="preserve"> as some features can be difficult (or prohibitively expensive) to retrofit. This implies that estimates based on home modifications may under</w:t>
      </w:r>
      <w:r w:rsidR="00466946">
        <w:rPr>
          <w:lang w:bidi="fa-IR"/>
        </w:rPr>
        <w:noBreakHyphen/>
        <w:t>estimate the benefits of universal design.</w:t>
      </w:r>
    </w:p>
    <w:p w14:paraId="49781DF3" w14:textId="77777777" w:rsidR="00466946" w:rsidRDefault="00466946" w:rsidP="00466946">
      <w:pPr>
        <w:pStyle w:val="ListBullet"/>
        <w:rPr>
          <w:lang w:bidi="fa-IR"/>
        </w:rPr>
      </w:pPr>
      <w:r>
        <w:rPr>
          <w:lang w:bidi="fa-IR"/>
        </w:rPr>
        <w:t>On the other hand, a submission from the Home Modification Information Clearinghouse (prepared by Professor Catherine Bridge, a leading expert on accessibility and a co</w:t>
      </w:r>
      <w:r>
        <w:rPr>
          <w:lang w:bidi="fa-IR"/>
        </w:rPr>
        <w:noBreakHyphen/>
        <w:t xml:space="preserve">author of the relevant paper) argued that universal housing design is not a direct substitute for home modifications because home modifications are tailored to the specific needs of the individual. </w:t>
      </w:r>
      <w:r w:rsidR="00CC0A1A">
        <w:rPr>
          <w:lang w:bidi="fa-IR"/>
        </w:rPr>
        <w:t>It is possible that</w:t>
      </w:r>
      <w:r>
        <w:rPr>
          <w:lang w:bidi="fa-IR"/>
        </w:rPr>
        <w:t xml:space="preserve"> the benefits of home modifications </w:t>
      </w:r>
      <w:r w:rsidR="00303B89">
        <w:rPr>
          <w:lang w:bidi="fa-IR"/>
        </w:rPr>
        <w:t xml:space="preserve">that are tailored to the specific needs of the individual </w:t>
      </w:r>
      <w:r>
        <w:rPr>
          <w:lang w:bidi="fa-IR"/>
        </w:rPr>
        <w:t xml:space="preserve">may </w:t>
      </w:r>
      <w:r w:rsidR="00303B89">
        <w:rPr>
          <w:lang w:bidi="fa-IR"/>
        </w:rPr>
        <w:t>be more effective than the</w:t>
      </w:r>
      <w:r>
        <w:rPr>
          <w:lang w:bidi="fa-IR"/>
        </w:rPr>
        <w:t xml:space="preserve"> proposed NCC changes</w:t>
      </w:r>
      <w:r w:rsidR="00303B89">
        <w:rPr>
          <w:lang w:bidi="fa-IR"/>
        </w:rPr>
        <w:t xml:space="preserve"> for some people</w:t>
      </w:r>
      <w:r>
        <w:rPr>
          <w:lang w:bidi="fa-IR"/>
        </w:rPr>
        <w:t>.</w:t>
      </w:r>
    </w:p>
    <w:p w14:paraId="2021CF84" w14:textId="3885C690" w:rsidR="001A7F90" w:rsidRDefault="00466946" w:rsidP="006E73B2">
      <w:pPr>
        <w:pStyle w:val="BodyText"/>
        <w:rPr>
          <w:lang w:bidi="fa-IR"/>
        </w:rPr>
      </w:pPr>
      <w:r>
        <w:rPr>
          <w:lang w:bidi="fa-IR"/>
        </w:rPr>
        <w:t>T</w:t>
      </w:r>
      <w:r w:rsidR="00F87F28">
        <w:rPr>
          <w:lang w:bidi="fa-IR"/>
        </w:rPr>
        <w:t>he</w:t>
      </w:r>
      <w:r>
        <w:rPr>
          <w:lang w:bidi="fa-IR"/>
        </w:rPr>
        <w:t xml:space="preserve"> features of modifications HACC participants received in the sample that do not closely align with the features provided under the NCC proposal are presented in table</w:t>
      </w:r>
      <w:r w:rsidR="00362332">
        <w:rPr>
          <w:lang w:bidi="fa-IR"/>
        </w:rPr>
        <w:t xml:space="preserve"> C.1</w:t>
      </w:r>
      <w:r w:rsidR="002636F7">
        <w:rPr>
          <w:lang w:bidi="fa-IR"/>
        </w:rPr>
        <w:t>.</w:t>
      </w:r>
      <w:r w:rsidR="00816C03">
        <w:rPr>
          <w:lang w:bidi="fa-IR"/>
        </w:rPr>
        <w:t xml:space="preserve"> </w:t>
      </w:r>
      <w:r w:rsidR="009C53D0">
        <w:rPr>
          <w:lang w:bidi="fa-IR"/>
        </w:rPr>
        <w:t>T</w:t>
      </w:r>
      <w:r w:rsidR="00816C03">
        <w:rPr>
          <w:lang w:bidi="fa-IR"/>
        </w:rPr>
        <w:t xml:space="preserve">hose modifications that may be a close substitute for </w:t>
      </w:r>
      <w:r w:rsidR="004B4302">
        <w:rPr>
          <w:lang w:bidi="fa-IR"/>
        </w:rPr>
        <w:t>the features to be provided under the NCC proposal are highlighted in blue.</w:t>
      </w:r>
      <w:r w:rsidR="00D76650">
        <w:rPr>
          <w:lang w:bidi="fa-IR"/>
        </w:rPr>
        <w:t xml:space="preserve"> </w:t>
      </w:r>
      <w:r>
        <w:rPr>
          <w:lang w:bidi="fa-IR"/>
        </w:rPr>
        <w:t>Of particular concern, a significant share of the modifications are grab rails and hand rails, which are not provided under the NCC proposal.</w:t>
      </w:r>
    </w:p>
    <w:p w14:paraId="4C22C56E" w14:textId="59E034F4" w:rsidR="006E73B2" w:rsidRDefault="00B27E24" w:rsidP="006E73B2">
      <w:pPr>
        <w:pStyle w:val="Caption"/>
      </w:pPr>
      <w:bookmarkStart w:id="701" w:name="_Toc44598574"/>
      <w:bookmarkStart w:id="702" w:name="_Toc44695946"/>
      <w:bookmarkStart w:id="703" w:name="_Toc57643681"/>
      <w:bookmarkStart w:id="704" w:name="_Toc70505631"/>
      <w:r>
        <w:t>C.1</w:t>
      </w:r>
      <w:r w:rsidR="006E73B2" w:rsidRPr="00695C93">
        <w:tab/>
      </w:r>
      <w:r w:rsidR="006E73B2">
        <w:t>Type of modifications</w:t>
      </w:r>
      <w:bookmarkEnd w:id="701"/>
      <w:bookmarkEnd w:id="702"/>
      <w:bookmarkEnd w:id="703"/>
      <w:bookmarkEnd w:id="704"/>
    </w:p>
    <w:tbl>
      <w:tblPr>
        <w:tblW w:w="0" w:type="auto"/>
        <w:tblLayout w:type="fixed"/>
        <w:tblLook w:val="0000" w:firstRow="0" w:lastRow="0" w:firstColumn="0" w:lastColumn="0" w:noHBand="0" w:noVBand="0"/>
        <w:tblCaption w:val="Table C.1: Type of modifications"/>
        <w:tblDescription w:val="Table C.1 lists the type of modifications, broadly grouped as bathroom modifications, access modifications and kitchen/laundry modifications, received by 157 older people and people with disability (average age of 72) funded through the Home and Community Care (HACC) Program. Modifications that may be a close substitute for the features to be provided under the NCC proposal are highlighted in blue."/>
      </w:tblPr>
      <w:tblGrid>
        <w:gridCol w:w="3380"/>
        <w:gridCol w:w="22"/>
        <w:gridCol w:w="2275"/>
        <w:gridCol w:w="2260"/>
      </w:tblGrid>
      <w:tr w:rsidR="00696C70" w14:paraId="04753ECA" w14:textId="77777777" w:rsidTr="003F0D02">
        <w:trPr>
          <w:trHeight w:val="691"/>
          <w:tblHeader/>
        </w:trPr>
        <w:tc>
          <w:tcPr>
            <w:tcW w:w="3402" w:type="dxa"/>
            <w:gridSpan w:val="2"/>
            <w:shd w:val="clear" w:color="auto" w:fill="6F6652"/>
            <w:tcMar>
              <w:left w:w="57" w:type="dxa"/>
              <w:right w:w="57" w:type="dxa"/>
            </w:tcMar>
          </w:tcPr>
          <w:p w14:paraId="6CFCFBED" w14:textId="77777777" w:rsidR="00696C70" w:rsidRDefault="00844410" w:rsidP="006E73B2">
            <w:pPr>
              <w:pStyle w:val="TableDataColumnHeading"/>
              <w:jc w:val="left"/>
              <w:rPr>
                <w:lang w:val="en-GB"/>
              </w:rPr>
            </w:pPr>
            <w:r>
              <w:rPr>
                <w:lang w:val="en-GB"/>
              </w:rPr>
              <w:t>Type of modifications</w:t>
            </w:r>
          </w:p>
        </w:tc>
        <w:tc>
          <w:tcPr>
            <w:tcW w:w="2275" w:type="dxa"/>
            <w:shd w:val="clear" w:color="auto" w:fill="6F6652"/>
            <w:tcMar>
              <w:left w:w="57" w:type="dxa"/>
              <w:right w:w="57" w:type="dxa"/>
            </w:tcMar>
          </w:tcPr>
          <w:p w14:paraId="4059B3AD" w14:textId="77777777" w:rsidR="00696C70" w:rsidRPr="003F0D02" w:rsidRDefault="00696C70" w:rsidP="006E73B2">
            <w:pPr>
              <w:pStyle w:val="TableDataColumnHeading"/>
              <w:rPr>
                <w:lang w:val="en-GB"/>
              </w:rPr>
            </w:pPr>
            <w:r w:rsidRPr="003F0D02">
              <w:rPr>
                <w:lang w:val="en-GB"/>
              </w:rPr>
              <w:t>Number of modifications</w:t>
            </w:r>
          </w:p>
        </w:tc>
        <w:tc>
          <w:tcPr>
            <w:tcW w:w="2260" w:type="dxa"/>
            <w:shd w:val="clear" w:color="auto" w:fill="6F6652"/>
            <w:tcMar>
              <w:left w:w="57" w:type="dxa"/>
              <w:right w:w="57" w:type="dxa"/>
            </w:tcMar>
          </w:tcPr>
          <w:p w14:paraId="4C4EC1FF" w14:textId="77777777" w:rsidR="00696C70" w:rsidRPr="003F0D02" w:rsidRDefault="00696C70" w:rsidP="006E73B2">
            <w:pPr>
              <w:pStyle w:val="TableDataColumnHeading"/>
              <w:rPr>
                <w:lang w:val="en-GB"/>
              </w:rPr>
            </w:pPr>
            <w:r w:rsidRPr="003F0D02">
              <w:rPr>
                <w:lang w:val="en-GB"/>
              </w:rPr>
              <w:t>Share of sample receiving modification</w:t>
            </w:r>
          </w:p>
        </w:tc>
      </w:tr>
      <w:tr w:rsidR="006E73B2" w14:paraId="40ACDB8A" w14:textId="77777777" w:rsidTr="006E73B2">
        <w:trPr>
          <w:trHeight w:val="230"/>
          <w:tblHeader/>
        </w:trPr>
        <w:tc>
          <w:tcPr>
            <w:tcW w:w="3380" w:type="dxa"/>
            <w:tcBorders>
              <w:bottom w:val="single" w:sz="8" w:space="0" w:color="FFFFFF" w:themeColor="background1"/>
            </w:tcBorders>
            <w:shd w:val="clear" w:color="auto" w:fill="auto"/>
            <w:tcMar>
              <w:left w:w="57" w:type="dxa"/>
              <w:right w:w="57" w:type="dxa"/>
            </w:tcMar>
          </w:tcPr>
          <w:p w14:paraId="20F6751F" w14:textId="77777777" w:rsidR="006E73B2" w:rsidRDefault="006E73B2" w:rsidP="006E73B2">
            <w:pPr>
              <w:pStyle w:val="TableUnit"/>
              <w:jc w:val="left"/>
              <w:rPr>
                <w:lang w:val="en-GB"/>
              </w:rPr>
            </w:pPr>
          </w:p>
        </w:tc>
        <w:tc>
          <w:tcPr>
            <w:tcW w:w="2297" w:type="dxa"/>
            <w:gridSpan w:val="2"/>
            <w:tcBorders>
              <w:bottom w:val="single" w:sz="8" w:space="0" w:color="FFFFFF" w:themeColor="background1"/>
            </w:tcBorders>
            <w:shd w:val="clear" w:color="auto" w:fill="auto"/>
            <w:tcMar>
              <w:left w:w="57" w:type="dxa"/>
              <w:right w:w="57" w:type="dxa"/>
            </w:tcMar>
          </w:tcPr>
          <w:p w14:paraId="29F7E068" w14:textId="77777777" w:rsidR="006E73B2" w:rsidRDefault="006E73B2" w:rsidP="006E73B2">
            <w:pPr>
              <w:pStyle w:val="TableUnit"/>
              <w:rPr>
                <w:lang w:val="en-GB"/>
              </w:rPr>
            </w:pPr>
            <w:r>
              <w:rPr>
                <w:lang w:val="en-GB"/>
              </w:rPr>
              <w:t>No.</w:t>
            </w:r>
          </w:p>
        </w:tc>
        <w:tc>
          <w:tcPr>
            <w:tcW w:w="2260" w:type="dxa"/>
            <w:tcBorders>
              <w:bottom w:val="single" w:sz="8" w:space="0" w:color="FFFFFF" w:themeColor="background1"/>
            </w:tcBorders>
            <w:shd w:val="clear" w:color="auto" w:fill="auto"/>
            <w:tcMar>
              <w:left w:w="57" w:type="dxa"/>
              <w:right w:w="57" w:type="dxa"/>
            </w:tcMar>
          </w:tcPr>
          <w:p w14:paraId="2568CDD3" w14:textId="77777777" w:rsidR="006E73B2" w:rsidRDefault="006E73B2" w:rsidP="006E73B2">
            <w:pPr>
              <w:pStyle w:val="TableUnit"/>
              <w:rPr>
                <w:lang w:val="en-GB"/>
              </w:rPr>
            </w:pPr>
            <w:r>
              <w:rPr>
                <w:lang w:val="en-GB"/>
              </w:rPr>
              <w:t>Per cent</w:t>
            </w:r>
          </w:p>
        </w:tc>
      </w:tr>
      <w:tr w:rsidR="006E73B2" w14:paraId="2B58A973" w14:textId="77777777" w:rsidTr="006E73B2">
        <w:trPr>
          <w:trHeight w:val="230"/>
        </w:trPr>
        <w:tc>
          <w:tcPr>
            <w:tcW w:w="338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26F0657" w14:textId="77777777" w:rsidR="006E73B2" w:rsidRDefault="006E73B2" w:rsidP="006E73B2">
            <w:pPr>
              <w:pStyle w:val="TableHeading1"/>
              <w:rPr>
                <w:lang w:val="en-GB"/>
              </w:rPr>
            </w:pPr>
            <w:r>
              <w:rPr>
                <w:lang w:val="en-GB"/>
              </w:rPr>
              <w:t>Bathroom modifications</w:t>
            </w:r>
          </w:p>
        </w:tc>
        <w:tc>
          <w:tcPr>
            <w:tcW w:w="2297" w:type="dxa"/>
            <w:gridSpan w:val="2"/>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852FCD7" w14:textId="77777777" w:rsidR="006E73B2" w:rsidRDefault="006E73B2" w:rsidP="006E73B2">
            <w:pPr>
              <w:pStyle w:val="TableHeading1"/>
              <w:rPr>
                <w:lang w:val="en-GB"/>
              </w:rPr>
            </w:pPr>
          </w:p>
        </w:tc>
        <w:tc>
          <w:tcPr>
            <w:tcW w:w="226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2BA97A6" w14:textId="77777777" w:rsidR="006E73B2" w:rsidRDefault="006E73B2" w:rsidP="006E73B2">
            <w:pPr>
              <w:pStyle w:val="TableHeading1"/>
              <w:rPr>
                <w:lang w:val="en-GB"/>
              </w:rPr>
            </w:pPr>
          </w:p>
        </w:tc>
      </w:tr>
      <w:tr w:rsidR="00696C70" w14:paraId="5B0BF1E7"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3697B12" w14:textId="77777777" w:rsidR="00696C70" w:rsidRDefault="00696C70" w:rsidP="006E73B2">
            <w:pPr>
              <w:pStyle w:val="TableDataEntries"/>
              <w:jc w:val="left"/>
              <w:rPr>
                <w:lang w:val="en-GB"/>
              </w:rPr>
            </w:pPr>
            <w:r>
              <w:rPr>
                <w:lang w:val="en-GB"/>
              </w:rPr>
              <w:t>Major bathroom modification</w:t>
            </w:r>
          </w:p>
        </w:tc>
        <w:tc>
          <w:tcPr>
            <w:tcW w:w="2297" w:type="dxa"/>
            <w:gridSpan w:val="2"/>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0A3104C" w14:textId="77777777" w:rsidR="00696C70" w:rsidRDefault="00696C70" w:rsidP="006E73B2">
            <w:pPr>
              <w:pStyle w:val="TableDataEntries"/>
              <w:rPr>
                <w:lang w:val="en-GB"/>
              </w:rPr>
            </w:pPr>
            <w:r>
              <w:rPr>
                <w:lang w:val="en-GB"/>
              </w:rPr>
              <w:t>55</w:t>
            </w:r>
          </w:p>
        </w:tc>
        <w:tc>
          <w:tcPr>
            <w:tcW w:w="226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AB4F447" w14:textId="77777777" w:rsidR="00696C70" w:rsidRDefault="00696C70" w:rsidP="006E73B2">
            <w:pPr>
              <w:pStyle w:val="TableDataEntries"/>
              <w:rPr>
                <w:lang w:val="en-GB"/>
              </w:rPr>
            </w:pPr>
            <w:r>
              <w:rPr>
                <w:lang w:val="en-GB"/>
              </w:rPr>
              <w:t xml:space="preserve"> 35.0</w:t>
            </w:r>
          </w:p>
        </w:tc>
      </w:tr>
      <w:tr w:rsidR="00696C70" w14:paraId="7F3157F9"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4C1367" w14:textId="77777777" w:rsidR="00696C70" w:rsidRDefault="00696C70" w:rsidP="006E73B2">
            <w:pPr>
              <w:pStyle w:val="TableDataEntries"/>
              <w:jc w:val="left"/>
              <w:rPr>
                <w:lang w:val="en-GB"/>
              </w:rPr>
            </w:pPr>
            <w:r>
              <w:rPr>
                <w:lang w:val="en-GB"/>
              </w:rPr>
              <w:t>Grab rail in shower</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914EE8" w14:textId="77777777" w:rsidR="00696C70" w:rsidRDefault="00696C70" w:rsidP="006E73B2">
            <w:pPr>
              <w:pStyle w:val="TableDataEntries"/>
              <w:rPr>
                <w:lang w:val="en-GB"/>
              </w:rPr>
            </w:pPr>
            <w:r>
              <w:rPr>
                <w:lang w:val="en-GB"/>
              </w:rPr>
              <w:t>36</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8CD0C1" w14:textId="77777777" w:rsidR="00696C70" w:rsidRDefault="00696C70" w:rsidP="006E73B2">
            <w:pPr>
              <w:pStyle w:val="TableDataEntries"/>
              <w:rPr>
                <w:lang w:val="en-GB"/>
              </w:rPr>
            </w:pPr>
            <w:r>
              <w:rPr>
                <w:lang w:val="en-GB"/>
              </w:rPr>
              <w:t xml:space="preserve"> 22.9</w:t>
            </w:r>
          </w:p>
        </w:tc>
      </w:tr>
      <w:tr w:rsidR="00696C70" w14:paraId="0AEDC7C2"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8DFD3" w14:textId="77777777" w:rsidR="00696C70" w:rsidRDefault="00696C70" w:rsidP="006E73B2">
            <w:pPr>
              <w:pStyle w:val="TableDataEntries"/>
              <w:jc w:val="left"/>
              <w:rPr>
                <w:lang w:val="en-GB"/>
              </w:rPr>
            </w:pPr>
            <w:r>
              <w:rPr>
                <w:lang w:val="en-GB"/>
              </w:rPr>
              <w:t>Grab rail in bath</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7F5894" w14:textId="77777777" w:rsidR="00696C70" w:rsidRDefault="00696C70" w:rsidP="006E73B2">
            <w:pPr>
              <w:pStyle w:val="TableDataEntries"/>
              <w:rPr>
                <w:lang w:val="en-GB"/>
              </w:rPr>
            </w:pPr>
            <w:r>
              <w:rPr>
                <w:lang w:val="en-GB"/>
              </w:rPr>
              <w:t>7</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75DEB5" w14:textId="77777777" w:rsidR="00696C70" w:rsidRDefault="00696C70" w:rsidP="006E73B2">
            <w:pPr>
              <w:pStyle w:val="TableDataEntries"/>
              <w:rPr>
                <w:lang w:val="en-GB"/>
              </w:rPr>
            </w:pPr>
            <w:r>
              <w:rPr>
                <w:lang w:val="en-GB"/>
              </w:rPr>
              <w:t xml:space="preserve"> 4.5</w:t>
            </w:r>
          </w:p>
        </w:tc>
      </w:tr>
      <w:tr w:rsidR="00696C70" w14:paraId="0A98FFC8"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1516A5" w14:textId="77777777" w:rsidR="00696C70" w:rsidRDefault="00696C70" w:rsidP="006E73B2">
            <w:pPr>
              <w:pStyle w:val="TableDataEntries"/>
              <w:jc w:val="left"/>
              <w:rPr>
                <w:lang w:val="en-GB"/>
              </w:rPr>
            </w:pPr>
            <w:r>
              <w:rPr>
                <w:lang w:val="en-GB"/>
              </w:rPr>
              <w:t>Hand held shower</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12A87C" w14:textId="77777777" w:rsidR="00696C70" w:rsidRDefault="00696C70" w:rsidP="006E73B2">
            <w:pPr>
              <w:pStyle w:val="TableDataEntries"/>
              <w:rPr>
                <w:lang w:val="en-GB"/>
              </w:rPr>
            </w:pPr>
            <w:r>
              <w:rPr>
                <w:lang w:val="en-GB"/>
              </w:rPr>
              <w:t>16</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D67025" w14:textId="77777777" w:rsidR="00696C70" w:rsidRDefault="00696C70" w:rsidP="006E73B2">
            <w:pPr>
              <w:pStyle w:val="TableDataEntries"/>
              <w:rPr>
                <w:lang w:val="en-GB"/>
              </w:rPr>
            </w:pPr>
            <w:r>
              <w:rPr>
                <w:lang w:val="en-GB"/>
              </w:rPr>
              <w:t xml:space="preserve"> 10.2</w:t>
            </w:r>
          </w:p>
        </w:tc>
      </w:tr>
      <w:tr w:rsidR="00696C70" w14:paraId="7D8D3393"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A9941F2" w14:textId="77777777" w:rsidR="00696C70" w:rsidRDefault="00696C70" w:rsidP="006E73B2">
            <w:pPr>
              <w:pStyle w:val="TableDataEntries"/>
              <w:jc w:val="left"/>
              <w:rPr>
                <w:lang w:val="en-GB"/>
              </w:rPr>
            </w:pPr>
            <w:r>
              <w:rPr>
                <w:lang w:val="en-GB"/>
              </w:rPr>
              <w:t>Shower screen removed</w:t>
            </w:r>
          </w:p>
        </w:tc>
        <w:tc>
          <w:tcPr>
            <w:tcW w:w="2297" w:type="dxa"/>
            <w:gridSpan w:val="2"/>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483B3C9" w14:textId="77777777" w:rsidR="00696C70" w:rsidRDefault="00696C70" w:rsidP="006E73B2">
            <w:pPr>
              <w:pStyle w:val="TableDataEntries"/>
              <w:rPr>
                <w:lang w:val="en-GB"/>
              </w:rPr>
            </w:pPr>
            <w:r>
              <w:rPr>
                <w:lang w:val="en-GB"/>
              </w:rPr>
              <w:t>3</w:t>
            </w:r>
          </w:p>
        </w:tc>
        <w:tc>
          <w:tcPr>
            <w:tcW w:w="226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B94FBD0" w14:textId="77777777" w:rsidR="00696C70" w:rsidRDefault="00696C70" w:rsidP="006E73B2">
            <w:pPr>
              <w:pStyle w:val="TableDataEntries"/>
              <w:rPr>
                <w:lang w:val="en-GB"/>
              </w:rPr>
            </w:pPr>
            <w:r>
              <w:rPr>
                <w:lang w:val="en-GB"/>
              </w:rPr>
              <w:t xml:space="preserve"> 1.9</w:t>
            </w:r>
          </w:p>
        </w:tc>
      </w:tr>
      <w:tr w:rsidR="00696C70" w14:paraId="7E6EB09E"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008684" w14:textId="77777777" w:rsidR="00696C70" w:rsidRDefault="00696C70" w:rsidP="006E73B2">
            <w:pPr>
              <w:pStyle w:val="TableDataEntries"/>
              <w:jc w:val="left"/>
              <w:rPr>
                <w:lang w:val="en-GB"/>
              </w:rPr>
            </w:pPr>
            <w:r>
              <w:rPr>
                <w:lang w:val="en-GB"/>
              </w:rPr>
              <w:t>Grab rail in toilet</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353007" w14:textId="77777777" w:rsidR="00696C70" w:rsidRDefault="00696C70" w:rsidP="006E73B2">
            <w:pPr>
              <w:pStyle w:val="TableDataEntries"/>
              <w:rPr>
                <w:lang w:val="en-GB"/>
              </w:rPr>
            </w:pPr>
            <w:r>
              <w:rPr>
                <w:lang w:val="en-GB"/>
              </w:rPr>
              <w:t>17</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802740" w14:textId="77777777" w:rsidR="00696C70" w:rsidRDefault="00696C70" w:rsidP="006E73B2">
            <w:pPr>
              <w:pStyle w:val="TableDataEntries"/>
              <w:rPr>
                <w:lang w:val="en-GB"/>
              </w:rPr>
            </w:pPr>
            <w:r>
              <w:rPr>
                <w:lang w:val="en-GB"/>
              </w:rPr>
              <w:t xml:space="preserve"> 10.8</w:t>
            </w:r>
          </w:p>
        </w:tc>
      </w:tr>
      <w:tr w:rsidR="006E73B2" w14:paraId="198B1B8C" w14:textId="77777777" w:rsidTr="006E73B2">
        <w:trPr>
          <w:trHeight w:val="230"/>
        </w:trPr>
        <w:tc>
          <w:tcPr>
            <w:tcW w:w="338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77A8CAA" w14:textId="77777777" w:rsidR="006E73B2" w:rsidRDefault="006E73B2" w:rsidP="006E73B2">
            <w:pPr>
              <w:pStyle w:val="TableHeading1"/>
              <w:rPr>
                <w:lang w:val="en-GB"/>
              </w:rPr>
            </w:pPr>
            <w:r>
              <w:rPr>
                <w:lang w:val="en-GB"/>
              </w:rPr>
              <w:t>Access modifications</w:t>
            </w:r>
          </w:p>
        </w:tc>
        <w:tc>
          <w:tcPr>
            <w:tcW w:w="2297" w:type="dxa"/>
            <w:gridSpan w:val="2"/>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3734BEC" w14:textId="77777777" w:rsidR="006E73B2" w:rsidRDefault="006E73B2" w:rsidP="006E73B2">
            <w:pPr>
              <w:pStyle w:val="TableHeading1"/>
              <w:rPr>
                <w:lang w:val="en-GB"/>
              </w:rPr>
            </w:pPr>
          </w:p>
        </w:tc>
        <w:tc>
          <w:tcPr>
            <w:tcW w:w="226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9346171" w14:textId="77777777" w:rsidR="006E73B2" w:rsidRDefault="006E73B2" w:rsidP="006E73B2">
            <w:pPr>
              <w:pStyle w:val="TableHeading1"/>
              <w:rPr>
                <w:lang w:val="en-GB"/>
              </w:rPr>
            </w:pPr>
          </w:p>
        </w:tc>
      </w:tr>
      <w:tr w:rsidR="00696C70" w14:paraId="7445FB7A"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8AC8821" w14:textId="77777777" w:rsidR="00696C70" w:rsidRDefault="00696C70" w:rsidP="006E73B2">
            <w:pPr>
              <w:pStyle w:val="TableDataEntries"/>
              <w:jc w:val="left"/>
              <w:rPr>
                <w:lang w:val="en-GB"/>
              </w:rPr>
            </w:pPr>
            <w:r>
              <w:rPr>
                <w:lang w:val="en-GB"/>
              </w:rPr>
              <w:t>Ramp</w:t>
            </w:r>
          </w:p>
        </w:tc>
        <w:tc>
          <w:tcPr>
            <w:tcW w:w="2297" w:type="dxa"/>
            <w:gridSpan w:val="2"/>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DEF0B4A" w14:textId="77777777" w:rsidR="00696C70" w:rsidRDefault="00696C70" w:rsidP="006E73B2">
            <w:pPr>
              <w:pStyle w:val="TableDataEntries"/>
              <w:rPr>
                <w:lang w:val="en-GB"/>
              </w:rPr>
            </w:pPr>
            <w:r>
              <w:rPr>
                <w:lang w:val="en-GB"/>
              </w:rPr>
              <w:t>27</w:t>
            </w:r>
          </w:p>
        </w:tc>
        <w:tc>
          <w:tcPr>
            <w:tcW w:w="226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69103A7" w14:textId="77777777" w:rsidR="00696C70" w:rsidRDefault="00696C70" w:rsidP="006E73B2">
            <w:pPr>
              <w:pStyle w:val="TableDataEntries"/>
              <w:rPr>
                <w:lang w:val="en-GB"/>
              </w:rPr>
            </w:pPr>
            <w:r>
              <w:rPr>
                <w:lang w:val="en-GB"/>
              </w:rPr>
              <w:t xml:space="preserve"> 17.2</w:t>
            </w:r>
          </w:p>
        </w:tc>
      </w:tr>
      <w:tr w:rsidR="00696C70" w14:paraId="62DBAE47"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CD610B" w14:textId="77777777" w:rsidR="00696C70" w:rsidRDefault="00696C70" w:rsidP="006E73B2">
            <w:pPr>
              <w:pStyle w:val="TableDataEntries"/>
              <w:jc w:val="left"/>
              <w:rPr>
                <w:lang w:val="en-GB"/>
              </w:rPr>
            </w:pPr>
            <w:r>
              <w:rPr>
                <w:lang w:val="en-GB"/>
              </w:rPr>
              <w:t>Step modification</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10C839" w14:textId="77777777" w:rsidR="00696C70" w:rsidRDefault="00696C70" w:rsidP="006E73B2">
            <w:pPr>
              <w:pStyle w:val="TableDataEntries"/>
              <w:rPr>
                <w:lang w:val="en-GB"/>
              </w:rPr>
            </w:pPr>
            <w:r>
              <w:rPr>
                <w:lang w:val="en-GB"/>
              </w:rPr>
              <w:t>7</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E1BC3" w14:textId="77777777" w:rsidR="00696C70" w:rsidRDefault="00696C70" w:rsidP="006E73B2">
            <w:pPr>
              <w:pStyle w:val="TableDataEntries"/>
              <w:rPr>
                <w:lang w:val="en-GB"/>
              </w:rPr>
            </w:pPr>
            <w:r>
              <w:rPr>
                <w:lang w:val="en-GB"/>
              </w:rPr>
              <w:t xml:space="preserve"> 4.5</w:t>
            </w:r>
          </w:p>
        </w:tc>
      </w:tr>
      <w:tr w:rsidR="00696C70" w14:paraId="6763709F"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B9BA9A" w14:textId="77777777" w:rsidR="00696C70" w:rsidRDefault="00696C70" w:rsidP="006E73B2">
            <w:pPr>
              <w:pStyle w:val="TableDataEntries"/>
              <w:jc w:val="left"/>
              <w:rPr>
                <w:lang w:val="en-GB"/>
              </w:rPr>
            </w:pPr>
            <w:r>
              <w:rPr>
                <w:lang w:val="en-GB"/>
              </w:rPr>
              <w:t>Lift</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387380" w14:textId="77777777" w:rsidR="00696C70" w:rsidRDefault="00696C70" w:rsidP="006E73B2">
            <w:pPr>
              <w:pStyle w:val="TableDataEntries"/>
              <w:rPr>
                <w:lang w:val="en-GB"/>
              </w:rPr>
            </w:pPr>
            <w:r>
              <w:rPr>
                <w:lang w:val="en-GB"/>
              </w:rPr>
              <w:t>5</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B3A8E6" w14:textId="77777777" w:rsidR="00696C70" w:rsidRDefault="00696C70" w:rsidP="006E73B2">
            <w:pPr>
              <w:pStyle w:val="TableDataEntries"/>
              <w:rPr>
                <w:lang w:val="en-GB"/>
              </w:rPr>
            </w:pPr>
            <w:r>
              <w:rPr>
                <w:lang w:val="en-GB"/>
              </w:rPr>
              <w:t xml:space="preserve"> 3.2</w:t>
            </w:r>
          </w:p>
        </w:tc>
      </w:tr>
      <w:tr w:rsidR="00696C70" w14:paraId="5F4F996A"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CE46145" w14:textId="77777777" w:rsidR="00696C70" w:rsidRDefault="00696C70" w:rsidP="006E73B2">
            <w:pPr>
              <w:pStyle w:val="TableDataEntries"/>
              <w:jc w:val="left"/>
              <w:rPr>
                <w:lang w:val="en-GB"/>
              </w:rPr>
            </w:pPr>
            <w:r>
              <w:rPr>
                <w:lang w:val="en-GB"/>
              </w:rPr>
              <w:t>Widen doorway/remove wall</w:t>
            </w:r>
          </w:p>
        </w:tc>
        <w:tc>
          <w:tcPr>
            <w:tcW w:w="2297" w:type="dxa"/>
            <w:gridSpan w:val="2"/>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0748849" w14:textId="77777777" w:rsidR="00696C70" w:rsidRDefault="00696C70" w:rsidP="006E73B2">
            <w:pPr>
              <w:pStyle w:val="TableDataEntries"/>
              <w:rPr>
                <w:lang w:val="en-GB"/>
              </w:rPr>
            </w:pPr>
            <w:r>
              <w:rPr>
                <w:lang w:val="en-GB"/>
              </w:rPr>
              <w:t>15</w:t>
            </w:r>
          </w:p>
        </w:tc>
        <w:tc>
          <w:tcPr>
            <w:tcW w:w="226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19D0181" w14:textId="77777777" w:rsidR="00696C70" w:rsidRDefault="00696C70" w:rsidP="006E73B2">
            <w:pPr>
              <w:pStyle w:val="TableDataEntries"/>
              <w:rPr>
                <w:lang w:val="en-GB"/>
              </w:rPr>
            </w:pPr>
            <w:r>
              <w:rPr>
                <w:lang w:val="en-GB"/>
              </w:rPr>
              <w:t xml:space="preserve"> 9.6</w:t>
            </w:r>
          </w:p>
        </w:tc>
      </w:tr>
      <w:tr w:rsidR="00696C70" w14:paraId="5EF4BD40" w14:textId="77777777" w:rsidTr="00D13F4A">
        <w:trPr>
          <w:trHeight w:val="230"/>
        </w:trPr>
        <w:tc>
          <w:tcPr>
            <w:tcW w:w="3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BD5266" w14:textId="77777777" w:rsidR="00696C70" w:rsidRDefault="00696C70" w:rsidP="006E73B2">
            <w:pPr>
              <w:pStyle w:val="TableDataEntries"/>
              <w:jc w:val="left"/>
              <w:rPr>
                <w:lang w:val="en-GB"/>
              </w:rPr>
            </w:pPr>
            <w:r>
              <w:rPr>
                <w:lang w:val="en-GB"/>
              </w:rPr>
              <w:t>Front/rear handrail entrance</w:t>
            </w:r>
          </w:p>
        </w:tc>
        <w:tc>
          <w:tcPr>
            <w:tcW w:w="229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0ED331" w14:textId="77777777" w:rsidR="00696C70" w:rsidRDefault="00696C70" w:rsidP="006E73B2">
            <w:pPr>
              <w:pStyle w:val="TableDataEntries"/>
              <w:rPr>
                <w:lang w:val="en-GB"/>
              </w:rPr>
            </w:pPr>
            <w:r>
              <w:rPr>
                <w:lang w:val="en-GB"/>
              </w:rPr>
              <w:t>54</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C8EB39" w14:textId="77777777" w:rsidR="00696C70" w:rsidRDefault="00696C70" w:rsidP="006E73B2">
            <w:pPr>
              <w:pStyle w:val="TableDataEntries"/>
              <w:rPr>
                <w:lang w:val="en-GB"/>
              </w:rPr>
            </w:pPr>
            <w:r>
              <w:rPr>
                <w:lang w:val="en-GB"/>
              </w:rPr>
              <w:t xml:space="preserve"> 34.4</w:t>
            </w:r>
          </w:p>
        </w:tc>
      </w:tr>
      <w:tr w:rsidR="006E73B2" w14:paraId="4B917CDF" w14:textId="77777777" w:rsidTr="006E73B2">
        <w:trPr>
          <w:trHeight w:val="230"/>
        </w:trPr>
        <w:tc>
          <w:tcPr>
            <w:tcW w:w="338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E0D2E64" w14:textId="77777777" w:rsidR="006E73B2" w:rsidRDefault="006E73B2" w:rsidP="006E73B2">
            <w:pPr>
              <w:pStyle w:val="TableHeading1"/>
              <w:rPr>
                <w:lang w:val="en-GB"/>
              </w:rPr>
            </w:pPr>
            <w:r>
              <w:rPr>
                <w:lang w:val="en-GB"/>
              </w:rPr>
              <w:t>Kitchen/laundry</w:t>
            </w:r>
          </w:p>
        </w:tc>
        <w:tc>
          <w:tcPr>
            <w:tcW w:w="2297" w:type="dxa"/>
            <w:gridSpan w:val="2"/>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AB9B2FC" w14:textId="77777777" w:rsidR="006E73B2" w:rsidRDefault="006E73B2" w:rsidP="006E73B2">
            <w:pPr>
              <w:pStyle w:val="TableHeading1"/>
              <w:rPr>
                <w:lang w:val="en-GB"/>
              </w:rPr>
            </w:pPr>
          </w:p>
        </w:tc>
        <w:tc>
          <w:tcPr>
            <w:tcW w:w="226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141C61" w14:textId="77777777" w:rsidR="006E73B2" w:rsidRDefault="006E73B2" w:rsidP="006E73B2">
            <w:pPr>
              <w:pStyle w:val="TableHeading1"/>
              <w:rPr>
                <w:lang w:val="en-GB"/>
              </w:rPr>
            </w:pPr>
          </w:p>
        </w:tc>
      </w:tr>
      <w:tr w:rsidR="00696C70" w14:paraId="648EBB5C" w14:textId="77777777" w:rsidTr="00D13F4A">
        <w:trPr>
          <w:trHeight w:val="230"/>
        </w:trPr>
        <w:tc>
          <w:tcPr>
            <w:tcW w:w="338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770435E" w14:textId="77777777" w:rsidR="00696C70" w:rsidRDefault="00696C70" w:rsidP="006E73B2">
            <w:pPr>
              <w:pStyle w:val="TableDataEntries"/>
              <w:jc w:val="left"/>
              <w:rPr>
                <w:lang w:val="en-GB"/>
              </w:rPr>
            </w:pPr>
            <w:r>
              <w:rPr>
                <w:lang w:val="en-GB"/>
              </w:rPr>
              <w:t>Kitchen/laundry modification</w:t>
            </w:r>
          </w:p>
        </w:tc>
        <w:tc>
          <w:tcPr>
            <w:tcW w:w="2297" w:type="dxa"/>
            <w:gridSpan w:val="2"/>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8D52426" w14:textId="77777777" w:rsidR="00696C70" w:rsidRDefault="00696C70" w:rsidP="006E73B2">
            <w:pPr>
              <w:pStyle w:val="TableDataEntries"/>
              <w:rPr>
                <w:lang w:val="en-GB"/>
              </w:rPr>
            </w:pPr>
            <w:r>
              <w:rPr>
                <w:lang w:val="en-GB"/>
              </w:rPr>
              <w:t>7</w:t>
            </w:r>
          </w:p>
        </w:tc>
        <w:tc>
          <w:tcPr>
            <w:tcW w:w="226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3D885B8" w14:textId="77777777" w:rsidR="00696C70" w:rsidRDefault="00696C70" w:rsidP="006E73B2">
            <w:pPr>
              <w:pStyle w:val="TableDataEntries"/>
              <w:rPr>
                <w:lang w:val="en-GB"/>
              </w:rPr>
            </w:pPr>
            <w:r>
              <w:rPr>
                <w:lang w:val="en-GB"/>
              </w:rPr>
              <w:t xml:space="preserve"> 4.5</w:t>
            </w:r>
          </w:p>
        </w:tc>
      </w:tr>
    </w:tbl>
    <w:p w14:paraId="52B69841" w14:textId="77777777" w:rsidR="006E73B2" w:rsidRPr="00280175" w:rsidRDefault="006E73B2" w:rsidP="006E73B2">
      <w:pPr>
        <w:pStyle w:val="Note"/>
        <w:rPr>
          <w:iCs/>
          <w:lang w:bidi="fa-IR"/>
        </w:rPr>
      </w:pPr>
      <w:r w:rsidRPr="00280175">
        <w:rPr>
          <w:iCs/>
        </w:rPr>
        <w:t>Note: Where participants received major bathroom modifications, they were not included in the count for other, itemised bathroom modifications. Kitchen and laundry modifications refer to cabinet height/design changes, widening of work areas or mounting of appliances for easier access.</w:t>
      </w:r>
    </w:p>
    <w:p w14:paraId="41FBDBAA" w14:textId="77777777" w:rsidR="006E73B2" w:rsidRPr="00280175" w:rsidRDefault="006E73B2" w:rsidP="006E73B2">
      <w:pPr>
        <w:pStyle w:val="Source"/>
        <w:rPr>
          <w:iCs/>
          <w:lang w:bidi="fa-IR"/>
        </w:rPr>
      </w:pPr>
      <w:r w:rsidRPr="00280175">
        <w:rPr>
          <w:iCs/>
          <w:lang w:bidi="fa-IR"/>
        </w:rPr>
        <w:t xml:space="preserve">Source: </w:t>
      </w:r>
      <w:r w:rsidRPr="00280175">
        <w:rPr>
          <w:iCs/>
        </w:rPr>
        <w:t xml:space="preserve">Carnemolla, P. and Bridge, C. 2019, Housing Design and Community Care: How Home Modifications Reduce Care Needs of </w:t>
      </w:r>
      <w:r w:rsidR="00587286" w:rsidRPr="00280175">
        <w:rPr>
          <w:iCs/>
        </w:rPr>
        <w:t>Older</w:t>
      </w:r>
      <w:r w:rsidR="001A019E" w:rsidRPr="00280175">
        <w:rPr>
          <w:iCs/>
        </w:rPr>
        <w:t xml:space="preserve"> </w:t>
      </w:r>
      <w:r w:rsidRPr="00280175">
        <w:rPr>
          <w:iCs/>
        </w:rPr>
        <w:t xml:space="preserve">People and People with Disability, International Journal of Environmental Research and Public Health, </w:t>
      </w:r>
      <w:r w:rsidRPr="00280175">
        <w:rPr>
          <w:iCs/>
          <w:lang w:bidi="fa-IR"/>
        </w:rPr>
        <w:t>p. 7.</w:t>
      </w:r>
    </w:p>
    <w:p w14:paraId="7626F1BB" w14:textId="77777777" w:rsidR="000E4B3F" w:rsidRDefault="005E614A" w:rsidP="006E73B2">
      <w:pPr>
        <w:pStyle w:val="BodyText"/>
        <w:rPr>
          <w:lang w:bidi="fa-IR"/>
        </w:rPr>
      </w:pPr>
      <w:r>
        <w:rPr>
          <w:lang w:bidi="fa-IR"/>
        </w:rPr>
        <w:t xml:space="preserve">Although the relevance of </w:t>
      </w:r>
      <w:r w:rsidR="00C71077">
        <w:rPr>
          <w:lang w:bidi="fa-IR"/>
        </w:rPr>
        <w:t xml:space="preserve">the findings in </w:t>
      </w:r>
      <w:r>
        <w:rPr>
          <w:lang w:bidi="fa-IR"/>
        </w:rPr>
        <w:t xml:space="preserve">Carnemolla and Bridge (2019) to the NCC proposal is questionable, </w:t>
      </w:r>
      <w:r w:rsidR="00481F6D">
        <w:rPr>
          <w:lang w:bidi="fa-IR"/>
        </w:rPr>
        <w:t xml:space="preserve">CIE </w:t>
      </w:r>
      <w:r>
        <w:rPr>
          <w:lang w:bidi="fa-IR"/>
        </w:rPr>
        <w:t>did not identify any other studies that quantify the impact of accessible housing on the amount of care received.</w:t>
      </w:r>
    </w:p>
    <w:p w14:paraId="4F147F21" w14:textId="77777777" w:rsidR="005A4102" w:rsidRPr="00F4477B" w:rsidRDefault="005A4102" w:rsidP="00F4477B">
      <w:pPr>
        <w:pStyle w:val="Heading3-Appendix"/>
      </w:pPr>
      <w:r w:rsidRPr="00F4477B">
        <w:t>Formal care</w:t>
      </w:r>
    </w:p>
    <w:p w14:paraId="605DF9EA" w14:textId="77777777" w:rsidR="00A81EF2" w:rsidRDefault="00A81EF2" w:rsidP="00A81EF2">
      <w:pPr>
        <w:pStyle w:val="BodyText"/>
        <w:rPr>
          <w:lang w:bidi="fa-IR"/>
        </w:rPr>
      </w:pPr>
      <w:r>
        <w:rPr>
          <w:lang w:bidi="fa-IR"/>
        </w:rPr>
        <w:t>Carnemolla and Bridge (2019) found that there was a statistically significant reduction in both the amount of formal care and informal care received following home modifications</w:t>
      </w:r>
      <w:r w:rsidRPr="00317781">
        <w:rPr>
          <w:lang w:bidi="fa-IR"/>
        </w:rPr>
        <w:t>.</w:t>
      </w:r>
      <w:r>
        <w:rPr>
          <w:lang w:bidi="fa-IR"/>
        </w:rPr>
        <w:t xml:space="preserve"> The amount of formal care received decreased by around 0.3 hours per week on average or around 15.6 hours per year (table </w:t>
      </w:r>
      <w:r w:rsidR="00DC5D3B">
        <w:rPr>
          <w:lang w:bidi="fa-IR"/>
        </w:rPr>
        <w:t>C.2</w:t>
      </w:r>
      <w:r>
        <w:rPr>
          <w:lang w:bidi="fa-IR"/>
        </w:rPr>
        <w:t>). Carnemolla (2015) provides a further disaggregation between time spent assisting with mobility around the house</w:t>
      </w:r>
      <w:r w:rsidR="009C53D0">
        <w:rPr>
          <w:lang w:bidi="fa-IR"/>
        </w:rPr>
        <w:t>,</w:t>
      </w:r>
      <w:r>
        <w:rPr>
          <w:lang w:bidi="fa-IR"/>
        </w:rPr>
        <w:t xml:space="preserve"> showering and bathing</w:t>
      </w:r>
      <w:r w:rsidR="009C53D0">
        <w:rPr>
          <w:lang w:bidi="fa-IR"/>
        </w:rPr>
        <w:t>,</w:t>
      </w:r>
      <w:r>
        <w:rPr>
          <w:lang w:bidi="fa-IR"/>
        </w:rPr>
        <w:t xml:space="preserve"> and toileting.</w:t>
      </w:r>
    </w:p>
    <w:p w14:paraId="1049798D" w14:textId="6F588962" w:rsidR="005A4102" w:rsidRDefault="00B27E24" w:rsidP="005A4102">
      <w:pPr>
        <w:pStyle w:val="Caption"/>
      </w:pPr>
      <w:bookmarkStart w:id="705" w:name="_Toc57643682"/>
      <w:bookmarkStart w:id="706" w:name="_Toc70505632"/>
      <w:r>
        <w:t>C.2</w:t>
      </w:r>
      <w:r w:rsidR="005A4102" w:rsidRPr="00695C93">
        <w:tab/>
      </w:r>
      <w:r w:rsidR="005A4102">
        <w:t>Additional formal care needs due to inaccessible housing</w:t>
      </w:r>
      <w:bookmarkEnd w:id="705"/>
      <w:bookmarkEnd w:id="706"/>
    </w:p>
    <w:tbl>
      <w:tblPr>
        <w:tblW w:w="7936" w:type="dxa"/>
        <w:tblLayout w:type="fixed"/>
        <w:tblLook w:val="0000" w:firstRow="0" w:lastRow="0" w:firstColumn="0" w:lastColumn="0" w:noHBand="0" w:noVBand="0"/>
        <w:tblCaption w:val="Table C.2: Additional formal care needs due to inaccessible housing"/>
        <w:tblDescription w:val="Table C.2 shows the reduction of additional formal care needs due to inacessible housing following home modifications.  The amount of formal care received decreased by around 0.3 hours per week on average or around 15.6 hours per year, which equated to an average saving of $1014 per year."/>
      </w:tblPr>
      <w:tblGrid>
        <w:gridCol w:w="2016"/>
        <w:gridCol w:w="1184"/>
        <w:gridCol w:w="1184"/>
        <w:gridCol w:w="1184"/>
        <w:gridCol w:w="1184"/>
        <w:gridCol w:w="1184"/>
      </w:tblGrid>
      <w:tr w:rsidR="005A4102" w14:paraId="1409B1D6" w14:textId="77777777" w:rsidTr="00303B89">
        <w:trPr>
          <w:trHeight w:val="490"/>
          <w:tblHeader/>
        </w:trPr>
        <w:tc>
          <w:tcPr>
            <w:tcW w:w="2016" w:type="dxa"/>
            <w:tcBorders>
              <w:bottom w:val="single" w:sz="8" w:space="0" w:color="FFFFFF" w:themeColor="background1"/>
            </w:tcBorders>
            <w:shd w:val="clear" w:color="auto" w:fill="6F6652"/>
            <w:tcMar>
              <w:left w:w="57" w:type="dxa"/>
              <w:right w:w="57" w:type="dxa"/>
            </w:tcMar>
          </w:tcPr>
          <w:p w14:paraId="6DC8CD25" w14:textId="77777777" w:rsidR="005A4102" w:rsidRDefault="005A4102" w:rsidP="00AC2B23">
            <w:pPr>
              <w:pStyle w:val="TableDataColumnHeading"/>
              <w:jc w:val="left"/>
            </w:pPr>
          </w:p>
        </w:tc>
        <w:tc>
          <w:tcPr>
            <w:tcW w:w="1184" w:type="dxa"/>
            <w:tcBorders>
              <w:bottom w:val="single" w:sz="8" w:space="0" w:color="FFFFFF" w:themeColor="background1"/>
            </w:tcBorders>
            <w:shd w:val="clear" w:color="auto" w:fill="6F6652"/>
            <w:tcMar>
              <w:left w:w="57" w:type="dxa"/>
              <w:right w:w="57" w:type="dxa"/>
            </w:tcMar>
          </w:tcPr>
          <w:p w14:paraId="4B72E3C0" w14:textId="77777777" w:rsidR="005A4102" w:rsidRDefault="005A4102" w:rsidP="00AC2B23">
            <w:pPr>
              <w:pStyle w:val="TableDataColumnHeading"/>
            </w:pPr>
            <w:r>
              <w:t>Before modification (Hours per week)</w:t>
            </w:r>
          </w:p>
        </w:tc>
        <w:tc>
          <w:tcPr>
            <w:tcW w:w="1184" w:type="dxa"/>
            <w:tcBorders>
              <w:bottom w:val="single" w:sz="8" w:space="0" w:color="FFFFFF" w:themeColor="background1"/>
            </w:tcBorders>
            <w:shd w:val="clear" w:color="auto" w:fill="6F6652"/>
            <w:tcMar>
              <w:left w:w="57" w:type="dxa"/>
              <w:right w:w="57" w:type="dxa"/>
            </w:tcMar>
          </w:tcPr>
          <w:p w14:paraId="11981864" w14:textId="77777777" w:rsidR="005A4102" w:rsidRDefault="005A4102" w:rsidP="00AC2B23">
            <w:pPr>
              <w:pStyle w:val="TableDataColumnHeading"/>
            </w:pPr>
            <w:r>
              <w:t>After modification (Hours per week)</w:t>
            </w:r>
          </w:p>
        </w:tc>
        <w:tc>
          <w:tcPr>
            <w:tcW w:w="1184" w:type="dxa"/>
            <w:tcBorders>
              <w:bottom w:val="single" w:sz="8" w:space="0" w:color="FFFFFF" w:themeColor="background1"/>
            </w:tcBorders>
            <w:shd w:val="clear" w:color="auto" w:fill="6F6652"/>
            <w:tcMar>
              <w:left w:w="57" w:type="dxa"/>
              <w:right w:w="57" w:type="dxa"/>
            </w:tcMar>
          </w:tcPr>
          <w:p w14:paraId="12EC6D6D" w14:textId="77777777" w:rsidR="005A4102" w:rsidRDefault="005A4102" w:rsidP="00AC2B23">
            <w:pPr>
              <w:pStyle w:val="TableDataColumnHeading"/>
            </w:pPr>
            <w:r>
              <w:t>Change (Hours per week)</w:t>
            </w:r>
          </w:p>
        </w:tc>
        <w:tc>
          <w:tcPr>
            <w:tcW w:w="1184" w:type="dxa"/>
            <w:tcBorders>
              <w:bottom w:val="single" w:sz="8" w:space="0" w:color="FFFFFF" w:themeColor="background1"/>
            </w:tcBorders>
            <w:shd w:val="clear" w:color="auto" w:fill="6F6652"/>
            <w:tcMar>
              <w:left w:w="57" w:type="dxa"/>
              <w:right w:w="57" w:type="dxa"/>
            </w:tcMar>
          </w:tcPr>
          <w:p w14:paraId="132EB1D0" w14:textId="77777777" w:rsidR="005A4102" w:rsidRDefault="005A4102" w:rsidP="00AC2B23">
            <w:pPr>
              <w:pStyle w:val="TableDataColumnHeading"/>
            </w:pPr>
            <w:r>
              <w:t>Additional care per year (Hours per year)</w:t>
            </w:r>
          </w:p>
        </w:tc>
        <w:tc>
          <w:tcPr>
            <w:tcW w:w="1184" w:type="dxa"/>
            <w:tcBorders>
              <w:bottom w:val="single" w:sz="8" w:space="0" w:color="FFFFFF" w:themeColor="background1"/>
            </w:tcBorders>
            <w:shd w:val="clear" w:color="auto" w:fill="6F6652"/>
            <w:tcMar>
              <w:left w:w="57" w:type="dxa"/>
              <w:right w:w="57" w:type="dxa"/>
            </w:tcMar>
          </w:tcPr>
          <w:p w14:paraId="0168296B" w14:textId="77777777" w:rsidR="005A4102" w:rsidRDefault="005A4102" w:rsidP="00AC2B23">
            <w:pPr>
              <w:pStyle w:val="TableDataColumnHeading"/>
            </w:pPr>
            <w:r>
              <w:t>Cost of addit</w:t>
            </w:r>
            <w:r w:rsidR="00F357CC">
              <w:t>i</w:t>
            </w:r>
            <w:r>
              <w:t>onal care ($ per year)</w:t>
            </w:r>
            <w:r w:rsidRPr="005A4102">
              <w:rPr>
                <w:rStyle w:val="NoteLabel"/>
              </w:rPr>
              <w:t>a</w:t>
            </w:r>
          </w:p>
        </w:tc>
      </w:tr>
      <w:tr w:rsidR="00696C70" w14:paraId="531F059D" w14:textId="77777777" w:rsidTr="00D13F4A">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F8088D" w14:textId="77777777" w:rsidR="00696C70" w:rsidRDefault="00696C70" w:rsidP="00AC2B23">
            <w:pPr>
              <w:pStyle w:val="TableDataEntries"/>
              <w:jc w:val="left"/>
            </w:pPr>
            <w:r>
              <w:t>Moving about the house</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6CFC34" w14:textId="77777777" w:rsidR="00696C70" w:rsidRDefault="00696C70" w:rsidP="00AC2B23">
            <w:pPr>
              <w:pStyle w:val="TableDataEntries"/>
            </w:pPr>
            <w:r>
              <w:t xml:space="preserve"> 1.1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141322" w14:textId="77777777" w:rsidR="00696C70" w:rsidRDefault="00696C70" w:rsidP="00AC2B23">
            <w:pPr>
              <w:pStyle w:val="TableDataEntries"/>
            </w:pPr>
            <w:r>
              <w:t xml:space="preserve"> 0.9</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EDAB0" w14:textId="77777777" w:rsidR="00696C70" w:rsidRDefault="00696C70" w:rsidP="00AC2B23">
            <w:pPr>
              <w:pStyle w:val="TableDataEntries"/>
            </w:pPr>
            <w:r>
              <w:t>- 0.2</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887BE2" w14:textId="77777777" w:rsidR="00696C70" w:rsidRDefault="00696C70" w:rsidP="00AC2B23">
            <w:pPr>
              <w:pStyle w:val="TableDataEntries"/>
            </w:pPr>
            <w:r>
              <w:t xml:space="preserve"> 10.4</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058729" w14:textId="77777777" w:rsidR="00696C70" w:rsidRDefault="00696C70" w:rsidP="00AC2B23">
            <w:pPr>
              <w:pStyle w:val="TableDataEntries"/>
            </w:pPr>
            <w:r>
              <w:t xml:space="preserve"> 676</w:t>
            </w:r>
          </w:p>
        </w:tc>
      </w:tr>
      <w:tr w:rsidR="005A4102" w14:paraId="191ED70F" w14:textId="77777777" w:rsidTr="00AC2B23">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272A14" w14:textId="77777777" w:rsidR="005A4102" w:rsidRDefault="005A4102" w:rsidP="00AC2B23">
            <w:pPr>
              <w:pStyle w:val="TableDataEntries"/>
              <w:jc w:val="left"/>
            </w:pPr>
            <w:r>
              <w:t>Bathing and showering</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863D7F" w14:textId="77777777" w:rsidR="005A4102" w:rsidRDefault="005A4102" w:rsidP="00AC2B23">
            <w:pPr>
              <w:pStyle w:val="TableDataEntries"/>
            </w:pPr>
            <w:r>
              <w:t xml:space="preserve"> 0.9</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F2111E" w14:textId="77777777" w:rsidR="005A4102" w:rsidRDefault="005A4102" w:rsidP="00AC2B23">
            <w:pPr>
              <w:pStyle w:val="TableDataEntries"/>
            </w:pPr>
            <w:r>
              <w:t xml:space="preserve"> 0.8</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879FE3" w14:textId="77777777" w:rsidR="005A4102" w:rsidRDefault="005A4102" w:rsidP="00AC2B23">
            <w:pPr>
              <w:pStyle w:val="TableDataEntries"/>
            </w:pPr>
            <w:r>
              <w:t>- 0.1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0DA832" w14:textId="77777777" w:rsidR="005A4102" w:rsidRDefault="005A4102" w:rsidP="00AC2B23">
            <w:pPr>
              <w:pStyle w:val="TableDataEntries"/>
            </w:pPr>
            <w:r>
              <w:t xml:space="preserve"> 5.2</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FA731B" w14:textId="77777777" w:rsidR="005A4102" w:rsidRDefault="005A4102" w:rsidP="00AC2B23">
            <w:pPr>
              <w:pStyle w:val="TableDataEntries"/>
            </w:pPr>
            <w:r>
              <w:t xml:space="preserve"> 338</w:t>
            </w:r>
          </w:p>
        </w:tc>
      </w:tr>
      <w:tr w:rsidR="005A4102" w14:paraId="3978A3A8" w14:textId="77777777" w:rsidTr="00AC2B23">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2D24DA" w14:textId="77777777" w:rsidR="005A4102" w:rsidRDefault="005A4102" w:rsidP="00AC2B23">
            <w:pPr>
              <w:pStyle w:val="TableDataEntries"/>
              <w:jc w:val="left"/>
            </w:pPr>
            <w:r>
              <w:t>Toileting</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EBA733" w14:textId="77777777" w:rsidR="005A4102" w:rsidRDefault="005A4102" w:rsidP="00AC2B23">
            <w:pPr>
              <w:pStyle w:val="TableDataEntries"/>
            </w:pPr>
            <w:r>
              <w:t xml:space="preserve"> 0.1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7A0780" w14:textId="77777777" w:rsidR="005A4102" w:rsidRDefault="005A4102" w:rsidP="00AC2B23">
            <w:pPr>
              <w:pStyle w:val="TableDataEntries"/>
            </w:pPr>
            <w:r>
              <w:t xml:space="preserve"> 0.1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7E8747" w14:textId="77777777" w:rsidR="005A4102" w:rsidRDefault="005A4102" w:rsidP="00AC2B23">
            <w:pPr>
              <w:pStyle w:val="TableDataEntries"/>
            </w:pPr>
            <w:r>
              <w:t xml:space="preserve"> 0.0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187719" w14:textId="77777777" w:rsidR="005A4102" w:rsidRDefault="005A4102" w:rsidP="00AC2B23">
            <w:pPr>
              <w:pStyle w:val="TableDataEntries"/>
            </w:pPr>
            <w:r>
              <w:t xml:space="preserve"> 0.0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9DDEC8" w14:textId="77777777" w:rsidR="005A4102" w:rsidRDefault="005A4102" w:rsidP="00AC2B23">
            <w:pPr>
              <w:pStyle w:val="TableDataEntries"/>
            </w:pPr>
            <w:r>
              <w:t xml:space="preserve"> 0</w:t>
            </w:r>
          </w:p>
        </w:tc>
      </w:tr>
      <w:tr w:rsidR="005A4102" w:rsidRPr="00EF3A91" w14:paraId="32DB14B0" w14:textId="77777777" w:rsidTr="00AC2B23">
        <w:trPr>
          <w:trHeight w:val="245"/>
        </w:trPr>
        <w:tc>
          <w:tcPr>
            <w:tcW w:w="201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42B2764" w14:textId="77777777" w:rsidR="005A4102" w:rsidRPr="00EF3A91" w:rsidRDefault="005A4102" w:rsidP="00AC2B23">
            <w:pPr>
              <w:pStyle w:val="TableDataEntries"/>
              <w:jc w:val="left"/>
              <w:rPr>
                <w:rFonts w:ascii="Franklin Gothic Demi" w:hAnsi="Franklin Gothic Demi"/>
              </w:rPr>
            </w:pPr>
            <w:r w:rsidRPr="00EF3A91">
              <w:rPr>
                <w:rFonts w:ascii="Franklin Gothic Demi" w:hAnsi="Franklin Gothic Demi"/>
              </w:rPr>
              <w:t>Total</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6930C7B" w14:textId="77777777" w:rsidR="005A4102" w:rsidRPr="00EF3A91" w:rsidRDefault="005A4102" w:rsidP="00AC2B23">
            <w:pPr>
              <w:pStyle w:val="TableDataEntries"/>
              <w:rPr>
                <w:rFonts w:ascii="Franklin Gothic Demi" w:hAnsi="Franklin Gothic Demi"/>
              </w:rPr>
            </w:pPr>
            <w:r w:rsidRPr="00EF3A91">
              <w:rPr>
                <w:rFonts w:ascii="Franklin Gothic Demi" w:hAnsi="Franklin Gothic Demi"/>
              </w:rPr>
              <w:t xml:space="preserve"> 2.1</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252ACC4" w14:textId="77777777" w:rsidR="005A4102" w:rsidRPr="00EF3A91" w:rsidRDefault="005A4102" w:rsidP="00AC2B23">
            <w:pPr>
              <w:pStyle w:val="TableDataEntries"/>
              <w:rPr>
                <w:rFonts w:ascii="Franklin Gothic Demi" w:hAnsi="Franklin Gothic Demi"/>
              </w:rPr>
            </w:pPr>
            <w:r w:rsidRPr="00EF3A91">
              <w:rPr>
                <w:rFonts w:ascii="Franklin Gothic Demi" w:hAnsi="Franklin Gothic Demi"/>
              </w:rPr>
              <w:t xml:space="preserve"> 1.8</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8BAAC21" w14:textId="77777777" w:rsidR="005A4102" w:rsidRPr="00EF3A91" w:rsidRDefault="005A4102" w:rsidP="00AC2B23">
            <w:pPr>
              <w:pStyle w:val="TableDataEntries"/>
              <w:rPr>
                <w:rFonts w:ascii="Franklin Gothic Demi" w:hAnsi="Franklin Gothic Demi"/>
              </w:rPr>
            </w:pPr>
            <w:r w:rsidRPr="00EF3A91">
              <w:rPr>
                <w:rFonts w:ascii="Franklin Gothic Demi" w:hAnsi="Franklin Gothic Demi"/>
              </w:rPr>
              <w:t>- 0.3</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C6A280F" w14:textId="77777777" w:rsidR="005A4102" w:rsidRPr="00EF3A91" w:rsidRDefault="005A4102" w:rsidP="00AC2B23">
            <w:pPr>
              <w:pStyle w:val="TableDataEntries"/>
              <w:rPr>
                <w:rFonts w:ascii="Franklin Gothic Demi" w:hAnsi="Franklin Gothic Demi"/>
              </w:rPr>
            </w:pPr>
            <w:r w:rsidRPr="00EF3A91">
              <w:rPr>
                <w:rFonts w:ascii="Franklin Gothic Demi" w:hAnsi="Franklin Gothic Demi"/>
              </w:rPr>
              <w:t xml:space="preserve"> 15.6</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F8F9886" w14:textId="77777777" w:rsidR="005A4102" w:rsidRPr="00EF3A91" w:rsidRDefault="005A4102" w:rsidP="00AC2B23">
            <w:pPr>
              <w:pStyle w:val="TableDataEntries"/>
              <w:rPr>
                <w:rFonts w:ascii="Franklin Gothic Demi" w:hAnsi="Franklin Gothic Demi"/>
              </w:rPr>
            </w:pPr>
            <w:r w:rsidRPr="00EF3A91">
              <w:rPr>
                <w:rFonts w:ascii="Franklin Gothic Demi" w:hAnsi="Franklin Gothic Demi"/>
              </w:rPr>
              <w:t>1 014</w:t>
            </w:r>
          </w:p>
        </w:tc>
      </w:tr>
    </w:tbl>
    <w:p w14:paraId="19B56CC5" w14:textId="77777777" w:rsidR="005A4102" w:rsidRPr="00E4232C" w:rsidRDefault="005A4102" w:rsidP="005A4102">
      <w:pPr>
        <w:pStyle w:val="Note"/>
      </w:pPr>
      <w:r w:rsidRPr="00E4232C">
        <w:rPr>
          <w:rStyle w:val="NoteLabel"/>
        </w:rPr>
        <w:t>a</w:t>
      </w:r>
      <w:r>
        <w:t xml:space="preserve"> Formal care is valued at </w:t>
      </w:r>
      <w:r w:rsidR="00856642">
        <w:t>$65 per hour, based on NDIS rates.</w:t>
      </w:r>
    </w:p>
    <w:p w14:paraId="601A8A52" w14:textId="77777777" w:rsidR="00212A08" w:rsidRDefault="00212A08" w:rsidP="00212A08">
      <w:pPr>
        <w:pStyle w:val="Source"/>
        <w:rPr>
          <w:lang w:bidi="fa-IR"/>
        </w:rPr>
      </w:pPr>
      <w:r w:rsidRPr="00280175">
        <w:rPr>
          <w:iCs/>
          <w:lang w:bidi="fa-IR"/>
        </w:rPr>
        <w:t>Source: CIE</w:t>
      </w:r>
      <w:r>
        <w:rPr>
          <w:lang w:bidi="fa-IR"/>
        </w:rPr>
        <w:t xml:space="preserve"> estimates based on: Carnemolla and Bridge (2019) and Carnemolla (2015); </w:t>
      </w:r>
      <w:r>
        <w:rPr>
          <w:lang w:val="en-US"/>
        </w:rPr>
        <w:t xml:space="preserve">NDIS website, </w:t>
      </w:r>
      <w:hyperlink r:id="rId84" w:tooltip="More information can be found at the website via this link" w:history="1">
        <w:r>
          <w:rPr>
            <w:rStyle w:val="Hyperlink"/>
          </w:rPr>
          <w:t>https://www.ndis.gov.au/providers/price-guides-and-pricing</w:t>
        </w:r>
      </w:hyperlink>
      <w:r>
        <w:t>, accessed 24 May 2020.</w:t>
      </w:r>
    </w:p>
    <w:p w14:paraId="753953F0" w14:textId="77777777" w:rsidR="00C85CCB" w:rsidRDefault="00C50E5C" w:rsidP="00C85CCB">
      <w:pPr>
        <w:pStyle w:val="BodyText"/>
        <w:rPr>
          <w:lang w:bidi="fa-IR"/>
        </w:rPr>
      </w:pPr>
      <w:r>
        <w:rPr>
          <w:lang w:bidi="fa-IR"/>
        </w:rPr>
        <w:t xml:space="preserve">A </w:t>
      </w:r>
      <w:r w:rsidR="00C85CCB">
        <w:rPr>
          <w:lang w:bidi="fa-IR"/>
        </w:rPr>
        <w:t>submission argued that these estimates are based on older Australians with a gradually deteriorating condition and may significantly under</w:t>
      </w:r>
      <w:r w:rsidR="00C85CCB">
        <w:rPr>
          <w:lang w:bidi="fa-IR"/>
        </w:rPr>
        <w:noBreakHyphen/>
        <w:t>estimate the benefits of universal design for people with significant mobility issues.</w:t>
      </w:r>
      <w:r>
        <w:rPr>
          <w:rStyle w:val="FootnoteReference"/>
          <w:lang w:bidi="fa-IR"/>
        </w:rPr>
        <w:footnoteReference w:id="476"/>
      </w:r>
    </w:p>
    <w:p w14:paraId="33560A76" w14:textId="77777777" w:rsidR="00C85CCB" w:rsidRDefault="00C85CCB" w:rsidP="00C85CCB">
      <w:pPr>
        <w:pStyle w:val="ListBullet"/>
        <w:rPr>
          <w:lang w:bidi="fa-IR"/>
        </w:rPr>
      </w:pPr>
      <w:r>
        <w:rPr>
          <w:lang w:bidi="fa-IR"/>
        </w:rPr>
        <w:t xml:space="preserve">The </w:t>
      </w:r>
      <w:r w:rsidR="00D55C08">
        <w:rPr>
          <w:lang w:bidi="fa-IR"/>
        </w:rPr>
        <w:t xml:space="preserve">submission </w:t>
      </w:r>
      <w:r>
        <w:rPr>
          <w:lang w:bidi="fa-IR"/>
        </w:rPr>
        <w:t>argued that showering and dressing an individual once per day can take 2</w:t>
      </w:r>
      <w:r>
        <w:rPr>
          <w:lang w:bidi="fa-IR"/>
        </w:rPr>
        <w:noBreakHyphen/>
        <w:t>3 hours and some NDIS packages provide 24 hour per day care.</w:t>
      </w:r>
    </w:p>
    <w:p w14:paraId="06DC167B" w14:textId="77777777" w:rsidR="00C85CCB" w:rsidRDefault="00C85CCB" w:rsidP="00C85CCB">
      <w:pPr>
        <w:pStyle w:val="ListBullet"/>
        <w:rPr>
          <w:lang w:bidi="fa-IR"/>
        </w:rPr>
      </w:pPr>
      <w:r>
        <w:rPr>
          <w:lang w:bidi="fa-IR"/>
        </w:rPr>
        <w:t xml:space="preserve">A case study provided </w:t>
      </w:r>
      <w:r w:rsidR="0056144E">
        <w:rPr>
          <w:lang w:bidi="fa-IR"/>
        </w:rPr>
        <w:t>in</w:t>
      </w:r>
      <w:r>
        <w:rPr>
          <w:lang w:bidi="fa-IR"/>
        </w:rPr>
        <w:t xml:space="preserve"> the MDI </w:t>
      </w:r>
      <w:r w:rsidR="00F406D7">
        <w:rPr>
          <w:lang w:bidi="fa-IR"/>
        </w:rPr>
        <w:t xml:space="preserve">and </w:t>
      </w:r>
      <w:r>
        <w:rPr>
          <w:lang w:bidi="fa-IR"/>
        </w:rPr>
        <w:t>Summer Foundation submission also showed that care costs of around $25 000 per year (funded through the NDIS) could be avoided through an accessible bathroom rather than a shower over a bathtub (see summary provided in the main body of the report</w:t>
      </w:r>
      <w:r w:rsidR="00BF463F">
        <w:rPr>
          <w:lang w:bidi="fa-IR"/>
        </w:rPr>
        <w:t xml:space="preserve"> – box 3.2</w:t>
      </w:r>
      <w:r w:rsidR="00930EC9">
        <w:rPr>
          <w:lang w:bidi="fa-IR"/>
        </w:rPr>
        <w:t>5</w:t>
      </w:r>
      <w:r w:rsidR="00BF463F">
        <w:rPr>
          <w:lang w:bidi="fa-IR"/>
        </w:rPr>
        <w:t xml:space="preserve"> on page </w:t>
      </w:r>
      <w:r w:rsidR="00353801">
        <w:rPr>
          <w:lang w:bidi="fa-IR"/>
        </w:rPr>
        <w:t>8</w:t>
      </w:r>
      <w:r w:rsidR="00621D2F">
        <w:rPr>
          <w:lang w:bidi="fa-IR"/>
        </w:rPr>
        <w:t>6</w:t>
      </w:r>
      <w:r>
        <w:rPr>
          <w:lang w:bidi="fa-IR"/>
        </w:rPr>
        <w:t>).</w:t>
      </w:r>
    </w:p>
    <w:p w14:paraId="44571658" w14:textId="77777777" w:rsidR="00C85CCB" w:rsidRDefault="00481F6D" w:rsidP="00C85CCB">
      <w:pPr>
        <w:pStyle w:val="BodyText"/>
        <w:rPr>
          <w:lang w:bidi="fa-IR"/>
        </w:rPr>
      </w:pPr>
      <w:r>
        <w:rPr>
          <w:lang w:bidi="fa-IR"/>
        </w:rPr>
        <w:t xml:space="preserve">CIE </w:t>
      </w:r>
      <w:r w:rsidR="00C85CCB">
        <w:rPr>
          <w:lang w:bidi="fa-IR"/>
        </w:rPr>
        <w:t>broadly share</w:t>
      </w:r>
      <w:r>
        <w:rPr>
          <w:lang w:bidi="fa-IR"/>
        </w:rPr>
        <w:t>s</w:t>
      </w:r>
      <w:r w:rsidR="00C85CCB">
        <w:rPr>
          <w:lang w:bidi="fa-IR"/>
        </w:rPr>
        <w:t xml:space="preserve"> </w:t>
      </w:r>
      <w:r w:rsidR="00303B89">
        <w:rPr>
          <w:lang w:bidi="fa-IR"/>
        </w:rPr>
        <w:t xml:space="preserve">this </w:t>
      </w:r>
      <w:r w:rsidR="00C85CCB">
        <w:rPr>
          <w:lang w:bidi="fa-IR"/>
        </w:rPr>
        <w:t>concern that Carnemolla and Bridge’s sample may not be representative of the impacts of a broader cohort. However, the impact of accessible housing on care needs is an under</w:t>
      </w:r>
      <w:r w:rsidR="00C85CCB">
        <w:rPr>
          <w:lang w:bidi="fa-IR"/>
        </w:rPr>
        <w:noBreakHyphen/>
        <w:t>researched topic</w:t>
      </w:r>
      <w:r w:rsidR="0037625A">
        <w:rPr>
          <w:lang w:bidi="fa-IR"/>
        </w:rPr>
        <w:t>.</w:t>
      </w:r>
      <w:r w:rsidR="00C85CCB">
        <w:rPr>
          <w:lang w:bidi="fa-IR"/>
        </w:rPr>
        <w:t xml:space="preserve"> </w:t>
      </w:r>
      <w:r>
        <w:rPr>
          <w:lang w:bidi="fa-IR"/>
        </w:rPr>
        <w:t>CIE has</w:t>
      </w:r>
      <w:r w:rsidR="00C85CCB">
        <w:rPr>
          <w:lang w:bidi="fa-IR"/>
        </w:rPr>
        <w:t xml:space="preserve"> not been able to identify any other studies that quantify these impacts and no stakeholders have provided any supporting quantitative evidence.</w:t>
      </w:r>
    </w:p>
    <w:p w14:paraId="5C010782" w14:textId="77777777" w:rsidR="00C85CCB" w:rsidRPr="005331B4" w:rsidRDefault="00C85CCB" w:rsidP="00C85CCB">
      <w:pPr>
        <w:pStyle w:val="BodyText"/>
        <w:rPr>
          <w:i/>
          <w:iCs/>
          <w:lang w:bidi="fa-IR"/>
        </w:rPr>
      </w:pPr>
      <w:r>
        <w:rPr>
          <w:lang w:bidi="fa-IR"/>
        </w:rPr>
        <w:t>It seems likely that the average estimates from Carnemolla and Bridge (2019) would under</w:t>
      </w:r>
      <w:r w:rsidR="008C13AF">
        <w:rPr>
          <w:lang w:bidi="fa-IR"/>
        </w:rPr>
        <w:t xml:space="preserve"> </w:t>
      </w:r>
      <w:r>
        <w:rPr>
          <w:lang w:bidi="fa-IR"/>
        </w:rPr>
        <w:t xml:space="preserve">estimate the impact of inaccessible housing on formal care needs in cases such as those outlined above. On the other hand, it is not clear that specific examples provided in submissions are any more representative of the average savings that would be achieved through accessible housing. For example, </w:t>
      </w:r>
      <w:r w:rsidR="00481F6D">
        <w:rPr>
          <w:lang w:bidi="fa-IR"/>
        </w:rPr>
        <w:t>CIE applies</w:t>
      </w:r>
      <w:r>
        <w:rPr>
          <w:lang w:bidi="fa-IR"/>
        </w:rPr>
        <w:t xml:space="preserve"> the estimated reduction in formal care needs to </w:t>
      </w:r>
      <w:r w:rsidRPr="00FC3E18">
        <w:rPr>
          <w:b/>
          <w:bCs/>
          <w:lang w:bidi="fa-IR"/>
        </w:rPr>
        <w:t>all</w:t>
      </w:r>
      <w:r>
        <w:rPr>
          <w:lang w:bidi="fa-IR"/>
        </w:rPr>
        <w:t xml:space="preserve"> people that receive assistance with showering/bathing from a formal care provider once per week or more (excluding those living in modified dwellings) — a cohort of around 36 700 people (see below). People in wheelchairs (where care needs </w:t>
      </w:r>
      <w:r w:rsidR="00BF463F">
        <w:rPr>
          <w:lang w:bidi="fa-IR"/>
        </w:rPr>
        <w:t xml:space="preserve">and costs </w:t>
      </w:r>
      <w:r>
        <w:rPr>
          <w:lang w:bidi="fa-IR"/>
        </w:rPr>
        <w:t>may be greater) make up around 19 per cent of this cohort.</w:t>
      </w:r>
    </w:p>
    <w:p w14:paraId="2E89E264" w14:textId="77777777" w:rsidR="00C85CCB" w:rsidRDefault="00C85CCB" w:rsidP="00C85CCB">
      <w:pPr>
        <w:pStyle w:val="BodyText"/>
        <w:rPr>
          <w:lang w:bidi="fa-IR"/>
        </w:rPr>
      </w:pPr>
      <w:r>
        <w:rPr>
          <w:lang w:bidi="fa-IR"/>
        </w:rPr>
        <w:t xml:space="preserve">Notwithstanding concerns over the representativeness of Carnemolla and Bridge’s sample, in </w:t>
      </w:r>
      <w:r w:rsidR="0058705E">
        <w:rPr>
          <w:lang w:bidi="fa-IR"/>
        </w:rPr>
        <w:t>CIE’s</w:t>
      </w:r>
      <w:r>
        <w:rPr>
          <w:lang w:bidi="fa-IR"/>
        </w:rPr>
        <w:t xml:space="preserve"> view applying an estimate from a quantitative study based on a sample of 157 people is a more robust approach </w:t>
      </w:r>
      <w:r w:rsidR="00A70272">
        <w:rPr>
          <w:lang w:bidi="fa-IR"/>
        </w:rPr>
        <w:t xml:space="preserve">than </w:t>
      </w:r>
      <w:r>
        <w:rPr>
          <w:lang w:bidi="fa-IR"/>
        </w:rPr>
        <w:t>applying the estimated savings from a single case study.</w:t>
      </w:r>
    </w:p>
    <w:p w14:paraId="7ABED9D6" w14:textId="77777777" w:rsidR="00C85CCB" w:rsidRDefault="00C85CCB" w:rsidP="00C85CCB">
      <w:pPr>
        <w:pStyle w:val="BodyText"/>
        <w:rPr>
          <w:lang w:bidi="fa-IR"/>
        </w:rPr>
      </w:pPr>
      <w:r>
        <w:rPr>
          <w:lang w:bidi="fa-IR"/>
        </w:rPr>
        <w:t>Under the NDIS Price Catalogue, the hourly rate for assistance with daily life varies depending on the type of assistance provided, location (non</w:t>
      </w:r>
      <w:r>
        <w:rPr>
          <w:lang w:bidi="fa-IR"/>
        </w:rPr>
        <w:noBreakHyphen/>
        <w:t xml:space="preserve">remote, remote, very remote) and when the service is provided (time of day, weekend/weekday/ public holiday). At $65 per hour </w:t>
      </w:r>
      <w:r w:rsidR="00995EE1">
        <w:rPr>
          <w:lang w:bidi="fa-IR"/>
        </w:rPr>
        <w:t>(</w:t>
      </w:r>
      <w:r>
        <w:rPr>
          <w:lang w:bidi="fa-IR"/>
        </w:rPr>
        <w:t>broadly representative of the factors of the various NDIS rates</w:t>
      </w:r>
      <w:r>
        <w:rPr>
          <w:rStyle w:val="FootnoteReference"/>
          <w:lang w:bidi="fa-IR"/>
        </w:rPr>
        <w:footnoteReference w:id="477"/>
      </w:r>
      <w:r w:rsidR="00995EE1">
        <w:rPr>
          <w:lang w:bidi="fa-IR"/>
        </w:rPr>
        <w:t>)</w:t>
      </w:r>
      <w:r>
        <w:rPr>
          <w:lang w:bidi="fa-IR"/>
        </w:rPr>
        <w:t xml:space="preserve"> the additional cost of formal care for those undertaking daily care activities, would be around $1</w:t>
      </w:r>
      <w:r w:rsidR="00D65984">
        <w:rPr>
          <w:lang w:bidi="fa-IR"/>
        </w:rPr>
        <w:t xml:space="preserve"> </w:t>
      </w:r>
      <w:r>
        <w:rPr>
          <w:lang w:bidi="fa-IR"/>
        </w:rPr>
        <w:t>014 per year for each person (based on accessible housing reducing formal care needs by 0.3 hours per week or 15.6 hours per year — see above</w:t>
      </w:r>
      <w:r w:rsidR="00C46D80">
        <w:rPr>
          <w:lang w:bidi="fa-IR"/>
        </w:rPr>
        <w:t>)</w:t>
      </w:r>
      <w:r>
        <w:rPr>
          <w:lang w:bidi="fa-IR"/>
        </w:rPr>
        <w:t>.</w:t>
      </w:r>
    </w:p>
    <w:p w14:paraId="06B7D9D6" w14:textId="77777777" w:rsidR="004A0662" w:rsidRPr="00F4477B" w:rsidRDefault="004A0662" w:rsidP="00F4477B">
      <w:pPr>
        <w:pStyle w:val="Heading3-Appendix"/>
      </w:pPr>
      <w:r w:rsidRPr="00F4477B">
        <w:t>Informal care</w:t>
      </w:r>
    </w:p>
    <w:p w14:paraId="562C9A38" w14:textId="75C0EB59" w:rsidR="00C85CCB" w:rsidRDefault="00C85CCB" w:rsidP="00C85CCB">
      <w:pPr>
        <w:pStyle w:val="BodyText"/>
        <w:rPr>
          <w:lang w:bidi="fa-IR"/>
        </w:rPr>
      </w:pPr>
      <w:r>
        <w:rPr>
          <w:lang w:bidi="fa-IR"/>
        </w:rPr>
        <w:t xml:space="preserve">Carnemolla and Bridge (2019) found that the amount of informal care received decreased by around </w:t>
      </w:r>
      <w:r w:rsidR="00FB60AA">
        <w:rPr>
          <w:lang w:bidi="fa-IR"/>
        </w:rPr>
        <w:t>six</w:t>
      </w:r>
      <w:r>
        <w:rPr>
          <w:lang w:bidi="fa-IR"/>
        </w:rPr>
        <w:t> hours per week on average or around 312 hours per year (table </w:t>
      </w:r>
      <w:r w:rsidR="004769FA">
        <w:rPr>
          <w:lang w:bidi="fa-IR"/>
        </w:rPr>
        <w:t>C.3</w:t>
      </w:r>
      <w:r>
        <w:rPr>
          <w:lang w:bidi="fa-IR"/>
        </w:rPr>
        <w:t>). The largest reduction related to assistance moving around the dwelling. Note that relatively few of the ‘access features’ aligned with the features that would be provided at certification under the NCC proposal</w:t>
      </w:r>
      <w:r w:rsidR="007400BB">
        <w:rPr>
          <w:lang w:bidi="fa-IR"/>
        </w:rPr>
        <w:t xml:space="preserve"> </w:t>
      </w:r>
      <w:r w:rsidR="007400BB" w:rsidRPr="007400BB">
        <w:rPr>
          <w:lang w:bidi="fa-IR"/>
        </w:rPr>
        <w:t xml:space="preserve">(see table 4.1 in chapter </w:t>
      </w:r>
      <w:r w:rsidR="00FB60AA">
        <w:rPr>
          <w:lang w:bidi="fa-IR"/>
        </w:rPr>
        <w:t>four</w:t>
      </w:r>
      <w:r w:rsidR="007400BB" w:rsidRPr="007400BB">
        <w:rPr>
          <w:lang w:bidi="fa-IR"/>
        </w:rPr>
        <w:t xml:space="preserve"> for details)</w:t>
      </w:r>
      <w:r>
        <w:rPr>
          <w:lang w:bidi="fa-IR"/>
        </w:rPr>
        <w:t>.</w:t>
      </w:r>
    </w:p>
    <w:p w14:paraId="08252805" w14:textId="77777777" w:rsidR="00C85CCB" w:rsidRDefault="00C85CCB" w:rsidP="00C85CCB">
      <w:pPr>
        <w:pStyle w:val="BodyText"/>
        <w:rPr>
          <w:lang w:bidi="fa-IR"/>
        </w:rPr>
      </w:pPr>
      <w:r>
        <w:rPr>
          <w:lang w:bidi="fa-IR"/>
        </w:rPr>
        <w:t>Valuing voluntary labour is inherently subjective as there is no observable market wage rate. Nevertheless, from a CBA perspective it is important to recognise that voluntary labour has a value, even though friends and relatives are willing to provide care for no payment.</w:t>
      </w:r>
    </w:p>
    <w:p w14:paraId="147CFAD8" w14:textId="77777777" w:rsidR="00C85CCB" w:rsidRDefault="00C85CCB" w:rsidP="00C85CCB">
      <w:pPr>
        <w:pStyle w:val="BodyText"/>
        <w:rPr>
          <w:lang w:bidi="fa-IR"/>
        </w:rPr>
      </w:pPr>
      <w:r>
        <w:rPr>
          <w:lang w:bidi="fa-IR"/>
        </w:rPr>
        <w:t xml:space="preserve">In the Consultation RIS, </w:t>
      </w:r>
      <w:r w:rsidR="00746E18">
        <w:rPr>
          <w:lang w:bidi="fa-IR"/>
        </w:rPr>
        <w:t>CIE</w:t>
      </w:r>
      <w:r>
        <w:rPr>
          <w:lang w:bidi="fa-IR"/>
        </w:rPr>
        <w:t xml:space="preserve"> valued informal care at the minimum wage. However, several stakeholders argued that a higher value should be placed on unpaid labour.</w:t>
      </w:r>
      <w:r>
        <w:rPr>
          <w:rStyle w:val="FootnoteReference"/>
          <w:lang w:bidi="fa-IR"/>
        </w:rPr>
        <w:footnoteReference w:id="478"/>
      </w:r>
    </w:p>
    <w:p w14:paraId="19AFFEB2" w14:textId="77777777" w:rsidR="00C85CCB" w:rsidRDefault="00C85CCB" w:rsidP="00C85CCB">
      <w:pPr>
        <w:pStyle w:val="BodyText"/>
        <w:rPr>
          <w:lang w:bidi="fa-IR"/>
        </w:rPr>
      </w:pPr>
      <w:r>
        <w:rPr>
          <w:lang w:bidi="fa-IR"/>
        </w:rPr>
        <w:t xml:space="preserve">Conceptually, </w:t>
      </w:r>
      <w:r w:rsidR="00746E18">
        <w:rPr>
          <w:lang w:bidi="fa-IR"/>
        </w:rPr>
        <w:t>the task is</w:t>
      </w:r>
      <w:r>
        <w:rPr>
          <w:lang w:bidi="fa-IR"/>
        </w:rPr>
        <w:t xml:space="preserve"> to measure the ‘opportunity cost’ of the additional time spent caring for a friend o</w:t>
      </w:r>
      <w:r w:rsidR="00287441">
        <w:rPr>
          <w:lang w:bidi="fa-IR"/>
        </w:rPr>
        <w:t>r</w:t>
      </w:r>
      <w:r>
        <w:rPr>
          <w:lang w:bidi="fa-IR"/>
        </w:rPr>
        <w:t xml:space="preserve"> relative with disability as a result of inaccessible housing. The ‘opportunity cost’ of labour reflects the value of the alternative use of the carer’s time. Alternative uses of a carer’s time could include: paid employment, other domestic tasks or leisure activities.</w:t>
      </w:r>
    </w:p>
    <w:p w14:paraId="0FCABE6B" w14:textId="77777777" w:rsidR="00C85CCB" w:rsidRDefault="00C85CCB" w:rsidP="00C85CCB">
      <w:pPr>
        <w:pStyle w:val="BodyText"/>
        <w:rPr>
          <w:lang w:bidi="fa-IR"/>
        </w:rPr>
      </w:pPr>
      <w:r>
        <w:rPr>
          <w:lang w:bidi="fa-IR"/>
        </w:rPr>
        <w:t>Some submissions argued that care responsibilities prevent some carers from participating in the labour market.</w:t>
      </w:r>
    </w:p>
    <w:p w14:paraId="6FF7DAD9" w14:textId="77777777" w:rsidR="00C85CCB" w:rsidRPr="00FC3E18" w:rsidRDefault="00C85CCB" w:rsidP="00C85CCB">
      <w:pPr>
        <w:pStyle w:val="ListBullet"/>
        <w:rPr>
          <w:lang w:bidi="fa-IR"/>
        </w:rPr>
      </w:pPr>
      <w:r w:rsidRPr="004B08E5">
        <w:rPr>
          <w:lang w:bidi="fa-IR"/>
        </w:rPr>
        <w:t xml:space="preserve">Building Designers </w:t>
      </w:r>
      <w:r w:rsidRPr="00FC3E18">
        <w:rPr>
          <w:lang w:bidi="fa-IR"/>
        </w:rPr>
        <w:t>Association of Australia argued that the impacts on informal carers resulting from their reduced opportunity to engage in paid work should be included in the analysis.</w:t>
      </w:r>
    </w:p>
    <w:p w14:paraId="129397B8" w14:textId="77777777" w:rsidR="00C85CCB" w:rsidRPr="004B08E5" w:rsidRDefault="00C85CCB" w:rsidP="00C85CCB">
      <w:pPr>
        <w:pStyle w:val="ListBullet"/>
        <w:rPr>
          <w:lang w:bidi="fa-IR"/>
        </w:rPr>
      </w:pPr>
      <w:r w:rsidRPr="00FC3E18">
        <w:rPr>
          <w:lang w:bidi="fa-IR"/>
        </w:rPr>
        <w:t>Carers WA argued that informal carers may wish to participate in the workforce but are limited by the care they need to provide to a family member who does not have access to suitable housing. The Carers WA submission also referred to a recent report by Carers Australia and Deloitte Access Economics on the value of informal care. This report notes that there are substantial differences in the employment outcomes for carers relative to non-car</w:t>
      </w:r>
      <w:r w:rsidR="0068659C">
        <w:rPr>
          <w:lang w:bidi="fa-IR"/>
        </w:rPr>
        <w:t>egiving</w:t>
      </w:r>
      <w:r w:rsidRPr="00FC3E18">
        <w:rPr>
          <w:lang w:bidi="fa-IR"/>
        </w:rPr>
        <w:t xml:space="preserve"> Australians.</w:t>
      </w:r>
    </w:p>
    <w:p w14:paraId="43301C13" w14:textId="77777777" w:rsidR="00C85CCB" w:rsidRDefault="00C85CCB" w:rsidP="00C85CCB">
      <w:pPr>
        <w:pStyle w:val="BodyText"/>
        <w:rPr>
          <w:lang w:bidi="fa-IR"/>
        </w:rPr>
      </w:pPr>
      <w:r>
        <w:rPr>
          <w:lang w:bidi="fa-IR"/>
        </w:rPr>
        <w:t xml:space="preserve">Where the alternative use of a carer’s time is paid employment, the opportunity cost of their time is the wages foregone. As argued in </w:t>
      </w:r>
      <w:r w:rsidR="0069468B">
        <w:rPr>
          <w:lang w:bidi="fa-IR"/>
        </w:rPr>
        <w:t>one</w:t>
      </w:r>
      <w:r>
        <w:rPr>
          <w:lang w:bidi="fa-IR"/>
        </w:rPr>
        <w:t xml:space="preserve"> submission, an average wage rate would be an appropriate indicator of the opportunity cost of labour in these circumstances. However, it is not clear that paid employment is the most likely alternative use of time for a significant proportion of carers. Research found that taking into account the individual characteristics of caregivers, the impact of caring for an elderly or disabled person on labour force outcomes is small to non</w:t>
      </w:r>
      <w:r>
        <w:rPr>
          <w:lang w:bidi="fa-IR"/>
        </w:rPr>
        <w:noBreakHyphen/>
        <w:t>existent.</w:t>
      </w:r>
      <w:r>
        <w:rPr>
          <w:rStyle w:val="FootnoteReference"/>
          <w:lang w:bidi="fa-IR"/>
        </w:rPr>
        <w:footnoteReference w:id="479"/>
      </w:r>
      <w:r>
        <w:rPr>
          <w:lang w:bidi="fa-IR"/>
        </w:rPr>
        <w:t xml:space="preserve"> This implies that paid employment is not necessarily the most likely alternative use of the additional time spent caring.</w:t>
      </w:r>
    </w:p>
    <w:p w14:paraId="27B1E184" w14:textId="77777777" w:rsidR="00C85CCB" w:rsidRDefault="00C85CCB" w:rsidP="00C85CCB">
      <w:pPr>
        <w:pStyle w:val="BodyText"/>
        <w:rPr>
          <w:lang w:bidi="fa-IR"/>
        </w:rPr>
      </w:pPr>
      <w:r>
        <w:rPr>
          <w:lang w:bidi="fa-IR"/>
        </w:rPr>
        <w:t>Another approach to valuing unpaid labour is the replacement cost approach. Under this approach, unpaid labour is valued based on the market value of paid labour performing similar tasks. Consistent with this approach, it is reasonable to value informal care, based on the wage rate of an aged care worker. This is currently around $22.85 per hour</w:t>
      </w:r>
      <w:r w:rsidR="00E1653F">
        <w:rPr>
          <w:lang w:bidi="fa-IR"/>
        </w:rPr>
        <w:t xml:space="preserve"> (Sydney)</w:t>
      </w:r>
      <w:r>
        <w:rPr>
          <w:lang w:bidi="fa-IR"/>
        </w:rPr>
        <w:t>.</w:t>
      </w:r>
      <w:r>
        <w:rPr>
          <w:rStyle w:val="FootnoteReference"/>
          <w:lang w:bidi="fa-IR"/>
        </w:rPr>
        <w:footnoteReference w:id="480"/>
      </w:r>
      <w:r>
        <w:rPr>
          <w:lang w:bidi="fa-IR"/>
        </w:rPr>
        <w:t xml:space="preserve"> Note that this is significantly lower than NDIS rates, as preferred by some stakeholders. However, the NDIS rates would include profit on labour costs, and administrative costs for a service provider which have been considered in the cost of formal care, but would be inappropriate where care is provided by family and friends.</w:t>
      </w:r>
    </w:p>
    <w:p w14:paraId="6E254BE8" w14:textId="47CADDCD" w:rsidR="00C85CCB" w:rsidRDefault="00C85CCB" w:rsidP="00C85CCB">
      <w:pPr>
        <w:pStyle w:val="BodyText"/>
        <w:rPr>
          <w:lang w:bidi="fa-IR"/>
        </w:rPr>
      </w:pPr>
      <w:r>
        <w:rPr>
          <w:lang w:bidi="fa-IR"/>
        </w:rPr>
        <w:t>Under these assumptions, the cost of additional informal care is estimated at around $7 129 per person per year across all of the below activities (</w:t>
      </w:r>
      <w:r w:rsidRPr="00C85CCB">
        <w:rPr>
          <w:lang w:bidi="fa-IR"/>
        </w:rPr>
        <w:t>table</w:t>
      </w:r>
      <w:r w:rsidR="00362332">
        <w:rPr>
          <w:lang w:bidi="fa-IR"/>
        </w:rPr>
        <w:t xml:space="preserve"> C.3</w:t>
      </w:r>
      <w:r>
        <w:rPr>
          <w:lang w:bidi="fa-IR"/>
        </w:rPr>
        <w:t>).</w:t>
      </w:r>
    </w:p>
    <w:p w14:paraId="27DE0403" w14:textId="3DEB7392" w:rsidR="000E4B3F" w:rsidRDefault="00B27E24" w:rsidP="000E4B3F">
      <w:pPr>
        <w:pStyle w:val="Caption"/>
      </w:pPr>
      <w:bookmarkStart w:id="707" w:name="_Toc57643683"/>
      <w:bookmarkStart w:id="708" w:name="_Toc70505633"/>
      <w:r>
        <w:t>C.3</w:t>
      </w:r>
      <w:r w:rsidR="000E4B3F" w:rsidRPr="00695C93">
        <w:tab/>
      </w:r>
      <w:r w:rsidR="00EF3A91">
        <w:t>Additional informal care needs due to inaccessible housing</w:t>
      </w:r>
      <w:bookmarkEnd w:id="707"/>
      <w:bookmarkEnd w:id="708"/>
    </w:p>
    <w:tbl>
      <w:tblPr>
        <w:tblW w:w="7936" w:type="dxa"/>
        <w:tblLayout w:type="fixed"/>
        <w:tblLook w:val="0000" w:firstRow="0" w:lastRow="0" w:firstColumn="0" w:lastColumn="0" w:noHBand="0" w:noVBand="0"/>
        <w:tblCaption w:val="Table C.3: Additional informal care needs due to inaccessible housing"/>
        <w:tblDescription w:val="Table C.3 shows the significant reduction of additional informal care needs after home modification. The total reduction is given as 6 hours per week, divided between moving about the house, bathing and showering, and toileting. "/>
      </w:tblPr>
      <w:tblGrid>
        <w:gridCol w:w="2016"/>
        <w:gridCol w:w="1184"/>
        <w:gridCol w:w="1184"/>
        <w:gridCol w:w="1184"/>
        <w:gridCol w:w="1184"/>
        <w:gridCol w:w="1184"/>
      </w:tblGrid>
      <w:tr w:rsidR="00696C70" w14:paraId="3FD10C5A" w14:textId="77777777" w:rsidTr="00D13F4A">
        <w:trPr>
          <w:trHeight w:val="490"/>
        </w:trPr>
        <w:tc>
          <w:tcPr>
            <w:tcW w:w="2016" w:type="dxa"/>
            <w:tcBorders>
              <w:bottom w:val="single" w:sz="8" w:space="0" w:color="FFFFFF" w:themeColor="background1"/>
            </w:tcBorders>
            <w:shd w:val="clear" w:color="auto" w:fill="6F6652"/>
            <w:tcMar>
              <w:left w:w="57" w:type="dxa"/>
              <w:right w:w="57" w:type="dxa"/>
            </w:tcMar>
          </w:tcPr>
          <w:p w14:paraId="0B4C9CF8" w14:textId="77777777" w:rsidR="00696C70" w:rsidRDefault="00696C70" w:rsidP="000E4B3F">
            <w:pPr>
              <w:pStyle w:val="TableDataColumnHeading"/>
              <w:jc w:val="left"/>
            </w:pPr>
            <w:r>
              <w:t>Activity</w:t>
            </w:r>
          </w:p>
        </w:tc>
        <w:tc>
          <w:tcPr>
            <w:tcW w:w="1184" w:type="dxa"/>
            <w:tcBorders>
              <w:bottom w:val="single" w:sz="8" w:space="0" w:color="FFFFFF" w:themeColor="background1"/>
            </w:tcBorders>
            <w:shd w:val="clear" w:color="auto" w:fill="6F6652"/>
            <w:tcMar>
              <w:left w:w="57" w:type="dxa"/>
              <w:right w:w="57" w:type="dxa"/>
            </w:tcMar>
          </w:tcPr>
          <w:p w14:paraId="152E7A36" w14:textId="77777777" w:rsidR="00696C70" w:rsidRDefault="00696C70" w:rsidP="000E4B3F">
            <w:pPr>
              <w:pStyle w:val="TableDataColumnHeading"/>
            </w:pPr>
            <w:r>
              <w:t>Before modification (Hours per week)</w:t>
            </w:r>
          </w:p>
        </w:tc>
        <w:tc>
          <w:tcPr>
            <w:tcW w:w="1184" w:type="dxa"/>
            <w:tcBorders>
              <w:bottom w:val="single" w:sz="8" w:space="0" w:color="FFFFFF" w:themeColor="background1"/>
            </w:tcBorders>
            <w:shd w:val="clear" w:color="auto" w:fill="6F6652"/>
            <w:tcMar>
              <w:left w:w="57" w:type="dxa"/>
              <w:right w:w="57" w:type="dxa"/>
            </w:tcMar>
          </w:tcPr>
          <w:p w14:paraId="33133239" w14:textId="77777777" w:rsidR="00696C70" w:rsidRDefault="00696C70" w:rsidP="000E4B3F">
            <w:pPr>
              <w:pStyle w:val="TableDataColumnHeading"/>
            </w:pPr>
            <w:r>
              <w:t>After modification (Hours per week)</w:t>
            </w:r>
          </w:p>
        </w:tc>
        <w:tc>
          <w:tcPr>
            <w:tcW w:w="1184" w:type="dxa"/>
            <w:tcBorders>
              <w:bottom w:val="single" w:sz="8" w:space="0" w:color="FFFFFF" w:themeColor="background1"/>
            </w:tcBorders>
            <w:shd w:val="clear" w:color="auto" w:fill="6F6652"/>
            <w:tcMar>
              <w:left w:w="57" w:type="dxa"/>
              <w:right w:w="57" w:type="dxa"/>
            </w:tcMar>
          </w:tcPr>
          <w:p w14:paraId="027A8EED" w14:textId="77777777" w:rsidR="00696C70" w:rsidRDefault="00696C70" w:rsidP="000E4B3F">
            <w:pPr>
              <w:pStyle w:val="TableDataColumnHeading"/>
            </w:pPr>
            <w:r>
              <w:t>Change (Hours per week)</w:t>
            </w:r>
          </w:p>
        </w:tc>
        <w:tc>
          <w:tcPr>
            <w:tcW w:w="1184" w:type="dxa"/>
            <w:tcBorders>
              <w:bottom w:val="single" w:sz="8" w:space="0" w:color="FFFFFF" w:themeColor="background1"/>
            </w:tcBorders>
            <w:shd w:val="clear" w:color="auto" w:fill="6F6652"/>
            <w:tcMar>
              <w:left w:w="57" w:type="dxa"/>
              <w:right w:w="57" w:type="dxa"/>
            </w:tcMar>
          </w:tcPr>
          <w:p w14:paraId="32C9C1E3" w14:textId="77777777" w:rsidR="00696C70" w:rsidRDefault="00696C70" w:rsidP="000E4B3F">
            <w:pPr>
              <w:pStyle w:val="TableDataColumnHeading"/>
            </w:pPr>
            <w:r>
              <w:t>Additional care per year (Hours per year)</w:t>
            </w:r>
          </w:p>
        </w:tc>
        <w:tc>
          <w:tcPr>
            <w:tcW w:w="1184" w:type="dxa"/>
            <w:tcBorders>
              <w:bottom w:val="single" w:sz="8" w:space="0" w:color="FFFFFF" w:themeColor="background1"/>
            </w:tcBorders>
            <w:shd w:val="clear" w:color="auto" w:fill="6F6652"/>
            <w:tcMar>
              <w:left w:w="57" w:type="dxa"/>
              <w:right w:w="57" w:type="dxa"/>
            </w:tcMar>
          </w:tcPr>
          <w:p w14:paraId="011FE641" w14:textId="77777777" w:rsidR="00696C70" w:rsidRDefault="00696C70" w:rsidP="000E4B3F">
            <w:pPr>
              <w:pStyle w:val="TableDataColumnHeading"/>
            </w:pPr>
            <w:r>
              <w:t>Cost of addit</w:t>
            </w:r>
            <w:r w:rsidR="00247E6E">
              <w:t>i</w:t>
            </w:r>
            <w:r>
              <w:t>onal care ($ per year)</w:t>
            </w:r>
          </w:p>
        </w:tc>
      </w:tr>
      <w:tr w:rsidR="000E4B3F" w14:paraId="68882941" w14:textId="77777777" w:rsidTr="000E4B3F">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D3B023" w14:textId="77777777" w:rsidR="000E4B3F" w:rsidRDefault="000E4B3F" w:rsidP="000E4B3F">
            <w:pPr>
              <w:pStyle w:val="TableUnit"/>
              <w:jc w:val="left"/>
            </w:pPr>
            <w:r>
              <w:t>Moving about the house</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19130B" w14:textId="77777777" w:rsidR="000E4B3F" w:rsidRDefault="000E4B3F" w:rsidP="000E4B3F">
            <w:pPr>
              <w:pStyle w:val="TableUnit"/>
            </w:pPr>
            <w:r>
              <w:t xml:space="preserve"> 8.5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FC6F26" w14:textId="77777777" w:rsidR="000E4B3F" w:rsidRDefault="000E4B3F" w:rsidP="000E4B3F">
            <w:pPr>
              <w:pStyle w:val="TableUnit"/>
            </w:pPr>
            <w:r>
              <w:t xml:space="preserve"> 5.0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41030F" w14:textId="77777777" w:rsidR="000E4B3F" w:rsidRDefault="000E4B3F" w:rsidP="000E4B3F">
            <w:pPr>
              <w:pStyle w:val="TableUnit"/>
            </w:pPr>
            <w:r>
              <w:t>- 3.5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1F32D6" w14:textId="77777777" w:rsidR="000E4B3F" w:rsidRDefault="000E4B3F" w:rsidP="000E4B3F">
            <w:pPr>
              <w:pStyle w:val="TableUnit"/>
            </w:pPr>
            <w:r>
              <w:t xml:space="preserve"> 182.0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EE1429" w14:textId="77777777" w:rsidR="000E4B3F" w:rsidRDefault="000E4B3F" w:rsidP="000E4B3F">
            <w:pPr>
              <w:pStyle w:val="TableUnit"/>
            </w:pPr>
            <w:r>
              <w:t>4 159</w:t>
            </w:r>
          </w:p>
        </w:tc>
      </w:tr>
      <w:tr w:rsidR="000E4B3F" w14:paraId="0154FD69" w14:textId="77777777" w:rsidTr="000E4B3F">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A3A3F0" w14:textId="77777777" w:rsidR="000E4B3F" w:rsidRDefault="000E4B3F" w:rsidP="000E4B3F">
            <w:pPr>
              <w:pStyle w:val="TableDataEntries"/>
              <w:jc w:val="left"/>
            </w:pPr>
            <w:r>
              <w:t>Bathing and showering</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D51BA9" w14:textId="77777777" w:rsidR="000E4B3F" w:rsidRDefault="000E4B3F" w:rsidP="000E4B3F">
            <w:pPr>
              <w:pStyle w:val="TableDataEntries"/>
            </w:pPr>
            <w:r>
              <w:t xml:space="preserve"> 2.7</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2E455" w14:textId="77777777" w:rsidR="000E4B3F" w:rsidRDefault="000E4B3F" w:rsidP="000E4B3F">
            <w:pPr>
              <w:pStyle w:val="TableDataEntries"/>
            </w:pPr>
            <w:r>
              <w:t xml:space="preserve"> 1.0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4E64BA" w14:textId="77777777" w:rsidR="000E4B3F" w:rsidRDefault="000E4B3F" w:rsidP="000E4B3F">
            <w:pPr>
              <w:pStyle w:val="TableDataEntries"/>
            </w:pPr>
            <w:r>
              <w:t>- 1.7</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B07DE" w14:textId="77777777" w:rsidR="000E4B3F" w:rsidRDefault="000E4B3F" w:rsidP="000E4B3F">
            <w:pPr>
              <w:pStyle w:val="TableDataEntries"/>
            </w:pPr>
            <w:r>
              <w:t xml:space="preserve"> 88.4</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99064" w14:textId="77777777" w:rsidR="000E4B3F" w:rsidRDefault="000E4B3F" w:rsidP="000E4B3F">
            <w:pPr>
              <w:pStyle w:val="TableDataEntries"/>
            </w:pPr>
            <w:r>
              <w:t>2 020</w:t>
            </w:r>
          </w:p>
        </w:tc>
      </w:tr>
      <w:tr w:rsidR="00696C70" w14:paraId="6BAF18CD" w14:textId="77777777" w:rsidTr="00D13F4A">
        <w:trPr>
          <w:trHeight w:val="245"/>
        </w:trPr>
        <w:tc>
          <w:tcPr>
            <w:tcW w:w="20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8A57A6" w14:textId="77777777" w:rsidR="00696C70" w:rsidRDefault="00696C70" w:rsidP="000E4B3F">
            <w:pPr>
              <w:pStyle w:val="TableDataEntries"/>
              <w:jc w:val="left"/>
            </w:pPr>
            <w:r>
              <w:t>Toileting</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513F1E" w14:textId="77777777" w:rsidR="00696C70" w:rsidRDefault="00696C70" w:rsidP="000E4B3F">
            <w:pPr>
              <w:pStyle w:val="TableDataEntries"/>
            </w:pPr>
            <w:r>
              <w:t xml:space="preserve"> 1.7</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EF2FA3" w14:textId="77777777" w:rsidR="00696C70" w:rsidRDefault="00696C70" w:rsidP="000E4B3F">
            <w:pPr>
              <w:pStyle w:val="TableDataEntries"/>
            </w:pPr>
            <w:r>
              <w:t xml:space="preserve"> 0.9</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03582E" w14:textId="77777777" w:rsidR="00696C70" w:rsidRDefault="00696C70" w:rsidP="000E4B3F">
            <w:pPr>
              <w:pStyle w:val="TableDataEntries"/>
            </w:pPr>
            <w:r>
              <w:t>- 0.8</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5ABFFE" w14:textId="77777777" w:rsidR="00696C70" w:rsidRDefault="00696C70" w:rsidP="000E4B3F">
            <w:pPr>
              <w:pStyle w:val="TableDataEntries"/>
            </w:pPr>
            <w:r>
              <w:t xml:space="preserve"> 41.6</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84409A" w14:textId="77777777" w:rsidR="00696C70" w:rsidRDefault="00696C70" w:rsidP="000E4B3F">
            <w:pPr>
              <w:pStyle w:val="TableDataEntries"/>
            </w:pPr>
            <w:r>
              <w:t xml:space="preserve"> 951</w:t>
            </w:r>
          </w:p>
        </w:tc>
      </w:tr>
      <w:tr w:rsidR="000E4B3F" w:rsidRPr="000E4B3F" w14:paraId="4B97593D" w14:textId="77777777" w:rsidTr="000E4B3F">
        <w:trPr>
          <w:trHeight w:val="245"/>
        </w:trPr>
        <w:tc>
          <w:tcPr>
            <w:tcW w:w="201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7576DE7" w14:textId="77777777" w:rsidR="000E4B3F" w:rsidRPr="000E4B3F" w:rsidRDefault="000E4B3F" w:rsidP="000E4B3F">
            <w:pPr>
              <w:pStyle w:val="TableDataEntries"/>
              <w:jc w:val="left"/>
              <w:rPr>
                <w:rFonts w:ascii="Franklin Gothic Demi" w:hAnsi="Franklin Gothic Demi"/>
              </w:rPr>
            </w:pPr>
            <w:r w:rsidRPr="000E4B3F">
              <w:rPr>
                <w:rFonts w:ascii="Franklin Gothic Demi" w:hAnsi="Franklin Gothic Demi"/>
              </w:rPr>
              <w:t>Total</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0201375" w14:textId="77777777" w:rsidR="000E4B3F" w:rsidRPr="000E4B3F" w:rsidRDefault="000E4B3F" w:rsidP="000E4B3F">
            <w:pPr>
              <w:pStyle w:val="TableDataEntries"/>
              <w:rPr>
                <w:rFonts w:ascii="Franklin Gothic Demi" w:hAnsi="Franklin Gothic Demi"/>
              </w:rPr>
            </w:pPr>
            <w:r w:rsidRPr="000E4B3F">
              <w:rPr>
                <w:rFonts w:ascii="Franklin Gothic Demi" w:hAnsi="Franklin Gothic Demi"/>
              </w:rPr>
              <w:t xml:space="preserve"> 12.9</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9972F7E" w14:textId="77777777" w:rsidR="000E4B3F" w:rsidRPr="000E4B3F" w:rsidRDefault="000E4B3F" w:rsidP="000E4B3F">
            <w:pPr>
              <w:pStyle w:val="TableDataEntries"/>
              <w:rPr>
                <w:rFonts w:ascii="Franklin Gothic Demi" w:hAnsi="Franklin Gothic Demi"/>
              </w:rPr>
            </w:pPr>
            <w:r w:rsidRPr="000E4B3F">
              <w:rPr>
                <w:rFonts w:ascii="Franklin Gothic Demi" w:hAnsi="Franklin Gothic Demi"/>
              </w:rPr>
              <w:t xml:space="preserve"> 6.9</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805D343" w14:textId="77777777" w:rsidR="000E4B3F" w:rsidRPr="000E4B3F" w:rsidRDefault="000E4B3F" w:rsidP="000E4B3F">
            <w:pPr>
              <w:pStyle w:val="TableDataEntries"/>
              <w:rPr>
                <w:rFonts w:ascii="Franklin Gothic Demi" w:hAnsi="Franklin Gothic Demi"/>
              </w:rPr>
            </w:pPr>
            <w:r w:rsidRPr="000E4B3F">
              <w:rPr>
                <w:rFonts w:ascii="Franklin Gothic Demi" w:hAnsi="Franklin Gothic Demi"/>
              </w:rPr>
              <w:t>- 6.0</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28666B1" w14:textId="77777777" w:rsidR="000E4B3F" w:rsidRPr="000E4B3F" w:rsidRDefault="000E4B3F" w:rsidP="000E4B3F">
            <w:pPr>
              <w:pStyle w:val="TableDataEntries"/>
              <w:rPr>
                <w:rFonts w:ascii="Franklin Gothic Demi" w:hAnsi="Franklin Gothic Demi"/>
              </w:rPr>
            </w:pPr>
            <w:r w:rsidRPr="000E4B3F">
              <w:rPr>
                <w:rFonts w:ascii="Franklin Gothic Demi" w:hAnsi="Franklin Gothic Demi"/>
              </w:rPr>
              <w:t xml:space="preserve"> 312.0</w:t>
            </w:r>
          </w:p>
        </w:tc>
        <w:tc>
          <w:tcPr>
            <w:tcW w:w="118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91E545D" w14:textId="77777777" w:rsidR="000E4B3F" w:rsidRPr="000E4B3F" w:rsidRDefault="000E4B3F" w:rsidP="000E4B3F">
            <w:pPr>
              <w:pStyle w:val="TableDataEntries"/>
              <w:rPr>
                <w:rFonts w:ascii="Franklin Gothic Demi" w:hAnsi="Franklin Gothic Demi"/>
              </w:rPr>
            </w:pPr>
            <w:r w:rsidRPr="000E4B3F">
              <w:rPr>
                <w:rFonts w:ascii="Franklin Gothic Demi" w:hAnsi="Franklin Gothic Demi"/>
              </w:rPr>
              <w:t>7 129</w:t>
            </w:r>
          </w:p>
        </w:tc>
      </w:tr>
    </w:tbl>
    <w:p w14:paraId="084750C1" w14:textId="77777777" w:rsidR="00212A08" w:rsidRPr="00E4232C" w:rsidRDefault="00212A08" w:rsidP="00212A08">
      <w:pPr>
        <w:pStyle w:val="Note"/>
      </w:pPr>
      <w:r w:rsidRPr="00E4232C">
        <w:rPr>
          <w:rStyle w:val="NoteLabel"/>
        </w:rPr>
        <w:t>a</w:t>
      </w:r>
      <w:r>
        <w:t xml:space="preserve"> Formal care is valued at $22.85 per hour, based on the average wage of an aged care worker.</w:t>
      </w:r>
    </w:p>
    <w:p w14:paraId="32F1BC8E" w14:textId="77777777" w:rsidR="00212A08" w:rsidRDefault="00212A08" w:rsidP="00212A08">
      <w:pPr>
        <w:pStyle w:val="Source"/>
        <w:rPr>
          <w:lang w:bidi="fa-IR"/>
        </w:rPr>
      </w:pPr>
      <w:r w:rsidRPr="00280175">
        <w:rPr>
          <w:iCs/>
          <w:lang w:bidi="fa-IR"/>
        </w:rPr>
        <w:t>Source: CIE estimates</w:t>
      </w:r>
      <w:r>
        <w:rPr>
          <w:lang w:bidi="fa-IR"/>
        </w:rPr>
        <w:t xml:space="preserve"> based on: Carnemolla and Bridge (2019) and Carnemolla (2015); </w:t>
      </w:r>
      <w:r>
        <w:t xml:space="preserve">Payscale website, </w:t>
      </w:r>
      <w:hyperlink r:id="rId85" w:tooltip="More information can be found at the website via this link" w:history="1">
        <w:r w:rsidRPr="00F0171B">
          <w:rPr>
            <w:rStyle w:val="Hyperlink"/>
          </w:rPr>
          <w:t>https://www.payscale.com/research/AU/Job=Aged_Care_Worker/Hourly_Rate/999a3db7/Sydney</w:t>
        </w:r>
      </w:hyperlink>
      <w:r>
        <w:t>, accessed 29 October 2020.</w:t>
      </w:r>
    </w:p>
    <w:p w14:paraId="7EDB4F27" w14:textId="77777777" w:rsidR="006E73B2" w:rsidRPr="004B79EC" w:rsidRDefault="006E73B2" w:rsidP="004B79EC">
      <w:pPr>
        <w:pStyle w:val="Heading2-Appendix"/>
      </w:pPr>
      <w:r w:rsidRPr="004B79EC">
        <w:t>How many people require additional care due to inaccessible housing?</w:t>
      </w:r>
    </w:p>
    <w:p w14:paraId="3E787485" w14:textId="77777777" w:rsidR="000D4962" w:rsidRDefault="000D4962" w:rsidP="000D4962">
      <w:pPr>
        <w:pStyle w:val="BodyText"/>
        <w:rPr>
          <w:lang w:bidi="fa-IR"/>
        </w:rPr>
      </w:pPr>
      <w:r>
        <w:rPr>
          <w:lang w:bidi="fa-IR"/>
        </w:rPr>
        <w:t>The accessibility features covered by the proposed changes to the NCC are most likely to benefit people that require assistance (always or sometimes):</w:t>
      </w:r>
    </w:p>
    <w:p w14:paraId="2E1AD4C7" w14:textId="77777777" w:rsidR="000D4962" w:rsidRDefault="000D4962" w:rsidP="000D4962">
      <w:pPr>
        <w:pStyle w:val="ListBullet"/>
        <w:rPr>
          <w:lang w:bidi="fa-IR"/>
        </w:rPr>
      </w:pPr>
      <w:r>
        <w:rPr>
          <w:lang w:bidi="fa-IR"/>
        </w:rPr>
        <w:t>moving around the house</w:t>
      </w:r>
    </w:p>
    <w:p w14:paraId="5661B48D" w14:textId="77777777" w:rsidR="000D4962" w:rsidRDefault="000D4962" w:rsidP="000D4962">
      <w:pPr>
        <w:pStyle w:val="ListBullet"/>
        <w:rPr>
          <w:lang w:bidi="fa-IR"/>
        </w:rPr>
      </w:pPr>
      <w:r>
        <w:rPr>
          <w:lang w:bidi="fa-IR"/>
        </w:rPr>
        <w:t>showering and bathing</w:t>
      </w:r>
    </w:p>
    <w:p w14:paraId="7D587264" w14:textId="77777777" w:rsidR="000D4962" w:rsidRDefault="000D4962" w:rsidP="000D4962">
      <w:pPr>
        <w:pStyle w:val="ListBullet"/>
        <w:rPr>
          <w:lang w:bidi="fa-IR"/>
        </w:rPr>
      </w:pPr>
      <w:r>
        <w:rPr>
          <w:lang w:bidi="fa-IR"/>
        </w:rPr>
        <w:t>toileting.</w:t>
      </w:r>
    </w:p>
    <w:p w14:paraId="4529591E" w14:textId="77777777" w:rsidR="000D4962" w:rsidRDefault="000D4962" w:rsidP="000D4962">
      <w:pPr>
        <w:pStyle w:val="ListBullet"/>
        <w:numPr>
          <w:ilvl w:val="0"/>
          <w:numId w:val="0"/>
        </w:numPr>
        <w:rPr>
          <w:lang w:bidi="fa-IR"/>
        </w:rPr>
      </w:pPr>
      <w:r>
        <w:rPr>
          <w:lang w:bidi="fa-IR"/>
        </w:rPr>
        <w:t xml:space="preserve">As the SDAC survey does not explicitly identify whether dwellings have relevant accessibility features, </w:t>
      </w:r>
      <w:r w:rsidR="00746E18">
        <w:rPr>
          <w:lang w:bidi="fa-IR"/>
        </w:rPr>
        <w:t xml:space="preserve">CIE </w:t>
      </w:r>
      <w:r>
        <w:rPr>
          <w:lang w:bidi="fa-IR"/>
        </w:rPr>
        <w:t xml:space="preserve">infer the relevant population based on their response to various survey questions. </w:t>
      </w:r>
      <w:r w:rsidR="00746E18">
        <w:rPr>
          <w:lang w:bidi="fa-IR"/>
        </w:rPr>
        <w:t>CIE</w:t>
      </w:r>
      <w:r>
        <w:rPr>
          <w:lang w:bidi="fa-IR"/>
        </w:rPr>
        <w:t xml:space="preserve"> also make</w:t>
      </w:r>
      <w:r w:rsidR="00746E18">
        <w:rPr>
          <w:lang w:bidi="fa-IR"/>
        </w:rPr>
        <w:t>s</w:t>
      </w:r>
      <w:r>
        <w:rPr>
          <w:lang w:bidi="fa-IR"/>
        </w:rPr>
        <w:t xml:space="preserve"> the following exclusions in </w:t>
      </w:r>
      <w:r w:rsidR="00746E18">
        <w:rPr>
          <w:lang w:bidi="fa-IR"/>
        </w:rPr>
        <w:t>its</w:t>
      </w:r>
      <w:r>
        <w:rPr>
          <w:lang w:bidi="fa-IR"/>
        </w:rPr>
        <w:t xml:space="preserve"> estimate of people that may require additional care as a result of inaccessible housing.</w:t>
      </w:r>
    </w:p>
    <w:p w14:paraId="5E4CB83A" w14:textId="77777777" w:rsidR="000D4962" w:rsidRDefault="000D4962" w:rsidP="000D4962">
      <w:pPr>
        <w:pStyle w:val="ListBullet"/>
        <w:rPr>
          <w:lang w:bidi="fa-IR"/>
        </w:rPr>
      </w:pPr>
      <w:r>
        <w:rPr>
          <w:lang w:bidi="fa-IR"/>
        </w:rPr>
        <w:t>Those living in housing that has already been modified due to disability or age</w:t>
      </w:r>
      <w:r w:rsidR="00683706">
        <w:rPr>
          <w:lang w:bidi="fa-IR"/>
        </w:rPr>
        <w:t xml:space="preserve">. This </w:t>
      </w:r>
      <w:r>
        <w:rPr>
          <w:lang w:bidi="fa-IR"/>
        </w:rPr>
        <w:t>implicitly assumes that modified housing is already accessible. A</w:t>
      </w:r>
      <w:r w:rsidR="00F87F28">
        <w:rPr>
          <w:lang w:bidi="fa-IR"/>
        </w:rPr>
        <w:t>lthough</w:t>
      </w:r>
      <w:r>
        <w:rPr>
          <w:lang w:bidi="fa-IR"/>
        </w:rPr>
        <w:t xml:space="preserve"> some submissions </w:t>
      </w:r>
      <w:r w:rsidR="00F87F28">
        <w:rPr>
          <w:lang w:bidi="fa-IR"/>
        </w:rPr>
        <w:t>suggest</w:t>
      </w:r>
      <w:r>
        <w:rPr>
          <w:lang w:bidi="fa-IR"/>
        </w:rPr>
        <w:t>ed that home modifications may not provide all of the features covered by the NCC proposal</w:t>
      </w:r>
      <w:r w:rsidR="00CC65F4">
        <w:rPr>
          <w:lang w:bidi="fa-IR"/>
        </w:rPr>
        <w:t>,</w:t>
      </w:r>
      <w:r>
        <w:rPr>
          <w:lang w:bidi="fa-IR"/>
        </w:rPr>
        <w:t xml:space="preserve"> home modifications are more likely to be tailored to the specific needs of the individual, rather than the generic set of features provided under the NCC proposal.</w:t>
      </w:r>
    </w:p>
    <w:p w14:paraId="40446B3A" w14:textId="77777777" w:rsidR="000D4962" w:rsidRPr="00C8624F" w:rsidRDefault="000D4962" w:rsidP="000D4962">
      <w:pPr>
        <w:pStyle w:val="ListBullet"/>
        <w:rPr>
          <w:lang w:bidi="fa-IR"/>
        </w:rPr>
      </w:pPr>
      <w:r>
        <w:rPr>
          <w:lang w:bidi="fa-IR"/>
        </w:rPr>
        <w:t>People who receive the relevant type of care less than once per week — for people receiving infrequent care, it is less likely that accessible housing would significantly reduce the amount of care received.</w:t>
      </w:r>
    </w:p>
    <w:p w14:paraId="1BD267F7" w14:textId="77777777" w:rsidR="000D4962" w:rsidRDefault="000D4962" w:rsidP="000D4962">
      <w:pPr>
        <w:pStyle w:val="BodyText"/>
        <w:rPr>
          <w:lang w:bidi="fa-IR"/>
        </w:rPr>
      </w:pPr>
      <w:r>
        <w:rPr>
          <w:lang w:bidi="fa-IR"/>
        </w:rPr>
        <w:t>Furthermore, not all assistance with mobility tasks occur</w:t>
      </w:r>
      <w:r w:rsidR="00683706">
        <w:rPr>
          <w:lang w:bidi="fa-IR"/>
        </w:rPr>
        <w:t>s</w:t>
      </w:r>
      <w:r>
        <w:rPr>
          <w:lang w:bidi="fa-IR"/>
        </w:rPr>
        <w:t xml:space="preserve"> in the home. For example, some people require assistance with mobility tasks away from the home. </w:t>
      </w:r>
      <w:r w:rsidR="00746E18">
        <w:rPr>
          <w:lang w:bidi="fa-IR"/>
        </w:rPr>
        <w:t xml:space="preserve">It is </w:t>
      </w:r>
      <w:r>
        <w:rPr>
          <w:lang w:bidi="fa-IR"/>
        </w:rPr>
        <w:t>therefore</w:t>
      </w:r>
      <w:r w:rsidR="00F87F28">
        <w:rPr>
          <w:lang w:bidi="fa-IR"/>
        </w:rPr>
        <w:t xml:space="preserve"> appropriate</w:t>
      </w:r>
      <w:r>
        <w:rPr>
          <w:lang w:bidi="fa-IR"/>
        </w:rPr>
        <w:t xml:space="preserve"> </w:t>
      </w:r>
      <w:r w:rsidR="00746E18">
        <w:rPr>
          <w:lang w:bidi="fa-IR"/>
        </w:rPr>
        <w:t>to</w:t>
      </w:r>
      <w:r>
        <w:rPr>
          <w:lang w:bidi="fa-IR"/>
        </w:rPr>
        <w:t xml:space="preserve"> include only the proportion that indicated they need assistance moving around the place of residence (either always or sometimes). A significant number of people who either: ‘do not need assistance moving around the place of residence, but have difficulty’ or ‘has no difficulty moving around the place of residence’ also receive assistance with mobility tasks. However, the assistance received mostly relates to mobility away from home. It is therefore less likely that an accessible home would significantly reduce the amount of assistance these people receive.</w:t>
      </w:r>
    </w:p>
    <w:p w14:paraId="71EB24AD" w14:textId="11751463" w:rsidR="00212A08" w:rsidRDefault="00D76650" w:rsidP="006E73B2">
      <w:pPr>
        <w:pStyle w:val="BodyText"/>
        <w:rPr>
          <w:lang w:bidi="fa-IR"/>
        </w:rPr>
      </w:pPr>
      <w:r>
        <w:rPr>
          <w:lang w:bidi="fa-IR"/>
        </w:rPr>
        <w:t>Table </w:t>
      </w:r>
      <w:r w:rsidR="00362332">
        <w:rPr>
          <w:lang w:bidi="fa-IR"/>
        </w:rPr>
        <w:t>C.4</w:t>
      </w:r>
      <w:r>
        <w:rPr>
          <w:lang w:bidi="fa-IR"/>
        </w:rPr>
        <w:t xml:space="preserve"> summarises the criteria used to estimate the number of people that co</w:t>
      </w:r>
      <w:r w:rsidR="00C871C2">
        <w:rPr>
          <w:lang w:bidi="fa-IR"/>
        </w:rPr>
        <w:t xml:space="preserve">uld be receiving additional </w:t>
      </w:r>
      <w:bookmarkStart w:id="709" w:name="_Toc44598577"/>
      <w:bookmarkStart w:id="710" w:name="_Toc45654208"/>
      <w:r w:rsidR="00C871C2">
        <w:rPr>
          <w:lang w:bidi="fa-IR"/>
        </w:rPr>
        <w:t>care due to inaccessible housing</w:t>
      </w:r>
      <w:bookmarkEnd w:id="709"/>
      <w:bookmarkEnd w:id="710"/>
      <w:r w:rsidR="00C871C2">
        <w:rPr>
          <w:lang w:bidi="fa-IR"/>
        </w:rPr>
        <w:t>.</w:t>
      </w:r>
    </w:p>
    <w:p w14:paraId="64EAF8A8" w14:textId="1A303310" w:rsidR="00B21EBE" w:rsidRDefault="00B27E24" w:rsidP="00B21EBE">
      <w:pPr>
        <w:pStyle w:val="Caption"/>
      </w:pPr>
      <w:bookmarkStart w:id="711" w:name="_Toc57643684"/>
      <w:bookmarkStart w:id="712" w:name="_Toc70505634"/>
      <w:r>
        <w:t>C.4</w:t>
      </w:r>
      <w:r w:rsidR="00B21EBE" w:rsidRPr="00695C93">
        <w:tab/>
      </w:r>
      <w:r w:rsidR="00B21EBE">
        <w:t>Estimating the number of people affected</w:t>
      </w:r>
      <w:bookmarkEnd w:id="711"/>
      <w:bookmarkEnd w:id="712"/>
    </w:p>
    <w:tbl>
      <w:tblPr>
        <w:tblW w:w="0" w:type="auto"/>
        <w:tblLayout w:type="fixed"/>
        <w:tblLook w:val="0000" w:firstRow="0" w:lastRow="0" w:firstColumn="0" w:lastColumn="0" w:noHBand="0" w:noVBand="0"/>
        <w:tblCaption w:val="Table C.4: Estimating the number of people affected"/>
        <w:tblDescription w:val="Table C.4 summarises the criteria used to estimate the number of people that could be receiving additional care due to inaccessible housing. They are listed by the type of assistance required and divided into formal and informal care."/>
      </w:tblPr>
      <w:tblGrid>
        <w:gridCol w:w="2645"/>
        <w:gridCol w:w="2646"/>
        <w:gridCol w:w="2646"/>
      </w:tblGrid>
      <w:tr w:rsidR="00B21EBE" w14:paraId="0EAA7C31" w14:textId="77777777" w:rsidTr="00D76650">
        <w:trPr>
          <w:tblHeader/>
        </w:trPr>
        <w:tc>
          <w:tcPr>
            <w:tcW w:w="2645" w:type="dxa"/>
            <w:tcBorders>
              <w:bottom w:val="single" w:sz="8" w:space="0" w:color="FFFFFF" w:themeColor="background1"/>
            </w:tcBorders>
            <w:shd w:val="clear" w:color="auto" w:fill="6F6652"/>
            <w:tcMar>
              <w:left w:w="57" w:type="dxa"/>
              <w:right w:w="57" w:type="dxa"/>
            </w:tcMar>
          </w:tcPr>
          <w:p w14:paraId="25522FF5" w14:textId="77777777" w:rsidR="00B21EBE" w:rsidRDefault="00B21EBE" w:rsidP="00B21EBE">
            <w:pPr>
              <w:pStyle w:val="TableTextColumnHeading"/>
              <w:rPr>
                <w:lang w:bidi="fa-IR"/>
              </w:rPr>
            </w:pPr>
            <w:r>
              <w:rPr>
                <w:lang w:bidi="fa-IR"/>
              </w:rPr>
              <w:t>Assistance received</w:t>
            </w:r>
          </w:p>
        </w:tc>
        <w:tc>
          <w:tcPr>
            <w:tcW w:w="2646" w:type="dxa"/>
            <w:tcBorders>
              <w:bottom w:val="single" w:sz="8" w:space="0" w:color="FFFFFF" w:themeColor="background1"/>
            </w:tcBorders>
            <w:shd w:val="clear" w:color="auto" w:fill="6F6652"/>
            <w:tcMar>
              <w:left w:w="57" w:type="dxa"/>
              <w:right w:w="57" w:type="dxa"/>
            </w:tcMar>
          </w:tcPr>
          <w:p w14:paraId="5D068532" w14:textId="77777777" w:rsidR="00B21EBE" w:rsidRDefault="00B21EBE" w:rsidP="00B21EBE">
            <w:pPr>
              <w:pStyle w:val="TableTextColumnHeading"/>
              <w:rPr>
                <w:lang w:bidi="fa-IR"/>
              </w:rPr>
            </w:pPr>
            <w:r>
              <w:rPr>
                <w:lang w:bidi="fa-IR"/>
              </w:rPr>
              <w:t>Formal care</w:t>
            </w:r>
          </w:p>
        </w:tc>
        <w:tc>
          <w:tcPr>
            <w:tcW w:w="2646" w:type="dxa"/>
            <w:tcBorders>
              <w:bottom w:val="single" w:sz="8" w:space="0" w:color="FFFFFF" w:themeColor="background1"/>
            </w:tcBorders>
            <w:shd w:val="clear" w:color="auto" w:fill="6F6652"/>
            <w:tcMar>
              <w:left w:w="57" w:type="dxa"/>
              <w:right w:w="57" w:type="dxa"/>
            </w:tcMar>
          </w:tcPr>
          <w:p w14:paraId="5E30BC09" w14:textId="77777777" w:rsidR="00B21EBE" w:rsidRDefault="00B21EBE" w:rsidP="00B21EBE">
            <w:pPr>
              <w:pStyle w:val="TableTextColumnHeading"/>
              <w:rPr>
                <w:lang w:bidi="fa-IR"/>
              </w:rPr>
            </w:pPr>
            <w:r>
              <w:rPr>
                <w:lang w:bidi="fa-IR"/>
              </w:rPr>
              <w:t>Informal care</w:t>
            </w:r>
          </w:p>
        </w:tc>
      </w:tr>
      <w:tr w:rsidR="00696C70" w14:paraId="770ABD62" w14:textId="77777777" w:rsidTr="00D13F4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6B0BE3" w14:textId="77777777" w:rsidR="00696C70" w:rsidRDefault="00696C70" w:rsidP="00B21EBE">
            <w:pPr>
              <w:pStyle w:val="TableTextEntries"/>
              <w:rPr>
                <w:lang w:bidi="fa-IR"/>
              </w:rPr>
            </w:pPr>
            <w:r>
              <w:rPr>
                <w:lang w:bidi="fa-IR"/>
              </w:rPr>
              <w:t>Moving around the house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B3E41F" w14:textId="77777777" w:rsidR="00696C70" w:rsidRDefault="00696C70" w:rsidP="006E0584">
            <w:pPr>
              <w:pStyle w:val="TableListBullet"/>
              <w:rPr>
                <w:lang w:bidi="fa-IR"/>
              </w:rPr>
            </w:pPr>
            <w:r>
              <w:rPr>
                <w:lang w:bidi="fa-IR"/>
              </w:rPr>
              <w:t>People with</w:t>
            </w:r>
            <w:r w:rsidR="00B84DB5">
              <w:rPr>
                <w:lang w:bidi="fa-IR"/>
              </w:rPr>
              <w:t xml:space="preserve"> </w:t>
            </w:r>
            <w:r>
              <w:rPr>
                <w:lang w:bidi="fa-IR"/>
              </w:rPr>
              <w:t>mobility limitation</w:t>
            </w:r>
          </w:p>
          <w:p w14:paraId="66435F3D" w14:textId="77777777" w:rsidR="00696C70" w:rsidRDefault="00696C70" w:rsidP="006E0584">
            <w:pPr>
              <w:pStyle w:val="TableListBullet"/>
              <w:rPr>
                <w:lang w:bidi="fa-IR"/>
              </w:rPr>
            </w:pPr>
            <w:r>
              <w:rPr>
                <w:lang w:bidi="fa-IR"/>
              </w:rPr>
              <w:t>Always or sometimes require assistance moving around the house</w:t>
            </w:r>
          </w:p>
          <w:p w14:paraId="41A9892B" w14:textId="77777777" w:rsidR="00696C70" w:rsidRDefault="00696C70" w:rsidP="006E0584">
            <w:pPr>
              <w:pStyle w:val="TableListBullet"/>
              <w:rPr>
                <w:lang w:bidi="fa-IR"/>
              </w:rPr>
            </w:pPr>
            <w:r>
              <w:rPr>
                <w:lang w:bidi="fa-IR"/>
              </w:rPr>
              <w:t>Live in a household</w:t>
            </w:r>
          </w:p>
          <w:p w14:paraId="20000094" w14:textId="77777777" w:rsidR="00696C70" w:rsidRDefault="00696C70" w:rsidP="006E0584">
            <w:pPr>
              <w:pStyle w:val="TableListBullet"/>
              <w:rPr>
                <w:lang w:bidi="fa-IR"/>
              </w:rPr>
            </w:pPr>
            <w:r>
              <w:rPr>
                <w:lang w:bidi="fa-IR"/>
              </w:rPr>
              <w:t>Excludes people living in modified housing</w:t>
            </w:r>
          </w:p>
          <w:p w14:paraId="3B22EBF5" w14:textId="77777777" w:rsidR="00696C70" w:rsidRDefault="00696C70" w:rsidP="006E0584">
            <w:pPr>
              <w:pStyle w:val="TableListBullet"/>
              <w:rPr>
                <w:lang w:bidi="fa-IR"/>
              </w:rPr>
            </w:pPr>
            <w:r>
              <w:rPr>
                <w:lang w:bidi="fa-IR"/>
              </w:rPr>
              <w:t>Receives formal assistance with mobility tasks once per week or more frequently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C2E6B4" w14:textId="77777777" w:rsidR="00696C70" w:rsidRDefault="00696C70" w:rsidP="006E0584">
            <w:pPr>
              <w:pStyle w:val="TableListBullet"/>
              <w:rPr>
                <w:lang w:bidi="fa-IR"/>
              </w:rPr>
            </w:pPr>
            <w:r>
              <w:rPr>
                <w:lang w:bidi="fa-IR"/>
              </w:rPr>
              <w:t>People with mobility limitation</w:t>
            </w:r>
          </w:p>
          <w:p w14:paraId="611952EB" w14:textId="77777777" w:rsidR="00696C70" w:rsidRDefault="00696C70" w:rsidP="006E0584">
            <w:pPr>
              <w:pStyle w:val="TableListBullet"/>
              <w:rPr>
                <w:lang w:bidi="fa-IR"/>
              </w:rPr>
            </w:pPr>
            <w:r>
              <w:rPr>
                <w:lang w:bidi="fa-IR"/>
              </w:rPr>
              <w:t>Always or sometimes require assistance moving around the house</w:t>
            </w:r>
          </w:p>
          <w:p w14:paraId="238EDECF" w14:textId="77777777" w:rsidR="00696C70" w:rsidRDefault="00696C70" w:rsidP="006E0584">
            <w:pPr>
              <w:pStyle w:val="TableListBullet"/>
              <w:rPr>
                <w:lang w:bidi="fa-IR"/>
              </w:rPr>
            </w:pPr>
            <w:r>
              <w:rPr>
                <w:lang w:bidi="fa-IR"/>
              </w:rPr>
              <w:t>Live in a household</w:t>
            </w:r>
          </w:p>
          <w:p w14:paraId="3B067215" w14:textId="77777777" w:rsidR="00696C70" w:rsidRDefault="00696C70" w:rsidP="006E0584">
            <w:pPr>
              <w:pStyle w:val="TableListBullet"/>
              <w:rPr>
                <w:lang w:bidi="fa-IR"/>
              </w:rPr>
            </w:pPr>
            <w:r>
              <w:rPr>
                <w:lang w:bidi="fa-IR"/>
              </w:rPr>
              <w:t>Excludes people living in modified housing</w:t>
            </w:r>
          </w:p>
          <w:p w14:paraId="01536307" w14:textId="77777777" w:rsidR="00696C70" w:rsidRDefault="00696C70" w:rsidP="006E0584">
            <w:pPr>
              <w:pStyle w:val="TableListBullet"/>
              <w:rPr>
                <w:lang w:bidi="fa-IR"/>
              </w:rPr>
            </w:pPr>
            <w:r>
              <w:rPr>
                <w:lang w:bidi="fa-IR"/>
              </w:rPr>
              <w:t>Receives informal assistance with mobility tasks once per week or more frequently</w:t>
            </w:r>
          </w:p>
        </w:tc>
      </w:tr>
      <w:tr w:rsidR="00696C70" w14:paraId="242A3827" w14:textId="77777777" w:rsidTr="00D13F4A">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10617E" w14:textId="77777777" w:rsidR="00696C70" w:rsidRDefault="00696C70" w:rsidP="00B21EBE">
            <w:pPr>
              <w:pStyle w:val="TableTextEntries"/>
              <w:rPr>
                <w:lang w:bidi="fa-IR"/>
              </w:rPr>
            </w:pPr>
            <w:r>
              <w:rPr>
                <w:lang w:bidi="fa-IR"/>
              </w:rPr>
              <w:t>Showering and bathing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79251E" w14:textId="77777777" w:rsidR="00696C70" w:rsidRDefault="00696C70" w:rsidP="006E0584">
            <w:pPr>
              <w:pStyle w:val="TableListBullet"/>
              <w:rPr>
                <w:lang w:bidi="fa-IR"/>
              </w:rPr>
            </w:pPr>
            <w:r>
              <w:rPr>
                <w:lang w:bidi="fa-IR"/>
              </w:rPr>
              <w:t>Always or sometimes require assistance showering or bathing</w:t>
            </w:r>
          </w:p>
          <w:p w14:paraId="3791E3F7" w14:textId="77777777" w:rsidR="00696C70" w:rsidRDefault="00696C70" w:rsidP="006E0584">
            <w:pPr>
              <w:pStyle w:val="TableListBullet"/>
              <w:rPr>
                <w:lang w:bidi="fa-IR"/>
              </w:rPr>
            </w:pPr>
            <w:r>
              <w:rPr>
                <w:lang w:bidi="fa-IR"/>
              </w:rPr>
              <w:t>Live in a household</w:t>
            </w:r>
          </w:p>
          <w:p w14:paraId="72E33C24" w14:textId="77777777" w:rsidR="00696C70" w:rsidRDefault="00696C70" w:rsidP="006E0584">
            <w:pPr>
              <w:pStyle w:val="TableListBullet"/>
              <w:rPr>
                <w:lang w:bidi="fa-IR"/>
              </w:rPr>
            </w:pPr>
            <w:r>
              <w:rPr>
                <w:lang w:bidi="fa-IR"/>
              </w:rPr>
              <w:t>Excludes people living in modified housing</w:t>
            </w:r>
          </w:p>
          <w:p w14:paraId="128720E0" w14:textId="77777777" w:rsidR="00696C70" w:rsidRDefault="00696C70" w:rsidP="006E0584">
            <w:pPr>
              <w:pStyle w:val="TableListBullet"/>
              <w:rPr>
                <w:lang w:bidi="fa-IR"/>
              </w:rPr>
            </w:pPr>
            <w:r>
              <w:rPr>
                <w:lang w:bidi="fa-IR"/>
              </w:rPr>
              <w:t>Receives formal assistance with self-care tasks once per week or more frequently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04E526" w14:textId="77777777" w:rsidR="00696C70" w:rsidRDefault="00696C70" w:rsidP="006E0584">
            <w:pPr>
              <w:pStyle w:val="TableListBullet"/>
              <w:rPr>
                <w:lang w:bidi="fa-IR"/>
              </w:rPr>
            </w:pPr>
            <w:r>
              <w:rPr>
                <w:lang w:bidi="fa-IR"/>
              </w:rPr>
              <w:t>Always or sometimes require assistance showering or bathing</w:t>
            </w:r>
          </w:p>
          <w:p w14:paraId="07D7D05B" w14:textId="77777777" w:rsidR="00696C70" w:rsidRDefault="00696C70" w:rsidP="006E0584">
            <w:pPr>
              <w:pStyle w:val="TableListBullet"/>
              <w:rPr>
                <w:lang w:bidi="fa-IR"/>
              </w:rPr>
            </w:pPr>
            <w:r>
              <w:rPr>
                <w:lang w:bidi="fa-IR"/>
              </w:rPr>
              <w:t>Live in a household</w:t>
            </w:r>
          </w:p>
          <w:p w14:paraId="7D60D599" w14:textId="77777777" w:rsidR="00696C70" w:rsidRDefault="00696C70" w:rsidP="006E0584">
            <w:pPr>
              <w:pStyle w:val="TableListBullet"/>
              <w:rPr>
                <w:lang w:bidi="fa-IR"/>
              </w:rPr>
            </w:pPr>
            <w:r>
              <w:rPr>
                <w:lang w:bidi="fa-IR"/>
              </w:rPr>
              <w:t>Excludes people living in modified housing</w:t>
            </w:r>
          </w:p>
          <w:p w14:paraId="06EF44AC" w14:textId="77777777" w:rsidR="00696C70" w:rsidRDefault="00696C70" w:rsidP="006E0584">
            <w:pPr>
              <w:pStyle w:val="TableListBullet"/>
              <w:rPr>
                <w:lang w:bidi="fa-IR"/>
              </w:rPr>
            </w:pPr>
            <w:r>
              <w:rPr>
                <w:lang w:bidi="fa-IR"/>
              </w:rPr>
              <w:t>Receives informal assistance with self-care tasks once per week or more frequently</w:t>
            </w:r>
          </w:p>
        </w:tc>
      </w:tr>
      <w:tr w:rsidR="00696C70" w14:paraId="1B57B51D" w14:textId="77777777" w:rsidTr="00D13F4A">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02B8F674" w14:textId="77777777" w:rsidR="00696C70" w:rsidRDefault="00696C70" w:rsidP="00B21EBE">
            <w:pPr>
              <w:pStyle w:val="TableTextEntries"/>
              <w:rPr>
                <w:lang w:bidi="fa-IR"/>
              </w:rPr>
            </w:pPr>
            <w:r>
              <w:rPr>
                <w:lang w:bidi="fa-IR"/>
              </w:rPr>
              <w:t>Toileting</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0CD38228" w14:textId="77777777" w:rsidR="00696C70" w:rsidRDefault="00696C70" w:rsidP="006E0584">
            <w:pPr>
              <w:pStyle w:val="TableListBullet"/>
              <w:rPr>
                <w:lang w:bidi="fa-IR"/>
              </w:rPr>
            </w:pPr>
            <w:r>
              <w:rPr>
                <w:lang w:bidi="fa-IR"/>
              </w:rPr>
              <w:t>Always or sometimes require assistance toileting</w:t>
            </w:r>
          </w:p>
          <w:p w14:paraId="2934ECFC" w14:textId="77777777" w:rsidR="00696C70" w:rsidRDefault="00696C70" w:rsidP="006E0584">
            <w:pPr>
              <w:pStyle w:val="TableListBullet"/>
              <w:rPr>
                <w:lang w:bidi="fa-IR"/>
              </w:rPr>
            </w:pPr>
            <w:r>
              <w:rPr>
                <w:lang w:bidi="fa-IR"/>
              </w:rPr>
              <w:t>Live in a household</w:t>
            </w:r>
          </w:p>
          <w:p w14:paraId="6E744FB5" w14:textId="77777777" w:rsidR="00696C70" w:rsidRDefault="00696C70" w:rsidP="006E0584">
            <w:pPr>
              <w:pStyle w:val="TableListBullet"/>
              <w:rPr>
                <w:lang w:bidi="fa-IR"/>
              </w:rPr>
            </w:pPr>
            <w:r>
              <w:rPr>
                <w:lang w:bidi="fa-IR"/>
              </w:rPr>
              <w:t>Excludes people living in modified housing</w:t>
            </w:r>
          </w:p>
          <w:p w14:paraId="7F22D157" w14:textId="77777777" w:rsidR="00696C70" w:rsidRDefault="00696C70" w:rsidP="006E0584">
            <w:pPr>
              <w:pStyle w:val="TableListBullet"/>
              <w:rPr>
                <w:lang w:bidi="fa-IR"/>
              </w:rPr>
            </w:pPr>
            <w:r>
              <w:rPr>
                <w:lang w:bidi="fa-IR"/>
              </w:rPr>
              <w:t>Receives formal assistance with self-care tasks once per week or more frequently</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75C6057E" w14:textId="77777777" w:rsidR="00696C70" w:rsidRDefault="00696C70" w:rsidP="006E0584">
            <w:pPr>
              <w:pStyle w:val="TableListBullet"/>
              <w:rPr>
                <w:lang w:bidi="fa-IR"/>
              </w:rPr>
            </w:pPr>
            <w:r>
              <w:rPr>
                <w:lang w:bidi="fa-IR"/>
              </w:rPr>
              <w:t>Always or sometimes require assistance toileting</w:t>
            </w:r>
          </w:p>
          <w:p w14:paraId="48CD9B99" w14:textId="77777777" w:rsidR="00696C70" w:rsidRDefault="00696C70" w:rsidP="006E0584">
            <w:pPr>
              <w:pStyle w:val="TableListBullet"/>
              <w:rPr>
                <w:lang w:bidi="fa-IR"/>
              </w:rPr>
            </w:pPr>
            <w:r>
              <w:rPr>
                <w:lang w:bidi="fa-IR"/>
              </w:rPr>
              <w:t>Live in a household</w:t>
            </w:r>
          </w:p>
          <w:p w14:paraId="12D71AEB" w14:textId="77777777" w:rsidR="00696C70" w:rsidRDefault="00696C70" w:rsidP="006E0584">
            <w:pPr>
              <w:pStyle w:val="TableListBullet"/>
              <w:rPr>
                <w:lang w:bidi="fa-IR"/>
              </w:rPr>
            </w:pPr>
            <w:r>
              <w:rPr>
                <w:lang w:bidi="fa-IR"/>
              </w:rPr>
              <w:t>Excludes people living in modified housing</w:t>
            </w:r>
          </w:p>
          <w:p w14:paraId="61307725" w14:textId="77777777" w:rsidR="00696C70" w:rsidRDefault="00696C70" w:rsidP="006E0584">
            <w:pPr>
              <w:pStyle w:val="TableListBullet"/>
              <w:rPr>
                <w:lang w:bidi="fa-IR"/>
              </w:rPr>
            </w:pPr>
            <w:r>
              <w:rPr>
                <w:lang w:bidi="fa-IR"/>
              </w:rPr>
              <w:t>Receives informal assistance with self-care tasks once per week or more frequently</w:t>
            </w:r>
          </w:p>
        </w:tc>
      </w:tr>
    </w:tbl>
    <w:p w14:paraId="0ECBD7E1" w14:textId="77777777" w:rsidR="00B21EBE" w:rsidRPr="00280175" w:rsidRDefault="00B21EBE" w:rsidP="00B21EBE">
      <w:pPr>
        <w:pStyle w:val="Source"/>
        <w:rPr>
          <w:iCs/>
          <w:lang w:bidi="fa-IR"/>
        </w:rPr>
      </w:pPr>
      <w:r w:rsidRPr="00280175">
        <w:rPr>
          <w:iCs/>
          <w:lang w:bidi="fa-IR"/>
        </w:rPr>
        <w:t xml:space="preserve">Source: </w:t>
      </w:r>
      <w:r w:rsidR="00D76650" w:rsidRPr="00280175">
        <w:rPr>
          <w:iCs/>
          <w:lang w:bidi="fa-IR"/>
        </w:rPr>
        <w:t>CIE</w:t>
      </w:r>
      <w:r w:rsidR="00184E9F">
        <w:rPr>
          <w:iCs/>
          <w:lang w:bidi="fa-IR"/>
        </w:rPr>
        <w:t>.</w:t>
      </w:r>
    </w:p>
    <w:p w14:paraId="3D258B03" w14:textId="7C3098AF" w:rsidR="00B21EBE" w:rsidRDefault="00D76650" w:rsidP="006E73B2">
      <w:pPr>
        <w:pStyle w:val="BodyText"/>
        <w:rPr>
          <w:lang w:bidi="fa-IR"/>
        </w:rPr>
      </w:pPr>
      <w:r>
        <w:rPr>
          <w:lang w:bidi="fa-IR"/>
        </w:rPr>
        <w:t xml:space="preserve">Based on these criteria, </w:t>
      </w:r>
      <w:r w:rsidR="00C871C2">
        <w:rPr>
          <w:lang w:bidi="fa-IR"/>
        </w:rPr>
        <w:t xml:space="preserve">the number of people estimated to be receiving additional care (by activity) </w:t>
      </w:r>
      <w:r w:rsidR="003802BA">
        <w:rPr>
          <w:lang w:bidi="fa-IR"/>
        </w:rPr>
        <w:t>is</w:t>
      </w:r>
      <w:r w:rsidR="00C871C2">
        <w:rPr>
          <w:lang w:bidi="fa-IR"/>
        </w:rPr>
        <w:t xml:space="preserve"> shown in table </w:t>
      </w:r>
      <w:r w:rsidR="00362332">
        <w:rPr>
          <w:lang w:bidi="fa-IR"/>
        </w:rPr>
        <w:t>C.5</w:t>
      </w:r>
      <w:r w:rsidR="00C871C2">
        <w:rPr>
          <w:lang w:bidi="fa-IR"/>
        </w:rPr>
        <w:t>. Note that some people receiv</w:t>
      </w:r>
      <w:r w:rsidR="00C71077">
        <w:rPr>
          <w:lang w:bidi="fa-IR"/>
        </w:rPr>
        <w:t>e</w:t>
      </w:r>
      <w:r w:rsidR="00C871C2">
        <w:rPr>
          <w:lang w:bidi="fa-IR"/>
        </w:rPr>
        <w:t xml:space="preserve"> multiple types of care and therefore some people may be double</w:t>
      </w:r>
      <w:r w:rsidR="00C871C2">
        <w:rPr>
          <w:lang w:bidi="fa-IR"/>
        </w:rPr>
        <w:noBreakHyphen/>
        <w:t xml:space="preserve">counted in the measures shown below. However, </w:t>
      </w:r>
      <w:r w:rsidR="004D0813">
        <w:rPr>
          <w:lang w:bidi="fa-IR"/>
        </w:rPr>
        <w:t xml:space="preserve">as the additional care being received across each activity </w:t>
      </w:r>
      <w:r w:rsidR="00746E18">
        <w:rPr>
          <w:lang w:bidi="fa-IR"/>
        </w:rPr>
        <w:t xml:space="preserve">is to </w:t>
      </w:r>
      <w:r w:rsidR="00D26EBF">
        <w:rPr>
          <w:lang w:bidi="fa-IR"/>
        </w:rPr>
        <w:t>be</w:t>
      </w:r>
      <w:r w:rsidR="00746E18">
        <w:rPr>
          <w:lang w:bidi="fa-IR"/>
        </w:rPr>
        <w:t xml:space="preserve"> estimated</w:t>
      </w:r>
      <w:r w:rsidR="00D26EBF">
        <w:rPr>
          <w:lang w:bidi="fa-IR"/>
        </w:rPr>
        <w:t xml:space="preserve"> separately</w:t>
      </w:r>
      <w:r w:rsidR="004D0813">
        <w:rPr>
          <w:lang w:bidi="fa-IR"/>
        </w:rPr>
        <w:t>, this approach will not double</w:t>
      </w:r>
      <w:r w:rsidR="004D0813">
        <w:rPr>
          <w:lang w:bidi="fa-IR"/>
        </w:rPr>
        <w:noBreakHyphen/>
        <w:t>count the additional care being received (i.e. the amount of additional care received by activity is additive).</w:t>
      </w:r>
    </w:p>
    <w:p w14:paraId="6452B560" w14:textId="7F5C7AD4" w:rsidR="00C93C00" w:rsidRDefault="00B27E24" w:rsidP="00CA77B7">
      <w:pPr>
        <w:pStyle w:val="Caption"/>
        <w:rPr>
          <w:lang w:bidi="fa-IR"/>
        </w:rPr>
      </w:pPr>
      <w:bookmarkStart w:id="713" w:name="_Toc57643685"/>
      <w:bookmarkStart w:id="714" w:name="_Toc70505635"/>
      <w:r>
        <w:t>C.5</w:t>
      </w:r>
      <w:r w:rsidR="00C93C00" w:rsidRPr="00695C93">
        <w:tab/>
      </w:r>
      <w:r w:rsidR="00C93C00">
        <w:t>Number of people receiving care</w:t>
      </w:r>
      <w:bookmarkEnd w:id="713"/>
      <w:bookmarkEnd w:id="714"/>
    </w:p>
    <w:tbl>
      <w:tblPr>
        <w:tblW w:w="0" w:type="auto"/>
        <w:tblLayout w:type="fixed"/>
        <w:tblLook w:val="0000" w:firstRow="0" w:lastRow="0" w:firstColumn="0" w:lastColumn="0" w:noHBand="0" w:noVBand="0"/>
        <w:tblCaption w:val="Table C.5: Number of people receiving care"/>
        <w:tblDescription w:val="Based on the criteria in Table C.4, Table C.5 shows an estimate of the number of people receiving additional care, listed by activity. 111,500 people receive informal assistance with moving about the house, and 21,300 people receive formal care. 182,700 people receive informal assistance with bathing and showering, with 36,100 receiving formal care. 83.300 people receive informal assistance with toileting, and 18,500 receive formal care."/>
      </w:tblPr>
      <w:tblGrid>
        <w:gridCol w:w="3649"/>
        <w:gridCol w:w="2144"/>
        <w:gridCol w:w="2144"/>
      </w:tblGrid>
      <w:tr w:rsidR="00CA77B7" w14:paraId="519C53EF" w14:textId="77777777" w:rsidTr="007E6E80">
        <w:trPr>
          <w:trHeight w:val="490"/>
        </w:trPr>
        <w:tc>
          <w:tcPr>
            <w:tcW w:w="3649" w:type="dxa"/>
            <w:tcBorders>
              <w:bottom w:val="single" w:sz="8" w:space="0" w:color="FFFFFF" w:themeColor="background1"/>
            </w:tcBorders>
            <w:shd w:val="clear" w:color="auto" w:fill="6F6652"/>
            <w:tcMar>
              <w:left w:w="57" w:type="dxa"/>
              <w:right w:w="57" w:type="dxa"/>
            </w:tcMar>
          </w:tcPr>
          <w:p w14:paraId="5405020F" w14:textId="77777777" w:rsidR="00CA77B7" w:rsidRDefault="00D26EBF" w:rsidP="007E6E80">
            <w:pPr>
              <w:pStyle w:val="TableDataColumnHeading"/>
              <w:jc w:val="left"/>
            </w:pPr>
            <w:r>
              <w:t>Type of care</w:t>
            </w:r>
          </w:p>
        </w:tc>
        <w:tc>
          <w:tcPr>
            <w:tcW w:w="2144" w:type="dxa"/>
            <w:tcBorders>
              <w:bottom w:val="single" w:sz="8" w:space="0" w:color="FFFFFF" w:themeColor="background1"/>
            </w:tcBorders>
            <w:shd w:val="clear" w:color="auto" w:fill="6F6652"/>
            <w:tcMar>
              <w:left w:w="57" w:type="dxa"/>
              <w:right w:w="57" w:type="dxa"/>
            </w:tcMar>
          </w:tcPr>
          <w:p w14:paraId="5F2CDFA6" w14:textId="77777777" w:rsidR="00CA77B7" w:rsidRDefault="00CA77B7" w:rsidP="007E6E80">
            <w:pPr>
              <w:pStyle w:val="TableDataColumnHeading"/>
            </w:pPr>
            <w:r>
              <w:t>People receiving informal care ('000)</w:t>
            </w:r>
          </w:p>
        </w:tc>
        <w:tc>
          <w:tcPr>
            <w:tcW w:w="2144" w:type="dxa"/>
            <w:tcBorders>
              <w:bottom w:val="single" w:sz="8" w:space="0" w:color="FFFFFF" w:themeColor="background1"/>
            </w:tcBorders>
            <w:shd w:val="clear" w:color="auto" w:fill="6F6652"/>
            <w:tcMar>
              <w:left w:w="57" w:type="dxa"/>
              <w:right w:w="57" w:type="dxa"/>
            </w:tcMar>
          </w:tcPr>
          <w:p w14:paraId="578CDA37" w14:textId="77777777" w:rsidR="00CA77B7" w:rsidRDefault="00CA77B7" w:rsidP="007E6E80">
            <w:pPr>
              <w:pStyle w:val="TableDataColumnHeading"/>
            </w:pPr>
            <w:r>
              <w:t>People receiving formal care ('000)</w:t>
            </w:r>
          </w:p>
        </w:tc>
      </w:tr>
      <w:tr w:rsidR="00CA77B7" w14:paraId="74B1A3F4" w14:textId="77777777" w:rsidTr="007E6E80">
        <w:trPr>
          <w:trHeight w:val="245"/>
        </w:trPr>
        <w:tc>
          <w:tcPr>
            <w:tcW w:w="3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4CDD80" w14:textId="77777777" w:rsidR="00CA77B7" w:rsidRDefault="00CA77B7" w:rsidP="007E6E80">
            <w:pPr>
              <w:pStyle w:val="TableDataEntries"/>
              <w:jc w:val="left"/>
            </w:pPr>
            <w:r>
              <w:t>Moving about the house</w:t>
            </w:r>
          </w:p>
        </w:tc>
        <w:tc>
          <w:tcPr>
            <w:tcW w:w="21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DA6400" w14:textId="77777777" w:rsidR="00CA77B7" w:rsidRDefault="00CA77B7" w:rsidP="007E6E80">
            <w:pPr>
              <w:pStyle w:val="TableDataEntries"/>
            </w:pPr>
            <w:r>
              <w:t xml:space="preserve"> 111.5</w:t>
            </w:r>
          </w:p>
        </w:tc>
        <w:tc>
          <w:tcPr>
            <w:tcW w:w="21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3B0812" w14:textId="77777777" w:rsidR="00CA77B7" w:rsidRDefault="00CA77B7" w:rsidP="007E6E80">
            <w:pPr>
              <w:pStyle w:val="TableDataEntries"/>
            </w:pPr>
            <w:r>
              <w:t xml:space="preserve"> 21.3</w:t>
            </w:r>
          </w:p>
        </w:tc>
      </w:tr>
      <w:tr w:rsidR="00CA77B7" w14:paraId="057C9A80" w14:textId="77777777" w:rsidTr="007E6E80">
        <w:trPr>
          <w:trHeight w:val="245"/>
        </w:trPr>
        <w:tc>
          <w:tcPr>
            <w:tcW w:w="36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EBCCF0" w14:textId="77777777" w:rsidR="00CA77B7" w:rsidRDefault="00CA77B7" w:rsidP="007E6E80">
            <w:pPr>
              <w:pStyle w:val="TableDataEntries"/>
              <w:jc w:val="left"/>
            </w:pPr>
            <w:r>
              <w:t>Bathing and showering</w:t>
            </w:r>
          </w:p>
        </w:tc>
        <w:tc>
          <w:tcPr>
            <w:tcW w:w="21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21F26C" w14:textId="77777777" w:rsidR="00CA77B7" w:rsidRDefault="00CA77B7" w:rsidP="007E6E80">
            <w:pPr>
              <w:pStyle w:val="TableDataEntries"/>
            </w:pPr>
            <w:r>
              <w:t xml:space="preserve"> 182.7</w:t>
            </w:r>
          </w:p>
        </w:tc>
        <w:tc>
          <w:tcPr>
            <w:tcW w:w="21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5DEDE7" w14:textId="77777777" w:rsidR="00CA77B7" w:rsidRDefault="00CA77B7" w:rsidP="007E6E80">
            <w:pPr>
              <w:pStyle w:val="TableDataEntries"/>
            </w:pPr>
            <w:r>
              <w:t xml:space="preserve"> 36.1</w:t>
            </w:r>
          </w:p>
        </w:tc>
      </w:tr>
      <w:tr w:rsidR="00CA77B7" w14:paraId="4031E90D" w14:textId="77777777" w:rsidTr="007E6E80">
        <w:trPr>
          <w:trHeight w:val="245"/>
        </w:trPr>
        <w:tc>
          <w:tcPr>
            <w:tcW w:w="3649" w:type="dxa"/>
            <w:tcBorders>
              <w:top w:val="single" w:sz="8" w:space="0" w:color="FFFFFF" w:themeColor="background1"/>
              <w:bottom w:val="single" w:sz="6" w:space="0" w:color="6F6652"/>
            </w:tcBorders>
            <w:shd w:val="clear" w:color="auto" w:fill="E9E8E5" w:themeFill="background2"/>
            <w:tcMar>
              <w:left w:w="57" w:type="dxa"/>
              <w:right w:w="57" w:type="dxa"/>
            </w:tcMar>
          </w:tcPr>
          <w:p w14:paraId="183FE357" w14:textId="77777777" w:rsidR="00CA77B7" w:rsidRDefault="00CA77B7" w:rsidP="007E6E80">
            <w:pPr>
              <w:pStyle w:val="TableDataEntries"/>
              <w:jc w:val="left"/>
            </w:pPr>
            <w:r>
              <w:t>Toileting</w:t>
            </w:r>
          </w:p>
        </w:tc>
        <w:tc>
          <w:tcPr>
            <w:tcW w:w="2144" w:type="dxa"/>
            <w:tcBorders>
              <w:top w:val="single" w:sz="8" w:space="0" w:color="FFFFFF" w:themeColor="background1"/>
              <w:bottom w:val="single" w:sz="6" w:space="0" w:color="6F6652"/>
            </w:tcBorders>
            <w:shd w:val="clear" w:color="auto" w:fill="E9E8E5" w:themeFill="background2"/>
            <w:tcMar>
              <w:left w:w="57" w:type="dxa"/>
              <w:right w:w="57" w:type="dxa"/>
            </w:tcMar>
          </w:tcPr>
          <w:p w14:paraId="660134FA" w14:textId="77777777" w:rsidR="00CA77B7" w:rsidRDefault="00CA77B7" w:rsidP="007E6E80">
            <w:pPr>
              <w:pStyle w:val="TableDataEntries"/>
            </w:pPr>
            <w:r>
              <w:t xml:space="preserve"> 83.3</w:t>
            </w:r>
          </w:p>
        </w:tc>
        <w:tc>
          <w:tcPr>
            <w:tcW w:w="2144" w:type="dxa"/>
            <w:tcBorders>
              <w:top w:val="single" w:sz="8" w:space="0" w:color="FFFFFF" w:themeColor="background1"/>
              <w:bottom w:val="single" w:sz="6" w:space="0" w:color="6F6652"/>
            </w:tcBorders>
            <w:shd w:val="clear" w:color="auto" w:fill="E9E8E5" w:themeFill="background2"/>
            <w:tcMar>
              <w:left w:w="57" w:type="dxa"/>
              <w:right w:w="57" w:type="dxa"/>
            </w:tcMar>
          </w:tcPr>
          <w:p w14:paraId="575A59BF" w14:textId="77777777" w:rsidR="00CA77B7" w:rsidRDefault="00CA77B7" w:rsidP="007E6E80">
            <w:pPr>
              <w:pStyle w:val="TableDataEntries"/>
            </w:pPr>
            <w:r>
              <w:t xml:space="preserve"> 18.5</w:t>
            </w:r>
          </w:p>
        </w:tc>
      </w:tr>
    </w:tbl>
    <w:p w14:paraId="55C66A71" w14:textId="77777777" w:rsidR="004E736E" w:rsidRPr="00280175" w:rsidRDefault="00CA77B7" w:rsidP="0073712F">
      <w:pPr>
        <w:pStyle w:val="Source"/>
        <w:rPr>
          <w:iCs/>
          <w:lang w:bidi="fa-IR"/>
        </w:rPr>
      </w:pPr>
      <w:r w:rsidRPr="00280175">
        <w:rPr>
          <w:iCs/>
          <w:lang w:bidi="fa-IR"/>
        </w:rPr>
        <w:t xml:space="preserve">Source: CIE based on ABS, 2018 Survey of Disabilities, </w:t>
      </w:r>
      <w:r w:rsidR="0073712F" w:rsidRPr="00280175">
        <w:rPr>
          <w:iCs/>
          <w:lang w:bidi="fa-IR"/>
        </w:rPr>
        <w:t>Ageing and Carers, TableBuilder</w:t>
      </w:r>
    </w:p>
    <w:p w14:paraId="37EE5F45" w14:textId="77777777" w:rsidR="004E736E" w:rsidRPr="004B79EC" w:rsidRDefault="004E736E" w:rsidP="004B79EC">
      <w:pPr>
        <w:pStyle w:val="Heading1-Appendix"/>
      </w:pPr>
      <w:bookmarkStart w:id="715" w:name="_Ref55130506"/>
      <w:bookmarkStart w:id="716" w:name="_Ref31914917"/>
      <w:bookmarkStart w:id="717" w:name="_Ref31915001"/>
      <w:bookmarkStart w:id="718" w:name="_Toc32321776"/>
      <w:bookmarkStart w:id="719" w:name="_Toc44598465"/>
      <w:bookmarkStart w:id="720" w:name="_Toc45654096"/>
      <w:r w:rsidRPr="004B79EC">
        <w:t>Approach to estimating the avoidable cost of home modifications</w:t>
      </w:r>
      <w:bookmarkEnd w:id="715"/>
      <w:bookmarkEnd w:id="716"/>
      <w:bookmarkEnd w:id="717"/>
      <w:bookmarkEnd w:id="718"/>
      <w:bookmarkEnd w:id="719"/>
      <w:bookmarkEnd w:id="720"/>
    </w:p>
    <w:p w14:paraId="4EC9BB53" w14:textId="77777777" w:rsidR="00AB649A" w:rsidRPr="004B79EC" w:rsidRDefault="00AB649A" w:rsidP="004B79EC">
      <w:pPr>
        <w:pStyle w:val="Heading2-Appendix"/>
      </w:pPr>
      <w:r w:rsidRPr="004B79EC">
        <w:t>Avoidable home modifications</w:t>
      </w:r>
    </w:p>
    <w:p w14:paraId="2C243027" w14:textId="77777777" w:rsidR="00AB649A" w:rsidRPr="003E6C2A" w:rsidRDefault="00AB649A" w:rsidP="00AB649A">
      <w:pPr>
        <w:pStyle w:val="BodyText"/>
        <w:rPr>
          <w:lang w:bidi="fa-IR"/>
        </w:rPr>
      </w:pPr>
      <w:r>
        <w:rPr>
          <w:lang w:bidi="fa-IR"/>
        </w:rPr>
        <w:t>Not all home modifications would be avoidable if dwellings were built to comply with universal design principles. Under universal design principles, dwellings are designed to meet a broad range of needs, rather than the specific needs of people with disability.</w:t>
      </w:r>
    </w:p>
    <w:p w14:paraId="03580936" w14:textId="77777777" w:rsidR="00AB649A" w:rsidRDefault="00AB649A" w:rsidP="00AB649A">
      <w:pPr>
        <w:pStyle w:val="BodyText"/>
        <w:rPr>
          <w:lang w:bidi="fa-IR"/>
        </w:rPr>
      </w:pPr>
      <w:r>
        <w:rPr>
          <w:lang w:bidi="fa-IR"/>
        </w:rPr>
        <w:t>The ABS’s SDAC provides data on the types of modifications made to the dwellings of people with disabilit</w:t>
      </w:r>
      <w:r w:rsidR="00D870C0">
        <w:rPr>
          <w:lang w:bidi="fa-IR"/>
        </w:rPr>
        <w:t>y</w:t>
      </w:r>
      <w:r>
        <w:rPr>
          <w:lang w:bidi="fa-IR"/>
        </w:rPr>
        <w:t xml:space="preserve">. However, not all of the modifications identified in the SDAC could be avoided if the dwelling is designed to comply with universal design principles. </w:t>
      </w:r>
      <w:r w:rsidR="00205F28">
        <w:rPr>
          <w:lang w:bidi="fa-IR"/>
        </w:rPr>
        <w:t>It is</w:t>
      </w:r>
      <w:r>
        <w:rPr>
          <w:lang w:bidi="fa-IR"/>
        </w:rPr>
        <w:t xml:space="preserve"> assume</w:t>
      </w:r>
      <w:r w:rsidR="00205F28">
        <w:rPr>
          <w:lang w:bidi="fa-IR"/>
        </w:rPr>
        <w:t>d</w:t>
      </w:r>
      <w:r>
        <w:rPr>
          <w:lang w:bidi="fa-IR"/>
        </w:rPr>
        <w:t xml:space="preserve"> that a sub-group of these modifications (structural modifications, ramps, toilets, baths and laundries, kitchens and doors widened) would not be needed if dwellings had been designed to comply with universal design principles (table D.1).</w:t>
      </w:r>
    </w:p>
    <w:p w14:paraId="63660334" w14:textId="76C38249" w:rsidR="00AB649A" w:rsidRDefault="00B27E24" w:rsidP="00AB649A">
      <w:pPr>
        <w:pStyle w:val="Caption"/>
      </w:pPr>
      <w:bookmarkStart w:id="721" w:name="_Toc44598579"/>
      <w:bookmarkStart w:id="722" w:name="_Toc45654210"/>
      <w:bookmarkStart w:id="723" w:name="_Toc70505636"/>
      <w:bookmarkStart w:id="724" w:name="_Toc32321871"/>
      <w:r>
        <w:t>D.1</w:t>
      </w:r>
      <w:r w:rsidR="00AB649A" w:rsidRPr="00695C93">
        <w:tab/>
      </w:r>
      <w:r w:rsidR="00AB649A">
        <w:t>Avoidable modifications</w:t>
      </w:r>
      <w:bookmarkEnd w:id="721"/>
      <w:bookmarkEnd w:id="722"/>
      <w:bookmarkEnd w:id="723"/>
      <w:r w:rsidR="00AB649A">
        <w:t xml:space="preserve"> </w:t>
      </w:r>
      <w:bookmarkEnd w:id="72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D.1: Avoidable modifications "/>
        <w:tblDescription w:val="Table D.1 lists modifications that could be avoided if dwellings complied with universal design principles (structural changes, ramps, toilet, bath, laundry and kitchen modifications, and door widening). The second column lists modifications that would sitll be needed even if the dwelling complied with universal design principles (hand rails and grab rails, remote controls, new or changed heating/air conditioning, home automation, telemonitoring system, and other changes)."/>
      </w:tblPr>
      <w:tblGrid>
        <w:gridCol w:w="3968"/>
        <w:gridCol w:w="3969"/>
      </w:tblGrid>
      <w:tr w:rsidR="00AB649A" w14:paraId="30406932" w14:textId="77777777" w:rsidTr="003C751F">
        <w:trPr>
          <w:tblHeader/>
        </w:trPr>
        <w:tc>
          <w:tcPr>
            <w:tcW w:w="3968" w:type="dxa"/>
            <w:tcBorders>
              <w:bottom w:val="single" w:sz="8" w:space="0" w:color="FFFFFF" w:themeColor="background1"/>
            </w:tcBorders>
            <w:shd w:val="clear" w:color="auto" w:fill="6F6652" w:themeFill="accent5"/>
          </w:tcPr>
          <w:p w14:paraId="5B95D0A2" w14:textId="77777777" w:rsidR="00AB649A" w:rsidRDefault="00AB649A" w:rsidP="003C751F">
            <w:pPr>
              <w:pStyle w:val="TableTextColumnHeading"/>
            </w:pPr>
            <w:r>
              <w:t>Modifications that could be avoided if dwellings complied with universal design principles</w:t>
            </w:r>
          </w:p>
        </w:tc>
        <w:tc>
          <w:tcPr>
            <w:tcW w:w="3969" w:type="dxa"/>
            <w:tcBorders>
              <w:bottom w:val="single" w:sz="8" w:space="0" w:color="FFFFFF" w:themeColor="background1"/>
            </w:tcBorders>
            <w:shd w:val="clear" w:color="auto" w:fill="6F6652" w:themeFill="accent5"/>
          </w:tcPr>
          <w:p w14:paraId="1D71C287" w14:textId="77777777" w:rsidR="00AB649A" w:rsidRDefault="00AB649A" w:rsidP="003C751F">
            <w:pPr>
              <w:pStyle w:val="TableTextColumnHeading"/>
            </w:pPr>
            <w:r>
              <w:t>Modifications that would still be needed even if the dwelling complied with universal design principles</w:t>
            </w:r>
          </w:p>
        </w:tc>
      </w:tr>
      <w:tr w:rsidR="00AB649A" w14:paraId="70ADDC55" w14:textId="77777777" w:rsidTr="003C751F">
        <w:tc>
          <w:tcPr>
            <w:tcW w:w="3968" w:type="dxa"/>
            <w:tcBorders>
              <w:top w:val="single" w:sz="8" w:space="0" w:color="FFFFFF" w:themeColor="background1"/>
              <w:bottom w:val="single" w:sz="4" w:space="0" w:color="6F6652" w:themeColor="accent5"/>
            </w:tcBorders>
            <w:shd w:val="clear" w:color="auto" w:fill="E9E8E5" w:themeFill="background2"/>
          </w:tcPr>
          <w:p w14:paraId="321066D3" w14:textId="77777777" w:rsidR="00AB649A" w:rsidRDefault="00AB649A" w:rsidP="003C751F">
            <w:pPr>
              <w:pStyle w:val="TableListBullet"/>
            </w:pPr>
            <w:r>
              <w:t>Structural changes</w:t>
            </w:r>
          </w:p>
          <w:p w14:paraId="3A458751" w14:textId="77777777" w:rsidR="00AB649A" w:rsidRDefault="00AB649A" w:rsidP="003C751F">
            <w:pPr>
              <w:pStyle w:val="TableListBullet"/>
            </w:pPr>
            <w:r>
              <w:t>Ramps</w:t>
            </w:r>
          </w:p>
          <w:p w14:paraId="18650007" w14:textId="77777777" w:rsidR="00AB649A" w:rsidRDefault="00AB649A" w:rsidP="003C751F">
            <w:pPr>
              <w:pStyle w:val="TableListBullet"/>
            </w:pPr>
            <w:r>
              <w:t>Toilet bath or laundry, kitchen</w:t>
            </w:r>
          </w:p>
          <w:p w14:paraId="75BEB899" w14:textId="77777777" w:rsidR="00AB649A" w:rsidRDefault="00AB649A" w:rsidP="003C751F">
            <w:pPr>
              <w:pStyle w:val="TableListBullet"/>
            </w:pPr>
            <w:r>
              <w:t>Doors widened</w:t>
            </w:r>
          </w:p>
        </w:tc>
        <w:tc>
          <w:tcPr>
            <w:tcW w:w="3969" w:type="dxa"/>
            <w:tcBorders>
              <w:top w:val="single" w:sz="8" w:space="0" w:color="FFFFFF" w:themeColor="background1"/>
              <w:bottom w:val="single" w:sz="4" w:space="0" w:color="6F6652" w:themeColor="accent5"/>
            </w:tcBorders>
            <w:shd w:val="clear" w:color="auto" w:fill="E9E8E5" w:themeFill="background2"/>
          </w:tcPr>
          <w:p w14:paraId="30BCBE4B" w14:textId="77777777" w:rsidR="00AB649A" w:rsidRDefault="00AB649A" w:rsidP="003C751F">
            <w:pPr>
              <w:pStyle w:val="TableListBullet"/>
            </w:pPr>
            <w:r>
              <w:t>Hand rails &amp; Grab rails</w:t>
            </w:r>
          </w:p>
          <w:p w14:paraId="53DD0EB3" w14:textId="77777777" w:rsidR="00AB649A" w:rsidRDefault="00AB649A" w:rsidP="003C751F">
            <w:pPr>
              <w:pStyle w:val="TableListBullet"/>
            </w:pPr>
            <w:r>
              <w:t>Remote controls</w:t>
            </w:r>
          </w:p>
          <w:p w14:paraId="6289BF7E" w14:textId="77777777" w:rsidR="00AB649A" w:rsidRDefault="00AB649A" w:rsidP="003C751F">
            <w:pPr>
              <w:pStyle w:val="TableListBullet"/>
            </w:pPr>
            <w:r>
              <w:t>New or changed heating</w:t>
            </w:r>
            <w:r w:rsidR="00D26EBF">
              <w:t>/</w:t>
            </w:r>
            <w:r>
              <w:t>air conditioning</w:t>
            </w:r>
          </w:p>
          <w:p w14:paraId="59843624" w14:textId="77777777" w:rsidR="00AB649A" w:rsidRDefault="00AB649A" w:rsidP="003C751F">
            <w:pPr>
              <w:pStyle w:val="TableListBullet"/>
            </w:pPr>
            <w:r>
              <w:t>Install home automation</w:t>
            </w:r>
          </w:p>
          <w:p w14:paraId="401DD619" w14:textId="77777777" w:rsidR="00AB649A" w:rsidRDefault="00AB649A" w:rsidP="003C751F">
            <w:pPr>
              <w:pStyle w:val="TableListBullet"/>
            </w:pPr>
            <w:r>
              <w:t>Telemonitoring system</w:t>
            </w:r>
          </w:p>
          <w:p w14:paraId="53AB60D0" w14:textId="77777777" w:rsidR="00AB649A" w:rsidRDefault="00AB649A" w:rsidP="003C751F">
            <w:pPr>
              <w:pStyle w:val="TableListBullet"/>
            </w:pPr>
            <w:r>
              <w:t>Other change to dwelling,</w:t>
            </w:r>
          </w:p>
        </w:tc>
      </w:tr>
    </w:tbl>
    <w:p w14:paraId="58EAA1BD" w14:textId="77777777" w:rsidR="00AB649A" w:rsidRPr="00280175" w:rsidRDefault="00AB649A" w:rsidP="00AB649A">
      <w:pPr>
        <w:pStyle w:val="Note"/>
        <w:rPr>
          <w:iCs/>
        </w:rPr>
      </w:pPr>
      <w:r w:rsidRPr="00280175">
        <w:rPr>
          <w:iCs/>
        </w:rPr>
        <w:t>Note: Modification types are taken form SDAC survey</w:t>
      </w:r>
      <w:r w:rsidR="00184E9F">
        <w:rPr>
          <w:iCs/>
        </w:rPr>
        <w:t>.</w:t>
      </w:r>
    </w:p>
    <w:p w14:paraId="3C4BA90D" w14:textId="77777777" w:rsidR="00AB649A" w:rsidRPr="00280175" w:rsidRDefault="00AB649A" w:rsidP="00AB649A">
      <w:pPr>
        <w:pStyle w:val="Source"/>
        <w:rPr>
          <w:iCs/>
        </w:rPr>
      </w:pPr>
      <w:r w:rsidRPr="00280175">
        <w:rPr>
          <w:iCs/>
        </w:rPr>
        <w:t>Source: CIE.</w:t>
      </w:r>
    </w:p>
    <w:p w14:paraId="3DA125F3" w14:textId="77777777" w:rsidR="00AB649A" w:rsidRPr="004B79EC" w:rsidRDefault="00AB649A" w:rsidP="004B79EC">
      <w:pPr>
        <w:pStyle w:val="Heading2-Appendix"/>
      </w:pPr>
      <w:r w:rsidRPr="004B79EC">
        <w:t>Number of avoidable home modifications</w:t>
      </w:r>
    </w:p>
    <w:p w14:paraId="6A39A707" w14:textId="77777777" w:rsidR="00AB649A" w:rsidRDefault="00AB649A" w:rsidP="00AB649A">
      <w:pPr>
        <w:pStyle w:val="BodyText"/>
        <w:rPr>
          <w:lang w:eastAsia="en-US"/>
        </w:rPr>
      </w:pPr>
      <w:r>
        <w:rPr>
          <w:lang w:eastAsia="en-US"/>
        </w:rPr>
        <w:t xml:space="preserve">To estimate the number of dwellings that have avoidable modifications annually, </w:t>
      </w:r>
      <w:r w:rsidR="004C656D">
        <w:rPr>
          <w:lang w:eastAsia="en-US"/>
        </w:rPr>
        <w:t xml:space="preserve">CIE </w:t>
      </w:r>
      <w:r>
        <w:rPr>
          <w:lang w:eastAsia="en-US"/>
        </w:rPr>
        <w:t>compare</w:t>
      </w:r>
      <w:r w:rsidR="004C656D">
        <w:rPr>
          <w:lang w:eastAsia="en-US"/>
        </w:rPr>
        <w:t>s</w:t>
      </w:r>
      <w:r>
        <w:rPr>
          <w:lang w:eastAsia="en-US"/>
        </w:rPr>
        <w:t xml:space="preserve"> the number of people who live in dwellings with avoidable modifications in 2018 with 2015, based on SDAC data (table </w:t>
      </w:r>
      <w:r w:rsidR="00586CDD">
        <w:rPr>
          <w:lang w:eastAsia="en-US"/>
        </w:rPr>
        <w:t>D</w:t>
      </w:r>
      <w:r>
        <w:rPr>
          <w:lang w:eastAsia="en-US"/>
        </w:rPr>
        <w:t>.2).</w:t>
      </w:r>
    </w:p>
    <w:p w14:paraId="40C9A9E2" w14:textId="77777777" w:rsidR="00AB649A" w:rsidRDefault="00AB649A" w:rsidP="00AB649A">
      <w:pPr>
        <w:pStyle w:val="ListBullet"/>
        <w:numPr>
          <w:ilvl w:val="0"/>
          <w:numId w:val="16"/>
        </w:numPr>
        <w:rPr>
          <w:lang w:eastAsia="en-US"/>
        </w:rPr>
      </w:pPr>
      <w:r>
        <w:rPr>
          <w:lang w:eastAsia="en-US"/>
        </w:rPr>
        <w:t xml:space="preserve">The 2015 SDAC does not report the number of dwellings with kitchen modifications. However, 2018 data suggests there are </w:t>
      </w:r>
      <w:r w:rsidRPr="00B26798">
        <w:rPr>
          <w:lang w:eastAsia="en-US"/>
        </w:rPr>
        <w:t>relatively few dwellings with a kitchen modification only</w:t>
      </w:r>
      <w:r>
        <w:rPr>
          <w:lang w:eastAsia="en-US"/>
        </w:rPr>
        <w:t xml:space="preserve"> (i.e. most dwellings with a kitchen modification have also had other modifications).</w:t>
      </w:r>
    </w:p>
    <w:p w14:paraId="138723FD" w14:textId="77777777" w:rsidR="00AB649A" w:rsidRDefault="00AB649A" w:rsidP="00AB649A">
      <w:pPr>
        <w:pStyle w:val="ListBullet"/>
        <w:numPr>
          <w:ilvl w:val="0"/>
          <w:numId w:val="16"/>
        </w:numPr>
        <w:rPr>
          <w:lang w:eastAsia="en-US"/>
        </w:rPr>
      </w:pPr>
      <w:r>
        <w:rPr>
          <w:lang w:eastAsia="en-US"/>
        </w:rPr>
        <w:t xml:space="preserve">The SDAC data suggests that there were around 33 000 more people living in modified dwellings in 2018, compared to 2015. However, this does not take into account the fact that over the 3 year period between surveys, some people that were living in accessible housing may have moved out </w:t>
      </w:r>
      <w:r>
        <w:rPr>
          <w:lang w:eastAsia="en-US" w:bidi="fa-IR"/>
        </w:rPr>
        <w:t>of a modified dwelling, due to death or other reasons (i.e. the churn). Furthermore, when a modified dwelling is vacated, it is unlikely that the new resident will have the same accessibility needs. A simple comparison between the survey periods is therefore likely to understate the number of home modifications over the period. To take this into account, the following adjustments</w:t>
      </w:r>
      <w:r w:rsidR="00F77616">
        <w:rPr>
          <w:lang w:eastAsia="en-US" w:bidi="fa-IR"/>
        </w:rPr>
        <w:t xml:space="preserve"> are made</w:t>
      </w:r>
      <w:r>
        <w:rPr>
          <w:lang w:eastAsia="en-US" w:bidi="fa-IR"/>
        </w:rPr>
        <w:t>.</w:t>
      </w:r>
    </w:p>
    <w:p w14:paraId="427C4F11" w14:textId="77777777" w:rsidR="00AB649A" w:rsidRDefault="00F77616" w:rsidP="00AB649A">
      <w:pPr>
        <w:pStyle w:val="ListBullet2"/>
        <w:numPr>
          <w:ilvl w:val="1"/>
          <w:numId w:val="16"/>
        </w:numPr>
        <w:ind w:left="568" w:hanging="284"/>
        <w:rPr>
          <w:lang w:eastAsia="en-US"/>
        </w:rPr>
      </w:pPr>
      <w:r>
        <w:rPr>
          <w:lang w:eastAsia="en-US"/>
        </w:rPr>
        <w:t>It is</w:t>
      </w:r>
      <w:r w:rsidR="00AB649A">
        <w:rPr>
          <w:lang w:eastAsia="en-US"/>
        </w:rPr>
        <w:t xml:space="preserve"> assume</w:t>
      </w:r>
      <w:r>
        <w:rPr>
          <w:lang w:eastAsia="en-US"/>
        </w:rPr>
        <w:t>d</w:t>
      </w:r>
      <w:r w:rsidR="00AB649A">
        <w:rPr>
          <w:lang w:eastAsia="en-US"/>
        </w:rPr>
        <w:t xml:space="preserve"> that 3.6 per cent of people living in modified dwelling</w:t>
      </w:r>
      <w:r w:rsidR="001E0E85">
        <w:rPr>
          <w:lang w:eastAsia="en-US"/>
        </w:rPr>
        <w:t>s</w:t>
      </w:r>
      <w:r w:rsidR="00AB649A">
        <w:rPr>
          <w:lang w:eastAsia="en-US"/>
        </w:rPr>
        <w:t xml:space="preserve"> die every year (based on the average mortality rates for the age profile living in modified dwellings). </w:t>
      </w:r>
      <w:r>
        <w:rPr>
          <w:lang w:eastAsia="en-US"/>
        </w:rPr>
        <w:t>It is</w:t>
      </w:r>
      <w:r w:rsidR="00AB649A">
        <w:rPr>
          <w:lang w:eastAsia="en-US"/>
        </w:rPr>
        <w:t xml:space="preserve"> assume</w:t>
      </w:r>
      <w:r>
        <w:rPr>
          <w:lang w:eastAsia="en-US"/>
        </w:rPr>
        <w:t>d</w:t>
      </w:r>
      <w:r w:rsidR="00AB649A">
        <w:rPr>
          <w:lang w:eastAsia="en-US"/>
        </w:rPr>
        <w:t xml:space="preserve"> that all others remain in their modified dwelling.</w:t>
      </w:r>
    </w:p>
    <w:p w14:paraId="35F214D2" w14:textId="77777777" w:rsidR="00AB649A" w:rsidRDefault="00F77616" w:rsidP="00AB649A">
      <w:pPr>
        <w:pStyle w:val="ListBullet2"/>
        <w:numPr>
          <w:ilvl w:val="1"/>
          <w:numId w:val="16"/>
        </w:numPr>
        <w:ind w:left="568" w:hanging="284"/>
        <w:rPr>
          <w:lang w:eastAsia="en-US"/>
        </w:rPr>
      </w:pPr>
      <w:r>
        <w:rPr>
          <w:lang w:eastAsia="en-US"/>
        </w:rPr>
        <w:t>It is</w:t>
      </w:r>
      <w:r w:rsidR="00AB649A">
        <w:rPr>
          <w:lang w:eastAsia="en-US"/>
        </w:rPr>
        <w:t xml:space="preserve"> assume</w:t>
      </w:r>
      <w:r>
        <w:rPr>
          <w:lang w:eastAsia="en-US"/>
        </w:rPr>
        <w:t>d</w:t>
      </w:r>
      <w:r w:rsidR="00AB649A">
        <w:rPr>
          <w:lang w:eastAsia="en-US"/>
        </w:rPr>
        <w:t xml:space="preserve"> that when a modified dwelling becomes vacant, the new residents do not have the same accessibility needs.</w:t>
      </w:r>
    </w:p>
    <w:p w14:paraId="2315875F" w14:textId="77777777" w:rsidR="00AB649A" w:rsidRDefault="00AB649A" w:rsidP="00AB649A">
      <w:pPr>
        <w:pStyle w:val="ListBullet"/>
        <w:numPr>
          <w:ilvl w:val="0"/>
          <w:numId w:val="16"/>
        </w:numPr>
        <w:rPr>
          <w:lang w:eastAsia="en-US"/>
        </w:rPr>
      </w:pPr>
      <w:r>
        <w:rPr>
          <w:lang w:eastAsia="en-US" w:bidi="fa-IR"/>
        </w:rPr>
        <w:t xml:space="preserve">With these adjustments, </w:t>
      </w:r>
      <w:r w:rsidR="003E78A0">
        <w:rPr>
          <w:lang w:eastAsia="en-US" w:bidi="fa-IR"/>
        </w:rPr>
        <w:t>it is</w:t>
      </w:r>
      <w:r>
        <w:rPr>
          <w:lang w:eastAsia="en-US" w:bidi="fa-IR"/>
        </w:rPr>
        <w:t xml:space="preserve"> estimate</w:t>
      </w:r>
      <w:r w:rsidR="003E78A0">
        <w:rPr>
          <w:lang w:eastAsia="en-US" w:bidi="fa-IR"/>
        </w:rPr>
        <w:t>d</w:t>
      </w:r>
      <w:r>
        <w:rPr>
          <w:lang w:eastAsia="en-US" w:bidi="fa-IR"/>
        </w:rPr>
        <w:t xml:space="preserve"> that around 22 000 dwelling</w:t>
      </w:r>
      <w:r w:rsidR="001E0E85">
        <w:rPr>
          <w:lang w:eastAsia="en-US" w:bidi="fa-IR"/>
        </w:rPr>
        <w:t>s</w:t>
      </w:r>
      <w:r>
        <w:rPr>
          <w:lang w:eastAsia="en-US" w:bidi="fa-IR"/>
        </w:rPr>
        <w:t xml:space="preserve"> are modified annually to meet the accessibility needs of the resident(s) (table </w:t>
      </w:r>
      <w:r w:rsidR="00586CDD">
        <w:rPr>
          <w:lang w:eastAsia="en-US" w:bidi="fa-IR"/>
        </w:rPr>
        <w:t>D</w:t>
      </w:r>
      <w:r w:rsidRPr="00317781">
        <w:rPr>
          <w:lang w:eastAsia="en-US" w:bidi="fa-IR"/>
        </w:rPr>
        <w:t>.2).</w:t>
      </w:r>
      <w:r>
        <w:rPr>
          <w:lang w:eastAsia="en-US" w:bidi="fa-IR"/>
        </w:rPr>
        <w:t xml:space="preserve"> </w:t>
      </w:r>
    </w:p>
    <w:p w14:paraId="0BF6FB24" w14:textId="0CB3B84C" w:rsidR="00AB649A" w:rsidRDefault="00B27E24" w:rsidP="00AB649A">
      <w:pPr>
        <w:pStyle w:val="Caption"/>
      </w:pPr>
      <w:bookmarkStart w:id="725" w:name="_Toc44598580"/>
      <w:bookmarkStart w:id="726" w:name="_Toc45654211"/>
      <w:bookmarkStart w:id="727" w:name="_Toc70505637"/>
      <w:r>
        <w:t>D.2</w:t>
      </w:r>
      <w:r w:rsidR="00AB649A" w:rsidRPr="00695C93">
        <w:tab/>
      </w:r>
      <w:r w:rsidR="00AB649A">
        <w:t>Number of dwellings modified</w:t>
      </w:r>
      <w:bookmarkEnd w:id="725"/>
      <w:bookmarkEnd w:id="726"/>
      <w:bookmarkEnd w:id="727"/>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D.2: Number of dwellings modified"/>
        <w:tblDescription w:val="Table D.2 shows that about 22,000 dwellings are modified annually to meet the accessibility needs of the resident."/>
      </w:tblPr>
      <w:tblGrid>
        <w:gridCol w:w="1833"/>
        <w:gridCol w:w="1173"/>
        <w:gridCol w:w="1173"/>
        <w:gridCol w:w="1173"/>
        <w:gridCol w:w="1413"/>
        <w:gridCol w:w="1173"/>
      </w:tblGrid>
      <w:tr w:rsidR="00AB649A" w14:paraId="076C0CD4" w14:textId="77777777" w:rsidTr="003C751F">
        <w:trPr>
          <w:trHeight w:val="1382"/>
          <w:tblHeader/>
        </w:trPr>
        <w:tc>
          <w:tcPr>
            <w:tcW w:w="1833" w:type="dxa"/>
            <w:shd w:val="clear" w:color="auto" w:fill="6F6652" w:themeFill="accent5"/>
          </w:tcPr>
          <w:p w14:paraId="1D0D4D53" w14:textId="77777777" w:rsidR="00AB649A" w:rsidRDefault="00AB649A" w:rsidP="003C751F">
            <w:pPr>
              <w:pStyle w:val="TableDataColumnHeading"/>
              <w:jc w:val="left"/>
              <w:rPr>
                <w:lang w:val="en-GB"/>
              </w:rPr>
            </w:pPr>
            <w:r>
              <w:rPr>
                <w:lang w:val="en-GB"/>
              </w:rPr>
              <w:t>Number of dwellings modified</w:t>
            </w:r>
          </w:p>
        </w:tc>
        <w:tc>
          <w:tcPr>
            <w:tcW w:w="1173" w:type="dxa"/>
            <w:shd w:val="clear" w:color="auto" w:fill="6F6652" w:themeFill="accent5"/>
          </w:tcPr>
          <w:p w14:paraId="225C3A4D" w14:textId="77777777" w:rsidR="00AB649A" w:rsidRDefault="00AB649A" w:rsidP="003C751F">
            <w:pPr>
              <w:pStyle w:val="TableDataColumnHeading"/>
              <w:rPr>
                <w:lang w:val="en-GB"/>
              </w:rPr>
            </w:pPr>
            <w:r>
              <w:rPr>
                <w:lang w:val="en-GB"/>
              </w:rPr>
              <w:t>Number of modified dwellings – 2015</w:t>
            </w:r>
          </w:p>
          <w:p w14:paraId="47356AF2" w14:textId="77777777" w:rsidR="00AB649A" w:rsidRDefault="00AB649A" w:rsidP="003C751F">
            <w:pPr>
              <w:pStyle w:val="TableDataColumnHeading"/>
              <w:spacing w:before="0"/>
              <w:rPr>
                <w:lang w:val="en-GB"/>
              </w:rPr>
            </w:pPr>
            <w:r>
              <w:rPr>
                <w:lang w:val="en-GB"/>
              </w:rPr>
              <w:t>(‘000)</w:t>
            </w:r>
          </w:p>
        </w:tc>
        <w:tc>
          <w:tcPr>
            <w:tcW w:w="1173" w:type="dxa"/>
            <w:shd w:val="clear" w:color="auto" w:fill="6F6652" w:themeFill="accent5"/>
          </w:tcPr>
          <w:p w14:paraId="6754B0FC" w14:textId="77777777" w:rsidR="00AB649A" w:rsidRDefault="00AB649A" w:rsidP="003C751F">
            <w:pPr>
              <w:pStyle w:val="TableDataColumnHeading"/>
              <w:spacing w:after="0"/>
              <w:rPr>
                <w:rStyle w:val="NoteLabel"/>
                <w:color w:val="FFFFFF" w:themeColor="background1"/>
              </w:rPr>
            </w:pPr>
            <w:r>
              <w:rPr>
                <w:lang w:val="en-GB"/>
              </w:rPr>
              <w:t>Number remaining in previously modified dwelling</w:t>
            </w:r>
            <w:r w:rsidRPr="00A96B1A">
              <w:rPr>
                <w:rStyle w:val="NoteLabel"/>
                <w:color w:val="FFFFFF" w:themeColor="background1"/>
              </w:rPr>
              <w:t>a</w:t>
            </w:r>
          </w:p>
          <w:p w14:paraId="3716A30B" w14:textId="77777777" w:rsidR="00AB649A" w:rsidRDefault="00AB649A" w:rsidP="003C751F">
            <w:pPr>
              <w:pStyle w:val="TableDataColumnHeading"/>
              <w:rPr>
                <w:lang w:val="en-GB"/>
              </w:rPr>
            </w:pPr>
            <w:r>
              <w:rPr>
                <w:lang w:val="en-GB"/>
              </w:rPr>
              <w:t>(‘000)</w:t>
            </w:r>
          </w:p>
        </w:tc>
        <w:tc>
          <w:tcPr>
            <w:tcW w:w="1173" w:type="dxa"/>
            <w:shd w:val="clear" w:color="auto" w:fill="6F6652" w:themeFill="accent5"/>
          </w:tcPr>
          <w:p w14:paraId="7A799B42" w14:textId="77777777" w:rsidR="00AB649A" w:rsidRDefault="00AB649A" w:rsidP="003C751F">
            <w:pPr>
              <w:pStyle w:val="TableDataColumnHeading"/>
              <w:rPr>
                <w:lang w:val="en-GB"/>
              </w:rPr>
            </w:pPr>
            <w:r>
              <w:rPr>
                <w:lang w:val="en-GB"/>
              </w:rPr>
              <w:t>Number of modified dwellings – 2018</w:t>
            </w:r>
          </w:p>
          <w:p w14:paraId="26463102" w14:textId="77777777" w:rsidR="00AB649A" w:rsidRDefault="00AB649A" w:rsidP="003C751F">
            <w:pPr>
              <w:pStyle w:val="TableDataColumnHeading"/>
              <w:rPr>
                <w:lang w:val="en-GB"/>
              </w:rPr>
            </w:pPr>
            <w:r>
              <w:rPr>
                <w:lang w:val="en-GB"/>
              </w:rPr>
              <w:t>(‘000)</w:t>
            </w:r>
          </w:p>
        </w:tc>
        <w:tc>
          <w:tcPr>
            <w:tcW w:w="1413" w:type="dxa"/>
            <w:shd w:val="clear" w:color="auto" w:fill="6F6652" w:themeFill="accent5"/>
          </w:tcPr>
          <w:p w14:paraId="6DD2E148" w14:textId="77777777" w:rsidR="00AB649A" w:rsidRDefault="00AB649A" w:rsidP="003C751F">
            <w:pPr>
              <w:pStyle w:val="TableDataColumnHeading"/>
              <w:spacing w:after="0"/>
              <w:rPr>
                <w:lang w:val="en-GB"/>
              </w:rPr>
            </w:pPr>
            <w:r>
              <w:rPr>
                <w:lang w:val="en-GB"/>
              </w:rPr>
              <w:t>Estimated number of modified dwellings over period</w:t>
            </w:r>
          </w:p>
          <w:p w14:paraId="4E1972E7" w14:textId="77777777" w:rsidR="00AB649A" w:rsidRDefault="00AB649A" w:rsidP="003C751F">
            <w:pPr>
              <w:pStyle w:val="TableDataColumnHeading"/>
              <w:rPr>
                <w:lang w:val="en-GB"/>
              </w:rPr>
            </w:pPr>
            <w:r>
              <w:rPr>
                <w:lang w:val="en-GB"/>
              </w:rPr>
              <w:t>(‘000)</w:t>
            </w:r>
          </w:p>
        </w:tc>
        <w:tc>
          <w:tcPr>
            <w:tcW w:w="1173" w:type="dxa"/>
            <w:shd w:val="clear" w:color="auto" w:fill="6F6652" w:themeFill="accent5"/>
          </w:tcPr>
          <w:p w14:paraId="4159E98D" w14:textId="77777777" w:rsidR="00AB649A" w:rsidRDefault="00AB649A" w:rsidP="003C751F">
            <w:pPr>
              <w:pStyle w:val="TableDataColumnHeading"/>
              <w:rPr>
                <w:lang w:val="en-GB"/>
              </w:rPr>
            </w:pPr>
            <w:r>
              <w:rPr>
                <w:lang w:val="en-GB"/>
              </w:rPr>
              <w:t xml:space="preserve">Estimated number of dwellings modified annually </w:t>
            </w:r>
          </w:p>
          <w:p w14:paraId="316193B3" w14:textId="77777777" w:rsidR="00AB649A" w:rsidRDefault="00AB649A" w:rsidP="003C751F">
            <w:pPr>
              <w:pStyle w:val="TableDataColumnHeading"/>
              <w:rPr>
                <w:lang w:val="en-GB"/>
              </w:rPr>
            </w:pPr>
            <w:r>
              <w:rPr>
                <w:lang w:val="en-GB"/>
              </w:rPr>
              <w:t>(‘000)</w:t>
            </w:r>
          </w:p>
        </w:tc>
      </w:tr>
      <w:tr w:rsidR="00AB649A" w14:paraId="2B771B9C" w14:textId="77777777" w:rsidTr="003C751F">
        <w:trPr>
          <w:trHeight w:val="230"/>
        </w:trPr>
        <w:tc>
          <w:tcPr>
            <w:tcW w:w="1833" w:type="dxa"/>
            <w:tcBorders>
              <w:top w:val="single" w:sz="8" w:space="0" w:color="FFFFFF" w:themeColor="background1"/>
              <w:bottom w:val="single" w:sz="8" w:space="0" w:color="FFFFFF" w:themeColor="background1"/>
            </w:tcBorders>
            <w:shd w:val="clear" w:color="auto" w:fill="E9E8E5" w:themeFill="background2"/>
          </w:tcPr>
          <w:p w14:paraId="5734C97A" w14:textId="77777777" w:rsidR="00AB649A" w:rsidRDefault="00AB649A" w:rsidP="003C751F">
            <w:pPr>
              <w:pStyle w:val="TableDataEntries"/>
              <w:jc w:val="left"/>
              <w:rPr>
                <w:lang w:val="en-GB"/>
              </w:rPr>
            </w:pPr>
            <w:r>
              <w:rPr>
                <w:lang w:val="en-GB"/>
              </w:rPr>
              <w:t>Total</w:t>
            </w:r>
          </w:p>
        </w:tc>
        <w:tc>
          <w:tcPr>
            <w:tcW w:w="1173" w:type="dxa"/>
            <w:tcBorders>
              <w:top w:val="single" w:sz="8" w:space="0" w:color="FFFFFF" w:themeColor="background1"/>
              <w:bottom w:val="single" w:sz="8" w:space="0" w:color="FFFFFF" w:themeColor="background1"/>
            </w:tcBorders>
            <w:shd w:val="clear" w:color="auto" w:fill="E9E8E5" w:themeFill="background2"/>
          </w:tcPr>
          <w:p w14:paraId="1F222A75" w14:textId="77777777" w:rsidR="00AB649A" w:rsidRDefault="00AB649A" w:rsidP="003C751F">
            <w:pPr>
              <w:pStyle w:val="TableDataEntries"/>
              <w:rPr>
                <w:lang w:val="en-GB"/>
              </w:rPr>
            </w:pPr>
            <w:r>
              <w:rPr>
                <w:lang w:val="en-GB"/>
              </w:rPr>
              <w:t xml:space="preserve"> 311.60</w:t>
            </w:r>
          </w:p>
        </w:tc>
        <w:tc>
          <w:tcPr>
            <w:tcW w:w="1173" w:type="dxa"/>
            <w:tcBorders>
              <w:top w:val="single" w:sz="8" w:space="0" w:color="FFFFFF" w:themeColor="background1"/>
              <w:bottom w:val="single" w:sz="8" w:space="0" w:color="FFFFFF" w:themeColor="background1"/>
            </w:tcBorders>
            <w:shd w:val="clear" w:color="auto" w:fill="E9E8E5" w:themeFill="background2"/>
          </w:tcPr>
          <w:p w14:paraId="7CC39BDF" w14:textId="77777777" w:rsidR="00AB649A" w:rsidRDefault="00AB649A" w:rsidP="003C751F">
            <w:pPr>
              <w:pStyle w:val="TableDataEntries"/>
              <w:rPr>
                <w:lang w:val="en-GB"/>
              </w:rPr>
            </w:pPr>
            <w:r>
              <w:rPr>
                <w:lang w:val="en-GB"/>
              </w:rPr>
              <w:t>279.1</w:t>
            </w:r>
          </w:p>
        </w:tc>
        <w:tc>
          <w:tcPr>
            <w:tcW w:w="1173" w:type="dxa"/>
            <w:tcBorders>
              <w:top w:val="single" w:sz="8" w:space="0" w:color="FFFFFF" w:themeColor="background1"/>
              <w:bottom w:val="single" w:sz="8" w:space="0" w:color="FFFFFF" w:themeColor="background1"/>
            </w:tcBorders>
            <w:shd w:val="clear" w:color="auto" w:fill="E9E8E5" w:themeFill="background2"/>
          </w:tcPr>
          <w:p w14:paraId="773FC440" w14:textId="77777777" w:rsidR="00AB649A" w:rsidRDefault="00AB649A" w:rsidP="003C751F">
            <w:pPr>
              <w:pStyle w:val="TableDataEntries"/>
              <w:rPr>
                <w:lang w:val="en-GB"/>
              </w:rPr>
            </w:pPr>
            <w:r>
              <w:rPr>
                <w:lang w:val="en-GB"/>
              </w:rPr>
              <w:t xml:space="preserve"> 346.20</w:t>
            </w:r>
          </w:p>
        </w:tc>
        <w:tc>
          <w:tcPr>
            <w:tcW w:w="1413" w:type="dxa"/>
            <w:tcBorders>
              <w:top w:val="single" w:sz="8" w:space="0" w:color="FFFFFF" w:themeColor="background1"/>
              <w:bottom w:val="single" w:sz="8" w:space="0" w:color="FFFFFF" w:themeColor="background1"/>
            </w:tcBorders>
            <w:shd w:val="clear" w:color="auto" w:fill="E9E8E5" w:themeFill="background2"/>
          </w:tcPr>
          <w:p w14:paraId="6458D065" w14:textId="77777777" w:rsidR="00AB649A" w:rsidRDefault="00AB649A" w:rsidP="003C751F">
            <w:pPr>
              <w:pStyle w:val="TableDataEntries"/>
              <w:rPr>
                <w:lang w:val="en-GB"/>
              </w:rPr>
            </w:pPr>
            <w:r>
              <w:rPr>
                <w:lang w:val="en-GB"/>
              </w:rPr>
              <w:t xml:space="preserve"> 67.06</w:t>
            </w:r>
          </w:p>
        </w:tc>
        <w:tc>
          <w:tcPr>
            <w:tcW w:w="1173" w:type="dxa"/>
            <w:tcBorders>
              <w:top w:val="single" w:sz="8" w:space="0" w:color="FFFFFF" w:themeColor="background1"/>
              <w:bottom w:val="single" w:sz="8" w:space="0" w:color="FFFFFF" w:themeColor="background1"/>
            </w:tcBorders>
            <w:shd w:val="clear" w:color="auto" w:fill="E9E8E5" w:themeFill="background2"/>
          </w:tcPr>
          <w:p w14:paraId="3E3FAA5A" w14:textId="77777777" w:rsidR="00AB649A" w:rsidRDefault="00AB649A" w:rsidP="003C751F">
            <w:pPr>
              <w:pStyle w:val="TableDataEntries"/>
              <w:rPr>
                <w:lang w:val="en-GB"/>
              </w:rPr>
            </w:pPr>
            <w:r>
              <w:rPr>
                <w:lang w:val="en-GB"/>
              </w:rPr>
              <w:t xml:space="preserve"> 22.35</w:t>
            </w:r>
          </w:p>
        </w:tc>
      </w:tr>
      <w:tr w:rsidR="00AB649A" w14:paraId="664A297D" w14:textId="77777777" w:rsidTr="003C751F">
        <w:trPr>
          <w:trHeight w:val="230"/>
        </w:trPr>
        <w:tc>
          <w:tcPr>
            <w:tcW w:w="1833" w:type="dxa"/>
            <w:tcBorders>
              <w:top w:val="single" w:sz="8" w:space="0" w:color="FFFFFF" w:themeColor="background1"/>
              <w:bottom w:val="single" w:sz="4" w:space="0" w:color="6F6652" w:themeColor="accent5"/>
            </w:tcBorders>
            <w:shd w:val="clear" w:color="auto" w:fill="E9E8E5" w:themeFill="background2"/>
          </w:tcPr>
          <w:p w14:paraId="136AEC24" w14:textId="77777777" w:rsidR="00AB649A" w:rsidRDefault="00AB649A" w:rsidP="003C751F">
            <w:pPr>
              <w:pStyle w:val="TableDataEntries"/>
              <w:jc w:val="left"/>
              <w:rPr>
                <w:lang w:val="en-GB"/>
              </w:rPr>
            </w:pPr>
            <w:r>
              <w:rPr>
                <w:lang w:val="en-GB"/>
              </w:rPr>
              <w:t>Total (ex kitchens)</w:t>
            </w:r>
          </w:p>
        </w:tc>
        <w:tc>
          <w:tcPr>
            <w:tcW w:w="1173" w:type="dxa"/>
            <w:tcBorders>
              <w:top w:val="single" w:sz="8" w:space="0" w:color="FFFFFF" w:themeColor="background1"/>
              <w:bottom w:val="single" w:sz="4" w:space="0" w:color="6F6652" w:themeColor="accent5"/>
            </w:tcBorders>
            <w:shd w:val="clear" w:color="auto" w:fill="E9E8E5" w:themeFill="background2"/>
          </w:tcPr>
          <w:p w14:paraId="07F1EAF6" w14:textId="77777777" w:rsidR="00AB649A" w:rsidRDefault="00AB649A" w:rsidP="003C751F">
            <w:pPr>
              <w:pStyle w:val="TableDataEntries"/>
              <w:rPr>
                <w:lang w:val="en-GB"/>
              </w:rPr>
            </w:pPr>
            <w:r>
              <w:rPr>
                <w:lang w:val="en-GB"/>
              </w:rPr>
              <w:t xml:space="preserve"> 311.60</w:t>
            </w:r>
          </w:p>
        </w:tc>
        <w:tc>
          <w:tcPr>
            <w:tcW w:w="1173" w:type="dxa"/>
            <w:tcBorders>
              <w:top w:val="single" w:sz="8" w:space="0" w:color="FFFFFF" w:themeColor="background1"/>
              <w:bottom w:val="single" w:sz="4" w:space="0" w:color="6F6652" w:themeColor="accent5"/>
            </w:tcBorders>
            <w:shd w:val="clear" w:color="auto" w:fill="E9E8E5" w:themeFill="background2"/>
          </w:tcPr>
          <w:p w14:paraId="66CF9696" w14:textId="77777777" w:rsidR="00AB649A" w:rsidRDefault="00AB649A" w:rsidP="003C751F">
            <w:pPr>
              <w:pStyle w:val="TableDataEntries"/>
              <w:rPr>
                <w:lang w:val="en-GB"/>
              </w:rPr>
            </w:pPr>
            <w:r>
              <w:rPr>
                <w:lang w:val="en-GB"/>
              </w:rPr>
              <w:t>279.1</w:t>
            </w:r>
          </w:p>
        </w:tc>
        <w:tc>
          <w:tcPr>
            <w:tcW w:w="1173" w:type="dxa"/>
            <w:tcBorders>
              <w:top w:val="single" w:sz="8" w:space="0" w:color="FFFFFF" w:themeColor="background1"/>
              <w:bottom w:val="single" w:sz="4" w:space="0" w:color="6F6652" w:themeColor="accent5"/>
            </w:tcBorders>
            <w:shd w:val="clear" w:color="auto" w:fill="E9E8E5" w:themeFill="background2"/>
          </w:tcPr>
          <w:p w14:paraId="44D0F3AD" w14:textId="77777777" w:rsidR="00AB649A" w:rsidRDefault="00AB649A" w:rsidP="003C751F">
            <w:pPr>
              <w:pStyle w:val="TableDataEntries"/>
              <w:rPr>
                <w:lang w:val="en-GB"/>
              </w:rPr>
            </w:pPr>
            <w:r>
              <w:rPr>
                <w:lang w:val="en-GB"/>
              </w:rPr>
              <w:t xml:space="preserve"> 344.50</w:t>
            </w:r>
          </w:p>
        </w:tc>
        <w:tc>
          <w:tcPr>
            <w:tcW w:w="1413" w:type="dxa"/>
            <w:tcBorders>
              <w:top w:val="single" w:sz="8" w:space="0" w:color="FFFFFF" w:themeColor="background1"/>
              <w:bottom w:val="single" w:sz="4" w:space="0" w:color="6F6652" w:themeColor="accent5"/>
            </w:tcBorders>
            <w:shd w:val="clear" w:color="auto" w:fill="E9E8E5" w:themeFill="background2"/>
          </w:tcPr>
          <w:p w14:paraId="1F20FF01" w14:textId="77777777" w:rsidR="00AB649A" w:rsidRDefault="00AB649A" w:rsidP="003C751F">
            <w:pPr>
              <w:pStyle w:val="TableDataEntries"/>
              <w:rPr>
                <w:lang w:val="en-GB"/>
              </w:rPr>
            </w:pPr>
            <w:r>
              <w:rPr>
                <w:lang w:val="en-GB"/>
              </w:rPr>
              <w:t xml:space="preserve"> 65.36</w:t>
            </w:r>
          </w:p>
        </w:tc>
        <w:tc>
          <w:tcPr>
            <w:tcW w:w="1173" w:type="dxa"/>
            <w:tcBorders>
              <w:top w:val="single" w:sz="8" w:space="0" w:color="FFFFFF" w:themeColor="background1"/>
              <w:bottom w:val="single" w:sz="4" w:space="0" w:color="6F6652" w:themeColor="accent5"/>
            </w:tcBorders>
            <w:shd w:val="clear" w:color="auto" w:fill="E9E8E5" w:themeFill="background2"/>
          </w:tcPr>
          <w:p w14:paraId="4FE383F5" w14:textId="77777777" w:rsidR="00AB649A" w:rsidRDefault="00AB649A" w:rsidP="003C751F">
            <w:pPr>
              <w:pStyle w:val="TableDataEntries"/>
              <w:rPr>
                <w:lang w:val="en-GB"/>
              </w:rPr>
            </w:pPr>
            <w:r>
              <w:rPr>
                <w:lang w:val="en-GB"/>
              </w:rPr>
              <w:t xml:space="preserve"> 21.79</w:t>
            </w:r>
          </w:p>
        </w:tc>
      </w:tr>
    </w:tbl>
    <w:p w14:paraId="4626984C" w14:textId="77777777" w:rsidR="00AB649A" w:rsidRPr="00280175" w:rsidRDefault="00AB649A" w:rsidP="00AB649A">
      <w:pPr>
        <w:pStyle w:val="Note"/>
      </w:pPr>
      <w:r w:rsidRPr="00A96B1A">
        <w:rPr>
          <w:rStyle w:val="NoteLabel"/>
          <w:color w:val="000000" w:themeColor="text1"/>
        </w:rPr>
        <w:t>a</w:t>
      </w:r>
      <w:r>
        <w:t xml:space="preserve"> Assumes </w:t>
      </w:r>
      <w:r w:rsidRPr="00280175">
        <w:t>a mortality rate of 3.6 per cent per year.</w:t>
      </w:r>
    </w:p>
    <w:p w14:paraId="51AD6710" w14:textId="77777777" w:rsidR="00AB649A" w:rsidRPr="00280175" w:rsidRDefault="00AB649A" w:rsidP="00AB649A">
      <w:pPr>
        <w:pStyle w:val="Source"/>
      </w:pPr>
      <w:r w:rsidRPr="00280175">
        <w:t>Source: CIE based on ABS Survey of Disabilities, Ageing and Carers 2015 and 2018, TableBuilder.</w:t>
      </w:r>
    </w:p>
    <w:p w14:paraId="0457A749" w14:textId="77777777" w:rsidR="00AB649A" w:rsidRPr="004B79EC" w:rsidRDefault="00AB649A" w:rsidP="004B79EC">
      <w:pPr>
        <w:pStyle w:val="Heading2-Appendix"/>
      </w:pPr>
      <w:r w:rsidRPr="004B79EC">
        <w:t>The unit cost of avoidable home modifications</w:t>
      </w:r>
    </w:p>
    <w:p w14:paraId="31B94029" w14:textId="77777777" w:rsidR="00AB649A" w:rsidRDefault="00AB649A" w:rsidP="00AB649A">
      <w:pPr>
        <w:pStyle w:val="BodyText"/>
        <w:rPr>
          <w:lang w:eastAsia="en-US"/>
        </w:rPr>
      </w:pPr>
      <w:r>
        <w:rPr>
          <w:lang w:eastAsia="en-US"/>
        </w:rPr>
        <w:t>Key factors that will drive the cost of home modifications include:</w:t>
      </w:r>
    </w:p>
    <w:p w14:paraId="2ADF37EB" w14:textId="77777777" w:rsidR="00AB649A" w:rsidRDefault="00AB649A" w:rsidP="00AB649A">
      <w:pPr>
        <w:pStyle w:val="ListBullet"/>
        <w:numPr>
          <w:ilvl w:val="0"/>
          <w:numId w:val="16"/>
        </w:numPr>
        <w:rPr>
          <w:lang w:eastAsia="en-US"/>
        </w:rPr>
      </w:pPr>
      <w:r>
        <w:rPr>
          <w:lang w:eastAsia="en-US"/>
        </w:rPr>
        <w:t>the type of dwelling (i.e. Class 1a or Class 2)</w:t>
      </w:r>
    </w:p>
    <w:p w14:paraId="5070EFBD" w14:textId="77777777" w:rsidR="00AB649A" w:rsidRDefault="00AB649A" w:rsidP="00AB649A">
      <w:pPr>
        <w:pStyle w:val="ListBullet"/>
        <w:numPr>
          <w:ilvl w:val="0"/>
          <w:numId w:val="16"/>
        </w:numPr>
        <w:rPr>
          <w:lang w:eastAsia="en-US"/>
        </w:rPr>
      </w:pPr>
      <w:r>
        <w:rPr>
          <w:lang w:eastAsia="en-US"/>
        </w:rPr>
        <w:t>the type of modifications (i.e. what aspects of the dwelling are modified)</w:t>
      </w:r>
    </w:p>
    <w:p w14:paraId="17A9F670" w14:textId="77777777" w:rsidR="00AB649A" w:rsidRDefault="00AB649A" w:rsidP="00AB649A">
      <w:pPr>
        <w:pStyle w:val="ListBullet"/>
        <w:numPr>
          <w:ilvl w:val="0"/>
          <w:numId w:val="16"/>
        </w:numPr>
        <w:rPr>
          <w:lang w:eastAsia="en-US"/>
        </w:rPr>
      </w:pPr>
      <w:r>
        <w:rPr>
          <w:lang w:eastAsia="en-US"/>
        </w:rPr>
        <w:t>the extent of the modifications (i.e. to what standard the dwelling is modified).</w:t>
      </w:r>
    </w:p>
    <w:p w14:paraId="6E5FD2D1" w14:textId="77777777" w:rsidR="00AB649A" w:rsidRDefault="00AB649A" w:rsidP="00AB649A">
      <w:pPr>
        <w:pStyle w:val="BodyText"/>
        <w:rPr>
          <w:lang w:eastAsia="en-US"/>
        </w:rPr>
      </w:pPr>
      <w:r>
        <w:rPr>
          <w:lang w:eastAsia="en-US" w:bidi="fa-IR"/>
        </w:rPr>
        <w:t>DCWC has</w:t>
      </w:r>
      <w:r w:rsidRPr="00DD2B9B">
        <w:rPr>
          <w:lang w:eastAsia="en-US" w:bidi="fa-IR"/>
        </w:rPr>
        <w:t xml:space="preserve"> estimated cost of retro</w:t>
      </w:r>
      <w:r w:rsidRPr="00DD2B9B">
        <w:rPr>
          <w:lang w:eastAsia="en-US" w:bidi="fa-IR"/>
        </w:rPr>
        <w:noBreakHyphen/>
        <w:t>fitting accessible design features</w:t>
      </w:r>
      <w:r>
        <w:rPr>
          <w:lang w:eastAsia="en-US" w:bidi="fa-IR"/>
        </w:rPr>
        <w:t>,</w:t>
      </w:r>
      <w:r w:rsidRPr="00DD2B9B">
        <w:rPr>
          <w:lang w:eastAsia="en-US" w:bidi="fa-IR"/>
        </w:rPr>
        <w:t xml:space="preserve"> in line with requirements for Option 1 and Option 2, for both Class 1a (separate houses and townhouses) and Class 2 dwellings (apartments)</w:t>
      </w:r>
      <w:r>
        <w:rPr>
          <w:lang w:eastAsia="en-US" w:bidi="fa-IR"/>
        </w:rPr>
        <w:t>.</w:t>
      </w:r>
      <w:r w:rsidRPr="00586CDD">
        <w:rPr>
          <w:rStyle w:val="FootnoteReference"/>
          <w:lang w:eastAsia="en-US" w:bidi="fa-IR"/>
        </w:rPr>
        <w:footnoteReference w:id="481"/>
      </w:r>
      <w:r w:rsidRPr="00FD60AE">
        <w:rPr>
          <w:i/>
          <w:iCs/>
          <w:lang w:eastAsia="en-US" w:bidi="fa-IR"/>
        </w:rPr>
        <w:t xml:space="preserve"> </w:t>
      </w:r>
      <w:r w:rsidR="007A7B24">
        <w:rPr>
          <w:lang w:eastAsia="en-US"/>
        </w:rPr>
        <w:t>T</w:t>
      </w:r>
      <w:r>
        <w:rPr>
          <w:lang w:eastAsia="en-US"/>
        </w:rPr>
        <w:t xml:space="preserve">hese estimates </w:t>
      </w:r>
      <w:r w:rsidR="007A7B24">
        <w:rPr>
          <w:lang w:eastAsia="en-US"/>
        </w:rPr>
        <w:t xml:space="preserve">are used </w:t>
      </w:r>
      <w:r>
        <w:rPr>
          <w:lang w:eastAsia="en-US"/>
        </w:rPr>
        <w:t>to derive unit costs for each of the potentially avoidable modifications.</w:t>
      </w:r>
    </w:p>
    <w:p w14:paraId="6D279B9A" w14:textId="77777777" w:rsidR="00AB649A" w:rsidRDefault="00AB649A" w:rsidP="00A753E8">
      <w:pPr>
        <w:pStyle w:val="BodyText"/>
        <w:rPr>
          <w:lang w:eastAsia="en-US"/>
        </w:rPr>
      </w:pPr>
      <w:r>
        <w:rPr>
          <w:lang w:eastAsia="en-US"/>
        </w:rPr>
        <w:t>For each element, DCWC estimate scenarios which includes homes that require no modification to meet LHDG standards (for some elements)</w:t>
      </w:r>
      <w:r w:rsidR="007A7B24">
        <w:rPr>
          <w:lang w:eastAsia="en-US"/>
        </w:rPr>
        <w:t xml:space="preserve"> </w:t>
      </w:r>
      <w:r>
        <w:rPr>
          <w:lang w:eastAsia="en-US"/>
        </w:rPr>
        <w:t xml:space="preserve">and homes where retrofitting is not practicable. As </w:t>
      </w:r>
      <w:r w:rsidR="00A753E8">
        <w:rPr>
          <w:lang w:eastAsia="en-US"/>
        </w:rPr>
        <w:t>the</w:t>
      </w:r>
      <w:r>
        <w:rPr>
          <w:lang w:eastAsia="en-US"/>
        </w:rPr>
        <w:t xml:space="preserve"> aim is to calculate the average cost of modifications that actually proceed, these scenarios </w:t>
      </w:r>
      <w:r w:rsidR="00A753E8">
        <w:rPr>
          <w:lang w:eastAsia="en-US"/>
        </w:rPr>
        <w:t>are ignored</w:t>
      </w:r>
      <w:r>
        <w:rPr>
          <w:lang w:eastAsia="en-US"/>
        </w:rPr>
        <w:t>.</w:t>
      </w:r>
    </w:p>
    <w:p w14:paraId="23895091" w14:textId="77777777" w:rsidR="00AB649A" w:rsidRDefault="00AB649A" w:rsidP="00AB649A">
      <w:pPr>
        <w:pStyle w:val="BodyText"/>
        <w:rPr>
          <w:lang w:eastAsia="en-US"/>
        </w:rPr>
      </w:pPr>
      <w:r>
        <w:rPr>
          <w:lang w:eastAsia="en-US"/>
        </w:rPr>
        <w:t xml:space="preserve">DCWC’s cost </w:t>
      </w:r>
      <w:r w:rsidRPr="00FF3A4A">
        <w:rPr>
          <w:lang w:eastAsia="en-US"/>
        </w:rPr>
        <w:t xml:space="preserve">estimates vary significantly depending on whether a dwelling is modified to meet </w:t>
      </w:r>
      <w:r>
        <w:rPr>
          <w:lang w:eastAsia="en-US"/>
        </w:rPr>
        <w:t xml:space="preserve">Option 1 or Option 2. </w:t>
      </w:r>
      <w:r w:rsidR="00B706DD">
        <w:rPr>
          <w:lang w:eastAsia="en-US"/>
        </w:rPr>
        <w:t>It is</w:t>
      </w:r>
      <w:r>
        <w:rPr>
          <w:lang w:eastAsia="en-US"/>
        </w:rPr>
        <w:t xml:space="preserve"> assume</w:t>
      </w:r>
      <w:r w:rsidR="00B706DD">
        <w:rPr>
          <w:lang w:eastAsia="en-US"/>
        </w:rPr>
        <w:t>d</w:t>
      </w:r>
      <w:r>
        <w:rPr>
          <w:lang w:eastAsia="en-US"/>
        </w:rPr>
        <w:t xml:space="preserve"> that:</w:t>
      </w:r>
    </w:p>
    <w:p w14:paraId="65E49A9F" w14:textId="77777777" w:rsidR="00AB649A" w:rsidRDefault="00AB649A" w:rsidP="00AB649A">
      <w:pPr>
        <w:pStyle w:val="ListBullet"/>
        <w:numPr>
          <w:ilvl w:val="0"/>
          <w:numId w:val="16"/>
        </w:numPr>
        <w:rPr>
          <w:lang w:eastAsia="en-US"/>
        </w:rPr>
      </w:pPr>
      <w:r>
        <w:rPr>
          <w:lang w:eastAsia="en-US"/>
        </w:rPr>
        <w:t>the modifications made by non</w:t>
      </w:r>
      <w:r>
        <w:rPr>
          <w:lang w:eastAsia="en-US"/>
        </w:rPr>
        <w:noBreakHyphen/>
        <w:t>wheelchair users would meet Option 1 costs</w:t>
      </w:r>
    </w:p>
    <w:p w14:paraId="0E0CBEB3" w14:textId="77777777" w:rsidR="00AB649A" w:rsidRDefault="00AB649A" w:rsidP="00AB649A">
      <w:pPr>
        <w:pStyle w:val="ListBullet"/>
        <w:numPr>
          <w:ilvl w:val="0"/>
          <w:numId w:val="16"/>
        </w:numPr>
        <w:rPr>
          <w:lang w:eastAsia="en-US"/>
        </w:rPr>
      </w:pPr>
      <w:r>
        <w:rPr>
          <w:lang w:eastAsia="en-US"/>
        </w:rPr>
        <w:t>the modifications made by wheelchair users would meet Option 2 costs.</w:t>
      </w:r>
    </w:p>
    <w:p w14:paraId="19FC92F3" w14:textId="77777777" w:rsidR="00AB649A" w:rsidRDefault="00AB649A" w:rsidP="00AB649A">
      <w:pPr>
        <w:pStyle w:val="BodyText"/>
        <w:rPr>
          <w:lang w:eastAsia="en-US"/>
        </w:rPr>
      </w:pPr>
      <w:r>
        <w:rPr>
          <w:lang w:eastAsia="en-US"/>
        </w:rPr>
        <w:t xml:space="preserve">Based on the above information, </w:t>
      </w:r>
      <w:r w:rsidR="003B6005">
        <w:rPr>
          <w:lang w:eastAsia="en-US"/>
        </w:rPr>
        <w:t>it is</w:t>
      </w:r>
      <w:r>
        <w:rPr>
          <w:lang w:eastAsia="en-US"/>
        </w:rPr>
        <w:t xml:space="preserve"> estimate</w:t>
      </w:r>
      <w:r w:rsidR="003B6005">
        <w:rPr>
          <w:lang w:eastAsia="en-US"/>
        </w:rPr>
        <w:t>d</w:t>
      </w:r>
      <w:r>
        <w:rPr>
          <w:lang w:eastAsia="en-US"/>
        </w:rPr>
        <w:t xml:space="preserve"> that the weighted average cost of home modifications made to Class 1a dwellings is around $1</w:t>
      </w:r>
      <w:r w:rsidR="00EE6E77">
        <w:rPr>
          <w:lang w:eastAsia="en-US"/>
        </w:rPr>
        <w:t>8</w:t>
      </w:r>
      <w:r>
        <w:rPr>
          <w:lang w:eastAsia="en-US"/>
        </w:rPr>
        <w:t> </w:t>
      </w:r>
      <w:r w:rsidR="00EE6E77">
        <w:rPr>
          <w:lang w:eastAsia="en-US"/>
        </w:rPr>
        <w:t>281</w:t>
      </w:r>
      <w:r>
        <w:rPr>
          <w:lang w:eastAsia="en-US"/>
        </w:rPr>
        <w:t xml:space="preserve"> for non</w:t>
      </w:r>
      <w:r>
        <w:rPr>
          <w:lang w:eastAsia="en-US"/>
        </w:rPr>
        <w:noBreakHyphen/>
        <w:t>wheelchair users and around $4</w:t>
      </w:r>
      <w:r w:rsidR="00EE6E77">
        <w:rPr>
          <w:lang w:eastAsia="en-US"/>
        </w:rPr>
        <w:t>9 706</w:t>
      </w:r>
      <w:r>
        <w:rPr>
          <w:lang w:eastAsia="en-US"/>
        </w:rPr>
        <w:t xml:space="preserve"> for wheelchair users (table </w:t>
      </w:r>
      <w:r w:rsidR="00B706DD">
        <w:rPr>
          <w:lang w:eastAsia="en-US"/>
        </w:rPr>
        <w:t>D</w:t>
      </w:r>
      <w:r>
        <w:rPr>
          <w:lang w:eastAsia="en-US"/>
        </w:rPr>
        <w:t>.3).</w:t>
      </w:r>
    </w:p>
    <w:p w14:paraId="099E376B" w14:textId="306902F6" w:rsidR="00AB649A" w:rsidRDefault="00B27E24" w:rsidP="00AB649A">
      <w:pPr>
        <w:pStyle w:val="Caption"/>
        <w:spacing w:before="240"/>
      </w:pPr>
      <w:bookmarkStart w:id="728" w:name="_Toc44598581"/>
      <w:bookmarkStart w:id="729" w:name="_Toc45654212"/>
      <w:bookmarkStart w:id="730" w:name="_Toc70505638"/>
      <w:r>
        <w:t>D.3</w:t>
      </w:r>
      <w:r w:rsidR="00AB649A" w:rsidRPr="00695C93">
        <w:tab/>
      </w:r>
      <w:r w:rsidR="00AB649A">
        <w:t>Weighted average cost of modifications for Class 1a dwellings</w:t>
      </w:r>
      <w:bookmarkEnd w:id="728"/>
      <w:bookmarkEnd w:id="729"/>
      <w:bookmarkEnd w:id="730"/>
    </w:p>
    <w:tbl>
      <w:tblPr>
        <w:tblStyle w:val="TableGridLight"/>
        <w:tblW w:w="7938" w:type="dxa"/>
        <w:tblLayout w:type="fixed"/>
        <w:tblLook w:val="0020" w:firstRow="1" w:lastRow="0" w:firstColumn="0" w:lastColumn="0" w:noHBand="0" w:noVBand="0"/>
        <w:tblCaption w:val="Table D.3: Weighted average cost of modifications for Class 1a dwellings"/>
        <w:tblDescription w:val="Table D.3 lists the types and costs of modifications to Class 1a dwellings, divided by wheelchair and non-wheelchair uers. The weighted average for non-wheelchair users is $18,821, and for wheelchair users is $49,706."/>
      </w:tblPr>
      <w:tblGrid>
        <w:gridCol w:w="2261"/>
        <w:gridCol w:w="1419"/>
        <w:gridCol w:w="1419"/>
        <w:gridCol w:w="1420"/>
        <w:gridCol w:w="1419"/>
      </w:tblGrid>
      <w:tr w:rsidR="00AB649A" w14:paraId="0BC79A74" w14:textId="77777777" w:rsidTr="003C751F">
        <w:trPr>
          <w:trHeight w:val="461"/>
          <w:tblHeader/>
        </w:trPr>
        <w:tc>
          <w:tcPr>
            <w:tcW w:w="2261" w:type="dxa"/>
            <w:tcBorders>
              <w:top w:val="nil"/>
              <w:left w:val="nil"/>
              <w:bottom w:val="nil"/>
              <w:right w:val="nil"/>
            </w:tcBorders>
            <w:shd w:val="clear" w:color="auto" w:fill="6F6652" w:themeFill="accent5"/>
          </w:tcPr>
          <w:p w14:paraId="15C0ADC2" w14:textId="77777777" w:rsidR="00AB649A" w:rsidRDefault="00AB649A" w:rsidP="003C751F">
            <w:pPr>
              <w:pStyle w:val="TableDataColumnHeading"/>
              <w:jc w:val="left"/>
              <w:rPr>
                <w:lang w:val="en-GB"/>
              </w:rPr>
            </w:pPr>
            <w:r>
              <w:rPr>
                <w:lang w:val="en-GB"/>
              </w:rPr>
              <w:t>Modification</w:t>
            </w:r>
          </w:p>
        </w:tc>
        <w:tc>
          <w:tcPr>
            <w:tcW w:w="1419" w:type="dxa"/>
            <w:tcBorders>
              <w:top w:val="nil"/>
              <w:left w:val="nil"/>
              <w:bottom w:val="nil"/>
              <w:right w:val="nil"/>
            </w:tcBorders>
            <w:shd w:val="clear" w:color="auto" w:fill="6F6652" w:themeFill="accent5"/>
          </w:tcPr>
          <w:p w14:paraId="1BD6B38F" w14:textId="77777777" w:rsidR="00AB649A" w:rsidRDefault="00AB649A" w:rsidP="003C751F">
            <w:pPr>
              <w:pStyle w:val="TableDataColumnHeading"/>
              <w:rPr>
                <w:lang w:val="en-GB"/>
              </w:rPr>
            </w:pPr>
            <w:r>
              <w:rPr>
                <w:lang w:val="en-GB"/>
              </w:rPr>
              <w:t>Non-wheelchair users:</w:t>
            </w:r>
            <w:r>
              <w:rPr>
                <w:lang w:val="en-GB"/>
              </w:rPr>
              <w:br/>
              <w:t xml:space="preserve"> Share of modifications with relevant feature </w:t>
            </w:r>
            <w:r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r>
            <w:r>
              <w:rPr>
                <w:lang w:val="en-GB"/>
              </w:rPr>
              <w:t>(per cent)</w:t>
            </w:r>
          </w:p>
        </w:tc>
        <w:tc>
          <w:tcPr>
            <w:tcW w:w="1419" w:type="dxa"/>
            <w:tcBorders>
              <w:top w:val="nil"/>
              <w:left w:val="nil"/>
              <w:bottom w:val="nil"/>
              <w:right w:val="nil"/>
            </w:tcBorders>
            <w:shd w:val="clear" w:color="auto" w:fill="6F6652" w:themeFill="accent5"/>
          </w:tcPr>
          <w:p w14:paraId="16B344C0" w14:textId="77777777" w:rsidR="00AB649A" w:rsidRPr="00DF7B3F" w:rsidRDefault="00AB649A" w:rsidP="003C751F">
            <w:pPr>
              <w:pStyle w:val="TableDataColumnHeading"/>
              <w:rPr>
                <w:b/>
                <w:bCs/>
                <w:lang w:val="en-GB"/>
              </w:rPr>
            </w:pPr>
            <w:r>
              <w:rPr>
                <w:lang w:val="en-GB"/>
              </w:rPr>
              <w:t xml:space="preserve">Non-wheelchair users: </w:t>
            </w:r>
            <w:r>
              <w:rPr>
                <w:lang w:val="en-GB"/>
              </w:rPr>
              <w:br/>
              <w:t xml:space="preserve">Unit cost </w:t>
            </w:r>
            <w:r w:rsidRPr="00A96B1A">
              <w:rPr>
                <w:rStyle w:val="NoteLabel"/>
                <w:color w:val="FFFFFF" w:themeColor="background1"/>
              </w:rPr>
              <w:t>b</w:t>
            </w:r>
            <w:r>
              <w:rPr>
                <w:rStyle w:val="NoteLabel"/>
                <w:color w:val="FFFFFF" w:themeColor="background1"/>
              </w:rPr>
              <w:t xml:space="preserve"> </w:t>
            </w:r>
            <w:r>
              <w:rPr>
                <w:rStyle w:val="NoteLabel"/>
                <w:color w:val="FFFFFF" w:themeColor="background1"/>
              </w:rPr>
              <w:br/>
            </w:r>
            <w:r>
              <w:rPr>
                <w:lang w:val="en-GB"/>
              </w:rPr>
              <w:br/>
              <w:t>($)</w:t>
            </w:r>
          </w:p>
        </w:tc>
        <w:tc>
          <w:tcPr>
            <w:tcW w:w="1420" w:type="dxa"/>
            <w:tcBorders>
              <w:top w:val="nil"/>
              <w:left w:val="nil"/>
              <w:bottom w:val="nil"/>
              <w:right w:val="nil"/>
            </w:tcBorders>
            <w:shd w:val="clear" w:color="auto" w:fill="6F6652" w:themeFill="accent5"/>
          </w:tcPr>
          <w:p w14:paraId="76613E62" w14:textId="77777777" w:rsidR="00AB649A" w:rsidRDefault="00AB649A" w:rsidP="003C751F">
            <w:pPr>
              <w:pStyle w:val="TableDataColumnHeading"/>
              <w:rPr>
                <w:lang w:val="en-GB"/>
              </w:rPr>
            </w:pPr>
            <w:r>
              <w:rPr>
                <w:lang w:val="en-GB"/>
              </w:rPr>
              <w:t xml:space="preserve">Wheelchair users: </w:t>
            </w:r>
            <w:r>
              <w:rPr>
                <w:lang w:val="en-GB"/>
              </w:rPr>
              <w:br/>
              <w:t xml:space="preserve">Share of modifications with relevant feature </w:t>
            </w:r>
            <w:r w:rsidRPr="00A96B1A">
              <w:rPr>
                <w:rStyle w:val="NoteLabel"/>
                <w:color w:val="FFFFFF" w:themeColor="background1"/>
              </w:rPr>
              <w:t>c</w:t>
            </w:r>
            <w:r>
              <w:rPr>
                <w:rStyle w:val="NoteLabel"/>
                <w:color w:val="FFFFFF" w:themeColor="background1"/>
              </w:rPr>
              <w:t xml:space="preserve"> </w:t>
            </w:r>
            <w:r>
              <w:rPr>
                <w:rStyle w:val="NoteLabel"/>
                <w:color w:val="FFFFFF" w:themeColor="background1"/>
              </w:rPr>
              <w:br/>
            </w:r>
            <w:r>
              <w:rPr>
                <w:lang w:val="en-GB"/>
              </w:rPr>
              <w:t>(per cent)</w:t>
            </w:r>
          </w:p>
        </w:tc>
        <w:tc>
          <w:tcPr>
            <w:tcW w:w="1419" w:type="dxa"/>
            <w:tcBorders>
              <w:top w:val="nil"/>
              <w:left w:val="nil"/>
              <w:bottom w:val="nil"/>
              <w:right w:val="nil"/>
            </w:tcBorders>
            <w:shd w:val="clear" w:color="auto" w:fill="6F6652" w:themeFill="accent5"/>
          </w:tcPr>
          <w:p w14:paraId="0BA31E21" w14:textId="77777777" w:rsidR="00AB649A" w:rsidRDefault="00AB649A" w:rsidP="003C751F">
            <w:pPr>
              <w:pStyle w:val="TableDataColumnHeading"/>
              <w:rPr>
                <w:lang w:val="en-GB"/>
              </w:rPr>
            </w:pPr>
            <w:r>
              <w:rPr>
                <w:lang w:val="en-GB"/>
              </w:rPr>
              <w:t xml:space="preserve">Wheelchair users: </w:t>
            </w:r>
            <w:r>
              <w:rPr>
                <w:lang w:val="en-GB"/>
              </w:rPr>
              <w:br/>
              <w:t xml:space="preserve">Unit cost </w:t>
            </w:r>
            <w:r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r>
              <w:rPr>
                <w:lang w:val="en-GB"/>
              </w:rPr>
              <w:br/>
              <w:t>($)</w:t>
            </w:r>
          </w:p>
        </w:tc>
      </w:tr>
      <w:tr w:rsidR="00AB649A" w14:paraId="64A975C2"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037D0C0B" w14:textId="77777777" w:rsidR="00AB649A" w:rsidRDefault="00AB649A" w:rsidP="003C751F">
            <w:pPr>
              <w:pStyle w:val="TableDataEntries"/>
              <w:jc w:val="left"/>
              <w:rPr>
                <w:lang w:val="en-GB"/>
              </w:rPr>
            </w:pPr>
            <w:r>
              <w:rPr>
                <w:lang w:val="en-GB"/>
              </w:rPr>
              <w:t>Structural changes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6F43A270" w14:textId="77777777" w:rsidR="00AB649A" w:rsidRDefault="00AB649A" w:rsidP="003C751F">
            <w:pPr>
              <w:pStyle w:val="TableDataEntries"/>
              <w:rPr>
                <w:lang w:val="en-GB"/>
              </w:rPr>
            </w:pPr>
            <w:r>
              <w:rPr>
                <w:lang w:val="en-GB"/>
              </w:rPr>
              <w:t>16</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10BB957B" w14:textId="77777777" w:rsidR="00AB649A" w:rsidRPr="008D4FF6" w:rsidRDefault="00AB649A" w:rsidP="003C751F">
            <w:pPr>
              <w:pStyle w:val="TableDataEntries"/>
              <w:rPr>
                <w:szCs w:val="16"/>
                <w:lang w:val="en-GB"/>
              </w:rPr>
            </w:pPr>
            <w:r w:rsidRPr="008D4FF6">
              <w:rPr>
                <w:szCs w:val="16"/>
              </w:rPr>
              <w:t xml:space="preserve">27 </w:t>
            </w:r>
            <w:r w:rsidR="00EE6E77">
              <w:rPr>
                <w:szCs w:val="16"/>
              </w:rPr>
              <w:t>483</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07624DA7" w14:textId="77777777" w:rsidR="00AB649A" w:rsidRDefault="00AB649A" w:rsidP="003C751F">
            <w:pPr>
              <w:pStyle w:val="TableDataEntries"/>
              <w:rPr>
                <w:lang w:val="en-GB"/>
              </w:rPr>
            </w:pPr>
            <w:r>
              <w:rPr>
                <w:lang w:val="en-GB"/>
              </w:rPr>
              <w:t>29</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6149BB76" w14:textId="77777777" w:rsidR="00AB649A" w:rsidRPr="008D4FF6" w:rsidRDefault="00AB649A" w:rsidP="003C751F">
            <w:pPr>
              <w:pStyle w:val="TableDataEntries"/>
              <w:rPr>
                <w:szCs w:val="16"/>
                <w:lang w:val="en-GB"/>
              </w:rPr>
            </w:pPr>
            <w:r w:rsidRPr="008D4FF6">
              <w:rPr>
                <w:szCs w:val="16"/>
              </w:rPr>
              <w:t>34 5</w:t>
            </w:r>
            <w:r w:rsidR="00EE6E77">
              <w:rPr>
                <w:szCs w:val="16"/>
              </w:rPr>
              <w:t>04</w:t>
            </w:r>
          </w:p>
        </w:tc>
      </w:tr>
      <w:tr w:rsidR="00AB649A" w14:paraId="1E9044E8"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54176FCA" w14:textId="77777777" w:rsidR="00AB649A" w:rsidRDefault="00AB649A" w:rsidP="003C751F">
            <w:pPr>
              <w:pStyle w:val="TableDataEntries"/>
              <w:jc w:val="left"/>
              <w:rPr>
                <w:lang w:val="en-GB"/>
              </w:rPr>
            </w:pPr>
            <w:r>
              <w:rPr>
                <w:lang w:val="en-GB"/>
              </w:rPr>
              <w:t>Ramps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222869D5" w14:textId="77777777" w:rsidR="00AB649A" w:rsidRDefault="00AB649A" w:rsidP="003C751F">
            <w:pPr>
              <w:pStyle w:val="TableDataEntries"/>
              <w:rPr>
                <w:lang w:val="en-GB"/>
              </w:rPr>
            </w:pPr>
            <w:r>
              <w:rPr>
                <w:lang w:val="en-GB"/>
              </w:rPr>
              <w:t>29</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0370D4DE" w14:textId="77777777" w:rsidR="00AB649A" w:rsidRPr="008D4FF6" w:rsidRDefault="00EE6E77" w:rsidP="003C751F">
            <w:pPr>
              <w:pStyle w:val="TableDataEntries"/>
              <w:rPr>
                <w:szCs w:val="16"/>
                <w:lang w:val="en-GB"/>
              </w:rPr>
            </w:pPr>
            <w:r>
              <w:rPr>
                <w:szCs w:val="16"/>
              </w:rPr>
              <w:t>10</w:t>
            </w:r>
            <w:r w:rsidR="00AB649A" w:rsidRPr="008D4FF6">
              <w:rPr>
                <w:szCs w:val="16"/>
              </w:rPr>
              <w:t xml:space="preserve"> </w:t>
            </w:r>
            <w:r>
              <w:rPr>
                <w:szCs w:val="16"/>
              </w:rPr>
              <w:t>500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1AA2FCE0" w14:textId="77777777" w:rsidR="00AB649A" w:rsidRDefault="00AB649A" w:rsidP="003C751F">
            <w:pPr>
              <w:pStyle w:val="TableDataEntries"/>
              <w:rPr>
                <w:lang w:val="en-GB"/>
              </w:rPr>
            </w:pPr>
            <w:r>
              <w:rPr>
                <w:lang w:val="en-GB"/>
              </w:rPr>
              <w:t>72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79CBE800" w14:textId="77777777" w:rsidR="00AB649A" w:rsidRPr="008D4FF6" w:rsidRDefault="00EE6E77" w:rsidP="003C751F">
            <w:pPr>
              <w:pStyle w:val="TableDataEntries"/>
              <w:rPr>
                <w:szCs w:val="16"/>
                <w:lang w:val="en-GB"/>
              </w:rPr>
            </w:pPr>
            <w:r>
              <w:rPr>
                <w:szCs w:val="16"/>
              </w:rPr>
              <w:t>10</w:t>
            </w:r>
            <w:r w:rsidR="00AB649A" w:rsidRPr="008D4FF6">
              <w:rPr>
                <w:szCs w:val="16"/>
              </w:rPr>
              <w:t xml:space="preserve"> </w:t>
            </w:r>
            <w:r>
              <w:rPr>
                <w:szCs w:val="16"/>
              </w:rPr>
              <w:t>800</w:t>
            </w:r>
          </w:p>
        </w:tc>
      </w:tr>
      <w:tr w:rsidR="00AB649A" w14:paraId="766D916F" w14:textId="77777777" w:rsidTr="003D13A6">
        <w:trPr>
          <w:trHeight w:val="103"/>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1FB04A54" w14:textId="77777777" w:rsidR="00AB649A" w:rsidRDefault="00AB649A" w:rsidP="003D13A6">
            <w:pPr>
              <w:pStyle w:val="TableDataEntries"/>
              <w:spacing w:before="0"/>
              <w:jc w:val="left"/>
              <w:rPr>
                <w:lang w:val="en-GB"/>
              </w:rPr>
            </w:pPr>
            <w:r>
              <w:rPr>
                <w:lang w:val="en-GB"/>
              </w:rPr>
              <w:t>Toilet, bath or laundry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49204E62" w14:textId="77777777" w:rsidR="00AB649A" w:rsidRDefault="00AB649A" w:rsidP="003D13A6">
            <w:pPr>
              <w:pStyle w:val="TableDataEntries"/>
              <w:spacing w:before="0"/>
              <w:rPr>
                <w:lang w:val="en-GB"/>
              </w:rPr>
            </w:pPr>
            <w:r>
              <w:rPr>
                <w:lang w:val="en-GB"/>
              </w:rPr>
              <w:t>78</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776BE595" w14:textId="77777777" w:rsidR="00AB649A" w:rsidRPr="003D13A6" w:rsidRDefault="00AB649A" w:rsidP="003D13A6">
            <w:pPr>
              <w:pStyle w:val="TableDataEntries"/>
              <w:rPr>
                <w:szCs w:val="16"/>
              </w:rPr>
            </w:pPr>
            <w:r w:rsidRPr="003D13A6">
              <w:rPr>
                <w:szCs w:val="16"/>
              </w:rPr>
              <w:t>13 412</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0153791F" w14:textId="77777777" w:rsidR="00AB649A" w:rsidRPr="003D13A6" w:rsidRDefault="00AB649A" w:rsidP="003D13A6">
            <w:pPr>
              <w:pStyle w:val="TableDataEntries"/>
              <w:rPr>
                <w:szCs w:val="16"/>
              </w:rPr>
            </w:pPr>
            <w:r w:rsidRPr="003D13A6">
              <w:rPr>
                <w:szCs w:val="16"/>
              </w:rPr>
              <w:t>87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7A5A54A1" w14:textId="77777777" w:rsidR="00AB649A" w:rsidRPr="003D13A6" w:rsidRDefault="00AB649A" w:rsidP="003D13A6">
            <w:pPr>
              <w:pStyle w:val="TableDataEntries"/>
              <w:rPr>
                <w:szCs w:val="16"/>
              </w:rPr>
            </w:pPr>
            <w:r w:rsidRPr="008D4FF6">
              <w:rPr>
                <w:szCs w:val="16"/>
              </w:rPr>
              <w:t>31 822</w:t>
            </w:r>
          </w:p>
        </w:tc>
      </w:tr>
      <w:tr w:rsidR="00AB649A" w14:paraId="729D1CCB"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647138BF" w14:textId="77777777" w:rsidR="00AB649A" w:rsidRDefault="00AB649A" w:rsidP="003C751F">
            <w:pPr>
              <w:pStyle w:val="TableDataEntries"/>
              <w:jc w:val="left"/>
              <w:rPr>
                <w:lang w:val="en-GB"/>
              </w:rPr>
            </w:pPr>
            <w:r>
              <w:rPr>
                <w:lang w:val="en-GB"/>
              </w:rPr>
              <w:t>Kitchen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669AE71A" w14:textId="77777777" w:rsidR="00AB649A" w:rsidRDefault="00AB649A" w:rsidP="003C751F">
            <w:pPr>
              <w:pStyle w:val="TableDataEntries"/>
              <w:rPr>
                <w:lang w:val="en-GB"/>
              </w:rPr>
            </w:pPr>
            <w:r>
              <w:rPr>
                <w:lang w:val="en-GB"/>
              </w:rPr>
              <w:t>5</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5FA0C9FA" w14:textId="77777777" w:rsidR="00AB649A" w:rsidRPr="008D4FF6" w:rsidRDefault="00AB649A" w:rsidP="003C751F">
            <w:pPr>
              <w:pStyle w:val="TableDataEntries"/>
              <w:rPr>
                <w:szCs w:val="16"/>
                <w:lang w:val="en-GB"/>
              </w:rPr>
            </w:pPr>
            <w:r w:rsidRPr="008D4FF6">
              <w:rPr>
                <w:szCs w:val="16"/>
              </w:rPr>
              <w:t>7 500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36716D7D" w14:textId="77777777" w:rsidR="00AB649A" w:rsidRDefault="00AB649A" w:rsidP="003C751F">
            <w:pPr>
              <w:pStyle w:val="TableDataEntries"/>
              <w:rPr>
                <w:lang w:val="en-GB"/>
              </w:rPr>
            </w:pPr>
            <w:r>
              <w:rPr>
                <w:lang w:val="en-GB"/>
              </w:rPr>
              <w:t>17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38821CF1" w14:textId="77777777" w:rsidR="00AB649A" w:rsidRPr="008D4FF6" w:rsidRDefault="00AB649A" w:rsidP="003C751F">
            <w:pPr>
              <w:pStyle w:val="TableDataEntries"/>
              <w:rPr>
                <w:szCs w:val="16"/>
                <w:lang w:val="en-GB"/>
              </w:rPr>
            </w:pPr>
            <w:r w:rsidRPr="008D4FF6">
              <w:rPr>
                <w:szCs w:val="16"/>
              </w:rPr>
              <w:t>7 500</w:t>
            </w:r>
          </w:p>
        </w:tc>
      </w:tr>
      <w:tr w:rsidR="00AB649A" w14:paraId="5B005E28"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10669062" w14:textId="77777777" w:rsidR="00AB649A" w:rsidRDefault="00AB649A" w:rsidP="003C751F">
            <w:pPr>
              <w:pStyle w:val="TableDataEntries"/>
              <w:jc w:val="left"/>
              <w:rPr>
                <w:lang w:val="en-GB"/>
              </w:rPr>
            </w:pPr>
            <w:r>
              <w:rPr>
                <w:lang w:val="en-GB"/>
              </w:rPr>
              <w:t>Doors widened</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49BDC429" w14:textId="77777777" w:rsidR="00AB649A" w:rsidRDefault="00AB649A" w:rsidP="003C751F">
            <w:pPr>
              <w:pStyle w:val="TableDataEntries"/>
              <w:rPr>
                <w:lang w:val="en-GB"/>
              </w:rPr>
            </w:pPr>
            <w:r>
              <w:rPr>
                <w:lang w:val="en-GB"/>
              </w:rPr>
              <w:t>4</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101B3A74" w14:textId="77777777" w:rsidR="00AB649A" w:rsidRPr="008D4FF6" w:rsidRDefault="00AB649A" w:rsidP="003C751F">
            <w:pPr>
              <w:pStyle w:val="TableDataEntries"/>
              <w:rPr>
                <w:szCs w:val="16"/>
                <w:lang w:val="en-GB"/>
              </w:rPr>
            </w:pPr>
            <w:r w:rsidRPr="008D4FF6">
              <w:rPr>
                <w:szCs w:val="16"/>
              </w:rPr>
              <w:t>12 670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7F9E3AA5" w14:textId="77777777" w:rsidR="00AB649A" w:rsidRDefault="00AB649A" w:rsidP="003C751F">
            <w:pPr>
              <w:pStyle w:val="TableDataEntries"/>
              <w:rPr>
                <w:lang w:val="en-GB"/>
              </w:rPr>
            </w:pPr>
            <w:r>
              <w:rPr>
                <w:lang w:val="en-GB"/>
              </w:rPr>
              <w:t>24</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743CC938" w14:textId="77777777" w:rsidR="00AB649A" w:rsidRPr="008D4FF6" w:rsidRDefault="00AB649A" w:rsidP="003C751F">
            <w:pPr>
              <w:pStyle w:val="TableDataEntries"/>
              <w:rPr>
                <w:szCs w:val="16"/>
                <w:lang w:val="en-GB"/>
              </w:rPr>
            </w:pPr>
            <w:r w:rsidRPr="008D4FF6">
              <w:rPr>
                <w:szCs w:val="16"/>
              </w:rPr>
              <w:t>13 070</w:t>
            </w:r>
          </w:p>
        </w:tc>
      </w:tr>
      <w:tr w:rsidR="00AB649A" w:rsidRPr="001F224E" w14:paraId="7E6F4258" w14:textId="77777777" w:rsidTr="003C751F">
        <w:trPr>
          <w:trHeight w:val="230"/>
        </w:trPr>
        <w:tc>
          <w:tcPr>
            <w:tcW w:w="2261"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38290544" w14:textId="77777777" w:rsidR="00AB649A" w:rsidRPr="001F224E" w:rsidRDefault="00AB649A" w:rsidP="003C751F">
            <w:pPr>
              <w:pStyle w:val="TableDataEntries"/>
              <w:jc w:val="left"/>
              <w:rPr>
                <w:rFonts w:ascii="Franklin Gothic Demi" w:hAnsi="Franklin Gothic Demi"/>
                <w:lang w:val="en-GB"/>
              </w:rPr>
            </w:pPr>
            <w:r w:rsidRPr="001F224E">
              <w:rPr>
                <w:rFonts w:ascii="Franklin Gothic Demi" w:hAnsi="Franklin Gothic Demi"/>
                <w:lang w:val="en-GB"/>
              </w:rPr>
              <w:t>Weighted average</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18BBC84A" w14:textId="77777777" w:rsidR="00AB649A" w:rsidRPr="001F224E" w:rsidRDefault="00AB649A" w:rsidP="003C751F">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vAlign w:val="bottom"/>
          </w:tcPr>
          <w:p w14:paraId="76FF7667" w14:textId="77777777" w:rsidR="00AB649A" w:rsidRPr="008D4FF6" w:rsidRDefault="00AB649A" w:rsidP="003C751F">
            <w:pPr>
              <w:pStyle w:val="TableDataEntries"/>
              <w:rPr>
                <w:rFonts w:ascii="Franklin Gothic Demi" w:hAnsi="Franklin Gothic Demi"/>
                <w:szCs w:val="16"/>
                <w:lang w:val="en-GB"/>
              </w:rPr>
            </w:pPr>
            <w:r w:rsidRPr="008D4FF6">
              <w:rPr>
                <w:b/>
                <w:bCs/>
                <w:szCs w:val="16"/>
              </w:rPr>
              <w:t>1</w:t>
            </w:r>
            <w:r w:rsidR="00EE6E77">
              <w:rPr>
                <w:b/>
                <w:bCs/>
                <w:szCs w:val="16"/>
              </w:rPr>
              <w:t>8</w:t>
            </w:r>
            <w:r w:rsidRPr="008D4FF6">
              <w:rPr>
                <w:b/>
                <w:bCs/>
                <w:szCs w:val="16"/>
              </w:rPr>
              <w:t xml:space="preserve"> </w:t>
            </w:r>
            <w:r w:rsidR="00EE6E77">
              <w:rPr>
                <w:b/>
                <w:bCs/>
                <w:szCs w:val="16"/>
              </w:rPr>
              <w:t>8</w:t>
            </w:r>
            <w:r w:rsidR="00F57E2D">
              <w:rPr>
                <w:b/>
                <w:bCs/>
                <w:szCs w:val="16"/>
              </w:rPr>
              <w:t>2</w:t>
            </w:r>
            <w:r w:rsidR="00EE6E77">
              <w:rPr>
                <w:b/>
                <w:bCs/>
                <w:szCs w:val="16"/>
              </w:rPr>
              <w:t>1</w:t>
            </w:r>
          </w:p>
        </w:tc>
        <w:tc>
          <w:tcPr>
            <w:tcW w:w="1420"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416E3E1C" w14:textId="77777777" w:rsidR="00AB649A" w:rsidRPr="001F224E" w:rsidRDefault="00AB649A" w:rsidP="003C751F">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vAlign w:val="bottom"/>
          </w:tcPr>
          <w:p w14:paraId="3D519934" w14:textId="77777777" w:rsidR="00AB649A" w:rsidRPr="008D4FF6" w:rsidRDefault="00AB649A" w:rsidP="003C751F">
            <w:pPr>
              <w:pStyle w:val="TableDataEntries"/>
              <w:rPr>
                <w:rFonts w:ascii="Franklin Gothic Demi" w:hAnsi="Franklin Gothic Demi"/>
                <w:szCs w:val="16"/>
                <w:lang w:val="en-GB"/>
              </w:rPr>
            </w:pPr>
            <w:r w:rsidRPr="008D4FF6">
              <w:rPr>
                <w:b/>
                <w:bCs/>
                <w:szCs w:val="16"/>
              </w:rPr>
              <w:t>4</w:t>
            </w:r>
            <w:r w:rsidR="00EE6E77">
              <w:rPr>
                <w:b/>
                <w:bCs/>
                <w:szCs w:val="16"/>
              </w:rPr>
              <w:t>9</w:t>
            </w:r>
            <w:r w:rsidRPr="008D4FF6">
              <w:rPr>
                <w:b/>
                <w:bCs/>
                <w:szCs w:val="16"/>
              </w:rPr>
              <w:t xml:space="preserve"> </w:t>
            </w:r>
            <w:r w:rsidR="00EE6E77">
              <w:rPr>
                <w:b/>
                <w:bCs/>
                <w:szCs w:val="16"/>
              </w:rPr>
              <w:t>706</w:t>
            </w:r>
          </w:p>
        </w:tc>
      </w:tr>
    </w:tbl>
    <w:p w14:paraId="0D511DBD" w14:textId="77777777" w:rsidR="00AB649A" w:rsidRPr="00E4232C" w:rsidRDefault="00AB649A" w:rsidP="00AB649A">
      <w:pPr>
        <w:pStyle w:val="Note"/>
      </w:pPr>
      <w:r w:rsidRPr="00A96B1A">
        <w:rPr>
          <w:rStyle w:val="NoteLabel"/>
          <w:color w:val="000000" w:themeColor="text1"/>
        </w:rPr>
        <w:t>a</w:t>
      </w:r>
      <w:r>
        <w:t xml:space="preserve"> Based on the modifications made by non</w:t>
      </w:r>
      <w:r>
        <w:noBreakHyphen/>
        <w:t xml:space="preserve">wheelchair users living in Class 1a dwellings reported in SDAC (2018). Weights add to more than 100 per cent because many dwellings have multiple modifications. </w:t>
      </w:r>
      <w:r w:rsidRPr="00A96B1A">
        <w:rPr>
          <w:rStyle w:val="NoteLabel"/>
          <w:color w:val="000000" w:themeColor="text1"/>
        </w:rPr>
        <w:t>b</w:t>
      </w:r>
      <w:r>
        <w:t xml:space="preserve"> Based on DCWC’s estimates of the cost of relevant changes to meet Option 1. </w:t>
      </w:r>
      <w:r w:rsidRPr="00A96B1A">
        <w:rPr>
          <w:rStyle w:val="NoteLabel"/>
          <w:color w:val="000000" w:themeColor="text1"/>
        </w:rPr>
        <w:t>c</w:t>
      </w:r>
      <w:r>
        <w:t xml:space="preserve"> Based on the modifications made by wheelchair users living in Class 1a dwellings reported in SDAC (2018). Weights add to more than 100 per cent because many dwellings have multiple modifications. </w:t>
      </w:r>
      <w:r w:rsidRPr="00A96B1A">
        <w:rPr>
          <w:rStyle w:val="NoteLabel"/>
          <w:color w:val="000000" w:themeColor="text1"/>
        </w:rPr>
        <w:t>d</w:t>
      </w:r>
      <w:r>
        <w:t xml:space="preserve"> Based on DCWC’s estimates of the cost of relevant changes to meet Option 2.</w:t>
      </w:r>
    </w:p>
    <w:p w14:paraId="7BEE8132" w14:textId="77777777" w:rsidR="00AB649A" w:rsidRPr="00280175" w:rsidRDefault="00AB649A" w:rsidP="00AB649A">
      <w:pPr>
        <w:pStyle w:val="Note"/>
        <w:rPr>
          <w:iCs/>
        </w:rPr>
      </w:pPr>
      <w:r w:rsidRPr="00280175">
        <w:rPr>
          <w:iCs/>
        </w:rPr>
        <w:t xml:space="preserve">Note: </w:t>
      </w:r>
      <w:r w:rsidR="008D4FF6" w:rsidRPr="00280175">
        <w:rPr>
          <w:iCs/>
        </w:rPr>
        <w:t>It is</w:t>
      </w:r>
      <w:r w:rsidRPr="00280175">
        <w:rPr>
          <w:iCs/>
        </w:rPr>
        <w:t xml:space="preserve"> assume</w:t>
      </w:r>
      <w:r w:rsidR="008D4FF6" w:rsidRPr="00280175">
        <w:rPr>
          <w:iCs/>
        </w:rPr>
        <w:t>d</w:t>
      </w:r>
      <w:r w:rsidRPr="00280175">
        <w:rPr>
          <w:iCs/>
        </w:rPr>
        <w:t xml:space="preserve"> that the modifications made by non</w:t>
      </w:r>
      <w:r w:rsidRPr="00280175">
        <w:rPr>
          <w:iCs/>
        </w:rPr>
        <w:noBreakHyphen/>
        <w:t>wheelchair users meet Option 1 for the relevant design elements and the modifications made by wheelchair users meet Option 2 for the relevant design elements.</w:t>
      </w:r>
    </w:p>
    <w:p w14:paraId="07DF5B72" w14:textId="77777777" w:rsidR="00AB649A" w:rsidRPr="00280175" w:rsidRDefault="00AB649A" w:rsidP="00AB649A">
      <w:pPr>
        <w:pStyle w:val="Source"/>
        <w:rPr>
          <w:iCs/>
        </w:rPr>
      </w:pPr>
      <w:r w:rsidRPr="00280175">
        <w:rPr>
          <w:iCs/>
        </w:rPr>
        <w:t>Source: CIE</w:t>
      </w:r>
      <w:r w:rsidR="008D4FF6" w:rsidRPr="00280175">
        <w:rPr>
          <w:iCs/>
        </w:rPr>
        <w:t xml:space="preserve"> estimates</w:t>
      </w:r>
      <w:r w:rsidRPr="00280175">
        <w:rPr>
          <w:iCs/>
        </w:rPr>
        <w:t xml:space="preserve"> based on: ABS, 2018 Survey of Disabilities, Ageing and Carers, TableBuilder; DCWC 2020, NCC Accessible Housing Sundry Cost Advice, 15 December 2020 and associated spreadsheets</w:t>
      </w:r>
    </w:p>
    <w:p w14:paraId="1EC3D6B1" w14:textId="77777777" w:rsidR="00AB649A" w:rsidRDefault="00AB649A" w:rsidP="00AB649A">
      <w:pPr>
        <w:pStyle w:val="BodyText"/>
        <w:rPr>
          <w:lang w:eastAsia="en-US"/>
        </w:rPr>
      </w:pPr>
      <w:r>
        <w:rPr>
          <w:lang w:eastAsia="en-US"/>
        </w:rPr>
        <w:t xml:space="preserve">For Class 2 dwellings, </w:t>
      </w:r>
      <w:r w:rsidR="007B3109">
        <w:rPr>
          <w:lang w:eastAsia="en-US"/>
        </w:rPr>
        <w:t xml:space="preserve">it is </w:t>
      </w:r>
      <w:r>
        <w:rPr>
          <w:lang w:eastAsia="en-US"/>
        </w:rPr>
        <w:t>estimate</w:t>
      </w:r>
      <w:r w:rsidR="007B3109">
        <w:rPr>
          <w:lang w:eastAsia="en-US"/>
        </w:rPr>
        <w:t>d that</w:t>
      </w:r>
      <w:r>
        <w:rPr>
          <w:lang w:eastAsia="en-US"/>
        </w:rPr>
        <w:t xml:space="preserve"> the weighted average cost of home modifications for non</w:t>
      </w:r>
      <w:r>
        <w:rPr>
          <w:lang w:eastAsia="en-US"/>
        </w:rPr>
        <w:noBreakHyphen/>
        <w:t>wheelchair users is around $</w:t>
      </w:r>
      <w:r w:rsidR="00EE6E77">
        <w:rPr>
          <w:lang w:eastAsia="en-US"/>
        </w:rPr>
        <w:t>20 </w:t>
      </w:r>
      <w:r w:rsidR="00EE6E77" w:rsidRPr="00172B67">
        <w:rPr>
          <w:lang w:eastAsia="en-US"/>
        </w:rPr>
        <w:t>260</w:t>
      </w:r>
      <w:r w:rsidRPr="00172B67">
        <w:rPr>
          <w:lang w:eastAsia="en-US"/>
        </w:rPr>
        <w:t xml:space="preserve"> and</w:t>
      </w:r>
      <w:r w:rsidR="00F57E2D">
        <w:rPr>
          <w:lang w:eastAsia="en-US"/>
        </w:rPr>
        <w:t xml:space="preserve"> around $36 292</w:t>
      </w:r>
      <w:r w:rsidRPr="00172B67">
        <w:rPr>
          <w:lang w:eastAsia="en-US"/>
        </w:rPr>
        <w:t xml:space="preserve"> </w:t>
      </w:r>
      <w:r w:rsidRPr="004C0EBC">
        <w:rPr>
          <w:lang w:eastAsia="en-US"/>
        </w:rPr>
        <w:t>for</w:t>
      </w:r>
      <w:r>
        <w:rPr>
          <w:lang w:eastAsia="en-US"/>
        </w:rPr>
        <w:t xml:space="preserve"> wheelchair users (table </w:t>
      </w:r>
      <w:r w:rsidR="007B3109">
        <w:rPr>
          <w:lang w:eastAsia="en-US"/>
        </w:rPr>
        <w:t>D</w:t>
      </w:r>
      <w:r>
        <w:rPr>
          <w:lang w:eastAsia="en-US"/>
        </w:rPr>
        <w:t>.4).</w:t>
      </w:r>
    </w:p>
    <w:p w14:paraId="5A101991" w14:textId="63F5CD69" w:rsidR="00AB649A" w:rsidRDefault="00B27E24" w:rsidP="00AB649A">
      <w:pPr>
        <w:pStyle w:val="Caption"/>
        <w:spacing w:before="240"/>
      </w:pPr>
      <w:bookmarkStart w:id="731" w:name="_Toc44598582"/>
      <w:bookmarkStart w:id="732" w:name="_Toc45654213"/>
      <w:bookmarkStart w:id="733" w:name="_Toc70505639"/>
      <w:r>
        <w:t>D.4</w:t>
      </w:r>
      <w:r w:rsidR="00AB649A" w:rsidRPr="00695C93">
        <w:tab/>
      </w:r>
      <w:r w:rsidR="00AB649A">
        <w:t>Weighted average cost of modifications for Class 2 dwellings</w:t>
      </w:r>
      <w:bookmarkEnd w:id="731"/>
      <w:bookmarkEnd w:id="732"/>
      <w:bookmarkEnd w:id="733"/>
    </w:p>
    <w:tbl>
      <w:tblPr>
        <w:tblStyle w:val="TableGridLight"/>
        <w:tblW w:w="7938" w:type="dxa"/>
        <w:tblLayout w:type="fixed"/>
        <w:tblLook w:val="0020" w:firstRow="1" w:lastRow="0" w:firstColumn="0" w:lastColumn="0" w:noHBand="0" w:noVBand="0"/>
        <w:tblCaption w:val="Table D.4: Weighted average cost of modifications for Class 2 dwellings"/>
        <w:tblDescription w:val="Table D.4 lists the types and costs of modifications to Class 2 dwellings, divided by wheelchair and non-wheelchair uers. The weighted average for non-wheelchair users is $20,260, and for wheelchair users is $36,292."/>
      </w:tblPr>
      <w:tblGrid>
        <w:gridCol w:w="2261"/>
        <w:gridCol w:w="1419"/>
        <w:gridCol w:w="1419"/>
        <w:gridCol w:w="1420"/>
        <w:gridCol w:w="1419"/>
      </w:tblGrid>
      <w:tr w:rsidR="00AB649A" w:rsidRPr="00EB3218" w14:paraId="066061FC" w14:textId="77777777" w:rsidTr="003C751F">
        <w:trPr>
          <w:trHeight w:val="461"/>
          <w:tblHeader/>
        </w:trPr>
        <w:tc>
          <w:tcPr>
            <w:tcW w:w="2261" w:type="dxa"/>
            <w:tcBorders>
              <w:top w:val="nil"/>
              <w:left w:val="nil"/>
              <w:bottom w:val="nil"/>
              <w:right w:val="nil"/>
            </w:tcBorders>
            <w:shd w:val="clear" w:color="auto" w:fill="6F6652" w:themeFill="accent5"/>
          </w:tcPr>
          <w:p w14:paraId="36B1C4A4" w14:textId="77777777" w:rsidR="00AB649A" w:rsidRDefault="00AB649A" w:rsidP="003C751F">
            <w:pPr>
              <w:pStyle w:val="TableDataColumnHeading"/>
              <w:jc w:val="left"/>
              <w:rPr>
                <w:lang w:val="en-GB"/>
              </w:rPr>
            </w:pPr>
            <w:r>
              <w:rPr>
                <w:lang w:val="en-GB"/>
              </w:rPr>
              <w:t>Modification</w:t>
            </w:r>
          </w:p>
        </w:tc>
        <w:tc>
          <w:tcPr>
            <w:tcW w:w="1419" w:type="dxa"/>
            <w:tcBorders>
              <w:top w:val="nil"/>
              <w:left w:val="nil"/>
              <w:bottom w:val="nil"/>
              <w:right w:val="nil"/>
            </w:tcBorders>
            <w:shd w:val="clear" w:color="auto" w:fill="6F6652" w:themeFill="accent5"/>
          </w:tcPr>
          <w:p w14:paraId="5CD18FCF" w14:textId="77777777" w:rsidR="00AB649A" w:rsidRDefault="00AB649A" w:rsidP="003C751F">
            <w:pPr>
              <w:pStyle w:val="TableDataColumnHeading"/>
              <w:rPr>
                <w:lang w:val="en-GB"/>
              </w:rPr>
            </w:pPr>
            <w:r>
              <w:rPr>
                <w:lang w:val="en-GB"/>
              </w:rPr>
              <w:t>Non-wheelchair users:</w:t>
            </w:r>
            <w:r>
              <w:rPr>
                <w:lang w:val="en-GB"/>
              </w:rPr>
              <w:br/>
              <w:t xml:space="preserve">Share of modifications with relevant feature </w:t>
            </w:r>
            <w:r w:rsidRPr="00A96B1A">
              <w:rPr>
                <w:rStyle w:val="NoteLabel"/>
                <w:color w:val="FFFFFF" w:themeColor="background1"/>
              </w:rPr>
              <w:t>a</w:t>
            </w:r>
            <w:r>
              <w:rPr>
                <w:rStyle w:val="NoteLabel"/>
                <w:color w:val="FFFFFF" w:themeColor="background1"/>
              </w:rPr>
              <w:br/>
              <w:t>(per cent)</w:t>
            </w:r>
          </w:p>
        </w:tc>
        <w:tc>
          <w:tcPr>
            <w:tcW w:w="1419" w:type="dxa"/>
            <w:tcBorders>
              <w:top w:val="nil"/>
              <w:left w:val="nil"/>
              <w:bottom w:val="nil"/>
              <w:right w:val="nil"/>
            </w:tcBorders>
            <w:shd w:val="clear" w:color="auto" w:fill="6F6652" w:themeFill="accent5"/>
          </w:tcPr>
          <w:p w14:paraId="6E86D5EF" w14:textId="77777777" w:rsidR="00AB649A" w:rsidRDefault="00AB649A" w:rsidP="003C751F">
            <w:pPr>
              <w:pStyle w:val="TableDataColumnHeading"/>
              <w:rPr>
                <w:lang w:val="en-GB"/>
              </w:rPr>
            </w:pPr>
            <w:r>
              <w:rPr>
                <w:lang w:val="en-GB"/>
              </w:rPr>
              <w:t>Non-wheelchair users:</w:t>
            </w:r>
            <w:r>
              <w:rPr>
                <w:lang w:val="en-GB"/>
              </w:rPr>
              <w:br/>
              <w:t xml:space="preserve">Unit cost </w:t>
            </w:r>
            <w:r w:rsidRPr="00A96B1A">
              <w:rPr>
                <w:rStyle w:val="NoteLabel"/>
                <w:color w:val="FFFFFF" w:themeColor="background1"/>
              </w:rPr>
              <w:t>b</w:t>
            </w:r>
            <w:r>
              <w:rPr>
                <w:rStyle w:val="NoteLabel"/>
                <w:color w:val="FFFFFF" w:themeColor="background1"/>
              </w:rPr>
              <w:br/>
            </w:r>
            <w:r>
              <w:rPr>
                <w:rStyle w:val="NoteLabel"/>
                <w:color w:val="FFFFFF" w:themeColor="background1"/>
              </w:rPr>
              <w:br/>
              <w:t>($)</w:t>
            </w:r>
          </w:p>
        </w:tc>
        <w:tc>
          <w:tcPr>
            <w:tcW w:w="1420" w:type="dxa"/>
            <w:tcBorders>
              <w:top w:val="nil"/>
              <w:left w:val="nil"/>
              <w:bottom w:val="nil"/>
              <w:right w:val="nil"/>
            </w:tcBorders>
            <w:shd w:val="clear" w:color="auto" w:fill="6F6652" w:themeFill="accent5"/>
          </w:tcPr>
          <w:p w14:paraId="45CA1494" w14:textId="77777777" w:rsidR="00AB649A" w:rsidRDefault="00AB649A" w:rsidP="003C751F">
            <w:pPr>
              <w:pStyle w:val="TableDataColumnHeading"/>
              <w:rPr>
                <w:lang w:val="en-GB"/>
              </w:rPr>
            </w:pPr>
            <w:r>
              <w:rPr>
                <w:lang w:val="en-GB"/>
              </w:rPr>
              <w:t>Wheelchair users:</w:t>
            </w:r>
            <w:r>
              <w:rPr>
                <w:lang w:val="en-GB"/>
              </w:rPr>
              <w:br/>
              <w:t xml:space="preserve">Share of modifications with relevant feature </w:t>
            </w:r>
            <w:r w:rsidRPr="00A96B1A">
              <w:rPr>
                <w:rStyle w:val="NoteLabel"/>
                <w:color w:val="FFFFFF" w:themeColor="background1"/>
              </w:rPr>
              <w:t>c</w:t>
            </w:r>
            <w:r>
              <w:rPr>
                <w:rStyle w:val="NoteLabel"/>
                <w:color w:val="FFFFFF" w:themeColor="background1"/>
              </w:rPr>
              <w:br/>
              <w:t>(per cent)</w:t>
            </w:r>
          </w:p>
        </w:tc>
        <w:tc>
          <w:tcPr>
            <w:tcW w:w="1419" w:type="dxa"/>
            <w:tcBorders>
              <w:top w:val="nil"/>
              <w:left w:val="nil"/>
              <w:bottom w:val="nil"/>
              <w:right w:val="nil"/>
            </w:tcBorders>
            <w:shd w:val="clear" w:color="auto" w:fill="6F6652" w:themeFill="accent5"/>
          </w:tcPr>
          <w:p w14:paraId="74845B30" w14:textId="77777777" w:rsidR="00AB649A" w:rsidRDefault="00AB649A" w:rsidP="003C751F">
            <w:pPr>
              <w:pStyle w:val="TableDataColumnHeading"/>
              <w:rPr>
                <w:rStyle w:val="NoteLabel"/>
                <w:color w:val="FFFFFF" w:themeColor="background1"/>
              </w:rPr>
            </w:pPr>
            <w:r>
              <w:rPr>
                <w:lang w:val="en-GB"/>
              </w:rPr>
              <w:t>Wheelchair users:</w:t>
            </w:r>
            <w:r>
              <w:rPr>
                <w:lang w:val="en-GB"/>
              </w:rPr>
              <w:br/>
              <w:t xml:space="preserve">Unit cost </w:t>
            </w:r>
            <w:r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p>
          <w:p w14:paraId="14AB3015" w14:textId="77777777" w:rsidR="00AB649A" w:rsidRDefault="00AB649A" w:rsidP="003C751F">
            <w:pPr>
              <w:pStyle w:val="TableDataColumnHeading"/>
              <w:rPr>
                <w:lang w:val="en-GB"/>
              </w:rPr>
            </w:pPr>
            <w:r>
              <w:rPr>
                <w:rStyle w:val="NoteLabel"/>
                <w:color w:val="FFFFFF" w:themeColor="background1"/>
              </w:rPr>
              <w:t>($)</w:t>
            </w:r>
          </w:p>
        </w:tc>
      </w:tr>
      <w:tr w:rsidR="00AB649A" w14:paraId="2802C776"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3A9BB78B" w14:textId="77777777" w:rsidR="00AB649A" w:rsidRDefault="00AB649A" w:rsidP="003C751F">
            <w:pPr>
              <w:pStyle w:val="TableDataEntries"/>
              <w:jc w:val="left"/>
              <w:rPr>
                <w:lang w:val="en-GB"/>
              </w:rPr>
            </w:pPr>
            <w:r>
              <w:rPr>
                <w:lang w:val="en-GB"/>
              </w:rPr>
              <w:t>Structural changes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02DD35C7" w14:textId="77777777" w:rsidR="00AB649A" w:rsidRDefault="00AB649A" w:rsidP="003C751F">
            <w:pPr>
              <w:pStyle w:val="TableDataEntries"/>
              <w:rPr>
                <w:lang w:val="en-GB"/>
              </w:rPr>
            </w:pPr>
            <w:r>
              <w:rPr>
                <w:lang w:val="en-GB"/>
              </w:rPr>
              <w:t>12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7B64C471" w14:textId="77777777" w:rsidR="00AB649A" w:rsidRPr="007B3109" w:rsidRDefault="00AB649A" w:rsidP="003C751F">
            <w:pPr>
              <w:pStyle w:val="TableDataEntries"/>
              <w:rPr>
                <w:szCs w:val="16"/>
                <w:lang w:val="en-GB"/>
              </w:rPr>
            </w:pPr>
            <w:r w:rsidRPr="007B3109">
              <w:rPr>
                <w:szCs w:val="16"/>
              </w:rPr>
              <w:t>25 492</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63D1293F" w14:textId="77777777" w:rsidR="00AB649A" w:rsidRDefault="00AB649A" w:rsidP="003C751F">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6A2852F1" w14:textId="77777777" w:rsidR="00AB649A" w:rsidRPr="007B3109" w:rsidRDefault="00AB649A" w:rsidP="003C751F">
            <w:pPr>
              <w:pStyle w:val="TableDataEntries"/>
              <w:rPr>
                <w:szCs w:val="16"/>
                <w:lang w:val="en-GB"/>
              </w:rPr>
            </w:pPr>
            <w:r w:rsidRPr="007B3109">
              <w:rPr>
                <w:szCs w:val="16"/>
              </w:rPr>
              <w:t>31 692</w:t>
            </w:r>
          </w:p>
        </w:tc>
      </w:tr>
      <w:tr w:rsidR="00AB649A" w14:paraId="6BBDF785"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0DAAC087" w14:textId="77777777" w:rsidR="00AB649A" w:rsidRDefault="00AB649A" w:rsidP="003C751F">
            <w:pPr>
              <w:pStyle w:val="TableDataEntries"/>
              <w:jc w:val="left"/>
              <w:rPr>
                <w:lang w:val="en-GB"/>
              </w:rPr>
            </w:pPr>
            <w:r>
              <w:rPr>
                <w:lang w:val="en-GB"/>
              </w:rPr>
              <w:t>Ramps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6AA8B988" w14:textId="77777777" w:rsidR="00AB649A" w:rsidRDefault="00AB649A" w:rsidP="003C751F">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65E282FA" w14:textId="77777777" w:rsidR="00AB649A" w:rsidRPr="007B3109" w:rsidRDefault="00F57E2D" w:rsidP="003C751F">
            <w:pPr>
              <w:pStyle w:val="TableDataEntries"/>
              <w:rPr>
                <w:szCs w:val="16"/>
                <w:lang w:val="en-GB"/>
              </w:rPr>
            </w:pPr>
            <w:r>
              <w:rPr>
                <w:szCs w:val="16"/>
              </w:rPr>
              <w:t>10</w:t>
            </w:r>
            <w:r w:rsidR="00AB649A" w:rsidRPr="007B3109">
              <w:rPr>
                <w:szCs w:val="16"/>
              </w:rPr>
              <w:t xml:space="preserve"> </w:t>
            </w:r>
            <w:r>
              <w:rPr>
                <w:szCs w:val="16"/>
              </w:rPr>
              <w:t>500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3DC7923A" w14:textId="77777777" w:rsidR="00AB649A" w:rsidRDefault="00AB649A" w:rsidP="003C751F">
            <w:pPr>
              <w:pStyle w:val="TableDataEntries"/>
              <w:rPr>
                <w:lang w:val="en-GB"/>
              </w:rPr>
            </w:pPr>
            <w:r>
              <w:rPr>
                <w:lang w:val="en-GB"/>
              </w:rPr>
              <w:t>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2C419A02" w14:textId="77777777" w:rsidR="00AB649A" w:rsidRPr="007B3109" w:rsidRDefault="00F57E2D" w:rsidP="003C751F">
            <w:pPr>
              <w:pStyle w:val="TableDataEntries"/>
              <w:rPr>
                <w:szCs w:val="16"/>
                <w:lang w:val="en-GB"/>
              </w:rPr>
            </w:pPr>
            <w:r>
              <w:rPr>
                <w:szCs w:val="16"/>
              </w:rPr>
              <w:t>10 800</w:t>
            </w:r>
          </w:p>
        </w:tc>
      </w:tr>
      <w:tr w:rsidR="00AB649A" w14:paraId="6622CBC0" w14:textId="77777777" w:rsidTr="003D13A6">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71CD9D61" w14:textId="77777777" w:rsidR="00AB649A" w:rsidRDefault="00AB649A" w:rsidP="003C751F">
            <w:pPr>
              <w:pStyle w:val="TableDataEntries"/>
              <w:jc w:val="left"/>
              <w:rPr>
                <w:lang w:val="en-GB"/>
              </w:rPr>
            </w:pPr>
            <w:r>
              <w:rPr>
                <w:lang w:val="en-GB"/>
              </w:rPr>
              <w:t>Toilet, bath or laundry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781B7A03" w14:textId="77777777" w:rsidR="00AB649A" w:rsidRDefault="00AB649A" w:rsidP="003C751F">
            <w:pPr>
              <w:pStyle w:val="TableDataEntries"/>
              <w:rPr>
                <w:lang w:val="en-GB"/>
              </w:rPr>
            </w:pPr>
            <w:r>
              <w:rPr>
                <w:lang w:val="en-GB"/>
              </w:rPr>
              <w:t>92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5124B4F5" w14:textId="77777777" w:rsidR="00AB649A" w:rsidRPr="007B3109" w:rsidRDefault="00AB649A" w:rsidP="003C751F">
            <w:pPr>
              <w:pStyle w:val="TableDataEntries"/>
              <w:rPr>
                <w:szCs w:val="16"/>
                <w:lang w:val="en-GB"/>
              </w:rPr>
            </w:pPr>
            <w:r w:rsidRPr="007B3109">
              <w:rPr>
                <w:szCs w:val="16"/>
              </w:rPr>
              <w:t>10 221</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083EFC31" w14:textId="77777777" w:rsidR="00AB649A" w:rsidRDefault="00AB649A" w:rsidP="003C751F">
            <w:pPr>
              <w:pStyle w:val="TableDataEntries"/>
              <w:rPr>
                <w:lang w:val="en-GB"/>
              </w:rPr>
            </w:pPr>
            <w:r>
              <w:rPr>
                <w:lang w:val="en-GB"/>
              </w:rPr>
              <w:t>57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735D8777" w14:textId="77777777" w:rsidR="00AB649A" w:rsidRPr="007B3109" w:rsidRDefault="00AB649A" w:rsidP="003C751F">
            <w:pPr>
              <w:pStyle w:val="TableDataEntries"/>
              <w:rPr>
                <w:szCs w:val="16"/>
                <w:lang w:val="en-GB"/>
              </w:rPr>
            </w:pPr>
            <w:r w:rsidRPr="007B3109">
              <w:rPr>
                <w:szCs w:val="16"/>
              </w:rPr>
              <w:t>29 464</w:t>
            </w:r>
          </w:p>
        </w:tc>
      </w:tr>
      <w:tr w:rsidR="00AB649A" w14:paraId="21007783"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5FEF77C3" w14:textId="77777777" w:rsidR="00AB649A" w:rsidRDefault="00AB649A" w:rsidP="003C751F">
            <w:pPr>
              <w:pStyle w:val="TableDataEntries"/>
              <w:jc w:val="left"/>
              <w:rPr>
                <w:lang w:val="en-GB"/>
              </w:rPr>
            </w:pPr>
            <w:r>
              <w:rPr>
                <w:lang w:val="en-GB"/>
              </w:rPr>
              <w:t>Kitchen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00D26D14" w14:textId="77777777" w:rsidR="00AB649A" w:rsidRDefault="00AB649A" w:rsidP="003C751F">
            <w:pPr>
              <w:pStyle w:val="TableDataEntries"/>
              <w:rPr>
                <w:lang w:val="en-GB"/>
              </w:rPr>
            </w:pPr>
            <w:r>
              <w:rPr>
                <w:lang w:val="en-GB"/>
              </w:rPr>
              <w:t>5</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23AF47B3" w14:textId="77777777" w:rsidR="00AB649A" w:rsidRPr="007B3109" w:rsidRDefault="00AB649A" w:rsidP="003C751F">
            <w:pPr>
              <w:pStyle w:val="TableDataEntries"/>
              <w:rPr>
                <w:szCs w:val="16"/>
                <w:lang w:val="en-GB"/>
              </w:rPr>
            </w:pPr>
            <w:r w:rsidRPr="007B3109">
              <w:rPr>
                <w:szCs w:val="16"/>
              </w:rPr>
              <w:t>7 500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165E50AF" w14:textId="77777777" w:rsidR="00AB649A" w:rsidRDefault="00AB649A" w:rsidP="003C751F">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3B4A0076" w14:textId="77777777" w:rsidR="00AB649A" w:rsidRPr="007B3109" w:rsidRDefault="00AB649A" w:rsidP="003C751F">
            <w:pPr>
              <w:pStyle w:val="TableDataEntries"/>
              <w:rPr>
                <w:szCs w:val="16"/>
                <w:lang w:val="en-GB"/>
              </w:rPr>
            </w:pPr>
            <w:r w:rsidRPr="007B3109">
              <w:rPr>
                <w:szCs w:val="16"/>
              </w:rPr>
              <w:t>7 500</w:t>
            </w:r>
          </w:p>
        </w:tc>
      </w:tr>
      <w:tr w:rsidR="00AB649A" w14:paraId="1AAF0D2C" w14:textId="77777777" w:rsidTr="003C751F">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14:paraId="29F5A712" w14:textId="77777777" w:rsidR="00AB649A" w:rsidRDefault="00AB649A" w:rsidP="003C751F">
            <w:pPr>
              <w:pStyle w:val="TableDataEntries"/>
              <w:jc w:val="left"/>
              <w:rPr>
                <w:lang w:val="en-GB"/>
              </w:rPr>
            </w:pPr>
            <w:r>
              <w:rPr>
                <w:lang w:val="en-GB"/>
              </w:rPr>
              <w:t>Doors widened</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14:paraId="50172625" w14:textId="77777777" w:rsidR="00AB649A" w:rsidRDefault="00AB649A" w:rsidP="003C751F">
            <w:pPr>
              <w:pStyle w:val="TableDataEntries"/>
              <w:rPr>
                <w:lang w:val="en-GB"/>
              </w:rPr>
            </w:pPr>
            <w:r>
              <w:rPr>
                <w:lang w:val="en-GB"/>
              </w:rPr>
              <w:t>16</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231F33A8" w14:textId="77777777" w:rsidR="00AB649A" w:rsidRPr="007B3109" w:rsidRDefault="00AB649A" w:rsidP="003C751F">
            <w:pPr>
              <w:pStyle w:val="TableDataEntries"/>
              <w:rPr>
                <w:szCs w:val="16"/>
                <w:lang w:val="en-GB"/>
              </w:rPr>
            </w:pPr>
            <w:r w:rsidRPr="007B3109">
              <w:rPr>
                <w:szCs w:val="16"/>
              </w:rPr>
              <w:t>13 000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14:paraId="7F0D822E" w14:textId="77777777" w:rsidR="00AB649A" w:rsidRDefault="00AB649A" w:rsidP="003C751F">
            <w:pPr>
              <w:pStyle w:val="TableDataEntries"/>
              <w:rPr>
                <w:lang w:val="en-GB"/>
              </w:rPr>
            </w:pPr>
            <w:r>
              <w:rPr>
                <w:lang w:val="en-GB"/>
              </w:rPr>
              <w:t>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vAlign w:val="bottom"/>
          </w:tcPr>
          <w:p w14:paraId="444809DC" w14:textId="77777777" w:rsidR="00AB649A" w:rsidRPr="007B3109" w:rsidRDefault="00AB649A" w:rsidP="003C751F">
            <w:pPr>
              <w:pStyle w:val="TableDataEntries"/>
              <w:rPr>
                <w:szCs w:val="16"/>
                <w:lang w:val="en-GB"/>
              </w:rPr>
            </w:pPr>
            <w:r w:rsidRPr="007B3109">
              <w:rPr>
                <w:szCs w:val="16"/>
              </w:rPr>
              <w:t>13 550</w:t>
            </w:r>
          </w:p>
        </w:tc>
      </w:tr>
      <w:tr w:rsidR="00AB649A" w:rsidRPr="00184E9F" w14:paraId="36599D85" w14:textId="77777777" w:rsidTr="003C751F">
        <w:trPr>
          <w:trHeight w:val="230"/>
        </w:trPr>
        <w:tc>
          <w:tcPr>
            <w:tcW w:w="2261"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48991911" w14:textId="77777777" w:rsidR="00AB649A" w:rsidRPr="00184E9F" w:rsidRDefault="00AB649A" w:rsidP="003C751F">
            <w:pPr>
              <w:pStyle w:val="TableDataEntries"/>
              <w:jc w:val="left"/>
              <w:rPr>
                <w:rFonts w:ascii="Franklin Gothic Demi" w:hAnsi="Franklin Gothic Demi"/>
                <w:lang w:val="en-GB"/>
              </w:rPr>
            </w:pPr>
            <w:r w:rsidRPr="00184E9F">
              <w:rPr>
                <w:rFonts w:ascii="Franklin Gothic Demi" w:hAnsi="Franklin Gothic Demi"/>
                <w:lang w:val="en-GB"/>
              </w:rPr>
              <w:t>Weighted average</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346370FA" w14:textId="77777777" w:rsidR="00AB649A" w:rsidRPr="00184E9F" w:rsidRDefault="00AB649A" w:rsidP="003C751F">
            <w:pPr>
              <w:pStyle w:val="TableDataEntries"/>
              <w:rPr>
                <w:rFonts w:ascii="Franklin Gothic Demi" w:hAnsi="Franklin Gothic Demi"/>
                <w:lang w:val="en-GB"/>
              </w:rPr>
            </w:pPr>
            <w:r w:rsidRPr="00184E9F">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vAlign w:val="bottom"/>
          </w:tcPr>
          <w:p w14:paraId="65F1EB74" w14:textId="77777777" w:rsidR="00AB649A" w:rsidRPr="00184E9F" w:rsidRDefault="00F57E2D" w:rsidP="003C751F">
            <w:pPr>
              <w:pStyle w:val="TableDataEntries"/>
              <w:rPr>
                <w:rFonts w:ascii="Franklin Gothic Demi" w:hAnsi="Franklin Gothic Demi"/>
                <w:szCs w:val="16"/>
                <w:lang w:val="en-GB"/>
              </w:rPr>
            </w:pPr>
            <w:r w:rsidRPr="00184E9F">
              <w:rPr>
                <w:rFonts w:ascii="Franklin Gothic Demi" w:hAnsi="Franklin Gothic Demi"/>
                <w:bCs/>
                <w:szCs w:val="16"/>
              </w:rPr>
              <w:t>20</w:t>
            </w:r>
            <w:r w:rsidR="00AB649A" w:rsidRPr="00184E9F">
              <w:rPr>
                <w:rFonts w:ascii="Franklin Gothic Demi" w:hAnsi="Franklin Gothic Demi"/>
                <w:bCs/>
                <w:szCs w:val="16"/>
              </w:rPr>
              <w:t xml:space="preserve"> 2</w:t>
            </w:r>
            <w:r w:rsidRPr="00184E9F">
              <w:rPr>
                <w:rFonts w:ascii="Franklin Gothic Demi" w:hAnsi="Franklin Gothic Demi"/>
                <w:bCs/>
                <w:szCs w:val="16"/>
              </w:rPr>
              <w:t>60</w:t>
            </w:r>
          </w:p>
        </w:tc>
        <w:tc>
          <w:tcPr>
            <w:tcW w:w="1420" w:type="dxa"/>
            <w:tcBorders>
              <w:top w:val="single" w:sz="8" w:space="0" w:color="FFFFFF" w:themeColor="background1"/>
              <w:left w:val="nil"/>
              <w:bottom w:val="single" w:sz="4" w:space="0" w:color="6F6652" w:themeColor="accent5"/>
              <w:right w:val="nil"/>
            </w:tcBorders>
            <w:shd w:val="clear" w:color="auto" w:fill="C2DADB" w:themeFill="accent6" w:themeFillTint="99"/>
          </w:tcPr>
          <w:p w14:paraId="0CE2A9AB" w14:textId="77777777" w:rsidR="00AB649A" w:rsidRPr="00184E9F" w:rsidRDefault="00AB649A" w:rsidP="003C751F">
            <w:pPr>
              <w:pStyle w:val="TableDataEntries"/>
              <w:rPr>
                <w:rFonts w:ascii="Franklin Gothic Demi" w:hAnsi="Franklin Gothic Demi"/>
                <w:lang w:val="en-GB"/>
              </w:rPr>
            </w:pPr>
            <w:r w:rsidRPr="00184E9F">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vAlign w:val="bottom"/>
          </w:tcPr>
          <w:p w14:paraId="6E93C781" w14:textId="77777777" w:rsidR="00AB649A" w:rsidRPr="00184E9F" w:rsidRDefault="00AB649A" w:rsidP="003C751F">
            <w:pPr>
              <w:pStyle w:val="TableDataEntries"/>
              <w:rPr>
                <w:rFonts w:ascii="Franklin Gothic Demi" w:hAnsi="Franklin Gothic Demi"/>
                <w:szCs w:val="16"/>
                <w:lang w:val="en-GB"/>
              </w:rPr>
            </w:pPr>
            <w:r w:rsidRPr="00184E9F">
              <w:rPr>
                <w:rFonts w:ascii="Franklin Gothic Demi" w:hAnsi="Franklin Gothic Demi"/>
                <w:bCs/>
                <w:szCs w:val="16"/>
              </w:rPr>
              <w:t>36 292</w:t>
            </w:r>
          </w:p>
        </w:tc>
      </w:tr>
    </w:tbl>
    <w:p w14:paraId="26FCC252" w14:textId="77777777" w:rsidR="00AB649A" w:rsidRPr="00E4232C" w:rsidRDefault="00AB649A" w:rsidP="00AB649A">
      <w:pPr>
        <w:pStyle w:val="Note"/>
      </w:pPr>
      <w:r w:rsidRPr="00A96B1A">
        <w:rPr>
          <w:rStyle w:val="NoteLabel"/>
          <w:color w:val="000000" w:themeColor="text1"/>
        </w:rPr>
        <w:t>a</w:t>
      </w:r>
      <w:r>
        <w:t xml:space="preserve"> Based on the modifications made by non</w:t>
      </w:r>
      <w:r>
        <w:noBreakHyphen/>
        <w:t xml:space="preserve">wheelchair users living in Class 2 dwellings reported in SDAC (2018). Weights add to more than 100 per cent because many dwellings have multiple modifications. </w:t>
      </w:r>
      <w:r w:rsidRPr="00A96B1A">
        <w:rPr>
          <w:rStyle w:val="NoteLabel"/>
          <w:color w:val="000000" w:themeColor="text1"/>
        </w:rPr>
        <w:t>b</w:t>
      </w:r>
      <w:r>
        <w:t xml:space="preserve"> Based on DCWC’s estimates of the cost of relevant changes to meet Option 1. </w:t>
      </w:r>
      <w:r w:rsidRPr="00A96B1A">
        <w:rPr>
          <w:rStyle w:val="NoteLabel"/>
          <w:color w:val="000000" w:themeColor="text1"/>
        </w:rPr>
        <w:t>c</w:t>
      </w:r>
      <w:r>
        <w:t xml:space="preserve"> Based on the modifications made by wheelchair users living in Class 2 dwellings reported in SDAC (2018). Weights add to more than 100 per cent because many dwellings have multiple modifications. </w:t>
      </w:r>
      <w:r w:rsidRPr="00A96B1A">
        <w:rPr>
          <w:rStyle w:val="NoteLabel"/>
          <w:color w:val="000000" w:themeColor="text1"/>
        </w:rPr>
        <w:t>d</w:t>
      </w:r>
      <w:r>
        <w:t xml:space="preserve"> Based on DCWC’s estimates of the cost of relevant changes to meet Option 2.</w:t>
      </w:r>
    </w:p>
    <w:p w14:paraId="49B796CF" w14:textId="77777777" w:rsidR="00AB649A" w:rsidRPr="00280175" w:rsidRDefault="00AB649A" w:rsidP="00AB649A">
      <w:pPr>
        <w:pStyle w:val="Note"/>
        <w:rPr>
          <w:iCs/>
        </w:rPr>
      </w:pPr>
      <w:r w:rsidRPr="00280175">
        <w:rPr>
          <w:iCs/>
        </w:rPr>
        <w:t xml:space="preserve">Note: </w:t>
      </w:r>
      <w:r w:rsidR="003D13A6" w:rsidRPr="00280175">
        <w:rPr>
          <w:iCs/>
        </w:rPr>
        <w:t>It is</w:t>
      </w:r>
      <w:r w:rsidRPr="00280175">
        <w:rPr>
          <w:iCs/>
        </w:rPr>
        <w:t xml:space="preserve"> assume</w:t>
      </w:r>
      <w:r w:rsidR="003D13A6" w:rsidRPr="00280175">
        <w:rPr>
          <w:iCs/>
        </w:rPr>
        <w:t>d</w:t>
      </w:r>
      <w:r w:rsidRPr="00280175">
        <w:rPr>
          <w:iCs/>
        </w:rPr>
        <w:t xml:space="preserve"> that the modifications made by non</w:t>
      </w:r>
      <w:r w:rsidRPr="00280175">
        <w:rPr>
          <w:iCs/>
        </w:rPr>
        <w:noBreakHyphen/>
        <w:t>wheelchair users meet Option 1 for the relevant design elements and the modifications made by wheelchair users meet Option 2 for the relevant design elements.</w:t>
      </w:r>
    </w:p>
    <w:p w14:paraId="232166EE" w14:textId="77777777" w:rsidR="00AB649A" w:rsidRPr="00280175" w:rsidRDefault="00AB649A" w:rsidP="00AB649A">
      <w:pPr>
        <w:pStyle w:val="Source"/>
        <w:rPr>
          <w:iCs/>
        </w:rPr>
      </w:pPr>
      <w:r w:rsidRPr="00280175">
        <w:rPr>
          <w:iCs/>
        </w:rPr>
        <w:t>Source: CIE based on: ABS, 2018 Survey of Disabilities, Ageing and Carers, TableBuilder; and DCWC 2020, NCC Accessible Housing Sundry Cost Advice, 15 December 2020 and associated spreadsheets</w:t>
      </w:r>
    </w:p>
    <w:p w14:paraId="5376893C" w14:textId="77777777" w:rsidR="004E736E" w:rsidRDefault="00AB649A" w:rsidP="006C5856">
      <w:pPr>
        <w:pStyle w:val="BodyText"/>
      </w:pPr>
      <w:r>
        <w:rPr>
          <w:lang w:eastAsia="en-US"/>
        </w:rPr>
        <w:t xml:space="preserve">According to </w:t>
      </w:r>
      <w:r w:rsidR="001B182C">
        <w:rPr>
          <w:lang w:eastAsia="en-US"/>
        </w:rPr>
        <w:t>Young People in Nursing Homes National Alliance (</w:t>
      </w:r>
      <w:r>
        <w:rPr>
          <w:lang w:eastAsia="en-US"/>
        </w:rPr>
        <w:t>YPINH</w:t>
      </w:r>
      <w:r w:rsidR="001B182C">
        <w:rPr>
          <w:lang w:eastAsia="en-US"/>
        </w:rPr>
        <w:t>)</w:t>
      </w:r>
      <w:r>
        <w:rPr>
          <w:lang w:eastAsia="en-US"/>
        </w:rPr>
        <w:t>, retrofitting homes with basic visitability, adaptability and accessible features would cost $19 400,</w:t>
      </w:r>
      <w:r>
        <w:rPr>
          <w:rStyle w:val="FootnoteReference"/>
          <w:lang w:eastAsia="en-US"/>
        </w:rPr>
        <w:footnoteReference w:id="482"/>
      </w:r>
      <w:r>
        <w:rPr>
          <w:lang w:eastAsia="en-US"/>
        </w:rPr>
        <w:t xml:space="preserve"> which is </w:t>
      </w:r>
      <w:r w:rsidR="00F57E2D">
        <w:rPr>
          <w:lang w:eastAsia="en-US"/>
        </w:rPr>
        <w:t xml:space="preserve">in line with </w:t>
      </w:r>
      <w:r w:rsidR="008F5CBF">
        <w:rPr>
          <w:lang w:eastAsia="en-US"/>
        </w:rPr>
        <w:t>the</w:t>
      </w:r>
      <w:r>
        <w:rPr>
          <w:lang w:eastAsia="en-US"/>
        </w:rPr>
        <w:t xml:space="preserve"> </w:t>
      </w:r>
      <w:r w:rsidR="00F57E2D">
        <w:rPr>
          <w:lang w:eastAsia="en-US"/>
        </w:rPr>
        <w:t xml:space="preserve">estimated costs of retrofitting to Option 1 (Silver) </w:t>
      </w:r>
      <w:r>
        <w:rPr>
          <w:lang w:eastAsia="en-US"/>
        </w:rPr>
        <w:t>($</w:t>
      </w:r>
      <w:r w:rsidR="00F57E2D">
        <w:rPr>
          <w:lang w:eastAsia="en-US"/>
        </w:rPr>
        <w:t>18</w:t>
      </w:r>
      <w:r>
        <w:rPr>
          <w:lang w:eastAsia="en-US"/>
        </w:rPr>
        <w:t> </w:t>
      </w:r>
      <w:r w:rsidR="00F57E2D">
        <w:rPr>
          <w:lang w:eastAsia="en-US"/>
        </w:rPr>
        <w:t>821 for Class 1a and $20 260 for Class 2</w:t>
      </w:r>
      <w:r w:rsidR="00590DE3">
        <w:rPr>
          <w:lang w:eastAsia="en-US"/>
        </w:rPr>
        <w:t xml:space="preserve"> –</w:t>
      </w:r>
      <w:r w:rsidR="008F5CBF">
        <w:rPr>
          <w:lang w:eastAsia="en-US"/>
        </w:rPr>
        <w:t xml:space="preserve"> see</w:t>
      </w:r>
      <w:r w:rsidR="00590DE3">
        <w:rPr>
          <w:lang w:eastAsia="en-US"/>
        </w:rPr>
        <w:t xml:space="preserve"> </w:t>
      </w:r>
      <w:r w:rsidR="008F5CBF">
        <w:rPr>
          <w:lang w:eastAsia="en-US"/>
        </w:rPr>
        <w:t>table</w:t>
      </w:r>
      <w:r w:rsidR="00F57E2D">
        <w:rPr>
          <w:lang w:eastAsia="en-US"/>
        </w:rPr>
        <w:t>s</w:t>
      </w:r>
      <w:r w:rsidR="008F5CBF" w:rsidRPr="002B7CAB">
        <w:rPr>
          <w:lang w:eastAsia="en-US"/>
        </w:rPr>
        <w:t xml:space="preserve"> </w:t>
      </w:r>
      <w:r w:rsidR="00F57E2D">
        <w:rPr>
          <w:lang w:eastAsia="en-US" w:bidi="fa-IR"/>
        </w:rPr>
        <w:t>D.3 and D.4</w:t>
      </w:r>
      <w:r>
        <w:rPr>
          <w:lang w:eastAsia="en-US"/>
        </w:rPr>
        <w:t>).</w:t>
      </w:r>
    </w:p>
    <w:p w14:paraId="057B954C" w14:textId="77777777" w:rsidR="00ED748D" w:rsidRPr="004B79EC" w:rsidRDefault="004E736E" w:rsidP="004B79EC">
      <w:pPr>
        <w:pStyle w:val="Heading1-Appendix"/>
      </w:pPr>
      <w:bookmarkStart w:id="734" w:name="_Ref56248783"/>
      <w:r w:rsidRPr="004B79EC">
        <w:t>Approach to estimating the avoidable cost of moving house</w:t>
      </w:r>
      <w:bookmarkEnd w:id="734"/>
    </w:p>
    <w:p w14:paraId="711B378F" w14:textId="77777777" w:rsidR="00D34A35" w:rsidRPr="004B79EC" w:rsidRDefault="00D34A35" w:rsidP="004B79EC">
      <w:pPr>
        <w:pStyle w:val="Heading2-Appendix"/>
      </w:pPr>
      <w:r w:rsidRPr="004B79EC">
        <w:t>The cost of moving home</w:t>
      </w:r>
    </w:p>
    <w:p w14:paraId="3C2F5692" w14:textId="77777777" w:rsidR="00D34A35" w:rsidRDefault="00D34A35" w:rsidP="00D34A35">
      <w:pPr>
        <w:pStyle w:val="BodyText"/>
        <w:rPr>
          <w:lang w:bidi="fa-IR"/>
        </w:rPr>
      </w:pPr>
      <w:r>
        <w:rPr>
          <w:lang w:bidi="fa-IR"/>
        </w:rPr>
        <w:t xml:space="preserve">In the Consultation RIS, </w:t>
      </w:r>
      <w:r w:rsidR="003447A2">
        <w:rPr>
          <w:lang w:bidi="fa-IR"/>
        </w:rPr>
        <w:t>it is</w:t>
      </w:r>
      <w:r>
        <w:rPr>
          <w:lang w:bidi="fa-IR"/>
        </w:rPr>
        <w:t xml:space="preserve"> assumed that the cost of each avoidable move was around $2</w:t>
      </w:r>
      <w:r w:rsidR="000B7C5C">
        <w:rPr>
          <w:lang w:bidi="fa-IR"/>
        </w:rPr>
        <w:t xml:space="preserve"> </w:t>
      </w:r>
      <w:r>
        <w:rPr>
          <w:lang w:bidi="fa-IR"/>
        </w:rPr>
        <w:t>500, based on the estimated cost of removalists (stamp duties were explicitly excluded because these are a transfer between a home purchaser and the government).</w:t>
      </w:r>
    </w:p>
    <w:p w14:paraId="7F18EEFC" w14:textId="77777777" w:rsidR="00D34A35" w:rsidRDefault="00D34A35" w:rsidP="00D34A35">
      <w:pPr>
        <w:pStyle w:val="BodyText"/>
        <w:rPr>
          <w:lang w:bidi="fa-IR"/>
        </w:rPr>
      </w:pPr>
      <w:r>
        <w:rPr>
          <w:lang w:bidi="fa-IR"/>
        </w:rPr>
        <w:t>In general, most of these costs are only incurred where the move involves selling the previous home and buying a new one. Where a move involves moving between rental properties, most of these costs are not incurred.</w:t>
      </w:r>
    </w:p>
    <w:p w14:paraId="7A95327A" w14:textId="77777777" w:rsidR="00D34A35" w:rsidRDefault="00D34A35" w:rsidP="00D34A35">
      <w:pPr>
        <w:pStyle w:val="BodyText"/>
        <w:rPr>
          <w:lang w:bidi="fa-IR"/>
        </w:rPr>
      </w:pPr>
      <w:r>
        <w:rPr>
          <w:lang w:bidi="fa-IR"/>
        </w:rPr>
        <w:t>One indicator of whether a move involved buying and selling a home is whether the mover is an owner</w:t>
      </w:r>
      <w:r>
        <w:rPr>
          <w:lang w:bidi="fa-IR"/>
        </w:rPr>
        <w:noBreakHyphen/>
        <w:t>occupier or a renter, although this is an imperfect measure because people can move between these groups (i.e. a renter can become an owner</w:t>
      </w:r>
      <w:r>
        <w:rPr>
          <w:lang w:bidi="fa-IR"/>
        </w:rPr>
        <w:noBreakHyphen/>
        <w:t xml:space="preserve">occupier or vice versa). Nevertheless, </w:t>
      </w:r>
      <w:r w:rsidR="003447A2">
        <w:rPr>
          <w:lang w:bidi="fa-IR"/>
        </w:rPr>
        <w:t xml:space="preserve">it is </w:t>
      </w:r>
      <w:r>
        <w:rPr>
          <w:lang w:bidi="fa-IR"/>
        </w:rPr>
        <w:t>assume</w:t>
      </w:r>
      <w:r w:rsidR="003447A2">
        <w:rPr>
          <w:lang w:bidi="fa-IR"/>
        </w:rPr>
        <w:t>d</w:t>
      </w:r>
      <w:r>
        <w:rPr>
          <w:lang w:bidi="fa-IR"/>
        </w:rPr>
        <w:t xml:space="preserve"> that:</w:t>
      </w:r>
    </w:p>
    <w:p w14:paraId="48BE791E" w14:textId="77777777" w:rsidR="00D34A35" w:rsidRDefault="00D34A35" w:rsidP="00D34A35">
      <w:pPr>
        <w:pStyle w:val="ListBullet"/>
        <w:rPr>
          <w:lang w:bidi="fa-IR"/>
        </w:rPr>
      </w:pPr>
      <w:r>
        <w:rPr>
          <w:lang w:bidi="fa-IR"/>
        </w:rPr>
        <w:t>moves involving owner</w:t>
      </w:r>
      <w:r>
        <w:rPr>
          <w:lang w:bidi="fa-IR"/>
        </w:rPr>
        <w:noBreakHyphen/>
        <w:t>occupiers involved buying and selling a home</w:t>
      </w:r>
    </w:p>
    <w:p w14:paraId="4E39450C" w14:textId="77777777" w:rsidR="00D34A35" w:rsidRDefault="00D34A35" w:rsidP="00D34A35">
      <w:pPr>
        <w:pStyle w:val="ListBullet"/>
        <w:rPr>
          <w:lang w:bidi="fa-IR"/>
        </w:rPr>
      </w:pPr>
      <w:r>
        <w:rPr>
          <w:lang w:bidi="fa-IR"/>
        </w:rPr>
        <w:t>moves involving renters do not involve buying and selling a home.</w:t>
      </w:r>
    </w:p>
    <w:p w14:paraId="061AAC56" w14:textId="77777777" w:rsidR="00D34A35" w:rsidRDefault="00D34A35" w:rsidP="00D34A35">
      <w:pPr>
        <w:pStyle w:val="BodyText"/>
        <w:rPr>
          <w:lang w:bidi="fa-IR"/>
        </w:rPr>
      </w:pPr>
      <w:r>
        <w:rPr>
          <w:lang w:bidi="fa-IR"/>
        </w:rPr>
        <w:t>Indicative costs of moving home for owner</w:t>
      </w:r>
      <w:r>
        <w:rPr>
          <w:lang w:bidi="fa-IR"/>
        </w:rPr>
        <w:noBreakHyphen/>
        <w:t>occupiers and renters are shown in table E.1.</w:t>
      </w:r>
    </w:p>
    <w:p w14:paraId="485223F4" w14:textId="2C2ADA5C" w:rsidR="00D34A35" w:rsidRDefault="00B27E24" w:rsidP="00D34A35">
      <w:pPr>
        <w:pStyle w:val="Caption"/>
      </w:pPr>
      <w:bookmarkStart w:id="735" w:name="_Toc57643686"/>
      <w:bookmarkStart w:id="736" w:name="_Toc70505640"/>
      <w:r>
        <w:t>E.1</w:t>
      </w:r>
      <w:r w:rsidR="00D34A35" w:rsidRPr="00695C93">
        <w:tab/>
      </w:r>
      <w:r w:rsidR="00D34A35">
        <w:t>Cost of each additional move</w:t>
      </w:r>
      <w:bookmarkEnd w:id="735"/>
      <w:bookmarkEnd w:id="736"/>
    </w:p>
    <w:tbl>
      <w:tblPr>
        <w:tblW w:w="0" w:type="auto"/>
        <w:tblLayout w:type="fixed"/>
        <w:tblLook w:val="0000" w:firstRow="0" w:lastRow="0" w:firstColumn="0" w:lastColumn="0" w:noHBand="0" w:noVBand="0"/>
        <w:tblCaption w:val="Table E.1: Cost of each additional move"/>
        <w:tblDescription w:val="Table E.1 lists the costs involved in moving home for owner-occupiers and renters. The total estimated cost per move for owner-occupiers is $28,449, and for renters is $2,500."/>
      </w:tblPr>
      <w:tblGrid>
        <w:gridCol w:w="4310"/>
        <w:gridCol w:w="1813"/>
        <w:gridCol w:w="1814"/>
      </w:tblGrid>
      <w:tr w:rsidR="00D34A35" w14:paraId="185F1DCA" w14:textId="77777777" w:rsidTr="00A66C42">
        <w:trPr>
          <w:trHeight w:val="734"/>
        </w:trPr>
        <w:tc>
          <w:tcPr>
            <w:tcW w:w="4310" w:type="dxa"/>
            <w:tcBorders>
              <w:bottom w:val="single" w:sz="8" w:space="0" w:color="FFFFFF" w:themeColor="background1"/>
            </w:tcBorders>
            <w:shd w:val="clear" w:color="auto" w:fill="6F6652"/>
            <w:tcMar>
              <w:left w:w="57" w:type="dxa"/>
              <w:right w:w="57" w:type="dxa"/>
            </w:tcMar>
          </w:tcPr>
          <w:p w14:paraId="123A10C6" w14:textId="77777777" w:rsidR="00D34A35" w:rsidRDefault="00D34A35" w:rsidP="00A66C42">
            <w:pPr>
              <w:pStyle w:val="TableDataColumnHeading"/>
              <w:jc w:val="left"/>
            </w:pPr>
          </w:p>
        </w:tc>
        <w:tc>
          <w:tcPr>
            <w:tcW w:w="1813" w:type="dxa"/>
            <w:tcBorders>
              <w:bottom w:val="single" w:sz="8" w:space="0" w:color="FFFFFF" w:themeColor="background1"/>
            </w:tcBorders>
            <w:shd w:val="clear" w:color="auto" w:fill="6F6652"/>
            <w:tcMar>
              <w:left w:w="57" w:type="dxa"/>
              <w:right w:w="57" w:type="dxa"/>
            </w:tcMar>
          </w:tcPr>
          <w:p w14:paraId="58A23A32" w14:textId="77777777" w:rsidR="00D34A35" w:rsidRDefault="00D34A35" w:rsidP="00A66C42">
            <w:pPr>
              <w:pStyle w:val="TableDataColumnHeading"/>
            </w:pPr>
            <w:r>
              <w:t>Estimated cost for owner-occupier ($)</w:t>
            </w:r>
          </w:p>
        </w:tc>
        <w:tc>
          <w:tcPr>
            <w:tcW w:w="1814" w:type="dxa"/>
            <w:tcBorders>
              <w:bottom w:val="single" w:sz="8" w:space="0" w:color="FFFFFF" w:themeColor="background1"/>
            </w:tcBorders>
            <w:shd w:val="clear" w:color="auto" w:fill="6F6652"/>
            <w:tcMar>
              <w:left w:w="57" w:type="dxa"/>
              <w:right w:w="57" w:type="dxa"/>
            </w:tcMar>
          </w:tcPr>
          <w:p w14:paraId="629F67D4" w14:textId="77777777" w:rsidR="00D34A35" w:rsidRDefault="00D34A35" w:rsidP="00A66C42">
            <w:pPr>
              <w:pStyle w:val="TableDataColumnHeading"/>
            </w:pPr>
            <w:r>
              <w:t>Estimated cost for renter ($)</w:t>
            </w:r>
          </w:p>
        </w:tc>
      </w:tr>
      <w:tr w:rsidR="00D34A35" w14:paraId="56E23FA4"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0685D5" w14:textId="77777777" w:rsidR="00D34A35" w:rsidRDefault="00D34A35" w:rsidP="00A66C42">
            <w:pPr>
              <w:pStyle w:val="TableDataEntries"/>
              <w:jc w:val="left"/>
            </w:pPr>
            <w:r>
              <w:t>Agent's commission</w:t>
            </w:r>
            <w:r w:rsidRPr="00745DB4">
              <w:rPr>
                <w:rStyle w:val="NoteLabel"/>
              </w:rPr>
              <w:t>a</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48FFBD" w14:textId="77777777" w:rsidR="00D34A35" w:rsidRDefault="00D34A35" w:rsidP="00A66C42">
            <w:pPr>
              <w:pStyle w:val="TableDataEntries"/>
            </w:pPr>
            <w:r>
              <w:t>16 149</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87DAD0" w14:textId="77777777" w:rsidR="00D34A35" w:rsidRDefault="00D34A35" w:rsidP="00A66C42">
            <w:pPr>
              <w:pStyle w:val="TableDataEntries"/>
            </w:pPr>
            <w:r>
              <w:t xml:space="preserve"> 0</w:t>
            </w:r>
          </w:p>
        </w:tc>
      </w:tr>
      <w:tr w:rsidR="00D34A35" w14:paraId="34CA8561"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B06DDD" w14:textId="77777777" w:rsidR="00D34A35" w:rsidRDefault="00D34A35" w:rsidP="00A66C42">
            <w:pPr>
              <w:pStyle w:val="TableDataEntries"/>
              <w:jc w:val="left"/>
            </w:pPr>
            <w:r>
              <w:t>Marketing fees</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7397B8" w14:textId="77777777" w:rsidR="00D34A35" w:rsidRDefault="00D34A35" w:rsidP="00A66C42">
            <w:pPr>
              <w:pStyle w:val="TableDataEntries"/>
            </w:pPr>
            <w:r>
              <w:t>6 000</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903EEB" w14:textId="77777777" w:rsidR="00D34A35" w:rsidRDefault="00D34A35" w:rsidP="00A66C42">
            <w:pPr>
              <w:pStyle w:val="TableDataEntries"/>
            </w:pPr>
            <w:r>
              <w:t xml:space="preserve"> 0</w:t>
            </w:r>
          </w:p>
        </w:tc>
      </w:tr>
      <w:tr w:rsidR="00D34A35" w14:paraId="24C841F7"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BA311" w14:textId="77777777" w:rsidR="00D34A35" w:rsidRDefault="00D34A35" w:rsidP="00A66C42">
            <w:pPr>
              <w:pStyle w:val="TableDataEntries"/>
              <w:jc w:val="left"/>
            </w:pPr>
            <w:r>
              <w:t>Auctioneer costs</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5BB24C" w14:textId="77777777" w:rsidR="00D34A35" w:rsidRDefault="00D34A35" w:rsidP="00A66C42">
            <w:pPr>
              <w:pStyle w:val="TableDataEntries"/>
            </w:pPr>
            <w:r>
              <w:t xml:space="preserve"> 800</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D3CF66" w14:textId="77777777" w:rsidR="00D34A35" w:rsidRDefault="00D34A35" w:rsidP="00A66C42">
            <w:pPr>
              <w:pStyle w:val="TableDataEntries"/>
            </w:pPr>
            <w:r>
              <w:t xml:space="preserve"> 0</w:t>
            </w:r>
          </w:p>
        </w:tc>
      </w:tr>
      <w:tr w:rsidR="00D34A35" w14:paraId="0671C981"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976644" w14:textId="77777777" w:rsidR="00D34A35" w:rsidRDefault="00D34A35" w:rsidP="00A66C42">
            <w:pPr>
              <w:pStyle w:val="TableDataEntries"/>
              <w:jc w:val="left"/>
            </w:pPr>
            <w:r>
              <w:t>Conveyancing fees</w:t>
            </w:r>
            <w:r>
              <w:rPr>
                <w:rStyle w:val="NoteLabel"/>
              </w:rPr>
              <w:t>b</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3B07C3" w14:textId="77777777" w:rsidR="00D34A35" w:rsidRDefault="00D34A35" w:rsidP="00A66C42">
            <w:pPr>
              <w:pStyle w:val="TableDataEntries"/>
            </w:pPr>
            <w:r>
              <w:t>3 000</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A57B23" w14:textId="77777777" w:rsidR="00D34A35" w:rsidRDefault="00D34A35" w:rsidP="00A66C42">
            <w:pPr>
              <w:pStyle w:val="TableDataEntries"/>
            </w:pPr>
            <w:r>
              <w:t xml:space="preserve"> 0</w:t>
            </w:r>
          </w:p>
        </w:tc>
      </w:tr>
      <w:tr w:rsidR="00D34A35" w14:paraId="5F983B38" w14:textId="77777777" w:rsidTr="005331B4">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4C20E5" w14:textId="77777777" w:rsidR="00D34A35" w:rsidRDefault="00D34A35" w:rsidP="00A66C42">
            <w:pPr>
              <w:pStyle w:val="TableDataEntries"/>
              <w:jc w:val="left"/>
            </w:pPr>
            <w:r>
              <w:t>Removalist costs</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96D286" w14:textId="77777777" w:rsidR="00D34A35" w:rsidRDefault="00D34A35" w:rsidP="00A66C42">
            <w:pPr>
              <w:pStyle w:val="TableDataEntries"/>
            </w:pPr>
            <w:r>
              <w:t>2 500</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1736A5" w14:textId="77777777" w:rsidR="00D34A35" w:rsidRDefault="00D34A35" w:rsidP="00A66C42">
            <w:pPr>
              <w:pStyle w:val="TableDataEntries"/>
            </w:pPr>
            <w:r>
              <w:t>2 500</w:t>
            </w:r>
          </w:p>
        </w:tc>
      </w:tr>
      <w:tr w:rsidR="00A66C42" w:rsidRPr="00A66C42" w14:paraId="07C94B59" w14:textId="77777777" w:rsidTr="00A66C42">
        <w:trPr>
          <w:trHeight w:val="245"/>
        </w:trPr>
        <w:tc>
          <w:tcPr>
            <w:tcW w:w="431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24C708" w14:textId="77777777" w:rsidR="00D34A35" w:rsidRPr="005331B4" w:rsidRDefault="00D34A35" w:rsidP="00A66C42">
            <w:pPr>
              <w:pStyle w:val="TableDataEntries"/>
              <w:jc w:val="left"/>
              <w:rPr>
                <w:rFonts w:ascii="Franklin Gothic Demi" w:hAnsi="Franklin Gothic Demi"/>
              </w:rPr>
            </w:pPr>
            <w:r w:rsidRPr="005331B4">
              <w:rPr>
                <w:rFonts w:ascii="Franklin Gothic Demi" w:hAnsi="Franklin Gothic Demi"/>
              </w:rPr>
              <w:t>Total</w:t>
            </w:r>
          </w:p>
        </w:tc>
        <w:tc>
          <w:tcPr>
            <w:tcW w:w="181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3F46922" w14:textId="77777777" w:rsidR="00D34A35" w:rsidRPr="005331B4" w:rsidRDefault="00D34A35" w:rsidP="00A66C42">
            <w:pPr>
              <w:pStyle w:val="TableDataEntries"/>
              <w:rPr>
                <w:rFonts w:ascii="Franklin Gothic Demi" w:hAnsi="Franklin Gothic Demi"/>
              </w:rPr>
            </w:pPr>
            <w:r w:rsidRPr="005331B4">
              <w:rPr>
                <w:rFonts w:ascii="Franklin Gothic Demi" w:hAnsi="Franklin Gothic Demi"/>
              </w:rPr>
              <w:t>28 449</w:t>
            </w:r>
          </w:p>
        </w:tc>
        <w:tc>
          <w:tcPr>
            <w:tcW w:w="181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271EE22" w14:textId="77777777" w:rsidR="00D34A35" w:rsidRPr="005331B4" w:rsidRDefault="00D34A35" w:rsidP="00A66C42">
            <w:pPr>
              <w:pStyle w:val="TableDataEntries"/>
              <w:rPr>
                <w:rFonts w:ascii="Franklin Gothic Demi" w:hAnsi="Franklin Gothic Demi"/>
              </w:rPr>
            </w:pPr>
            <w:r w:rsidRPr="005331B4">
              <w:rPr>
                <w:rFonts w:ascii="Franklin Gothic Demi" w:hAnsi="Franklin Gothic Demi"/>
              </w:rPr>
              <w:t>2 500</w:t>
            </w:r>
          </w:p>
        </w:tc>
      </w:tr>
    </w:tbl>
    <w:p w14:paraId="505C4343" w14:textId="77777777" w:rsidR="00D34A35" w:rsidRPr="00E4232C" w:rsidRDefault="00D34A35" w:rsidP="00D34A35">
      <w:pPr>
        <w:pStyle w:val="Note"/>
      </w:pPr>
      <w:r w:rsidRPr="00E4232C">
        <w:rPr>
          <w:rStyle w:val="NoteLabel"/>
        </w:rPr>
        <w:t>a</w:t>
      </w:r>
      <w:r>
        <w:t xml:space="preserve"> Assumes agent’s commission of 2 per cent of the weighted average median price across capital cities (around $807 471). </w:t>
      </w:r>
      <w:r w:rsidRPr="00745DB4">
        <w:rPr>
          <w:rStyle w:val="NoteLabel"/>
        </w:rPr>
        <w:t>b</w:t>
      </w:r>
      <w:r>
        <w:t xml:space="preserve"> Includes conveyancing fees for both the sale of the previous home and the purchase of the new home.</w:t>
      </w:r>
    </w:p>
    <w:p w14:paraId="7E8D4870" w14:textId="77777777" w:rsidR="00D34A35" w:rsidRPr="00280175" w:rsidRDefault="00D34A35" w:rsidP="00D34A35">
      <w:pPr>
        <w:pStyle w:val="Source"/>
        <w:rPr>
          <w:iCs/>
          <w:lang w:bidi="fa-IR"/>
        </w:rPr>
      </w:pPr>
      <w:r w:rsidRPr="00280175">
        <w:rPr>
          <w:iCs/>
          <w:lang w:bidi="fa-IR"/>
        </w:rPr>
        <w:t>Source: CIE estimates</w:t>
      </w:r>
    </w:p>
    <w:p w14:paraId="0D20EE7F" w14:textId="77777777" w:rsidR="00D10AEA" w:rsidRDefault="00D10AEA" w:rsidP="00D10AEA">
      <w:pPr>
        <w:pStyle w:val="BodyText"/>
        <w:rPr>
          <w:lang w:bidi="fa-IR"/>
        </w:rPr>
      </w:pPr>
      <w:r>
        <w:rPr>
          <w:lang w:bidi="fa-IR"/>
        </w:rPr>
        <w:t>The estimated agent’s commission is based on an average 2 per cent commission</w:t>
      </w:r>
      <w:r>
        <w:rPr>
          <w:rStyle w:val="FootnoteReference"/>
          <w:lang w:bidi="fa-IR"/>
        </w:rPr>
        <w:footnoteReference w:id="483"/>
      </w:r>
      <w:r>
        <w:rPr>
          <w:lang w:bidi="fa-IR"/>
        </w:rPr>
        <w:t xml:space="preserve"> applied to the weighted average house price across capital cities, which is around $807 471 (table </w:t>
      </w:r>
      <w:r w:rsidR="00A66C42">
        <w:rPr>
          <w:lang w:bidi="fa-IR"/>
        </w:rPr>
        <w:t>E.2</w:t>
      </w:r>
      <w:r>
        <w:rPr>
          <w:lang w:bidi="fa-IR"/>
        </w:rPr>
        <w:t>). The weights were derived from SDAC data, based on the state composition for people who indicated they moved as a result of their age or disability.</w:t>
      </w:r>
    </w:p>
    <w:p w14:paraId="436A30B7" w14:textId="512B5711" w:rsidR="00D10AEA" w:rsidRDefault="00B27E24" w:rsidP="00D10AEA">
      <w:pPr>
        <w:pStyle w:val="Caption"/>
      </w:pPr>
      <w:bookmarkStart w:id="737" w:name="_Toc57643687"/>
      <w:bookmarkStart w:id="738" w:name="_Toc70505641"/>
      <w:r>
        <w:t>E.2</w:t>
      </w:r>
      <w:r w:rsidR="00D10AEA" w:rsidRPr="00695C93">
        <w:tab/>
      </w:r>
      <w:r w:rsidR="00D10AEA">
        <w:t>Weighted average price</w:t>
      </w:r>
      <w:bookmarkEnd w:id="737"/>
      <w:bookmarkEnd w:id="738"/>
    </w:p>
    <w:tbl>
      <w:tblPr>
        <w:tblW w:w="0" w:type="auto"/>
        <w:tblLayout w:type="fixed"/>
        <w:tblLook w:val="0000" w:firstRow="0" w:lastRow="0" w:firstColumn="0" w:lastColumn="0" w:noHBand="0" w:noVBand="0"/>
        <w:tblCaption w:val="Table E.2: Weighted average price"/>
        <w:tblDescription w:val="Table E.2 shows the weighted median house price in each state and territory, ranging from $509,452 in the Northern Territory to $1,142,212 in NSW."/>
      </w:tblPr>
      <w:tblGrid>
        <w:gridCol w:w="4310"/>
        <w:gridCol w:w="1813"/>
        <w:gridCol w:w="1814"/>
      </w:tblGrid>
      <w:tr w:rsidR="00696C70" w14:paraId="4E92E272" w14:textId="77777777" w:rsidTr="00D13F4A">
        <w:trPr>
          <w:trHeight w:val="490"/>
          <w:tblHeader/>
        </w:trPr>
        <w:tc>
          <w:tcPr>
            <w:tcW w:w="4310" w:type="dxa"/>
            <w:tcBorders>
              <w:bottom w:val="single" w:sz="8" w:space="0" w:color="FFFFFF" w:themeColor="background1"/>
            </w:tcBorders>
            <w:shd w:val="clear" w:color="auto" w:fill="6F6652"/>
            <w:tcMar>
              <w:left w:w="57" w:type="dxa"/>
              <w:right w:w="57" w:type="dxa"/>
            </w:tcMar>
          </w:tcPr>
          <w:p w14:paraId="5BDBA742" w14:textId="77777777" w:rsidR="00696C70" w:rsidRDefault="00696C70" w:rsidP="00A66C42">
            <w:pPr>
              <w:pStyle w:val="TableDataColumnHeading"/>
              <w:jc w:val="left"/>
            </w:pPr>
            <w:r>
              <w:t>State/territory</w:t>
            </w:r>
          </w:p>
        </w:tc>
        <w:tc>
          <w:tcPr>
            <w:tcW w:w="1813" w:type="dxa"/>
            <w:tcBorders>
              <w:bottom w:val="single" w:sz="8" w:space="0" w:color="FFFFFF" w:themeColor="background1"/>
            </w:tcBorders>
            <w:shd w:val="clear" w:color="auto" w:fill="6F6652"/>
            <w:tcMar>
              <w:left w:w="57" w:type="dxa"/>
              <w:right w:w="57" w:type="dxa"/>
            </w:tcMar>
          </w:tcPr>
          <w:p w14:paraId="14AC7375" w14:textId="77777777" w:rsidR="00696C70" w:rsidRDefault="00696C70" w:rsidP="00A66C42">
            <w:pPr>
              <w:pStyle w:val="TableDataColumnHeading"/>
            </w:pPr>
            <w:r>
              <w:t>Weights (%)</w:t>
            </w:r>
          </w:p>
        </w:tc>
        <w:tc>
          <w:tcPr>
            <w:tcW w:w="1814" w:type="dxa"/>
            <w:tcBorders>
              <w:bottom w:val="single" w:sz="8" w:space="0" w:color="FFFFFF" w:themeColor="background1"/>
            </w:tcBorders>
            <w:shd w:val="clear" w:color="auto" w:fill="6F6652"/>
            <w:tcMar>
              <w:left w:w="57" w:type="dxa"/>
              <w:right w:w="57" w:type="dxa"/>
            </w:tcMar>
          </w:tcPr>
          <w:p w14:paraId="36D6193C" w14:textId="77777777" w:rsidR="00696C70" w:rsidRDefault="00696C70" w:rsidP="00A66C42">
            <w:pPr>
              <w:pStyle w:val="TableDataColumnHeading"/>
            </w:pPr>
            <w:r>
              <w:t>Median house price ($)</w:t>
            </w:r>
          </w:p>
        </w:tc>
      </w:tr>
      <w:tr w:rsidR="00696C70" w14:paraId="0BED8A76" w14:textId="77777777" w:rsidTr="00D13F4A">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60C79" w14:textId="77777777" w:rsidR="00696C70" w:rsidRDefault="00696C70" w:rsidP="00A66C42">
            <w:pPr>
              <w:pStyle w:val="TableDataEntries"/>
              <w:jc w:val="left"/>
            </w:pPr>
            <w:r>
              <w:t>NSW</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196EBA" w14:textId="77777777" w:rsidR="00696C70" w:rsidRDefault="00696C70" w:rsidP="00A66C42">
            <w:pPr>
              <w:pStyle w:val="TableDataEntries"/>
            </w:pPr>
            <w:r>
              <w:t>31</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B99749" w14:textId="77777777" w:rsidR="00696C70" w:rsidRDefault="00696C70" w:rsidP="00A66C42">
            <w:pPr>
              <w:pStyle w:val="TableDataEntries"/>
            </w:pPr>
            <w:r>
              <w:t>1 142 212</w:t>
            </w:r>
          </w:p>
        </w:tc>
      </w:tr>
      <w:tr w:rsidR="00D10AEA" w14:paraId="28D24D57"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E59A86" w14:textId="77777777" w:rsidR="00D10AEA" w:rsidRDefault="00D10AEA" w:rsidP="00A66C42">
            <w:pPr>
              <w:pStyle w:val="TableDataEntries"/>
              <w:jc w:val="left"/>
            </w:pPr>
            <w:r>
              <w:t>Victoria</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65CF5D" w14:textId="77777777" w:rsidR="00D10AEA" w:rsidRDefault="00D10AEA" w:rsidP="00A66C42">
            <w:pPr>
              <w:pStyle w:val="TableDataEntries"/>
            </w:pPr>
            <w:r>
              <w:t>19</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D0DD9B" w14:textId="77777777" w:rsidR="00D10AEA" w:rsidRDefault="00D10AEA" w:rsidP="00A66C42">
            <w:pPr>
              <w:pStyle w:val="TableDataEntries"/>
            </w:pPr>
            <w:r>
              <w:t xml:space="preserve"> 901 951</w:t>
            </w:r>
          </w:p>
        </w:tc>
      </w:tr>
      <w:tr w:rsidR="00D10AEA" w14:paraId="68BB21DC"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EDC7C4" w14:textId="77777777" w:rsidR="00D10AEA" w:rsidRDefault="00D10AEA" w:rsidP="00A66C42">
            <w:pPr>
              <w:pStyle w:val="TableDataEntries"/>
              <w:jc w:val="left"/>
            </w:pPr>
            <w:r>
              <w:t>Queensland</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1576C9" w14:textId="77777777" w:rsidR="00D10AEA" w:rsidRDefault="00D10AEA" w:rsidP="00A66C42">
            <w:pPr>
              <w:pStyle w:val="TableDataEntries"/>
            </w:pPr>
            <w:r>
              <w:t>28</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7AA28F" w14:textId="77777777" w:rsidR="00D10AEA" w:rsidRDefault="00D10AEA" w:rsidP="00A66C42">
            <w:pPr>
              <w:pStyle w:val="TableDataEntries"/>
            </w:pPr>
            <w:r>
              <w:t xml:space="preserve"> 577 664</w:t>
            </w:r>
          </w:p>
        </w:tc>
      </w:tr>
      <w:tr w:rsidR="00D10AEA" w14:paraId="0099C1BA"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0EF3EC" w14:textId="77777777" w:rsidR="00D10AEA" w:rsidRDefault="00D10AEA" w:rsidP="00A66C42">
            <w:pPr>
              <w:pStyle w:val="TableDataEntries"/>
              <w:jc w:val="left"/>
            </w:pPr>
            <w:r>
              <w:t>Western Australia</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B0A05E" w14:textId="77777777" w:rsidR="00D10AEA" w:rsidRDefault="00D10AEA" w:rsidP="00A66C42">
            <w:pPr>
              <w:pStyle w:val="TableDataEntries"/>
            </w:pPr>
            <w:r>
              <w:t>8</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0504E5" w14:textId="77777777" w:rsidR="00D10AEA" w:rsidRDefault="00D10AEA" w:rsidP="00A66C42">
            <w:pPr>
              <w:pStyle w:val="TableDataEntries"/>
            </w:pPr>
            <w:r>
              <w:t xml:space="preserve"> 537 013</w:t>
            </w:r>
          </w:p>
        </w:tc>
      </w:tr>
      <w:tr w:rsidR="00D10AEA" w14:paraId="105A1C57"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A9ABB4" w14:textId="77777777" w:rsidR="00D10AEA" w:rsidRDefault="00D10AEA" w:rsidP="00A66C42">
            <w:pPr>
              <w:pStyle w:val="TableDataEntries"/>
              <w:jc w:val="left"/>
            </w:pPr>
            <w:r>
              <w:t>South Australia</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2CD588" w14:textId="77777777" w:rsidR="00D10AEA" w:rsidRDefault="00D10AEA" w:rsidP="00A66C42">
            <w:pPr>
              <w:pStyle w:val="TableDataEntries"/>
            </w:pPr>
            <w:r>
              <w:t>6</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08B023" w14:textId="77777777" w:rsidR="00D10AEA" w:rsidRDefault="00D10AEA" w:rsidP="00A66C42">
            <w:pPr>
              <w:pStyle w:val="TableDataEntries"/>
            </w:pPr>
            <w:r>
              <w:t xml:space="preserve"> 542 947</w:t>
            </w:r>
          </w:p>
        </w:tc>
      </w:tr>
      <w:tr w:rsidR="00D10AEA" w14:paraId="31E765EA"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FDDF1D" w14:textId="77777777" w:rsidR="00D10AEA" w:rsidRDefault="00D10AEA" w:rsidP="00A66C42">
            <w:pPr>
              <w:pStyle w:val="TableDataEntries"/>
              <w:jc w:val="left"/>
            </w:pPr>
            <w:r>
              <w:t>Tasmania</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654D81" w14:textId="77777777" w:rsidR="00D10AEA" w:rsidRDefault="00D10AEA" w:rsidP="00A66C42">
            <w:pPr>
              <w:pStyle w:val="TableDataEntries"/>
            </w:pPr>
            <w:r>
              <w:t>6</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5B0BFB" w14:textId="77777777" w:rsidR="00D10AEA" w:rsidRDefault="00D10AEA" w:rsidP="00A66C42">
            <w:pPr>
              <w:pStyle w:val="TableDataEntries"/>
            </w:pPr>
            <w:r>
              <w:t xml:space="preserve"> 530 570</w:t>
            </w:r>
          </w:p>
        </w:tc>
      </w:tr>
      <w:tr w:rsidR="00D10AEA" w14:paraId="41733356" w14:textId="77777777" w:rsidTr="00A66C42">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3D91A9" w14:textId="77777777" w:rsidR="00D10AEA" w:rsidRDefault="00D10AEA" w:rsidP="00A66C42">
            <w:pPr>
              <w:pStyle w:val="TableDataEntries"/>
              <w:jc w:val="left"/>
            </w:pPr>
            <w:r>
              <w:t>ACT</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09B717" w14:textId="77777777" w:rsidR="00D10AEA" w:rsidRDefault="00D10AEA" w:rsidP="00A66C42">
            <w:pPr>
              <w:pStyle w:val="TableDataEntries"/>
            </w:pPr>
            <w:r>
              <w:t>1</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C1DE1F" w14:textId="77777777" w:rsidR="00D10AEA" w:rsidRDefault="00D10AEA" w:rsidP="00A66C42">
            <w:pPr>
              <w:pStyle w:val="TableDataEntries"/>
            </w:pPr>
            <w:r>
              <w:t xml:space="preserve"> 788 621</w:t>
            </w:r>
          </w:p>
        </w:tc>
      </w:tr>
      <w:tr w:rsidR="00D10AEA" w14:paraId="722F373C" w14:textId="77777777" w:rsidTr="005331B4">
        <w:trPr>
          <w:trHeight w:val="245"/>
        </w:trPr>
        <w:tc>
          <w:tcPr>
            <w:tcW w:w="43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854F9E" w14:textId="77777777" w:rsidR="00D10AEA" w:rsidRDefault="00D10AEA" w:rsidP="00A66C42">
            <w:pPr>
              <w:pStyle w:val="TableDataEntries"/>
              <w:jc w:val="left"/>
            </w:pPr>
            <w:r>
              <w:t>Northern Territory</w:t>
            </w:r>
          </w:p>
        </w:tc>
        <w:tc>
          <w:tcPr>
            <w:tcW w:w="18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4C5762" w14:textId="77777777" w:rsidR="00D10AEA" w:rsidRDefault="00D10AEA" w:rsidP="00A66C42">
            <w:pPr>
              <w:pStyle w:val="TableDataEntries"/>
            </w:pPr>
            <w:r>
              <w:t>0</w:t>
            </w:r>
          </w:p>
        </w:tc>
        <w:tc>
          <w:tcPr>
            <w:tcW w:w="181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C13586" w14:textId="77777777" w:rsidR="00D10AEA" w:rsidRDefault="00D10AEA" w:rsidP="00A66C42">
            <w:pPr>
              <w:pStyle w:val="TableDataEntries"/>
            </w:pPr>
            <w:r>
              <w:t xml:space="preserve"> 509 452</w:t>
            </w:r>
          </w:p>
        </w:tc>
      </w:tr>
      <w:tr w:rsidR="00696C70" w:rsidRPr="00A66C42" w14:paraId="1915AE2E" w14:textId="77777777" w:rsidTr="00D13F4A">
        <w:trPr>
          <w:trHeight w:val="245"/>
        </w:trPr>
        <w:tc>
          <w:tcPr>
            <w:tcW w:w="431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866E5AC" w14:textId="77777777" w:rsidR="00696C70" w:rsidRPr="005331B4" w:rsidRDefault="00696C70" w:rsidP="00A66C42">
            <w:pPr>
              <w:pStyle w:val="TableDataEntries"/>
              <w:jc w:val="left"/>
              <w:rPr>
                <w:rFonts w:ascii="Franklin Gothic Demi" w:hAnsi="Franklin Gothic Demi"/>
              </w:rPr>
            </w:pPr>
            <w:r w:rsidRPr="005331B4">
              <w:rPr>
                <w:rFonts w:ascii="Franklin Gothic Demi" w:hAnsi="Franklin Gothic Demi"/>
              </w:rPr>
              <w:t>Total</w:t>
            </w:r>
          </w:p>
        </w:tc>
        <w:tc>
          <w:tcPr>
            <w:tcW w:w="181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E85A81D" w14:textId="77777777" w:rsidR="00696C70" w:rsidRPr="005331B4" w:rsidRDefault="00696C70" w:rsidP="00A66C42">
            <w:pPr>
              <w:pStyle w:val="TableDataEntries"/>
              <w:rPr>
                <w:rFonts w:ascii="Franklin Gothic Demi" w:hAnsi="Franklin Gothic Demi"/>
              </w:rPr>
            </w:pPr>
            <w:r w:rsidRPr="005331B4">
              <w:rPr>
                <w:rFonts w:ascii="Franklin Gothic Demi" w:hAnsi="Franklin Gothic Demi"/>
              </w:rPr>
              <w:t>100</w:t>
            </w:r>
          </w:p>
        </w:tc>
        <w:tc>
          <w:tcPr>
            <w:tcW w:w="181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88F35F5" w14:textId="77777777" w:rsidR="00696C70" w:rsidRPr="005331B4" w:rsidRDefault="00696C70" w:rsidP="00A66C42">
            <w:pPr>
              <w:pStyle w:val="TableDataEntries"/>
              <w:rPr>
                <w:rFonts w:ascii="Franklin Gothic Demi" w:hAnsi="Franklin Gothic Demi"/>
              </w:rPr>
            </w:pPr>
            <w:r w:rsidRPr="005331B4">
              <w:rPr>
                <w:rFonts w:ascii="Franklin Gothic Demi" w:hAnsi="Franklin Gothic Demi"/>
              </w:rPr>
              <w:t xml:space="preserve"> 807 471</w:t>
            </w:r>
          </w:p>
        </w:tc>
      </w:tr>
    </w:tbl>
    <w:p w14:paraId="6FC7DAB2" w14:textId="77777777" w:rsidR="00D10AEA" w:rsidRDefault="00D10AEA" w:rsidP="00D10AEA">
      <w:pPr>
        <w:pStyle w:val="Source"/>
        <w:rPr>
          <w:lang w:bidi="fa-IR"/>
        </w:rPr>
      </w:pPr>
      <w:r w:rsidRPr="00280175">
        <w:rPr>
          <w:iCs/>
          <w:lang w:bidi="fa-IR"/>
        </w:rPr>
        <w:t>Source:  ABS, 2018</w:t>
      </w:r>
      <w:r>
        <w:rPr>
          <w:lang w:bidi="fa-IR"/>
        </w:rPr>
        <w:t xml:space="preserve"> Survey of Disabilities, Ageing and Carers, TableBuilder, CIE.</w:t>
      </w:r>
    </w:p>
    <w:p w14:paraId="611DE383" w14:textId="77777777" w:rsidR="00D10AEA" w:rsidRDefault="00D10AEA" w:rsidP="00D10AEA">
      <w:pPr>
        <w:pStyle w:val="BodyText"/>
        <w:rPr>
          <w:lang w:bidi="fa-IR"/>
        </w:rPr>
      </w:pPr>
      <w:r>
        <w:rPr>
          <w:lang w:bidi="fa-IR"/>
        </w:rPr>
        <w:t xml:space="preserve">As per the Consultation RIS, </w:t>
      </w:r>
      <w:r w:rsidR="003447A2">
        <w:rPr>
          <w:lang w:bidi="fa-IR"/>
        </w:rPr>
        <w:t>it is</w:t>
      </w:r>
      <w:r>
        <w:rPr>
          <w:lang w:bidi="fa-IR"/>
        </w:rPr>
        <w:t xml:space="preserve"> assumed that the average financial cost of removalists is around $2</w:t>
      </w:r>
      <w:r w:rsidR="00FB2C75">
        <w:rPr>
          <w:lang w:bidi="fa-IR"/>
        </w:rPr>
        <w:t> </w:t>
      </w:r>
      <w:r>
        <w:rPr>
          <w:lang w:bidi="fa-IR"/>
        </w:rPr>
        <w:t>500.</w:t>
      </w:r>
      <w:r>
        <w:rPr>
          <w:rStyle w:val="FootnoteReference"/>
          <w:lang w:bidi="fa-IR"/>
        </w:rPr>
        <w:footnoteReference w:id="484"/>
      </w:r>
    </w:p>
    <w:p w14:paraId="52ADF460" w14:textId="77777777" w:rsidR="00D10AEA" w:rsidRDefault="00D10AEA" w:rsidP="00D10AEA">
      <w:pPr>
        <w:pStyle w:val="BodyText"/>
        <w:rPr>
          <w:lang w:bidi="fa-IR"/>
        </w:rPr>
      </w:pPr>
      <w:r>
        <w:rPr>
          <w:lang w:bidi="fa-IR"/>
        </w:rPr>
        <w:t>The remaining costs were mostly based on recent estimates published on a real estate website.</w:t>
      </w:r>
      <w:r>
        <w:rPr>
          <w:rStyle w:val="FootnoteReference"/>
          <w:lang w:bidi="fa-IR"/>
        </w:rPr>
        <w:footnoteReference w:id="485"/>
      </w:r>
      <w:r>
        <w:rPr>
          <w:lang w:bidi="fa-IR"/>
        </w:rPr>
        <w:t xml:space="preserve"> </w:t>
      </w:r>
      <w:r w:rsidR="00E3173E">
        <w:rPr>
          <w:lang w:bidi="fa-IR"/>
        </w:rPr>
        <w:t>S</w:t>
      </w:r>
      <w:r>
        <w:rPr>
          <w:lang w:bidi="fa-IR"/>
        </w:rPr>
        <w:t>ome relatively minor costs, such as pest inspections and mortgage transfer fees</w:t>
      </w:r>
      <w:r w:rsidR="00E3173E">
        <w:rPr>
          <w:lang w:bidi="fa-IR"/>
        </w:rPr>
        <w:t>, are excluded</w:t>
      </w:r>
      <w:r>
        <w:rPr>
          <w:lang w:bidi="fa-IR"/>
        </w:rPr>
        <w:t>.</w:t>
      </w:r>
    </w:p>
    <w:p w14:paraId="7684F444" w14:textId="77777777" w:rsidR="00D34A35" w:rsidRPr="004B79EC" w:rsidRDefault="00A66C42" w:rsidP="004B79EC">
      <w:pPr>
        <w:pStyle w:val="Heading2-Appendix"/>
      </w:pPr>
      <w:r w:rsidRPr="004B79EC">
        <w:t>Estimating the number of avoidable moves</w:t>
      </w:r>
    </w:p>
    <w:p w14:paraId="659BDC65" w14:textId="77777777" w:rsidR="00A66C42" w:rsidRPr="00A66C42" w:rsidRDefault="00A66C42" w:rsidP="00A66C42">
      <w:pPr>
        <w:pStyle w:val="BodyText"/>
      </w:pPr>
      <w:r>
        <w:rPr>
          <w:lang w:bidi="fa-IR"/>
        </w:rPr>
        <w:t>According to SDAC data, there were around 309 000 people with limited mobility who have had to move house at least once due to their age or disability, although not all of these moves were necessarily related to the accessibility of their previous home.</w:t>
      </w:r>
    </w:p>
    <w:p w14:paraId="27630D19" w14:textId="77777777" w:rsidR="00ED748D" w:rsidRDefault="00ED748D" w:rsidP="00ED748D">
      <w:pPr>
        <w:pStyle w:val="BodyText"/>
        <w:rPr>
          <w:lang w:bidi="fa-IR"/>
        </w:rPr>
      </w:pPr>
      <w:r w:rsidRPr="00AE20EC">
        <w:rPr>
          <w:lang w:bidi="fa-IR"/>
        </w:rPr>
        <w:t xml:space="preserve">SDAC </w:t>
      </w:r>
      <w:r w:rsidR="00815A78">
        <w:rPr>
          <w:lang w:bidi="fa-IR"/>
        </w:rPr>
        <w:t xml:space="preserve">also </w:t>
      </w:r>
      <w:r w:rsidRPr="00AE20EC">
        <w:rPr>
          <w:lang w:bidi="fa-IR"/>
        </w:rPr>
        <w:t>reports the main reason for moving house (table </w:t>
      </w:r>
      <w:r w:rsidR="00DF184E">
        <w:rPr>
          <w:lang w:bidi="fa-IR"/>
        </w:rPr>
        <w:t>E.3</w:t>
      </w:r>
      <w:r w:rsidRPr="00AE20EC">
        <w:rPr>
          <w:lang w:bidi="fa-IR"/>
        </w:rPr>
        <w:t>).</w:t>
      </w:r>
    </w:p>
    <w:p w14:paraId="1DFA3BF8" w14:textId="77777777" w:rsidR="00ED748D" w:rsidRDefault="00ED748D" w:rsidP="00ED748D">
      <w:pPr>
        <w:pStyle w:val="ListBullet"/>
        <w:numPr>
          <w:ilvl w:val="0"/>
          <w:numId w:val="16"/>
        </w:numPr>
        <w:rPr>
          <w:lang w:bidi="fa-IR"/>
        </w:rPr>
      </w:pPr>
      <w:r>
        <w:rPr>
          <w:lang w:bidi="fa-IR"/>
        </w:rPr>
        <w:t>There were 76 100 people who indicated that the main reason they moved was directly related to the accessibility or safety of their previous dwelling. These reasons include:</w:t>
      </w:r>
    </w:p>
    <w:p w14:paraId="23DB624D" w14:textId="77777777" w:rsidR="00ED748D" w:rsidRDefault="00ED748D" w:rsidP="00ED748D">
      <w:pPr>
        <w:pStyle w:val="ListBullet2"/>
        <w:numPr>
          <w:ilvl w:val="1"/>
          <w:numId w:val="16"/>
        </w:numPr>
        <w:spacing w:before="30"/>
        <w:ind w:left="568" w:hanging="284"/>
        <w:rPr>
          <w:lang w:bidi="fa-IR"/>
        </w:rPr>
      </w:pPr>
      <w:r>
        <w:rPr>
          <w:lang w:bidi="fa-IR"/>
        </w:rPr>
        <w:t>‘Safer environment’, and</w:t>
      </w:r>
    </w:p>
    <w:p w14:paraId="3256E935" w14:textId="77777777" w:rsidR="00ED748D" w:rsidRDefault="00ED748D" w:rsidP="00ED748D">
      <w:pPr>
        <w:pStyle w:val="ListBullet2"/>
        <w:numPr>
          <w:ilvl w:val="1"/>
          <w:numId w:val="16"/>
        </w:numPr>
        <w:spacing w:before="30"/>
        <w:ind w:left="568" w:hanging="284"/>
        <w:rPr>
          <w:lang w:bidi="fa-IR"/>
        </w:rPr>
      </w:pPr>
      <w:r>
        <w:rPr>
          <w:lang w:bidi="fa-IR"/>
        </w:rPr>
        <w:t>‘To a dwelling more suitable for condition(s)’.</w:t>
      </w:r>
    </w:p>
    <w:p w14:paraId="4B3D69CC" w14:textId="77777777" w:rsidR="00ED748D" w:rsidRDefault="00ED748D" w:rsidP="00ED748D">
      <w:pPr>
        <w:pStyle w:val="ListBullet"/>
        <w:numPr>
          <w:ilvl w:val="0"/>
          <w:numId w:val="16"/>
        </w:numPr>
        <w:rPr>
          <w:lang w:bidi="fa-IR"/>
        </w:rPr>
      </w:pPr>
      <w:r>
        <w:rPr>
          <w:lang w:bidi="fa-IR"/>
        </w:rPr>
        <w:t xml:space="preserve">A further 154 200 gave reasons potentially related to the accessibility of </w:t>
      </w:r>
      <w:r w:rsidR="0022611C">
        <w:rPr>
          <w:lang w:bidi="fa-IR"/>
        </w:rPr>
        <w:t xml:space="preserve">the </w:t>
      </w:r>
      <w:r>
        <w:rPr>
          <w:lang w:bidi="fa-IR"/>
        </w:rPr>
        <w:t>previous dwelling, including:</w:t>
      </w:r>
    </w:p>
    <w:p w14:paraId="0E10A542" w14:textId="77777777" w:rsidR="00ED748D" w:rsidRDefault="00ED748D" w:rsidP="00ED748D">
      <w:pPr>
        <w:pStyle w:val="ListBullet2"/>
        <w:numPr>
          <w:ilvl w:val="1"/>
          <w:numId w:val="16"/>
        </w:numPr>
        <w:spacing w:before="30"/>
        <w:ind w:left="568" w:hanging="284"/>
        <w:rPr>
          <w:lang w:bidi="fa-IR"/>
        </w:rPr>
      </w:pPr>
      <w:r>
        <w:rPr>
          <w:lang w:bidi="fa-IR"/>
        </w:rPr>
        <w:t>‘Due to own age or condition’</w:t>
      </w:r>
    </w:p>
    <w:p w14:paraId="2FA088E7" w14:textId="77777777" w:rsidR="00ED748D" w:rsidRDefault="00ED748D" w:rsidP="00ED748D">
      <w:pPr>
        <w:pStyle w:val="ListBullet2"/>
        <w:numPr>
          <w:ilvl w:val="1"/>
          <w:numId w:val="16"/>
        </w:numPr>
        <w:spacing w:before="30"/>
        <w:ind w:left="568" w:hanging="284"/>
        <w:rPr>
          <w:lang w:bidi="fa-IR"/>
        </w:rPr>
      </w:pPr>
      <w:r>
        <w:rPr>
          <w:lang w:bidi="fa-IR"/>
        </w:rPr>
        <w:t>‘To improve own health’</w:t>
      </w:r>
    </w:p>
    <w:p w14:paraId="3CB0DB09" w14:textId="77777777" w:rsidR="00ED748D" w:rsidRDefault="00ED748D" w:rsidP="00ED748D">
      <w:pPr>
        <w:pStyle w:val="ListBullet2"/>
        <w:numPr>
          <w:ilvl w:val="1"/>
          <w:numId w:val="16"/>
        </w:numPr>
        <w:spacing w:before="30"/>
        <w:ind w:left="568" w:hanging="284"/>
        <w:rPr>
          <w:lang w:bidi="fa-IR"/>
        </w:rPr>
      </w:pPr>
      <w:r>
        <w:rPr>
          <w:lang w:bidi="fa-IR"/>
        </w:rPr>
        <w:t>‘To live with family or friends’.</w:t>
      </w:r>
    </w:p>
    <w:p w14:paraId="67CFCF4B" w14:textId="77777777" w:rsidR="00ED748D" w:rsidRDefault="00ED748D" w:rsidP="00ED748D">
      <w:pPr>
        <w:pStyle w:val="ListBullet"/>
        <w:numPr>
          <w:ilvl w:val="0"/>
          <w:numId w:val="16"/>
        </w:numPr>
        <w:rPr>
          <w:lang w:bidi="fa-IR"/>
        </w:rPr>
      </w:pPr>
      <w:r>
        <w:rPr>
          <w:lang w:bidi="fa-IR"/>
        </w:rPr>
        <w:t>The remaining reasons appear unrelated to the accessibility of the previous dwelling, including:</w:t>
      </w:r>
    </w:p>
    <w:p w14:paraId="2A506716" w14:textId="77777777" w:rsidR="00ED748D" w:rsidRDefault="00ED748D" w:rsidP="00ED748D">
      <w:pPr>
        <w:pStyle w:val="ListBullet2"/>
        <w:numPr>
          <w:ilvl w:val="1"/>
          <w:numId w:val="16"/>
        </w:numPr>
        <w:spacing w:before="30"/>
        <w:ind w:left="568" w:hanging="284"/>
        <w:rPr>
          <w:lang w:bidi="fa-IR"/>
        </w:rPr>
      </w:pPr>
      <w:r>
        <w:rPr>
          <w:lang w:bidi="fa-IR"/>
        </w:rPr>
        <w:t>‘To save money or cheaper’</w:t>
      </w:r>
    </w:p>
    <w:p w14:paraId="698F6D9D" w14:textId="77777777" w:rsidR="00ED748D" w:rsidRDefault="00ED748D" w:rsidP="00ED748D">
      <w:pPr>
        <w:pStyle w:val="ListBullet2"/>
        <w:numPr>
          <w:ilvl w:val="1"/>
          <w:numId w:val="16"/>
        </w:numPr>
        <w:spacing w:before="30"/>
        <w:ind w:left="568" w:hanging="284"/>
        <w:rPr>
          <w:lang w:bidi="fa-IR"/>
        </w:rPr>
      </w:pPr>
      <w:r>
        <w:rPr>
          <w:lang w:bidi="fa-IR"/>
        </w:rPr>
        <w:t>‘To live closer to family’</w:t>
      </w:r>
    </w:p>
    <w:p w14:paraId="3E6D09D6" w14:textId="77777777" w:rsidR="00ED748D" w:rsidRDefault="00ED748D" w:rsidP="00ED748D">
      <w:pPr>
        <w:pStyle w:val="ListBullet2"/>
        <w:numPr>
          <w:ilvl w:val="1"/>
          <w:numId w:val="16"/>
        </w:numPr>
        <w:spacing w:before="30"/>
        <w:ind w:left="568" w:hanging="284"/>
        <w:rPr>
          <w:lang w:bidi="fa-IR"/>
        </w:rPr>
      </w:pPr>
      <w:r>
        <w:rPr>
          <w:lang w:bidi="fa-IR"/>
        </w:rPr>
        <w:t>‘For more or better personal care at new home’</w:t>
      </w:r>
    </w:p>
    <w:p w14:paraId="781F1C7F" w14:textId="77777777" w:rsidR="00ED748D" w:rsidRDefault="00ED748D" w:rsidP="00ED748D">
      <w:pPr>
        <w:pStyle w:val="ListBullet2"/>
        <w:numPr>
          <w:ilvl w:val="1"/>
          <w:numId w:val="16"/>
        </w:numPr>
        <w:spacing w:before="30"/>
        <w:ind w:left="568" w:hanging="284"/>
        <w:rPr>
          <w:lang w:bidi="fa-IR"/>
        </w:rPr>
      </w:pPr>
      <w:r>
        <w:rPr>
          <w:lang w:bidi="fa-IR"/>
        </w:rPr>
        <w:t>‘To be closer to medical or support services of facilities’</w:t>
      </w:r>
    </w:p>
    <w:p w14:paraId="5C953875" w14:textId="77777777" w:rsidR="00ED748D" w:rsidRDefault="00ED748D" w:rsidP="00ED748D">
      <w:pPr>
        <w:pStyle w:val="ListBullet2"/>
        <w:numPr>
          <w:ilvl w:val="1"/>
          <w:numId w:val="16"/>
        </w:numPr>
        <w:spacing w:before="30"/>
        <w:ind w:left="568" w:hanging="284"/>
        <w:rPr>
          <w:lang w:bidi="fa-IR"/>
        </w:rPr>
      </w:pPr>
      <w:r>
        <w:rPr>
          <w:lang w:bidi="fa-IR"/>
        </w:rPr>
        <w:t>‘To be closer to other services or facilities (e.g. work, services, leisure)</w:t>
      </w:r>
    </w:p>
    <w:p w14:paraId="63A3D850" w14:textId="77777777" w:rsidR="00ED748D" w:rsidRDefault="00ED748D" w:rsidP="00ED748D">
      <w:pPr>
        <w:pStyle w:val="ListBullet2"/>
        <w:numPr>
          <w:ilvl w:val="1"/>
          <w:numId w:val="16"/>
        </w:numPr>
        <w:spacing w:before="30"/>
        <w:ind w:left="568" w:hanging="284"/>
        <w:rPr>
          <w:lang w:bidi="fa-IR"/>
        </w:rPr>
      </w:pPr>
      <w:r>
        <w:rPr>
          <w:lang w:bidi="fa-IR"/>
        </w:rPr>
        <w:t>‘Family changes or house too big’</w:t>
      </w:r>
    </w:p>
    <w:p w14:paraId="1FAE5FEA" w14:textId="77777777" w:rsidR="00ED748D" w:rsidRDefault="00ED748D" w:rsidP="00ED748D">
      <w:pPr>
        <w:pStyle w:val="ListBullet2"/>
        <w:numPr>
          <w:ilvl w:val="1"/>
          <w:numId w:val="16"/>
        </w:numPr>
        <w:spacing w:before="30"/>
        <w:ind w:left="568" w:hanging="284"/>
        <w:rPr>
          <w:lang w:bidi="fa-IR"/>
        </w:rPr>
      </w:pPr>
      <w:r>
        <w:rPr>
          <w:lang w:bidi="fa-IR"/>
        </w:rPr>
        <w:t>‘Carer move or different carer’</w:t>
      </w:r>
    </w:p>
    <w:p w14:paraId="7FA2483B" w14:textId="77777777" w:rsidR="00ED748D" w:rsidRDefault="00ED748D" w:rsidP="00ED748D">
      <w:pPr>
        <w:pStyle w:val="ListBullet2"/>
        <w:numPr>
          <w:ilvl w:val="1"/>
          <w:numId w:val="16"/>
        </w:numPr>
        <w:spacing w:before="30"/>
        <w:ind w:left="568" w:hanging="284"/>
        <w:rPr>
          <w:lang w:bidi="fa-IR"/>
        </w:rPr>
      </w:pPr>
      <w:r>
        <w:rPr>
          <w:lang w:bidi="fa-IR"/>
        </w:rPr>
        <w:t>‘For other reasons’</w:t>
      </w:r>
    </w:p>
    <w:p w14:paraId="0FB9F06E" w14:textId="317FE735" w:rsidR="00ED748D" w:rsidRDefault="00B27E24" w:rsidP="00ED748D">
      <w:pPr>
        <w:pStyle w:val="Caption"/>
      </w:pPr>
      <w:bookmarkStart w:id="739" w:name="_Toc32321874"/>
      <w:bookmarkStart w:id="740" w:name="_Toc44598583"/>
      <w:bookmarkStart w:id="741" w:name="_Toc44695955"/>
      <w:bookmarkStart w:id="742" w:name="_Toc57643688"/>
      <w:bookmarkStart w:id="743" w:name="_Toc70505642"/>
      <w:r>
        <w:t>E.3</w:t>
      </w:r>
      <w:r w:rsidR="00ED748D" w:rsidRPr="00695C93">
        <w:tab/>
      </w:r>
      <w:r w:rsidR="00ED748D">
        <w:t>Main reasons for moving</w:t>
      </w:r>
      <w:bookmarkEnd w:id="739"/>
      <w:bookmarkEnd w:id="740"/>
      <w:bookmarkEnd w:id="741"/>
      <w:bookmarkEnd w:id="742"/>
      <w:bookmarkEnd w:id="743"/>
    </w:p>
    <w:tbl>
      <w:tblPr>
        <w:tblW w:w="7939" w:type="dxa"/>
        <w:tblLayout w:type="fixed"/>
        <w:tblLook w:val="0000" w:firstRow="0" w:lastRow="0" w:firstColumn="0" w:lastColumn="0" w:noHBand="0" w:noVBand="0"/>
        <w:tblCaption w:val="Table E.3: Main reasons for moving"/>
        <w:tblDescription w:val="Table E.3 lists the main reasons for moving, divided into reasons directly related to the accessibility of the previous dwelling (total 76,100), reasons potentially related to the accessibility of the previous dwelling (154,200), and reasons unrelated to the accessibility of the previous dwelling (80,900). "/>
      </w:tblPr>
      <w:tblGrid>
        <w:gridCol w:w="4178"/>
        <w:gridCol w:w="753"/>
        <w:gridCol w:w="752"/>
        <w:gridCol w:w="752"/>
        <w:gridCol w:w="752"/>
        <w:gridCol w:w="752"/>
      </w:tblGrid>
      <w:tr w:rsidR="00696C70" w14:paraId="01B55255" w14:textId="77777777" w:rsidTr="00D13F4A">
        <w:trPr>
          <w:trHeight w:val="230"/>
          <w:tblHeader/>
        </w:trPr>
        <w:tc>
          <w:tcPr>
            <w:tcW w:w="4178" w:type="dxa"/>
            <w:shd w:val="clear" w:color="auto" w:fill="6F6652"/>
            <w:tcMar>
              <w:left w:w="57" w:type="dxa"/>
              <w:right w:w="57" w:type="dxa"/>
            </w:tcMar>
          </w:tcPr>
          <w:p w14:paraId="6B495C23" w14:textId="77777777" w:rsidR="00696C70" w:rsidRDefault="005711AE" w:rsidP="002B23FD">
            <w:pPr>
              <w:pStyle w:val="TableDataColumnHeading"/>
              <w:jc w:val="left"/>
              <w:rPr>
                <w:lang w:val="en-GB"/>
              </w:rPr>
            </w:pPr>
            <w:r>
              <w:rPr>
                <w:lang w:val="en-GB"/>
              </w:rPr>
              <w:t>Reasons for moving</w:t>
            </w:r>
          </w:p>
        </w:tc>
        <w:tc>
          <w:tcPr>
            <w:tcW w:w="753" w:type="dxa"/>
            <w:shd w:val="clear" w:color="auto" w:fill="6F6652"/>
            <w:tcMar>
              <w:left w:w="57" w:type="dxa"/>
              <w:right w:w="57" w:type="dxa"/>
            </w:tcMar>
          </w:tcPr>
          <w:p w14:paraId="7860A30C" w14:textId="77777777" w:rsidR="00696C70" w:rsidRDefault="00696C70" w:rsidP="002B23FD">
            <w:pPr>
              <w:pStyle w:val="TableDataColumnHeading"/>
              <w:rPr>
                <w:lang w:val="en-GB"/>
              </w:rPr>
            </w:pPr>
            <w:r>
              <w:rPr>
                <w:lang w:val="en-GB"/>
              </w:rPr>
              <w:t>Profound</w:t>
            </w:r>
          </w:p>
        </w:tc>
        <w:tc>
          <w:tcPr>
            <w:tcW w:w="752" w:type="dxa"/>
            <w:shd w:val="clear" w:color="auto" w:fill="6F6652"/>
            <w:tcMar>
              <w:left w:w="57" w:type="dxa"/>
              <w:right w:w="57" w:type="dxa"/>
            </w:tcMar>
          </w:tcPr>
          <w:p w14:paraId="2E5BF8C6" w14:textId="77777777" w:rsidR="00696C70" w:rsidRDefault="00696C70" w:rsidP="002B23FD">
            <w:pPr>
              <w:pStyle w:val="TableDataColumnHeading"/>
              <w:rPr>
                <w:lang w:val="en-GB"/>
              </w:rPr>
            </w:pPr>
            <w:r>
              <w:rPr>
                <w:lang w:val="en-GB"/>
              </w:rPr>
              <w:t>Severe</w:t>
            </w:r>
          </w:p>
        </w:tc>
        <w:tc>
          <w:tcPr>
            <w:tcW w:w="752" w:type="dxa"/>
            <w:shd w:val="clear" w:color="auto" w:fill="6F6652"/>
            <w:tcMar>
              <w:left w:w="57" w:type="dxa"/>
              <w:right w:w="57" w:type="dxa"/>
            </w:tcMar>
          </w:tcPr>
          <w:p w14:paraId="19638FAF" w14:textId="77777777" w:rsidR="00696C70" w:rsidRDefault="00696C70" w:rsidP="002B23FD">
            <w:pPr>
              <w:pStyle w:val="TableDataColumnHeading"/>
              <w:rPr>
                <w:lang w:val="en-GB"/>
              </w:rPr>
            </w:pPr>
            <w:r>
              <w:rPr>
                <w:lang w:val="en-GB"/>
              </w:rPr>
              <w:t>Moderate</w:t>
            </w:r>
          </w:p>
        </w:tc>
        <w:tc>
          <w:tcPr>
            <w:tcW w:w="752" w:type="dxa"/>
            <w:shd w:val="clear" w:color="auto" w:fill="6F6652"/>
            <w:tcMar>
              <w:left w:w="57" w:type="dxa"/>
              <w:right w:w="57" w:type="dxa"/>
            </w:tcMar>
          </w:tcPr>
          <w:p w14:paraId="1B8BF88E" w14:textId="77777777" w:rsidR="00696C70" w:rsidRDefault="00696C70" w:rsidP="002B23FD">
            <w:pPr>
              <w:pStyle w:val="TableDataColumnHeading"/>
              <w:rPr>
                <w:lang w:val="en-GB"/>
              </w:rPr>
            </w:pPr>
            <w:r>
              <w:rPr>
                <w:lang w:val="en-GB"/>
              </w:rPr>
              <w:t>Mild</w:t>
            </w:r>
          </w:p>
        </w:tc>
        <w:tc>
          <w:tcPr>
            <w:tcW w:w="752" w:type="dxa"/>
            <w:shd w:val="clear" w:color="auto" w:fill="6F6652"/>
            <w:tcMar>
              <w:left w:w="57" w:type="dxa"/>
              <w:right w:w="57" w:type="dxa"/>
            </w:tcMar>
          </w:tcPr>
          <w:p w14:paraId="63CB1A1A" w14:textId="77777777" w:rsidR="00696C70" w:rsidRDefault="00696C70" w:rsidP="002B23FD">
            <w:pPr>
              <w:pStyle w:val="TableDataColumnHeading"/>
              <w:rPr>
                <w:lang w:val="en-GB"/>
              </w:rPr>
            </w:pPr>
            <w:r>
              <w:rPr>
                <w:lang w:val="en-GB"/>
              </w:rPr>
              <w:t>Total</w:t>
            </w:r>
          </w:p>
        </w:tc>
      </w:tr>
      <w:tr w:rsidR="00ED748D" w14:paraId="7E65F722" w14:textId="77777777" w:rsidTr="002B23FD">
        <w:trPr>
          <w:trHeight w:val="230"/>
          <w:tblHeader/>
        </w:trPr>
        <w:tc>
          <w:tcPr>
            <w:tcW w:w="4178" w:type="dxa"/>
            <w:tcBorders>
              <w:bottom w:val="single" w:sz="8" w:space="0" w:color="FFFFFF" w:themeColor="background1"/>
            </w:tcBorders>
            <w:shd w:val="clear" w:color="auto" w:fill="auto"/>
            <w:tcMar>
              <w:left w:w="57" w:type="dxa"/>
              <w:right w:w="57" w:type="dxa"/>
            </w:tcMar>
          </w:tcPr>
          <w:p w14:paraId="24243629" w14:textId="77777777" w:rsidR="00ED748D" w:rsidRDefault="00ED748D" w:rsidP="002B23FD">
            <w:pPr>
              <w:pStyle w:val="TableUnit"/>
              <w:jc w:val="left"/>
              <w:rPr>
                <w:lang w:val="en-GB"/>
              </w:rPr>
            </w:pPr>
          </w:p>
        </w:tc>
        <w:tc>
          <w:tcPr>
            <w:tcW w:w="753" w:type="dxa"/>
            <w:tcBorders>
              <w:bottom w:val="single" w:sz="8" w:space="0" w:color="FFFFFF" w:themeColor="background1"/>
            </w:tcBorders>
            <w:shd w:val="clear" w:color="auto" w:fill="auto"/>
            <w:tcMar>
              <w:left w:w="57" w:type="dxa"/>
              <w:right w:w="57" w:type="dxa"/>
            </w:tcMar>
          </w:tcPr>
          <w:p w14:paraId="1C3E8DFA" w14:textId="77777777" w:rsidR="00ED748D" w:rsidRDefault="00ED748D" w:rsidP="002B23FD">
            <w:pPr>
              <w:pStyle w:val="TableUnit"/>
              <w:rPr>
                <w:lang w:val="en-GB"/>
              </w:rPr>
            </w:pPr>
            <w:r>
              <w:rPr>
                <w:lang w:val="en-GB"/>
              </w:rPr>
              <w:t>'000</w:t>
            </w:r>
          </w:p>
        </w:tc>
        <w:tc>
          <w:tcPr>
            <w:tcW w:w="752" w:type="dxa"/>
            <w:tcBorders>
              <w:bottom w:val="single" w:sz="8" w:space="0" w:color="FFFFFF" w:themeColor="background1"/>
            </w:tcBorders>
            <w:shd w:val="clear" w:color="auto" w:fill="auto"/>
            <w:tcMar>
              <w:left w:w="57" w:type="dxa"/>
              <w:right w:w="57" w:type="dxa"/>
            </w:tcMar>
          </w:tcPr>
          <w:p w14:paraId="26D97A73" w14:textId="77777777" w:rsidR="00ED748D" w:rsidRDefault="00ED748D" w:rsidP="002B23FD">
            <w:pPr>
              <w:pStyle w:val="TableUnit"/>
              <w:rPr>
                <w:lang w:val="en-GB"/>
              </w:rPr>
            </w:pPr>
            <w:r>
              <w:rPr>
                <w:lang w:val="en-GB"/>
              </w:rPr>
              <w:t>'000</w:t>
            </w:r>
          </w:p>
        </w:tc>
        <w:tc>
          <w:tcPr>
            <w:tcW w:w="752" w:type="dxa"/>
            <w:tcBorders>
              <w:bottom w:val="single" w:sz="8" w:space="0" w:color="FFFFFF" w:themeColor="background1"/>
            </w:tcBorders>
            <w:shd w:val="clear" w:color="auto" w:fill="auto"/>
            <w:tcMar>
              <w:left w:w="57" w:type="dxa"/>
              <w:right w:w="57" w:type="dxa"/>
            </w:tcMar>
          </w:tcPr>
          <w:p w14:paraId="003B6453" w14:textId="77777777" w:rsidR="00ED748D" w:rsidRDefault="00ED748D" w:rsidP="002B23FD">
            <w:pPr>
              <w:pStyle w:val="TableUnit"/>
              <w:rPr>
                <w:lang w:val="en-GB"/>
              </w:rPr>
            </w:pPr>
            <w:r>
              <w:rPr>
                <w:lang w:val="en-GB"/>
              </w:rPr>
              <w:t>'000</w:t>
            </w:r>
          </w:p>
        </w:tc>
        <w:tc>
          <w:tcPr>
            <w:tcW w:w="752" w:type="dxa"/>
            <w:tcBorders>
              <w:bottom w:val="single" w:sz="8" w:space="0" w:color="FFFFFF" w:themeColor="background1"/>
            </w:tcBorders>
            <w:shd w:val="clear" w:color="auto" w:fill="auto"/>
            <w:tcMar>
              <w:left w:w="57" w:type="dxa"/>
              <w:right w:w="57" w:type="dxa"/>
            </w:tcMar>
          </w:tcPr>
          <w:p w14:paraId="01846FC4" w14:textId="77777777" w:rsidR="00ED748D" w:rsidRDefault="00ED748D" w:rsidP="002B23FD">
            <w:pPr>
              <w:pStyle w:val="TableUnit"/>
              <w:rPr>
                <w:lang w:val="en-GB"/>
              </w:rPr>
            </w:pPr>
            <w:r>
              <w:rPr>
                <w:lang w:val="en-GB"/>
              </w:rPr>
              <w:t>'000</w:t>
            </w:r>
          </w:p>
        </w:tc>
        <w:tc>
          <w:tcPr>
            <w:tcW w:w="752" w:type="dxa"/>
            <w:tcBorders>
              <w:bottom w:val="single" w:sz="8" w:space="0" w:color="FFFFFF" w:themeColor="background1"/>
            </w:tcBorders>
            <w:shd w:val="clear" w:color="auto" w:fill="auto"/>
            <w:tcMar>
              <w:left w:w="57" w:type="dxa"/>
              <w:right w:w="57" w:type="dxa"/>
            </w:tcMar>
          </w:tcPr>
          <w:p w14:paraId="50C05ABD" w14:textId="77777777" w:rsidR="00ED748D" w:rsidRDefault="00ED748D" w:rsidP="002B23FD">
            <w:pPr>
              <w:pStyle w:val="TableUnit"/>
              <w:rPr>
                <w:lang w:val="en-GB"/>
              </w:rPr>
            </w:pPr>
            <w:r>
              <w:rPr>
                <w:lang w:val="en-GB"/>
              </w:rPr>
              <w:t>'000</w:t>
            </w:r>
          </w:p>
        </w:tc>
      </w:tr>
      <w:tr w:rsidR="00ED748D" w14:paraId="1D460833" w14:textId="77777777" w:rsidTr="002B23FD">
        <w:trPr>
          <w:trHeight w:val="230"/>
        </w:trPr>
        <w:tc>
          <w:tcPr>
            <w:tcW w:w="41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8C6DD25" w14:textId="77777777" w:rsidR="00ED748D" w:rsidRDefault="00ED748D" w:rsidP="002B23FD">
            <w:pPr>
              <w:pStyle w:val="TableHeading1"/>
              <w:rPr>
                <w:lang w:val="en-GB"/>
              </w:rPr>
            </w:pPr>
            <w:r>
              <w:rPr>
                <w:lang w:val="en-GB"/>
              </w:rPr>
              <w:t>Reasons directly related to accessibility of previous dwelling</w:t>
            </w:r>
          </w:p>
        </w:tc>
        <w:tc>
          <w:tcPr>
            <w:tcW w:w="75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01EAFC7"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44A4F3D"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CED15F"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642E6CE"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F9D36A5" w14:textId="77777777" w:rsidR="00ED748D" w:rsidRDefault="00ED748D" w:rsidP="002B23FD">
            <w:pPr>
              <w:pStyle w:val="TableHeading1"/>
              <w:rPr>
                <w:lang w:val="en-GB"/>
              </w:rPr>
            </w:pPr>
          </w:p>
        </w:tc>
      </w:tr>
      <w:tr w:rsidR="00696C70" w14:paraId="1CCAE2B5"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B53F1B" w14:textId="77777777" w:rsidR="00696C70" w:rsidRDefault="00696C70" w:rsidP="002B23FD">
            <w:pPr>
              <w:pStyle w:val="TableDataEntries"/>
              <w:jc w:val="left"/>
              <w:rPr>
                <w:lang w:val="en-GB"/>
              </w:rPr>
            </w:pPr>
            <w:r>
              <w:rPr>
                <w:lang w:val="en-GB"/>
              </w:rPr>
              <w:t>Safer environment</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42B997" w14:textId="77777777" w:rsidR="00696C70" w:rsidRDefault="00696C70" w:rsidP="002B23FD">
            <w:pPr>
              <w:pStyle w:val="TableDataEntries"/>
              <w:rPr>
                <w:lang w:val="en-GB"/>
              </w:rPr>
            </w:pPr>
            <w:r>
              <w:rPr>
                <w:lang w:val="en-GB"/>
              </w:rPr>
              <w:t xml:space="preserve"> 4.5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693FA" w14:textId="77777777" w:rsidR="00696C70" w:rsidRDefault="00696C70" w:rsidP="002B23FD">
            <w:pPr>
              <w:pStyle w:val="TableDataEntries"/>
              <w:rPr>
                <w:lang w:val="en-GB"/>
              </w:rPr>
            </w:pPr>
            <w:r>
              <w:rPr>
                <w:lang w:val="en-GB"/>
              </w:rPr>
              <w:t xml:space="preserve"> 3.5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F78130" w14:textId="77777777" w:rsidR="00696C70" w:rsidRDefault="00696C70" w:rsidP="002B23FD">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23DE17" w14:textId="77777777" w:rsidR="00696C70" w:rsidRDefault="00696C70" w:rsidP="002B23FD">
            <w:pPr>
              <w:pStyle w:val="TableDataEntries"/>
              <w:rPr>
                <w:lang w:val="en-GB"/>
              </w:rPr>
            </w:pPr>
            <w:r>
              <w:rPr>
                <w:lang w:val="en-GB"/>
              </w:rPr>
              <w:t xml:space="preserve"> 7.2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0BDA84" w14:textId="77777777" w:rsidR="00696C70" w:rsidRDefault="00696C70" w:rsidP="002B23FD">
            <w:pPr>
              <w:pStyle w:val="TableDataEntries"/>
              <w:rPr>
                <w:lang w:val="en-GB"/>
              </w:rPr>
            </w:pPr>
            <w:r>
              <w:rPr>
                <w:lang w:val="en-GB"/>
              </w:rPr>
              <w:t xml:space="preserve"> 16.8</w:t>
            </w:r>
          </w:p>
        </w:tc>
      </w:tr>
      <w:tr w:rsidR="00696C70" w14:paraId="05C81E12"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67EAD5" w14:textId="77777777" w:rsidR="00696C70" w:rsidRDefault="00696C70" w:rsidP="002B23FD">
            <w:pPr>
              <w:pStyle w:val="TableDataEntries"/>
              <w:jc w:val="left"/>
              <w:rPr>
                <w:lang w:val="en-GB"/>
              </w:rPr>
            </w:pPr>
            <w:r>
              <w:rPr>
                <w:lang w:val="en-GB"/>
              </w:rPr>
              <w:t>To a dwelling more suitable for condition(s)</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A8C63E" w14:textId="77777777" w:rsidR="00696C70" w:rsidRDefault="00696C70" w:rsidP="002B23FD">
            <w:pPr>
              <w:pStyle w:val="TableDataEntries"/>
              <w:rPr>
                <w:lang w:val="en-GB"/>
              </w:rPr>
            </w:pPr>
            <w:r>
              <w:rPr>
                <w:lang w:val="en-GB"/>
              </w:rPr>
              <w:t xml:space="preserve"> 16.3</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CA22B2" w14:textId="77777777" w:rsidR="00696C70" w:rsidRDefault="00696C70" w:rsidP="002B23FD">
            <w:pPr>
              <w:pStyle w:val="TableDataEntries"/>
              <w:rPr>
                <w:lang w:val="en-GB"/>
              </w:rPr>
            </w:pPr>
            <w:r>
              <w:rPr>
                <w:lang w:val="en-GB"/>
              </w:rPr>
              <w:t xml:space="preserve"> 17.1</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A1EF43" w14:textId="77777777" w:rsidR="00696C70" w:rsidRDefault="00696C70" w:rsidP="002B23FD">
            <w:pPr>
              <w:pStyle w:val="TableDataEntries"/>
              <w:rPr>
                <w:lang w:val="en-GB"/>
              </w:rPr>
            </w:pPr>
            <w:r>
              <w:rPr>
                <w:lang w:val="en-GB"/>
              </w:rPr>
              <w:t xml:space="preserve"> 10.4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64CD0F" w14:textId="77777777" w:rsidR="00696C70" w:rsidRDefault="00696C70" w:rsidP="002B23FD">
            <w:pPr>
              <w:pStyle w:val="TableDataEntries"/>
              <w:rPr>
                <w:lang w:val="en-GB"/>
              </w:rPr>
            </w:pPr>
            <w:r>
              <w:rPr>
                <w:lang w:val="en-GB"/>
              </w:rPr>
              <w:t xml:space="preserve"> 15.6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1B8B9E" w14:textId="77777777" w:rsidR="00696C70" w:rsidRDefault="00696C70" w:rsidP="002B23FD">
            <w:pPr>
              <w:pStyle w:val="TableDataEntries"/>
              <w:rPr>
                <w:lang w:val="en-GB"/>
              </w:rPr>
            </w:pPr>
            <w:r>
              <w:rPr>
                <w:lang w:val="en-GB"/>
              </w:rPr>
              <w:t xml:space="preserve"> 59.3</w:t>
            </w:r>
          </w:p>
        </w:tc>
      </w:tr>
      <w:tr w:rsidR="00696C70" w:rsidRPr="00142FDB" w14:paraId="2E3E50F5"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63AB4" w14:textId="77777777" w:rsidR="00696C70" w:rsidRPr="00142FDB" w:rsidRDefault="00696C70" w:rsidP="002B23FD">
            <w:pPr>
              <w:pStyle w:val="TableDataEntries"/>
              <w:jc w:val="left"/>
              <w:rPr>
                <w:rFonts w:ascii="Franklin Gothic Demi" w:hAnsi="Franklin Gothic Demi"/>
                <w:lang w:val="en-GB"/>
              </w:rPr>
            </w:pPr>
            <w:r w:rsidRPr="00142FDB">
              <w:rPr>
                <w:rFonts w:ascii="Franklin Gothic Demi" w:hAnsi="Franklin Gothic Demi"/>
                <w:lang w:val="en-GB"/>
              </w:rPr>
              <w:t>Total directly related</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7704FF"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20.8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7A345"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20.6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0F78D7"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11.8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9BA3BA"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22.8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E4E551"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76.1</w:t>
            </w:r>
          </w:p>
        </w:tc>
      </w:tr>
      <w:tr w:rsidR="00ED748D" w14:paraId="12D434B1" w14:textId="77777777" w:rsidTr="002B23FD">
        <w:trPr>
          <w:trHeight w:val="230"/>
        </w:trPr>
        <w:tc>
          <w:tcPr>
            <w:tcW w:w="41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7B49CA6" w14:textId="77777777" w:rsidR="00ED748D" w:rsidRDefault="00ED748D" w:rsidP="002B23FD">
            <w:pPr>
              <w:pStyle w:val="TableHeading1"/>
              <w:rPr>
                <w:lang w:val="en-GB"/>
              </w:rPr>
            </w:pPr>
            <w:r>
              <w:rPr>
                <w:lang w:val="en-GB"/>
              </w:rPr>
              <w:t>Reasons potentially related to accessibility of previous dwelling</w:t>
            </w:r>
          </w:p>
        </w:tc>
        <w:tc>
          <w:tcPr>
            <w:tcW w:w="75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6EA5762"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7272496"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3B39477"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B536A62"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24DA37" w14:textId="77777777" w:rsidR="00ED748D" w:rsidRDefault="00ED748D" w:rsidP="002B23FD">
            <w:pPr>
              <w:pStyle w:val="TableHeading1"/>
              <w:rPr>
                <w:lang w:val="en-GB"/>
              </w:rPr>
            </w:pPr>
          </w:p>
        </w:tc>
      </w:tr>
      <w:tr w:rsidR="00696C70" w14:paraId="4A81448E"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F6336E" w14:textId="77777777" w:rsidR="00696C70" w:rsidRDefault="00696C70" w:rsidP="002B23FD">
            <w:pPr>
              <w:pStyle w:val="TableDataEntries"/>
              <w:jc w:val="left"/>
              <w:rPr>
                <w:lang w:val="en-GB"/>
              </w:rPr>
            </w:pPr>
            <w:r>
              <w:rPr>
                <w:lang w:val="en-GB"/>
              </w:rPr>
              <w:t>Due to own age or condition</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1FE798" w14:textId="77777777" w:rsidR="00696C70" w:rsidRDefault="00696C70" w:rsidP="002B23FD">
            <w:pPr>
              <w:pStyle w:val="TableDataEntries"/>
              <w:rPr>
                <w:lang w:val="en-GB"/>
              </w:rPr>
            </w:pPr>
            <w:r>
              <w:rPr>
                <w:lang w:val="en-GB"/>
              </w:rPr>
              <w:t xml:space="preserve"> 40.9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046399" w14:textId="77777777" w:rsidR="00696C70" w:rsidRDefault="00696C70" w:rsidP="002B23FD">
            <w:pPr>
              <w:pStyle w:val="TableDataEntries"/>
              <w:rPr>
                <w:lang w:val="en-GB"/>
              </w:rPr>
            </w:pPr>
            <w:r>
              <w:rPr>
                <w:lang w:val="en-GB"/>
              </w:rPr>
              <w:t xml:space="preserve"> 29.7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6DB2F4" w14:textId="77777777" w:rsidR="00696C70" w:rsidRDefault="00696C70" w:rsidP="002B23FD">
            <w:pPr>
              <w:pStyle w:val="TableDataEntries"/>
              <w:rPr>
                <w:lang w:val="en-GB"/>
              </w:rPr>
            </w:pPr>
            <w:r>
              <w:rPr>
                <w:lang w:val="en-GB"/>
              </w:rPr>
              <w:t xml:space="preserve"> 15.0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773AB1" w14:textId="77777777" w:rsidR="00696C70" w:rsidRDefault="00696C70" w:rsidP="002B23FD">
            <w:pPr>
              <w:pStyle w:val="TableDataEntries"/>
              <w:rPr>
                <w:lang w:val="en-GB"/>
              </w:rPr>
            </w:pPr>
            <w:r>
              <w:rPr>
                <w:lang w:val="en-GB"/>
              </w:rPr>
              <w:t xml:space="preserve"> 30.9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13827A" w14:textId="77777777" w:rsidR="00696C70" w:rsidRDefault="00696C70" w:rsidP="002B23FD">
            <w:pPr>
              <w:pStyle w:val="TableDataEntries"/>
              <w:rPr>
                <w:lang w:val="en-GB"/>
              </w:rPr>
            </w:pPr>
            <w:r>
              <w:rPr>
                <w:lang w:val="en-GB"/>
              </w:rPr>
              <w:t xml:space="preserve"> 116.4</w:t>
            </w:r>
          </w:p>
        </w:tc>
      </w:tr>
      <w:tr w:rsidR="00696C70" w14:paraId="2B339CFE"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2FEB4D" w14:textId="77777777" w:rsidR="00696C70" w:rsidRDefault="00696C70" w:rsidP="002B23FD">
            <w:pPr>
              <w:pStyle w:val="TableDataEntries"/>
              <w:jc w:val="left"/>
              <w:rPr>
                <w:lang w:val="en-GB"/>
              </w:rPr>
            </w:pPr>
            <w:r>
              <w:rPr>
                <w:lang w:val="en-GB"/>
              </w:rPr>
              <w:t>To improve own health</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62E282" w14:textId="77777777" w:rsidR="00696C70" w:rsidRDefault="00696C70" w:rsidP="002B23FD">
            <w:pPr>
              <w:pStyle w:val="TableDataEntries"/>
              <w:rPr>
                <w:lang w:val="en-GB"/>
              </w:rPr>
            </w:pPr>
            <w:r>
              <w:rPr>
                <w:lang w:val="en-GB"/>
              </w:rPr>
              <w:t xml:space="preserve"> 4.8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986088" w14:textId="77777777" w:rsidR="00696C70" w:rsidRDefault="00696C70" w:rsidP="002B23FD">
            <w:pPr>
              <w:pStyle w:val="TableDataEntries"/>
              <w:rPr>
                <w:lang w:val="en-GB"/>
              </w:rPr>
            </w:pPr>
            <w:r>
              <w:rPr>
                <w:lang w:val="en-GB"/>
              </w:rPr>
              <w:t xml:space="preserve"> 4.3</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C09F0" w14:textId="77777777" w:rsidR="00696C70" w:rsidRDefault="00696C70" w:rsidP="002B23FD">
            <w:pPr>
              <w:pStyle w:val="TableDataEntries"/>
              <w:rPr>
                <w:lang w:val="en-GB"/>
              </w:rPr>
            </w:pPr>
            <w:r>
              <w:rPr>
                <w:lang w:val="en-GB"/>
              </w:rPr>
              <w:t xml:space="preserve"> 5.4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D60F6F" w14:textId="77777777" w:rsidR="00696C70" w:rsidRDefault="00696C70" w:rsidP="002B23FD">
            <w:pPr>
              <w:pStyle w:val="TableDataEntries"/>
              <w:rPr>
                <w:lang w:val="en-GB"/>
              </w:rPr>
            </w:pPr>
            <w:r>
              <w:rPr>
                <w:lang w:val="en-GB"/>
              </w:rPr>
              <w:t xml:space="preserve"> 10.3</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1AE799" w14:textId="77777777" w:rsidR="00696C70" w:rsidRDefault="00696C70" w:rsidP="002B23FD">
            <w:pPr>
              <w:pStyle w:val="TableDataEntries"/>
              <w:rPr>
                <w:lang w:val="en-GB"/>
              </w:rPr>
            </w:pPr>
            <w:r>
              <w:rPr>
                <w:lang w:val="en-GB"/>
              </w:rPr>
              <w:t xml:space="preserve"> 21.9</w:t>
            </w:r>
          </w:p>
        </w:tc>
      </w:tr>
      <w:tr w:rsidR="00696C70" w14:paraId="0B61C7EB"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1A8FE4" w14:textId="77777777" w:rsidR="00696C70" w:rsidRDefault="00696C70" w:rsidP="002B23FD">
            <w:pPr>
              <w:pStyle w:val="TableDataEntries"/>
              <w:jc w:val="left"/>
              <w:rPr>
                <w:lang w:val="en-GB"/>
              </w:rPr>
            </w:pPr>
            <w:r>
              <w:rPr>
                <w:lang w:val="en-GB"/>
              </w:rPr>
              <w:t>To live with family or friends</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F12F0" w14:textId="77777777" w:rsidR="00696C70" w:rsidRDefault="00696C70" w:rsidP="002B23FD">
            <w:pPr>
              <w:pStyle w:val="TableDataEntries"/>
              <w:rPr>
                <w:lang w:val="en-GB"/>
              </w:rPr>
            </w:pPr>
            <w:r>
              <w:rPr>
                <w:lang w:val="en-GB"/>
              </w:rPr>
              <w:t xml:space="preserve"> 5.3</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567DCC" w14:textId="77777777" w:rsidR="00696C70" w:rsidRDefault="00696C70" w:rsidP="002B23FD">
            <w:pPr>
              <w:pStyle w:val="TableDataEntries"/>
              <w:rPr>
                <w:lang w:val="en-GB"/>
              </w:rPr>
            </w:pPr>
            <w:r>
              <w:rPr>
                <w:lang w:val="en-GB"/>
              </w:rPr>
              <w:t xml:space="preserve"> 2.7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4B148"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B1FD83" w14:textId="77777777" w:rsidR="00696C70" w:rsidRDefault="00696C70" w:rsidP="002B23FD">
            <w:pPr>
              <w:pStyle w:val="TableDataEntries"/>
              <w:rPr>
                <w:lang w:val="en-GB"/>
              </w:rPr>
            </w:pPr>
            <w:r>
              <w:rPr>
                <w:lang w:val="en-GB"/>
              </w:rPr>
              <w:t xml:space="preserve"> 5.6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574E41" w14:textId="77777777" w:rsidR="00696C70" w:rsidRDefault="00696C70" w:rsidP="002B23FD">
            <w:pPr>
              <w:pStyle w:val="TableDataEntries"/>
              <w:rPr>
                <w:lang w:val="en-GB"/>
              </w:rPr>
            </w:pPr>
            <w:r>
              <w:rPr>
                <w:lang w:val="en-GB"/>
              </w:rPr>
              <w:t xml:space="preserve"> 15.9</w:t>
            </w:r>
          </w:p>
        </w:tc>
      </w:tr>
      <w:tr w:rsidR="00696C70" w:rsidRPr="00142FDB" w14:paraId="69920972"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3F2D9B" w14:textId="77777777" w:rsidR="00696C70" w:rsidRPr="00142FDB" w:rsidRDefault="00696C70" w:rsidP="002B23FD">
            <w:pPr>
              <w:pStyle w:val="TableDataEntries"/>
              <w:jc w:val="left"/>
              <w:rPr>
                <w:rFonts w:ascii="Franklin Gothic Demi" w:hAnsi="Franklin Gothic Demi"/>
                <w:lang w:val="en-GB"/>
              </w:rPr>
            </w:pPr>
            <w:r w:rsidRPr="00142FDB">
              <w:rPr>
                <w:rFonts w:ascii="Franklin Gothic Demi" w:hAnsi="Franklin Gothic Demi"/>
                <w:lang w:val="en-GB"/>
              </w:rPr>
              <w:t>Total potentially related</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C565BB"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51.0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DC8948"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36.7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8B5A89"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20.4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1D0944"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46.8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F96B31"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154.2</w:t>
            </w:r>
          </w:p>
        </w:tc>
      </w:tr>
      <w:tr w:rsidR="00696C70" w:rsidRPr="00142FDB" w14:paraId="062D4E3F"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28141AB" w14:textId="77777777" w:rsidR="00696C70" w:rsidRPr="00142FDB" w:rsidRDefault="00696C70" w:rsidP="002B23FD">
            <w:pPr>
              <w:pStyle w:val="TableDataEntries"/>
              <w:jc w:val="left"/>
              <w:rPr>
                <w:rFonts w:ascii="Franklin Gothic Demi" w:hAnsi="Franklin Gothic Demi"/>
                <w:lang w:val="en-GB"/>
              </w:rPr>
            </w:pPr>
            <w:r w:rsidRPr="00142FDB">
              <w:rPr>
                <w:rFonts w:ascii="Franklin Gothic Demi" w:hAnsi="Franklin Gothic Demi"/>
                <w:lang w:val="en-GB"/>
              </w:rPr>
              <w:t>Total directly or potentially related</w:t>
            </w:r>
          </w:p>
        </w:tc>
        <w:tc>
          <w:tcPr>
            <w:tcW w:w="75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3C0FC23"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71.8</w:t>
            </w:r>
          </w:p>
        </w:tc>
        <w:tc>
          <w:tcPr>
            <w:tcW w:w="7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D959B57"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57.3</w:t>
            </w:r>
          </w:p>
        </w:tc>
        <w:tc>
          <w:tcPr>
            <w:tcW w:w="7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F751D2A"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32.2</w:t>
            </w:r>
          </w:p>
        </w:tc>
        <w:tc>
          <w:tcPr>
            <w:tcW w:w="7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AECB5D1"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69.6</w:t>
            </w:r>
          </w:p>
        </w:tc>
        <w:tc>
          <w:tcPr>
            <w:tcW w:w="7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607D96F"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230.3</w:t>
            </w:r>
          </w:p>
        </w:tc>
      </w:tr>
      <w:tr w:rsidR="00ED748D" w14:paraId="375073DA" w14:textId="77777777" w:rsidTr="002B23FD">
        <w:trPr>
          <w:trHeight w:val="230"/>
        </w:trPr>
        <w:tc>
          <w:tcPr>
            <w:tcW w:w="41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31F6EFA" w14:textId="77777777" w:rsidR="00ED748D" w:rsidRDefault="00ED748D" w:rsidP="002B23FD">
            <w:pPr>
              <w:pStyle w:val="TableHeading1"/>
              <w:rPr>
                <w:lang w:val="en-GB"/>
              </w:rPr>
            </w:pPr>
            <w:r>
              <w:rPr>
                <w:lang w:val="en-GB"/>
              </w:rPr>
              <w:t>Reasons unrelated to accessibility of previous dwelling</w:t>
            </w:r>
          </w:p>
        </w:tc>
        <w:tc>
          <w:tcPr>
            <w:tcW w:w="75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7F1271E"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766983"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EBAA899"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9E2BF8A" w14:textId="77777777" w:rsidR="00ED748D" w:rsidRDefault="00ED748D" w:rsidP="002B23FD">
            <w:pPr>
              <w:pStyle w:val="TableHeading1"/>
              <w:rPr>
                <w:lang w:val="en-GB"/>
              </w:rPr>
            </w:pPr>
          </w:p>
        </w:tc>
        <w:tc>
          <w:tcPr>
            <w:tcW w:w="7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ADACF52" w14:textId="77777777" w:rsidR="00ED748D" w:rsidRDefault="00ED748D" w:rsidP="002B23FD">
            <w:pPr>
              <w:pStyle w:val="TableHeading1"/>
              <w:rPr>
                <w:lang w:val="en-GB"/>
              </w:rPr>
            </w:pPr>
          </w:p>
        </w:tc>
      </w:tr>
      <w:tr w:rsidR="00696C70" w14:paraId="1CBC07A7"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93DCD" w14:textId="77777777" w:rsidR="00696C70" w:rsidRDefault="00696C70" w:rsidP="002B23FD">
            <w:pPr>
              <w:pStyle w:val="TableDataEntries"/>
              <w:jc w:val="left"/>
              <w:rPr>
                <w:lang w:val="en-GB"/>
              </w:rPr>
            </w:pPr>
            <w:r>
              <w:rPr>
                <w:lang w:val="en-GB"/>
              </w:rPr>
              <w:t>To save money or cheaper</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449F83" w14:textId="77777777" w:rsidR="00696C70" w:rsidRDefault="00696C70" w:rsidP="002B23FD">
            <w:pPr>
              <w:pStyle w:val="TableDataEntries"/>
              <w:rPr>
                <w:lang w:val="en-GB"/>
              </w:rPr>
            </w:pPr>
            <w:r>
              <w:rPr>
                <w:lang w:val="en-GB"/>
              </w:rPr>
              <w:t xml:space="preserve"> 1.1</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A84DB8" w14:textId="77777777" w:rsidR="00696C70" w:rsidRDefault="00696C70" w:rsidP="002B23FD">
            <w:pPr>
              <w:pStyle w:val="TableDataEntries"/>
              <w:rPr>
                <w:lang w:val="en-GB"/>
              </w:rPr>
            </w:pPr>
            <w:r>
              <w:rPr>
                <w:lang w:val="en-GB"/>
              </w:rPr>
              <w:t xml:space="preserve"> 1.9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BA393F" w14:textId="77777777" w:rsidR="00696C70" w:rsidRDefault="00696C70" w:rsidP="002B23FD">
            <w:pPr>
              <w:pStyle w:val="TableDataEntries"/>
              <w:rPr>
                <w:lang w:val="en-GB"/>
              </w:rPr>
            </w:pPr>
            <w:r>
              <w:rPr>
                <w:lang w:val="en-GB"/>
              </w:rPr>
              <w:t xml:space="preserve"> 2.3</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3328F0" w14:textId="77777777" w:rsidR="00696C70" w:rsidRDefault="00696C70" w:rsidP="002B23FD">
            <w:pPr>
              <w:pStyle w:val="TableDataEntries"/>
              <w:rPr>
                <w:lang w:val="en-GB"/>
              </w:rPr>
            </w:pPr>
            <w:r>
              <w:rPr>
                <w:lang w:val="en-GB"/>
              </w:rPr>
              <w:t xml:space="preserve"> 2.7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B64D2F" w14:textId="77777777" w:rsidR="00696C70" w:rsidRDefault="00696C70" w:rsidP="002B23FD">
            <w:pPr>
              <w:pStyle w:val="TableDataEntries"/>
              <w:rPr>
                <w:lang w:val="en-GB"/>
              </w:rPr>
            </w:pPr>
            <w:r>
              <w:rPr>
                <w:lang w:val="en-GB"/>
              </w:rPr>
              <w:t xml:space="preserve"> 7.3</w:t>
            </w:r>
          </w:p>
        </w:tc>
      </w:tr>
      <w:tr w:rsidR="00696C70" w14:paraId="7C318481"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E43A4" w14:textId="77777777" w:rsidR="00696C70" w:rsidRDefault="00696C70" w:rsidP="002B23FD">
            <w:pPr>
              <w:pStyle w:val="TableDataEntries"/>
              <w:jc w:val="left"/>
              <w:rPr>
                <w:lang w:val="en-GB"/>
              </w:rPr>
            </w:pPr>
            <w:r>
              <w:rPr>
                <w:lang w:val="en-GB"/>
              </w:rPr>
              <w:t>To live closer to family</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F5F0B4" w14:textId="77777777" w:rsidR="00696C70" w:rsidRDefault="00696C70" w:rsidP="002B23FD">
            <w:pPr>
              <w:pStyle w:val="TableDataEntries"/>
              <w:rPr>
                <w:lang w:val="en-GB"/>
              </w:rPr>
            </w:pPr>
            <w:r>
              <w:rPr>
                <w:lang w:val="en-GB"/>
              </w:rPr>
              <w:t xml:space="preserve"> 1.2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1FE243" w14:textId="77777777" w:rsidR="00696C70" w:rsidRDefault="00696C70" w:rsidP="002B23FD">
            <w:pPr>
              <w:pStyle w:val="TableDataEntries"/>
              <w:rPr>
                <w:lang w:val="en-GB"/>
              </w:rPr>
            </w:pPr>
            <w:r>
              <w:rPr>
                <w:lang w:val="en-GB"/>
              </w:rPr>
              <w:t xml:space="preserve"> 1.7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37F902" w14:textId="77777777" w:rsidR="00696C70" w:rsidRDefault="00696C70" w:rsidP="002B23FD">
            <w:pPr>
              <w:pStyle w:val="TableDataEntries"/>
              <w:rPr>
                <w:lang w:val="en-GB"/>
              </w:rPr>
            </w:pPr>
            <w:r>
              <w:rPr>
                <w:lang w:val="en-GB"/>
              </w:rPr>
              <w:t xml:space="preserve"> 1.1</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58A54F" w14:textId="77777777" w:rsidR="00696C70" w:rsidRDefault="00696C70" w:rsidP="002B23FD">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CA8A89" w14:textId="77777777" w:rsidR="00696C70" w:rsidRDefault="00696C70" w:rsidP="002B23FD">
            <w:pPr>
              <w:pStyle w:val="TableDataEntries"/>
              <w:rPr>
                <w:lang w:val="en-GB"/>
              </w:rPr>
            </w:pPr>
            <w:r>
              <w:rPr>
                <w:lang w:val="en-GB"/>
              </w:rPr>
              <w:t xml:space="preserve"> 8.6</w:t>
            </w:r>
          </w:p>
        </w:tc>
      </w:tr>
      <w:tr w:rsidR="00696C70" w14:paraId="3125BE18"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B547CB" w14:textId="77777777" w:rsidR="00696C70" w:rsidRDefault="00696C70" w:rsidP="002B23FD">
            <w:pPr>
              <w:pStyle w:val="TableDataEntries"/>
              <w:jc w:val="left"/>
              <w:rPr>
                <w:lang w:val="en-GB"/>
              </w:rPr>
            </w:pPr>
            <w:r>
              <w:rPr>
                <w:lang w:val="en-GB"/>
              </w:rPr>
              <w:t>For more or better personal care at new home</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900532" w14:textId="77777777" w:rsidR="00696C70" w:rsidRDefault="00696C70" w:rsidP="002B23FD">
            <w:pPr>
              <w:pStyle w:val="TableDataEntries"/>
              <w:rPr>
                <w:lang w:val="en-GB"/>
              </w:rPr>
            </w:pPr>
            <w:r>
              <w:rPr>
                <w:lang w:val="en-GB"/>
              </w:rPr>
              <w:t xml:space="preserve"> 1.2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242FD2"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B7143" w14:textId="77777777" w:rsidR="00696C70" w:rsidRDefault="00696C70" w:rsidP="002B23FD">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451FB6" w14:textId="77777777" w:rsidR="00696C70" w:rsidRDefault="00696C70" w:rsidP="002B23FD">
            <w:pPr>
              <w:pStyle w:val="TableDataEntries"/>
              <w:rPr>
                <w:lang w:val="en-GB"/>
              </w:rPr>
            </w:pPr>
            <w:r>
              <w:rPr>
                <w:lang w:val="en-GB"/>
              </w:rPr>
              <w:t xml:space="preserve"> 3.2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E5313" w14:textId="77777777" w:rsidR="00696C70" w:rsidRDefault="00696C70" w:rsidP="002B23FD">
            <w:pPr>
              <w:pStyle w:val="TableDataEntries"/>
              <w:rPr>
                <w:lang w:val="en-GB"/>
              </w:rPr>
            </w:pPr>
            <w:r>
              <w:rPr>
                <w:lang w:val="en-GB"/>
              </w:rPr>
              <w:t xml:space="preserve"> 5.0</w:t>
            </w:r>
          </w:p>
        </w:tc>
      </w:tr>
      <w:tr w:rsidR="00696C70" w14:paraId="08313F27"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FA6F6B" w14:textId="77777777" w:rsidR="00696C70" w:rsidRDefault="00696C70" w:rsidP="002B23FD">
            <w:pPr>
              <w:pStyle w:val="TableDataEntries"/>
              <w:jc w:val="left"/>
              <w:rPr>
                <w:lang w:val="en-GB"/>
              </w:rPr>
            </w:pPr>
            <w:r>
              <w:rPr>
                <w:lang w:val="en-GB"/>
              </w:rPr>
              <w:t>To be closer to medical or support services or facilities</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912767" w14:textId="77777777" w:rsidR="00696C70" w:rsidRDefault="00696C70" w:rsidP="002B23FD">
            <w:pPr>
              <w:pStyle w:val="TableDataEntries"/>
              <w:rPr>
                <w:lang w:val="en-GB"/>
              </w:rPr>
            </w:pPr>
            <w:r>
              <w:rPr>
                <w:lang w:val="en-GB"/>
              </w:rPr>
              <w:t xml:space="preserve"> 3.9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A1517D" w14:textId="77777777" w:rsidR="00696C70" w:rsidRDefault="00696C70" w:rsidP="002B23FD">
            <w:pPr>
              <w:pStyle w:val="TableDataEntries"/>
              <w:rPr>
                <w:lang w:val="en-GB"/>
              </w:rPr>
            </w:pPr>
            <w:r>
              <w:rPr>
                <w:lang w:val="en-GB"/>
              </w:rPr>
              <w:t xml:space="preserve"> 4.9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C015A8" w14:textId="77777777" w:rsidR="00696C70" w:rsidRDefault="00696C70" w:rsidP="002B23FD">
            <w:pPr>
              <w:pStyle w:val="TableDataEntries"/>
              <w:rPr>
                <w:lang w:val="en-GB"/>
              </w:rPr>
            </w:pPr>
            <w:r>
              <w:rPr>
                <w:lang w:val="en-GB"/>
              </w:rPr>
              <w:t xml:space="preserve"> 2.8</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0BA194" w14:textId="77777777" w:rsidR="00696C70" w:rsidRDefault="00696C70" w:rsidP="002B23FD">
            <w:pPr>
              <w:pStyle w:val="TableDataEntries"/>
              <w:rPr>
                <w:lang w:val="en-GB"/>
              </w:rPr>
            </w:pPr>
            <w:r>
              <w:rPr>
                <w:lang w:val="en-GB"/>
              </w:rPr>
              <w:t xml:space="preserve"> 4.9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42728C" w14:textId="77777777" w:rsidR="00696C70" w:rsidRDefault="00696C70" w:rsidP="002B23FD">
            <w:pPr>
              <w:pStyle w:val="TableDataEntries"/>
              <w:rPr>
                <w:lang w:val="en-GB"/>
              </w:rPr>
            </w:pPr>
            <w:r>
              <w:rPr>
                <w:lang w:val="en-GB"/>
              </w:rPr>
              <w:t xml:space="preserve"> 14.2</w:t>
            </w:r>
          </w:p>
        </w:tc>
      </w:tr>
      <w:tr w:rsidR="00696C70" w14:paraId="05CA3D0A"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5069EC" w14:textId="77777777" w:rsidR="00696C70" w:rsidRDefault="00696C70" w:rsidP="002B23FD">
            <w:pPr>
              <w:pStyle w:val="TableDataEntries"/>
              <w:jc w:val="left"/>
              <w:rPr>
                <w:lang w:val="en-GB"/>
              </w:rPr>
            </w:pPr>
            <w:r>
              <w:rPr>
                <w:lang w:val="en-GB"/>
              </w:rPr>
              <w:t>To be closer to other services or facilities (eg work, services, leisure)</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FC69C2" w14:textId="77777777" w:rsidR="00696C70" w:rsidRDefault="00696C70" w:rsidP="002B23FD">
            <w:pPr>
              <w:pStyle w:val="TableDataEntries"/>
              <w:rPr>
                <w:lang w:val="en-GB"/>
              </w:rPr>
            </w:pPr>
            <w:r>
              <w:rPr>
                <w:lang w:val="en-GB"/>
              </w:rPr>
              <w:t xml:space="preserve"> 3.2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722E51" w14:textId="77777777" w:rsidR="00696C70" w:rsidRDefault="00696C70" w:rsidP="002B23FD">
            <w:pPr>
              <w:pStyle w:val="TableDataEntries"/>
              <w:rPr>
                <w:lang w:val="en-GB"/>
              </w:rPr>
            </w:pPr>
            <w:r>
              <w:rPr>
                <w:lang w:val="en-GB"/>
              </w:rPr>
              <w:t xml:space="preserve"> 1.5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679033" w14:textId="77777777" w:rsidR="00696C70" w:rsidRDefault="00696C70" w:rsidP="002B23FD">
            <w:pPr>
              <w:pStyle w:val="TableDataEntries"/>
              <w:rPr>
                <w:lang w:val="en-GB"/>
              </w:rPr>
            </w:pPr>
            <w:r>
              <w:rPr>
                <w:lang w:val="en-GB"/>
              </w:rPr>
              <w:t xml:space="preserve"> 0.7</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13C5E6" w14:textId="77777777" w:rsidR="00696C70" w:rsidRDefault="00696C70" w:rsidP="002B23FD">
            <w:pPr>
              <w:pStyle w:val="TableDataEntries"/>
              <w:rPr>
                <w:lang w:val="en-GB"/>
              </w:rPr>
            </w:pPr>
            <w:r>
              <w:rPr>
                <w:lang w:val="en-GB"/>
              </w:rPr>
              <w:t xml:space="preserve"> 2.2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9BEC6E" w14:textId="77777777" w:rsidR="00696C70" w:rsidRDefault="00696C70" w:rsidP="002B23FD">
            <w:pPr>
              <w:pStyle w:val="TableDataEntries"/>
              <w:rPr>
                <w:lang w:val="en-GB"/>
              </w:rPr>
            </w:pPr>
            <w:r>
              <w:rPr>
                <w:lang w:val="en-GB"/>
              </w:rPr>
              <w:t xml:space="preserve"> 8.4</w:t>
            </w:r>
          </w:p>
        </w:tc>
      </w:tr>
      <w:tr w:rsidR="00696C70" w14:paraId="18D986CD"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944C86" w14:textId="77777777" w:rsidR="00696C70" w:rsidRDefault="00696C70" w:rsidP="002B23FD">
            <w:pPr>
              <w:pStyle w:val="TableDataEntries"/>
              <w:jc w:val="left"/>
              <w:rPr>
                <w:lang w:val="en-GB"/>
              </w:rPr>
            </w:pPr>
            <w:r>
              <w:rPr>
                <w:lang w:val="en-GB"/>
              </w:rPr>
              <w:t>Family changes or house too big</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488ABE" w14:textId="77777777" w:rsidR="00696C70" w:rsidRDefault="00696C70" w:rsidP="002B23FD">
            <w:pPr>
              <w:pStyle w:val="TableDataEntries"/>
              <w:rPr>
                <w:lang w:val="en-GB"/>
              </w:rPr>
            </w:pPr>
            <w:r>
              <w:rPr>
                <w:lang w:val="en-GB"/>
              </w:rPr>
              <w:t xml:space="preserve"> 3.4</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FF819B" w14:textId="77777777" w:rsidR="00696C70" w:rsidRDefault="00696C70" w:rsidP="002B23FD">
            <w:pPr>
              <w:pStyle w:val="TableDataEntries"/>
              <w:rPr>
                <w:lang w:val="en-GB"/>
              </w:rPr>
            </w:pPr>
            <w:r>
              <w:rPr>
                <w:lang w:val="en-GB"/>
              </w:rPr>
              <w:t xml:space="preserve"> 3.1</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1BBDF8" w14:textId="77777777" w:rsidR="00696C70" w:rsidRDefault="00696C70" w:rsidP="002B23FD">
            <w:pPr>
              <w:pStyle w:val="TableDataEntries"/>
              <w:rPr>
                <w:lang w:val="en-GB"/>
              </w:rPr>
            </w:pPr>
            <w:r>
              <w:rPr>
                <w:lang w:val="en-GB"/>
              </w:rPr>
              <w:t xml:space="preserve"> 1.6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53C8CE" w14:textId="77777777" w:rsidR="00696C70" w:rsidRDefault="00696C70" w:rsidP="002B23FD">
            <w:pPr>
              <w:pStyle w:val="TableDataEntries"/>
              <w:rPr>
                <w:lang w:val="en-GB"/>
              </w:rPr>
            </w:pPr>
            <w:r>
              <w:rPr>
                <w:lang w:val="en-GB"/>
              </w:rPr>
              <w:t xml:space="preserve"> 7.6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4B6E76" w14:textId="77777777" w:rsidR="00696C70" w:rsidRDefault="00696C70" w:rsidP="002B23FD">
            <w:pPr>
              <w:pStyle w:val="TableDataEntries"/>
              <w:rPr>
                <w:lang w:val="en-GB"/>
              </w:rPr>
            </w:pPr>
            <w:r>
              <w:rPr>
                <w:lang w:val="en-GB"/>
              </w:rPr>
              <w:t xml:space="preserve"> 13.7</w:t>
            </w:r>
          </w:p>
        </w:tc>
      </w:tr>
      <w:tr w:rsidR="00696C70" w14:paraId="390C362B"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152988" w14:textId="77777777" w:rsidR="00696C70" w:rsidRDefault="00696C70" w:rsidP="002B23FD">
            <w:pPr>
              <w:pStyle w:val="TableDataEntries"/>
              <w:jc w:val="left"/>
              <w:rPr>
                <w:lang w:val="en-GB"/>
              </w:rPr>
            </w:pPr>
            <w:r>
              <w:rPr>
                <w:lang w:val="en-GB"/>
              </w:rPr>
              <w:t>Carer moved or different carer</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E7360E"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115D12"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2C7F43"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1B2AB3" w14:textId="77777777" w:rsidR="00696C70" w:rsidRDefault="00696C70" w:rsidP="002B23FD">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41C416" w14:textId="77777777" w:rsidR="00696C70" w:rsidRDefault="00696C70" w:rsidP="002B23FD">
            <w:pPr>
              <w:pStyle w:val="TableDataEntries"/>
              <w:rPr>
                <w:lang w:val="en-GB"/>
              </w:rPr>
            </w:pPr>
            <w:r>
              <w:rPr>
                <w:lang w:val="en-GB"/>
              </w:rPr>
              <w:t xml:space="preserve"> 1.7</w:t>
            </w:r>
          </w:p>
        </w:tc>
      </w:tr>
      <w:tr w:rsidR="00696C70" w14:paraId="3C50093E"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86CF9D" w14:textId="77777777" w:rsidR="00696C70" w:rsidRDefault="00696C70" w:rsidP="002B23FD">
            <w:pPr>
              <w:pStyle w:val="TableDataEntries"/>
              <w:jc w:val="left"/>
              <w:rPr>
                <w:lang w:val="en-GB"/>
              </w:rPr>
            </w:pPr>
            <w:r>
              <w:rPr>
                <w:lang w:val="en-GB"/>
              </w:rPr>
              <w:t>For other reasons</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D77228" w14:textId="77777777" w:rsidR="00696C70" w:rsidRDefault="00696C70" w:rsidP="002B23FD">
            <w:pPr>
              <w:pStyle w:val="TableDataEntries"/>
              <w:rPr>
                <w:lang w:val="en-GB"/>
              </w:rPr>
            </w:pPr>
            <w:r>
              <w:rPr>
                <w:lang w:val="en-GB"/>
              </w:rPr>
              <w:t xml:space="preserve"> 5.2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3443D" w14:textId="77777777" w:rsidR="00696C70" w:rsidRDefault="00696C70" w:rsidP="002B23FD">
            <w:pPr>
              <w:pStyle w:val="TableDataEntries"/>
              <w:rPr>
                <w:lang w:val="en-GB"/>
              </w:rPr>
            </w:pPr>
            <w:r>
              <w:rPr>
                <w:lang w:val="en-GB"/>
              </w:rPr>
              <w:t xml:space="preserve"> 6.9</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9DE4F3" w14:textId="77777777" w:rsidR="00696C70" w:rsidRDefault="00696C70" w:rsidP="002B23FD">
            <w:pPr>
              <w:pStyle w:val="TableDataEntries"/>
              <w:rPr>
                <w:lang w:val="en-GB"/>
              </w:rPr>
            </w:pPr>
            <w:r>
              <w:rPr>
                <w:lang w:val="en-GB"/>
              </w:rPr>
              <w:t xml:space="preserve"> 4.6</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523CE" w14:textId="77777777" w:rsidR="00696C70" w:rsidRDefault="00696C70" w:rsidP="002B23FD">
            <w:pPr>
              <w:pStyle w:val="TableDataEntries"/>
              <w:rPr>
                <w:lang w:val="en-GB"/>
              </w:rPr>
            </w:pPr>
            <w:r>
              <w:rPr>
                <w:lang w:val="en-GB"/>
              </w:rPr>
              <w:t xml:space="preserve"> 4.5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1B7478" w14:textId="77777777" w:rsidR="00696C70" w:rsidRDefault="00696C70" w:rsidP="002B23FD">
            <w:pPr>
              <w:pStyle w:val="TableDataEntries"/>
              <w:rPr>
                <w:lang w:val="en-GB"/>
              </w:rPr>
            </w:pPr>
            <w:r>
              <w:rPr>
                <w:lang w:val="en-GB"/>
              </w:rPr>
              <w:t xml:space="preserve"> 22.0</w:t>
            </w:r>
          </w:p>
        </w:tc>
      </w:tr>
      <w:tr w:rsidR="00696C70" w:rsidRPr="00142FDB" w14:paraId="589C3780" w14:textId="77777777" w:rsidTr="00D13F4A">
        <w:trPr>
          <w:trHeight w:val="230"/>
        </w:trPr>
        <w:tc>
          <w:tcPr>
            <w:tcW w:w="41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7F6DB5" w14:textId="77777777" w:rsidR="00696C70" w:rsidRPr="00142FDB" w:rsidRDefault="00696C70" w:rsidP="002B23FD">
            <w:pPr>
              <w:pStyle w:val="TableDataEntries"/>
              <w:jc w:val="left"/>
              <w:rPr>
                <w:rFonts w:ascii="Franklin Gothic Demi" w:hAnsi="Franklin Gothic Demi"/>
                <w:lang w:val="en-GB"/>
              </w:rPr>
            </w:pPr>
            <w:r w:rsidRPr="00142FDB">
              <w:rPr>
                <w:rFonts w:ascii="Franklin Gothic Demi" w:hAnsi="Franklin Gothic Demi"/>
                <w:lang w:val="en-GB"/>
              </w:rPr>
              <w:t>Other reasons for moving</w:t>
            </w:r>
          </w:p>
        </w:tc>
        <w:tc>
          <w:tcPr>
            <w:tcW w:w="75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A09EF4"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19.2</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FEED8E"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20.0</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EC1E2D"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14.5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4E8A07"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26.5</w:t>
            </w:r>
          </w:p>
        </w:tc>
        <w:tc>
          <w:tcPr>
            <w:tcW w:w="7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120025"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80.9</w:t>
            </w:r>
          </w:p>
        </w:tc>
      </w:tr>
      <w:tr w:rsidR="00696C70" w:rsidRPr="00142FDB" w14:paraId="74DDAB08" w14:textId="77777777" w:rsidTr="00D13F4A">
        <w:trPr>
          <w:trHeight w:val="230"/>
        </w:trPr>
        <w:tc>
          <w:tcPr>
            <w:tcW w:w="41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C09FBD8" w14:textId="77777777" w:rsidR="00696C70" w:rsidRPr="00142FDB" w:rsidRDefault="00696C70" w:rsidP="002B23FD">
            <w:pPr>
              <w:pStyle w:val="TableDataEntries"/>
              <w:jc w:val="left"/>
              <w:rPr>
                <w:rFonts w:ascii="Franklin Gothic Demi" w:hAnsi="Franklin Gothic Demi"/>
                <w:lang w:val="en-GB"/>
              </w:rPr>
            </w:pPr>
            <w:r w:rsidRPr="00142FDB">
              <w:rPr>
                <w:rFonts w:ascii="Franklin Gothic Demi" w:hAnsi="Franklin Gothic Demi"/>
                <w:lang w:val="en-GB"/>
              </w:rPr>
              <w:t>Total</w:t>
            </w:r>
          </w:p>
        </w:tc>
        <w:tc>
          <w:tcPr>
            <w:tcW w:w="75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60F7F36"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91.0</w:t>
            </w:r>
          </w:p>
        </w:tc>
        <w:tc>
          <w:tcPr>
            <w:tcW w:w="7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B900A44"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77.3</w:t>
            </w:r>
          </w:p>
        </w:tc>
        <w:tc>
          <w:tcPr>
            <w:tcW w:w="7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FE6AFC4"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46.7</w:t>
            </w:r>
          </w:p>
        </w:tc>
        <w:tc>
          <w:tcPr>
            <w:tcW w:w="7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FF1BC9B"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96.1</w:t>
            </w:r>
          </w:p>
        </w:tc>
        <w:tc>
          <w:tcPr>
            <w:tcW w:w="7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7DD6E50" w14:textId="77777777" w:rsidR="00696C70" w:rsidRPr="00142FDB" w:rsidRDefault="00696C70" w:rsidP="002B23FD">
            <w:pPr>
              <w:pStyle w:val="TableDataEntries"/>
              <w:rPr>
                <w:rFonts w:ascii="Franklin Gothic Demi" w:hAnsi="Franklin Gothic Demi"/>
                <w:lang w:val="en-GB"/>
              </w:rPr>
            </w:pPr>
            <w:r w:rsidRPr="00142FDB">
              <w:rPr>
                <w:rFonts w:ascii="Franklin Gothic Demi" w:hAnsi="Franklin Gothic Demi"/>
                <w:lang w:val="en-GB"/>
              </w:rPr>
              <w:t xml:space="preserve"> 311.2</w:t>
            </w:r>
          </w:p>
        </w:tc>
      </w:tr>
    </w:tbl>
    <w:p w14:paraId="76F7460B" w14:textId="77777777" w:rsidR="00ED748D" w:rsidRPr="00280175" w:rsidRDefault="00ED748D" w:rsidP="00ED748D">
      <w:pPr>
        <w:pStyle w:val="Source"/>
        <w:rPr>
          <w:iCs/>
          <w:lang w:bidi="fa-IR"/>
        </w:rPr>
      </w:pPr>
      <w:r w:rsidRPr="00280175">
        <w:rPr>
          <w:iCs/>
          <w:lang w:bidi="fa-IR"/>
        </w:rPr>
        <w:t xml:space="preserve">Source: </w:t>
      </w:r>
      <w:r w:rsidRPr="00280175">
        <w:rPr>
          <w:iCs/>
        </w:rPr>
        <w:t>ABS, Survey of Disabilities, Ageing and Carers, 2018, TableBuilder.</w:t>
      </w:r>
    </w:p>
    <w:p w14:paraId="074702D2" w14:textId="77777777" w:rsidR="00ED748D" w:rsidRDefault="00ED748D" w:rsidP="00ED748D">
      <w:pPr>
        <w:pStyle w:val="BodyText"/>
        <w:rPr>
          <w:lang w:bidi="fa-IR"/>
        </w:rPr>
      </w:pPr>
      <w:r>
        <w:rPr>
          <w:lang w:bidi="fa-IR"/>
        </w:rPr>
        <w:t>Unpublished analysis of the COTA survey also found that 9.5 per cent of respondents over the age of 50 indicated that the main reason for their most recent move was ‘My property was not accessible/no longer suited’.</w:t>
      </w:r>
      <w:r>
        <w:rPr>
          <w:rStyle w:val="FootnoteReference"/>
          <w:lang w:bidi="fa-IR"/>
        </w:rPr>
        <w:footnoteReference w:id="486"/>
      </w:r>
    </w:p>
    <w:p w14:paraId="4A43D847" w14:textId="77777777" w:rsidR="00DF184E" w:rsidRPr="00C03C17" w:rsidRDefault="00ED748D" w:rsidP="005331B4">
      <w:pPr>
        <w:pStyle w:val="KeyPoint"/>
        <w:numPr>
          <w:ilvl w:val="0"/>
          <w:numId w:val="11"/>
        </w:numPr>
        <w:rPr>
          <w:lang w:bidi="fa-IR"/>
        </w:rPr>
      </w:pPr>
      <w:r w:rsidRPr="00C03C17">
        <w:rPr>
          <w:lang w:bidi="fa-IR"/>
        </w:rPr>
        <w:t xml:space="preserve">For the purposes of the CBA, </w:t>
      </w:r>
    </w:p>
    <w:p w14:paraId="27CCF928" w14:textId="77777777" w:rsidR="00ED748D" w:rsidRDefault="00ED748D" w:rsidP="005331B4">
      <w:pPr>
        <w:pStyle w:val="KeyPoint2"/>
        <w:numPr>
          <w:ilvl w:val="1"/>
          <w:numId w:val="11"/>
        </w:numPr>
        <w:rPr>
          <w:lang w:bidi="fa-IR"/>
        </w:rPr>
      </w:pPr>
      <w:r>
        <w:rPr>
          <w:lang w:bidi="fa-IR"/>
        </w:rPr>
        <w:t>a conservative assumption would be based on the number of people who reported moving for reasons directly related to the accessibility of their previous residence. This is around 76 100 people (and in many cases their families).</w:t>
      </w:r>
    </w:p>
    <w:p w14:paraId="7D7F3371" w14:textId="77777777" w:rsidR="00ED748D" w:rsidRDefault="00ED748D" w:rsidP="005331B4">
      <w:pPr>
        <w:pStyle w:val="KeyPoint2"/>
        <w:numPr>
          <w:ilvl w:val="1"/>
          <w:numId w:val="11"/>
        </w:numPr>
        <w:rPr>
          <w:lang w:bidi="fa-IR"/>
        </w:rPr>
      </w:pPr>
      <w:r>
        <w:rPr>
          <w:lang w:bidi="fa-IR"/>
        </w:rPr>
        <w:t>A less conservative assumption would be based on the number of people who reported moving for reasons either directly or potentially related to the accessibility of their previous residence. This is around 230 300 people (and in many cases their families).</w:t>
      </w:r>
    </w:p>
    <w:p w14:paraId="13E573EF" w14:textId="77777777" w:rsidR="00E84111" w:rsidRDefault="00E84111" w:rsidP="00E84111">
      <w:pPr>
        <w:pStyle w:val="BodyText"/>
        <w:rPr>
          <w:lang w:bidi="fa-IR"/>
        </w:rPr>
      </w:pPr>
      <w:r>
        <w:rPr>
          <w:lang w:bidi="fa-IR"/>
        </w:rPr>
        <w:t>As some of these people have had to move more than once, the number of additional moves will be greater than the number of people who have had to move as a result of their disability or age. The average number of times these people have moved is not known.</w:t>
      </w:r>
    </w:p>
    <w:p w14:paraId="649D514B" w14:textId="77777777" w:rsidR="00E84111" w:rsidRDefault="00E84111" w:rsidP="00E84111">
      <w:pPr>
        <w:pStyle w:val="BodyText"/>
        <w:rPr>
          <w:lang w:bidi="fa-IR"/>
        </w:rPr>
      </w:pPr>
      <w:r>
        <w:rPr>
          <w:lang w:bidi="fa-IR"/>
        </w:rPr>
        <w:t>Around 75</w:t>
      </w:r>
      <w:r>
        <w:rPr>
          <w:lang w:bidi="fa-IR"/>
        </w:rPr>
        <w:noBreakHyphen/>
        <w:t xml:space="preserve">80 per cent of the people who have had to move as a result of disability or age have moved only once. In general, </w:t>
      </w:r>
      <w:r w:rsidR="00CB1041">
        <w:rPr>
          <w:lang w:bidi="fa-IR"/>
        </w:rPr>
        <w:t>one</w:t>
      </w:r>
      <w:r>
        <w:rPr>
          <w:lang w:bidi="fa-IR"/>
        </w:rPr>
        <w:t xml:space="preserve"> would expect that the proportion of people would decline with each additional move, suggesting that most of the remaining people are likely to have moved 2 or 3 times as a result of disability or age.</w:t>
      </w:r>
    </w:p>
    <w:p w14:paraId="0244904D" w14:textId="77777777" w:rsidR="00E84111" w:rsidRDefault="00E84111" w:rsidP="00E84111">
      <w:pPr>
        <w:pStyle w:val="KeyPoint"/>
        <w:numPr>
          <w:ilvl w:val="0"/>
          <w:numId w:val="11"/>
        </w:numPr>
        <w:rPr>
          <w:lang w:bidi="fa-IR"/>
        </w:rPr>
      </w:pPr>
      <w:r>
        <w:rPr>
          <w:lang w:bidi="fa-IR"/>
        </w:rPr>
        <w:t>To estimate the number of additional moves, it seems reasonable to assume that on average, people who have moved more than once due to disability or age have</w:t>
      </w:r>
      <w:r w:rsidR="006368DA">
        <w:rPr>
          <w:lang w:bidi="fa-IR"/>
        </w:rPr>
        <w:t>,</w:t>
      </w:r>
      <w:r>
        <w:rPr>
          <w:lang w:bidi="fa-IR"/>
        </w:rPr>
        <w:t xml:space="preserve"> on average, moved 2.5 times (i.e. 2</w:t>
      </w:r>
      <w:r>
        <w:rPr>
          <w:lang w:bidi="fa-IR"/>
        </w:rPr>
        <w:noBreakHyphen/>
        <w:t>3 times on average).</w:t>
      </w:r>
    </w:p>
    <w:p w14:paraId="1B609C96" w14:textId="77777777" w:rsidR="00E84111" w:rsidRDefault="00E84111" w:rsidP="00E84111">
      <w:pPr>
        <w:pStyle w:val="BodyText"/>
        <w:rPr>
          <w:lang w:bidi="fa-IR"/>
        </w:rPr>
      </w:pPr>
      <w:r>
        <w:rPr>
          <w:lang w:bidi="fa-IR"/>
        </w:rPr>
        <w:t>Furthermore, not all of the additional moves happen every year. SDAC does not report the year since the last move. However, of those people with limited mobility who had had to move as a result of their disability or age, the average time period since the accident happened or main condition occurred is around 16.6 years (table E.</w:t>
      </w:r>
      <w:r w:rsidR="00A0759B">
        <w:rPr>
          <w:lang w:bidi="fa-IR"/>
        </w:rPr>
        <w:t>4</w:t>
      </w:r>
      <w:r>
        <w:rPr>
          <w:lang w:bidi="fa-IR"/>
        </w:rPr>
        <w:t>).</w:t>
      </w:r>
    </w:p>
    <w:p w14:paraId="6463EC53" w14:textId="77777777" w:rsidR="00E84111" w:rsidRDefault="00E84111" w:rsidP="00E84111">
      <w:pPr>
        <w:pStyle w:val="KeyPoint"/>
        <w:numPr>
          <w:ilvl w:val="0"/>
          <w:numId w:val="11"/>
        </w:numPr>
        <w:rPr>
          <w:lang w:bidi="fa-IR"/>
        </w:rPr>
      </w:pPr>
      <w:r>
        <w:rPr>
          <w:lang w:bidi="fa-IR"/>
        </w:rPr>
        <w:t xml:space="preserve">To estimate the average number of avoidable moves per year, the estimated number of additional moves </w:t>
      </w:r>
      <w:r w:rsidR="003034B0">
        <w:rPr>
          <w:lang w:bidi="fa-IR"/>
        </w:rPr>
        <w:t xml:space="preserve">is therefore divided </w:t>
      </w:r>
      <w:r>
        <w:rPr>
          <w:lang w:bidi="fa-IR"/>
        </w:rPr>
        <w:t>by the average time since the accident happened or main condition occurred (around 16.6 years).</w:t>
      </w:r>
    </w:p>
    <w:p w14:paraId="686E2815" w14:textId="0AFAD621" w:rsidR="00E84111" w:rsidRDefault="00B27E24" w:rsidP="00E84111">
      <w:pPr>
        <w:pStyle w:val="Caption"/>
      </w:pPr>
      <w:bookmarkStart w:id="744" w:name="_Toc57643689"/>
      <w:bookmarkStart w:id="745" w:name="_Toc70505643"/>
      <w:r>
        <w:t>E.4</w:t>
      </w:r>
      <w:r w:rsidR="00E84111" w:rsidRPr="00695C93">
        <w:tab/>
      </w:r>
      <w:r w:rsidR="00E84111">
        <w:t>Number of years since accident happened or main condition occurred</w:t>
      </w:r>
      <w:bookmarkEnd w:id="744"/>
      <w:bookmarkEnd w:id="745"/>
    </w:p>
    <w:tbl>
      <w:tblPr>
        <w:tblW w:w="7937" w:type="dxa"/>
        <w:tblLayout w:type="fixed"/>
        <w:tblLook w:val="0000" w:firstRow="0" w:lastRow="0" w:firstColumn="0" w:lastColumn="0" w:noHBand="0" w:noVBand="0"/>
        <w:tblCaption w:val="Table E.4: Number of years since accident happened or main condition occurred"/>
        <w:tblDescription w:val="Table E.4 lists the number of years since the accident happened or the main condition occurred, together with the number of people in each time period. The weighted average number of years is given as 16.6."/>
      </w:tblPr>
      <w:tblGrid>
        <w:gridCol w:w="4520"/>
        <w:gridCol w:w="1139"/>
        <w:gridCol w:w="1139"/>
        <w:gridCol w:w="1139"/>
      </w:tblGrid>
      <w:tr w:rsidR="00E84111" w14:paraId="1605D375" w14:textId="77777777" w:rsidTr="00D510F5">
        <w:trPr>
          <w:trHeight w:val="490"/>
          <w:tblHeader/>
        </w:trPr>
        <w:tc>
          <w:tcPr>
            <w:tcW w:w="4520" w:type="dxa"/>
            <w:tcBorders>
              <w:bottom w:val="single" w:sz="8" w:space="0" w:color="FFFFFF" w:themeColor="background1"/>
            </w:tcBorders>
            <w:shd w:val="clear" w:color="auto" w:fill="6F6652"/>
            <w:tcMar>
              <w:left w:w="57" w:type="dxa"/>
              <w:right w:w="57" w:type="dxa"/>
            </w:tcMar>
          </w:tcPr>
          <w:p w14:paraId="6504981A" w14:textId="77777777" w:rsidR="00E84111" w:rsidRDefault="005711AE" w:rsidP="00D510F5">
            <w:pPr>
              <w:pStyle w:val="TableDataColumnHeading"/>
              <w:jc w:val="left"/>
            </w:pPr>
            <w:r>
              <w:t>Age r</w:t>
            </w:r>
            <w:r w:rsidR="00E84111">
              <w:t>ange</w:t>
            </w:r>
          </w:p>
        </w:tc>
        <w:tc>
          <w:tcPr>
            <w:tcW w:w="1139" w:type="dxa"/>
            <w:tcBorders>
              <w:bottom w:val="single" w:sz="8" w:space="0" w:color="FFFFFF" w:themeColor="background1"/>
            </w:tcBorders>
            <w:shd w:val="clear" w:color="auto" w:fill="6F6652"/>
            <w:tcMar>
              <w:left w:w="57" w:type="dxa"/>
              <w:right w:w="57" w:type="dxa"/>
            </w:tcMar>
          </w:tcPr>
          <w:p w14:paraId="7C4BFB8D" w14:textId="77777777" w:rsidR="00E84111" w:rsidRDefault="00E84111" w:rsidP="00D510F5">
            <w:pPr>
              <w:pStyle w:val="TableDataColumnHeading"/>
            </w:pPr>
            <w:r>
              <w:t>Number of people ('000)</w:t>
            </w:r>
          </w:p>
        </w:tc>
        <w:tc>
          <w:tcPr>
            <w:tcW w:w="1139" w:type="dxa"/>
            <w:tcBorders>
              <w:bottom w:val="single" w:sz="8" w:space="0" w:color="FFFFFF" w:themeColor="background1"/>
            </w:tcBorders>
            <w:shd w:val="clear" w:color="auto" w:fill="6F6652"/>
            <w:tcMar>
              <w:left w:w="57" w:type="dxa"/>
              <w:right w:w="57" w:type="dxa"/>
            </w:tcMar>
          </w:tcPr>
          <w:p w14:paraId="09FE55D3" w14:textId="77777777" w:rsidR="00E84111" w:rsidRDefault="00E84111" w:rsidP="00D510F5">
            <w:pPr>
              <w:pStyle w:val="TableDataColumnHeading"/>
            </w:pPr>
            <w:r>
              <w:t>Weight (%)</w:t>
            </w:r>
            <w:r w:rsidRPr="00492A52">
              <w:rPr>
                <w:rStyle w:val="NoteLabel"/>
              </w:rPr>
              <w:t>a</w:t>
            </w:r>
          </w:p>
        </w:tc>
        <w:tc>
          <w:tcPr>
            <w:tcW w:w="1139" w:type="dxa"/>
            <w:tcBorders>
              <w:bottom w:val="single" w:sz="8" w:space="0" w:color="FFFFFF" w:themeColor="background1"/>
            </w:tcBorders>
            <w:shd w:val="clear" w:color="auto" w:fill="6F6652"/>
            <w:tcMar>
              <w:left w:w="57" w:type="dxa"/>
              <w:right w:w="57" w:type="dxa"/>
            </w:tcMar>
          </w:tcPr>
          <w:p w14:paraId="7D2F2E08" w14:textId="77777777" w:rsidR="00E84111" w:rsidRDefault="00E84111" w:rsidP="00D510F5">
            <w:pPr>
              <w:pStyle w:val="TableDataColumnHeading"/>
            </w:pPr>
            <w:r>
              <w:t>Mid-point of range (years)</w:t>
            </w:r>
          </w:p>
        </w:tc>
      </w:tr>
      <w:tr w:rsidR="00696C70" w14:paraId="536D2E6E" w14:textId="77777777" w:rsidTr="00D13F4A">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8DEE5E" w14:textId="77777777" w:rsidR="00696C70" w:rsidRDefault="00696C70" w:rsidP="00D510F5">
            <w:pPr>
              <w:pStyle w:val="TableDataEntries"/>
              <w:jc w:val="left"/>
            </w:pPr>
            <w:r>
              <w:t>0</w:t>
            </w:r>
            <w:r w:rsidR="007952ED">
              <w:t xml:space="preserve"> to </w:t>
            </w:r>
            <w:r>
              <w:t>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E7532" w14:textId="77777777" w:rsidR="00696C70" w:rsidRDefault="00696C70" w:rsidP="00D510F5">
            <w:pPr>
              <w:pStyle w:val="TableDataEntries"/>
            </w:pPr>
            <w:r>
              <w:t>59.9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E2F27A" w14:textId="77777777" w:rsidR="00696C70" w:rsidRDefault="00696C70" w:rsidP="00D510F5">
            <w:pPr>
              <w:pStyle w:val="TableDataEntries"/>
            </w:pPr>
            <w:r>
              <w:t>20.2</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7D2123" w14:textId="77777777" w:rsidR="00696C70" w:rsidRDefault="00696C70" w:rsidP="00D510F5">
            <w:pPr>
              <w:pStyle w:val="TableDataEntries"/>
            </w:pPr>
            <w:r>
              <w:t xml:space="preserve"> 2.0</w:t>
            </w:r>
          </w:p>
        </w:tc>
      </w:tr>
      <w:tr w:rsidR="00696C70" w14:paraId="4E4FF667" w14:textId="77777777" w:rsidTr="00D13F4A">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9B0F53" w14:textId="77777777" w:rsidR="00696C70" w:rsidRDefault="00696C70" w:rsidP="00D510F5">
            <w:pPr>
              <w:pStyle w:val="TableDataEntries"/>
              <w:jc w:val="left"/>
            </w:pPr>
            <w:r>
              <w:t>5</w:t>
            </w:r>
            <w:r w:rsidR="007952ED">
              <w:t xml:space="preserve"> to </w:t>
            </w:r>
            <w:r>
              <w:t>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A7A311" w14:textId="77777777" w:rsidR="00696C70" w:rsidRDefault="00696C70" w:rsidP="00D510F5">
            <w:pPr>
              <w:pStyle w:val="TableDataEntries"/>
            </w:pPr>
            <w:r>
              <w:t>56.7</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279AB1" w14:textId="77777777" w:rsidR="00696C70" w:rsidRDefault="00696C70" w:rsidP="00D510F5">
            <w:pPr>
              <w:pStyle w:val="TableDataEntries"/>
            </w:pPr>
            <w:r>
              <w:t>19.1</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65823" w14:textId="77777777" w:rsidR="00696C70" w:rsidRDefault="00696C70" w:rsidP="00D510F5">
            <w:pPr>
              <w:pStyle w:val="TableDataEntries"/>
            </w:pPr>
            <w:r>
              <w:t xml:space="preserve"> 7.0</w:t>
            </w:r>
          </w:p>
        </w:tc>
      </w:tr>
      <w:tr w:rsidR="00E84111" w14:paraId="2BA0B309"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ACB664" w14:textId="77777777" w:rsidR="00E84111" w:rsidRDefault="00E84111" w:rsidP="00D510F5">
            <w:pPr>
              <w:pStyle w:val="TableDataEntries"/>
              <w:jc w:val="left"/>
            </w:pPr>
            <w:r>
              <w:t>10</w:t>
            </w:r>
            <w:r w:rsidR="007952ED">
              <w:t xml:space="preserve"> to </w:t>
            </w:r>
            <w:r>
              <w:t>14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DE11FD" w14:textId="77777777" w:rsidR="00E84111" w:rsidRDefault="00E84111" w:rsidP="00D510F5">
            <w:pPr>
              <w:pStyle w:val="TableDataEntries"/>
            </w:pPr>
            <w:r>
              <w:t>42</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64F3E6" w14:textId="77777777" w:rsidR="00E84111" w:rsidRDefault="00E84111" w:rsidP="00D510F5">
            <w:pPr>
              <w:pStyle w:val="TableDataEntries"/>
            </w:pPr>
            <w:r>
              <w:t>14.1</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ED81FD" w14:textId="77777777" w:rsidR="00E84111" w:rsidRDefault="00E84111" w:rsidP="00D510F5">
            <w:pPr>
              <w:pStyle w:val="TableDataEntries"/>
            </w:pPr>
            <w:r>
              <w:t xml:space="preserve"> 12.0</w:t>
            </w:r>
          </w:p>
        </w:tc>
      </w:tr>
      <w:tr w:rsidR="00E84111" w14:paraId="3B158BED"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0117DE" w14:textId="77777777" w:rsidR="00E84111" w:rsidRDefault="00E84111" w:rsidP="00D510F5">
            <w:pPr>
              <w:pStyle w:val="TableDataEntries"/>
              <w:jc w:val="left"/>
            </w:pPr>
            <w:r>
              <w:t>15</w:t>
            </w:r>
            <w:r w:rsidR="007952ED">
              <w:t xml:space="preserve"> to </w:t>
            </w:r>
            <w:r>
              <w:t>19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D70F1" w14:textId="77777777" w:rsidR="00E84111" w:rsidRDefault="00E84111" w:rsidP="00D510F5">
            <w:pPr>
              <w:pStyle w:val="TableDataEntries"/>
            </w:pPr>
            <w:r>
              <w:t>32.5</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E2D0D3" w14:textId="77777777" w:rsidR="00E84111" w:rsidRDefault="00E84111" w:rsidP="00D510F5">
            <w:pPr>
              <w:pStyle w:val="TableDataEntries"/>
            </w:pPr>
            <w:r>
              <w:t>10.9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72117C" w14:textId="77777777" w:rsidR="00E84111" w:rsidRDefault="00E84111" w:rsidP="00D510F5">
            <w:pPr>
              <w:pStyle w:val="TableDataEntries"/>
            </w:pPr>
            <w:r>
              <w:t xml:space="preserve"> 17.0</w:t>
            </w:r>
          </w:p>
        </w:tc>
      </w:tr>
      <w:tr w:rsidR="00E84111" w14:paraId="490C4F16"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A5E0AF" w14:textId="77777777" w:rsidR="00E84111" w:rsidRDefault="00E84111" w:rsidP="00D510F5">
            <w:pPr>
              <w:pStyle w:val="TableDataEntries"/>
              <w:jc w:val="left"/>
            </w:pPr>
            <w:r>
              <w:t>20</w:t>
            </w:r>
            <w:r w:rsidR="007952ED">
              <w:t xml:space="preserve"> to </w:t>
            </w:r>
            <w:r>
              <w:t>24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96E65" w14:textId="77777777" w:rsidR="00E84111" w:rsidRDefault="00E84111" w:rsidP="00D510F5">
            <w:pPr>
              <w:pStyle w:val="TableDataEntries"/>
            </w:pPr>
            <w:r>
              <w:t>30.4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FCE3D8" w14:textId="77777777" w:rsidR="00E84111" w:rsidRDefault="00E84111" w:rsidP="00D510F5">
            <w:pPr>
              <w:pStyle w:val="TableDataEntries"/>
            </w:pPr>
            <w:r>
              <w:t>10.2</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BDB66D" w14:textId="77777777" w:rsidR="00E84111" w:rsidRDefault="00E84111" w:rsidP="00D510F5">
            <w:pPr>
              <w:pStyle w:val="TableDataEntries"/>
            </w:pPr>
            <w:r>
              <w:t xml:space="preserve"> 22.0</w:t>
            </w:r>
          </w:p>
        </w:tc>
      </w:tr>
      <w:tr w:rsidR="00E84111" w14:paraId="3FCE0F86"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42D083" w14:textId="77777777" w:rsidR="00E84111" w:rsidRDefault="00E84111" w:rsidP="00D510F5">
            <w:pPr>
              <w:pStyle w:val="TableDataEntries"/>
              <w:jc w:val="left"/>
            </w:pPr>
            <w:r>
              <w:t>25</w:t>
            </w:r>
            <w:r w:rsidR="007952ED">
              <w:t xml:space="preserve"> to </w:t>
            </w:r>
            <w:r>
              <w:t>29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62368" w14:textId="77777777" w:rsidR="00E84111" w:rsidRDefault="00E84111" w:rsidP="00D510F5">
            <w:pPr>
              <w:pStyle w:val="TableDataEntries"/>
            </w:pPr>
            <w:r>
              <w:t>15.2</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C92353" w14:textId="77777777" w:rsidR="00E84111" w:rsidRDefault="00E84111" w:rsidP="00D510F5">
            <w:pPr>
              <w:pStyle w:val="TableDataEntries"/>
            </w:pPr>
            <w:r>
              <w:t>5.1</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5CF920" w14:textId="77777777" w:rsidR="00E84111" w:rsidRDefault="00E84111" w:rsidP="00D510F5">
            <w:pPr>
              <w:pStyle w:val="TableDataEntries"/>
            </w:pPr>
            <w:r>
              <w:t xml:space="preserve"> 27.0</w:t>
            </w:r>
          </w:p>
        </w:tc>
      </w:tr>
      <w:tr w:rsidR="00E84111" w14:paraId="3429B0D5"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366BC8" w14:textId="77777777" w:rsidR="00E84111" w:rsidRDefault="00E84111" w:rsidP="00D510F5">
            <w:pPr>
              <w:pStyle w:val="TableDataEntries"/>
              <w:jc w:val="left"/>
            </w:pPr>
            <w:r>
              <w:t>30</w:t>
            </w:r>
            <w:r w:rsidR="007952ED">
              <w:t xml:space="preserve"> to </w:t>
            </w:r>
            <w:r>
              <w:t>34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D1CB45" w14:textId="77777777" w:rsidR="00E84111" w:rsidRDefault="00E84111" w:rsidP="00D510F5">
            <w:pPr>
              <w:pStyle w:val="TableDataEntries"/>
            </w:pPr>
            <w:r>
              <w:t>18.9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6FFA53" w14:textId="77777777" w:rsidR="00E84111" w:rsidRDefault="00E84111" w:rsidP="00D510F5">
            <w:pPr>
              <w:pStyle w:val="TableDataEntries"/>
            </w:pPr>
            <w:r>
              <w:t>6.4</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E2F6FB" w14:textId="77777777" w:rsidR="00E84111" w:rsidRDefault="00E84111" w:rsidP="00D510F5">
            <w:pPr>
              <w:pStyle w:val="TableDataEntries"/>
            </w:pPr>
            <w:r>
              <w:t xml:space="preserve"> 32.0</w:t>
            </w:r>
          </w:p>
        </w:tc>
      </w:tr>
      <w:tr w:rsidR="00E84111" w14:paraId="17AA57C0"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1B751" w14:textId="77777777" w:rsidR="00E84111" w:rsidRDefault="00E84111" w:rsidP="00D510F5">
            <w:pPr>
              <w:pStyle w:val="TableDataEntries"/>
              <w:jc w:val="left"/>
            </w:pPr>
            <w:r>
              <w:t>35</w:t>
            </w:r>
            <w:r w:rsidR="007952ED">
              <w:t xml:space="preserve"> to </w:t>
            </w:r>
            <w:r>
              <w:t>39</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927365" w14:textId="77777777" w:rsidR="00E84111" w:rsidRDefault="00E84111" w:rsidP="00D510F5">
            <w:pPr>
              <w:pStyle w:val="TableDataEntries"/>
            </w:pPr>
            <w:r>
              <w:t>11.3</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61C2C8" w14:textId="77777777" w:rsidR="00E84111" w:rsidRDefault="00E84111" w:rsidP="00D510F5">
            <w:pPr>
              <w:pStyle w:val="TableDataEntries"/>
            </w:pPr>
            <w:r>
              <w:t>3.8</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7A4B5F" w14:textId="77777777" w:rsidR="00E84111" w:rsidRDefault="00E84111" w:rsidP="00D510F5">
            <w:pPr>
              <w:pStyle w:val="TableDataEntries"/>
            </w:pPr>
            <w:r>
              <w:t xml:space="preserve"> 37.0</w:t>
            </w:r>
          </w:p>
        </w:tc>
      </w:tr>
      <w:tr w:rsidR="00E84111" w14:paraId="34F5D839" w14:textId="77777777" w:rsidTr="00D510F5">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F52B3A" w14:textId="77777777" w:rsidR="00E84111" w:rsidRDefault="00E84111" w:rsidP="00D510F5">
            <w:pPr>
              <w:pStyle w:val="TableDataEntries"/>
              <w:jc w:val="left"/>
            </w:pPr>
            <w:r>
              <w:t xml:space="preserve">40 </w:t>
            </w:r>
            <w:r w:rsidR="005711AE">
              <w:t>+</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883F0A" w14:textId="77777777" w:rsidR="00E84111" w:rsidRDefault="00E84111" w:rsidP="00D510F5">
            <w:pPr>
              <w:pStyle w:val="TableDataEntries"/>
            </w:pPr>
            <w:r>
              <w:t>30.1</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E73CEC" w14:textId="77777777" w:rsidR="00E84111" w:rsidRDefault="00E84111" w:rsidP="00D510F5">
            <w:pPr>
              <w:pStyle w:val="TableDataEntries"/>
            </w:pPr>
            <w:r>
              <w:t>10.1</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18FEDB" w14:textId="77777777" w:rsidR="00E84111" w:rsidRDefault="00E84111" w:rsidP="00D510F5">
            <w:pPr>
              <w:pStyle w:val="TableDataEntries"/>
            </w:pPr>
            <w:r>
              <w:t xml:space="preserve"> 42.0</w:t>
            </w:r>
          </w:p>
        </w:tc>
      </w:tr>
      <w:tr w:rsidR="00E84111" w14:paraId="756F87F1" w14:textId="77777777" w:rsidTr="005331B4">
        <w:trPr>
          <w:trHeight w:val="245"/>
        </w:trPr>
        <w:tc>
          <w:tcPr>
            <w:tcW w:w="45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74D32E" w14:textId="77777777" w:rsidR="00E84111" w:rsidRDefault="00E84111" w:rsidP="00D510F5">
            <w:pPr>
              <w:pStyle w:val="TableDataEntries"/>
              <w:jc w:val="left"/>
            </w:pPr>
            <w:r>
              <w:t>Don't know</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D668B2" w14:textId="77777777" w:rsidR="00E84111" w:rsidRDefault="00E84111" w:rsidP="00D510F5">
            <w:pPr>
              <w:pStyle w:val="TableDataEntries"/>
            </w:pPr>
            <w:r>
              <w:t>7.2</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B5E76" w14:textId="77777777" w:rsidR="00E84111" w:rsidRDefault="00E84111" w:rsidP="00D510F5">
            <w:pPr>
              <w:pStyle w:val="TableDataEntries"/>
            </w:pPr>
            <w:r>
              <w:t>n.a.</w:t>
            </w:r>
          </w:p>
        </w:tc>
        <w:tc>
          <w:tcPr>
            <w:tcW w:w="113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E3C0FE" w14:textId="77777777" w:rsidR="00E84111" w:rsidRDefault="00E84111" w:rsidP="00D510F5">
            <w:pPr>
              <w:pStyle w:val="TableDataEntries"/>
            </w:pPr>
            <w:r>
              <w:t>n.a.</w:t>
            </w:r>
          </w:p>
        </w:tc>
      </w:tr>
      <w:tr w:rsidR="00E84111" w:rsidRPr="00E84111" w14:paraId="23D130EC" w14:textId="77777777" w:rsidTr="00D510F5">
        <w:trPr>
          <w:trHeight w:val="245"/>
        </w:trPr>
        <w:tc>
          <w:tcPr>
            <w:tcW w:w="45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2BF272E" w14:textId="77777777" w:rsidR="00E84111" w:rsidRPr="005331B4" w:rsidRDefault="00E84111" w:rsidP="00D510F5">
            <w:pPr>
              <w:pStyle w:val="TableDataEntries"/>
              <w:jc w:val="left"/>
              <w:rPr>
                <w:rFonts w:ascii="Franklin Gothic Demi" w:hAnsi="Franklin Gothic Demi"/>
              </w:rPr>
            </w:pPr>
            <w:r w:rsidRPr="005331B4">
              <w:rPr>
                <w:rFonts w:ascii="Franklin Gothic Demi" w:hAnsi="Franklin Gothic Demi"/>
              </w:rPr>
              <w:t>Total/weighted average</w:t>
            </w:r>
          </w:p>
        </w:tc>
        <w:tc>
          <w:tcPr>
            <w:tcW w:w="113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A4EE8A8"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308.9</w:t>
            </w:r>
          </w:p>
        </w:tc>
        <w:tc>
          <w:tcPr>
            <w:tcW w:w="113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0401973" w14:textId="77777777" w:rsidR="00E84111" w:rsidRPr="005331B4" w:rsidRDefault="00E84111" w:rsidP="00D510F5">
            <w:pPr>
              <w:pStyle w:val="TableDataEntries"/>
              <w:rPr>
                <w:rFonts w:ascii="Franklin Gothic Demi" w:hAnsi="Franklin Gothic Demi"/>
              </w:rPr>
            </w:pPr>
          </w:p>
        </w:tc>
        <w:tc>
          <w:tcPr>
            <w:tcW w:w="113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61D0EE6"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16.6</w:t>
            </w:r>
          </w:p>
        </w:tc>
      </w:tr>
    </w:tbl>
    <w:p w14:paraId="2B4E9D62" w14:textId="77777777" w:rsidR="00E84111" w:rsidRPr="00E4232C" w:rsidRDefault="00E84111" w:rsidP="00E84111">
      <w:pPr>
        <w:pStyle w:val="Note"/>
      </w:pPr>
      <w:r w:rsidRPr="00E4232C">
        <w:rPr>
          <w:rStyle w:val="NoteLabel"/>
        </w:rPr>
        <w:t>a</w:t>
      </w:r>
      <w:r>
        <w:t xml:space="preserve"> Weightings exclude the number of people who don’t know the number of years since accident happened or main condition occurred.</w:t>
      </w:r>
    </w:p>
    <w:p w14:paraId="01F895AB" w14:textId="77777777" w:rsidR="00E84111" w:rsidRPr="00280175" w:rsidRDefault="00E84111" w:rsidP="00E84111">
      <w:pPr>
        <w:pStyle w:val="Source"/>
        <w:rPr>
          <w:iCs/>
          <w:lang w:bidi="fa-IR"/>
        </w:rPr>
      </w:pPr>
      <w:r w:rsidRPr="00280175">
        <w:rPr>
          <w:iCs/>
          <w:lang w:bidi="fa-IR"/>
        </w:rPr>
        <w:t>Source: ABS, 2018 Survey of Disabilities, Ageing and Carers, TableBuilder, CIE.</w:t>
      </w:r>
    </w:p>
    <w:p w14:paraId="3892652A" w14:textId="77777777" w:rsidR="00E84111" w:rsidRDefault="00E84111" w:rsidP="00E84111">
      <w:pPr>
        <w:pStyle w:val="BodyText"/>
        <w:rPr>
          <w:lang w:bidi="fa-IR"/>
        </w:rPr>
      </w:pPr>
      <w:r>
        <w:rPr>
          <w:lang w:bidi="fa-IR"/>
        </w:rPr>
        <w:t>Based on the assumptions outlined above, a lower bound estimate of the number of additional moves per year due to inaccessible housing is around 6</w:t>
      </w:r>
      <w:r w:rsidR="003F4FE7">
        <w:rPr>
          <w:lang w:bidi="fa-IR"/>
        </w:rPr>
        <w:t xml:space="preserve"> </w:t>
      </w:r>
      <w:r>
        <w:rPr>
          <w:lang w:bidi="fa-IR"/>
        </w:rPr>
        <w:t>400 (table </w:t>
      </w:r>
      <w:r w:rsidR="00A0759B">
        <w:rPr>
          <w:lang w:bidi="fa-IR"/>
        </w:rPr>
        <w:t>E.5</w:t>
      </w:r>
      <w:r>
        <w:rPr>
          <w:lang w:bidi="fa-IR"/>
        </w:rPr>
        <w:t>).</w:t>
      </w:r>
    </w:p>
    <w:p w14:paraId="633FBDE5" w14:textId="594FDF35" w:rsidR="00E84111" w:rsidRDefault="00B27E24" w:rsidP="00E84111">
      <w:pPr>
        <w:pStyle w:val="Caption"/>
      </w:pPr>
      <w:bookmarkStart w:id="746" w:name="_Toc57643690"/>
      <w:bookmarkStart w:id="747" w:name="_Toc70505644"/>
      <w:r>
        <w:t>E.5</w:t>
      </w:r>
      <w:r w:rsidR="00E84111" w:rsidRPr="00695C93">
        <w:tab/>
      </w:r>
      <w:r w:rsidR="00E84111">
        <w:t>Estimated number of additional moves per year — lower bound estimate</w:t>
      </w:r>
      <w:bookmarkEnd w:id="746"/>
      <w:bookmarkEnd w:id="747"/>
    </w:p>
    <w:tbl>
      <w:tblPr>
        <w:tblW w:w="7937" w:type="dxa"/>
        <w:tblLayout w:type="fixed"/>
        <w:tblLook w:val="0000" w:firstRow="0" w:lastRow="0" w:firstColumn="0" w:lastColumn="0" w:noHBand="0" w:noVBand="0"/>
        <w:tblCaption w:val="Table E.5: Estimated number of additional moves per year — lower bound estimate"/>
        <w:tblDescription w:val="Table E.5 lists the number of owner-occupiers and the number of renters who have moved once or more than once due to inaccessible housing. It also lists the total number of unavoidable moves, and the avoidable moves per year. The total of avoidable moves per year has a lower bound estimate of 6,400."/>
      </w:tblPr>
      <w:tblGrid>
        <w:gridCol w:w="2958"/>
        <w:gridCol w:w="1244"/>
        <w:gridCol w:w="1245"/>
        <w:gridCol w:w="1245"/>
        <w:gridCol w:w="1245"/>
      </w:tblGrid>
      <w:tr w:rsidR="00E84111" w14:paraId="69740B13" w14:textId="77777777" w:rsidTr="00D510F5">
        <w:trPr>
          <w:trHeight w:val="490"/>
        </w:trPr>
        <w:tc>
          <w:tcPr>
            <w:tcW w:w="2958" w:type="dxa"/>
            <w:tcBorders>
              <w:bottom w:val="single" w:sz="8" w:space="0" w:color="FFFFFF" w:themeColor="background1"/>
            </w:tcBorders>
            <w:shd w:val="clear" w:color="auto" w:fill="6F6652"/>
            <w:tcMar>
              <w:left w:w="57" w:type="dxa"/>
              <w:right w:w="57" w:type="dxa"/>
            </w:tcMar>
          </w:tcPr>
          <w:p w14:paraId="1F64EF88" w14:textId="77777777" w:rsidR="00E84111" w:rsidRDefault="00CE407E" w:rsidP="00D510F5">
            <w:pPr>
              <w:pStyle w:val="TableDataColumnHeading"/>
              <w:jc w:val="left"/>
            </w:pPr>
            <w:r>
              <w:t>People</w:t>
            </w:r>
          </w:p>
        </w:tc>
        <w:tc>
          <w:tcPr>
            <w:tcW w:w="1244" w:type="dxa"/>
            <w:tcBorders>
              <w:bottom w:val="single" w:sz="8" w:space="0" w:color="FFFFFF" w:themeColor="background1"/>
            </w:tcBorders>
            <w:shd w:val="clear" w:color="auto" w:fill="6F6652"/>
            <w:tcMar>
              <w:left w:w="57" w:type="dxa"/>
              <w:right w:w="57" w:type="dxa"/>
            </w:tcMar>
          </w:tcPr>
          <w:p w14:paraId="7E45F91D" w14:textId="77777777" w:rsidR="00E84111" w:rsidRDefault="00E84111" w:rsidP="00D510F5">
            <w:pPr>
              <w:pStyle w:val="TableDataColumnHeading"/>
            </w:pPr>
            <w:r>
              <w:t>Moved once</w:t>
            </w:r>
            <w:r w:rsidR="001B182C">
              <w:br/>
            </w:r>
            <w:r w:rsidR="001B182C">
              <w:br/>
            </w:r>
            <w:r w:rsidR="001B182C">
              <w:br/>
              <w:t>(‘000)</w:t>
            </w:r>
          </w:p>
        </w:tc>
        <w:tc>
          <w:tcPr>
            <w:tcW w:w="1245" w:type="dxa"/>
            <w:tcBorders>
              <w:bottom w:val="single" w:sz="8" w:space="0" w:color="FFFFFF" w:themeColor="background1"/>
            </w:tcBorders>
            <w:shd w:val="clear" w:color="auto" w:fill="6F6652"/>
            <w:tcMar>
              <w:left w:w="57" w:type="dxa"/>
              <w:right w:w="57" w:type="dxa"/>
            </w:tcMar>
          </w:tcPr>
          <w:p w14:paraId="5D72BD07" w14:textId="77777777" w:rsidR="00E84111" w:rsidRDefault="00E84111" w:rsidP="00D510F5">
            <w:pPr>
              <w:pStyle w:val="TableDataColumnHeading"/>
            </w:pPr>
            <w:r>
              <w:t>Moved more than once</w:t>
            </w:r>
            <w:r w:rsidR="001B182C">
              <w:br/>
            </w:r>
            <w:r w:rsidR="001B182C">
              <w:br/>
              <w:t>(‘000)</w:t>
            </w:r>
          </w:p>
        </w:tc>
        <w:tc>
          <w:tcPr>
            <w:tcW w:w="1245" w:type="dxa"/>
            <w:tcBorders>
              <w:bottom w:val="single" w:sz="8" w:space="0" w:color="FFFFFF" w:themeColor="background1"/>
            </w:tcBorders>
            <w:shd w:val="clear" w:color="auto" w:fill="6F6652"/>
            <w:tcMar>
              <w:left w:w="57" w:type="dxa"/>
              <w:right w:w="57" w:type="dxa"/>
            </w:tcMar>
          </w:tcPr>
          <w:p w14:paraId="15CA9A2D" w14:textId="77777777" w:rsidR="00E84111" w:rsidRDefault="00E84111" w:rsidP="00D510F5">
            <w:pPr>
              <w:pStyle w:val="TableDataColumnHeading"/>
            </w:pPr>
            <w:r>
              <w:t>Total avoidable moves</w:t>
            </w:r>
            <w:r w:rsidRPr="00DA4C07">
              <w:rPr>
                <w:rStyle w:val="NoteLabel"/>
              </w:rPr>
              <w:t>a</w:t>
            </w:r>
            <w:r w:rsidR="001B182C">
              <w:rPr>
                <w:rStyle w:val="NoteLabel"/>
              </w:rPr>
              <w:br/>
            </w:r>
            <w:r w:rsidR="001B182C">
              <w:rPr>
                <w:rStyle w:val="NoteLabel"/>
              </w:rPr>
              <w:br/>
            </w:r>
            <w:r w:rsidR="001B182C">
              <w:t>(‘000)</w:t>
            </w:r>
          </w:p>
        </w:tc>
        <w:tc>
          <w:tcPr>
            <w:tcW w:w="1245" w:type="dxa"/>
            <w:tcBorders>
              <w:bottom w:val="single" w:sz="8" w:space="0" w:color="FFFFFF" w:themeColor="background1"/>
            </w:tcBorders>
            <w:shd w:val="clear" w:color="auto" w:fill="6F6652"/>
            <w:tcMar>
              <w:left w:w="57" w:type="dxa"/>
              <w:right w:w="57" w:type="dxa"/>
            </w:tcMar>
          </w:tcPr>
          <w:p w14:paraId="188961A7" w14:textId="77777777" w:rsidR="00E84111" w:rsidRDefault="00E84111" w:rsidP="00D510F5">
            <w:pPr>
              <w:pStyle w:val="TableDataColumnHeading"/>
            </w:pPr>
            <w:r>
              <w:t>Avoidable moves per year</w:t>
            </w:r>
            <w:r w:rsidRPr="00DA4C07">
              <w:rPr>
                <w:rStyle w:val="NoteLabel"/>
              </w:rPr>
              <w:t>b</w:t>
            </w:r>
            <w:r w:rsidR="001B182C">
              <w:rPr>
                <w:rStyle w:val="NoteLabel"/>
              </w:rPr>
              <w:br/>
            </w:r>
            <w:r w:rsidR="001B182C">
              <w:t>(‘000)</w:t>
            </w:r>
          </w:p>
        </w:tc>
      </w:tr>
      <w:tr w:rsidR="00E84111" w14:paraId="5349B7BA" w14:textId="77777777" w:rsidTr="00D510F5">
        <w:trPr>
          <w:trHeight w:val="245"/>
        </w:trPr>
        <w:tc>
          <w:tcPr>
            <w:tcW w:w="29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D9B5B7" w14:textId="77777777" w:rsidR="00E84111" w:rsidRDefault="00E84111" w:rsidP="00D510F5">
            <w:pPr>
              <w:pStyle w:val="TableDataEntries"/>
              <w:jc w:val="left"/>
            </w:pPr>
            <w:r>
              <w:t>Owner-occupiers</w:t>
            </w:r>
          </w:p>
        </w:tc>
        <w:tc>
          <w:tcPr>
            <w:tcW w:w="12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1CF0D7" w14:textId="77777777" w:rsidR="00E84111" w:rsidRDefault="00E84111" w:rsidP="00D510F5">
            <w:pPr>
              <w:pStyle w:val="TableDataEntries"/>
            </w:pPr>
            <w:r>
              <w:t xml:space="preserve"> 30.5</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04D42" w14:textId="77777777" w:rsidR="00E84111" w:rsidRDefault="00E84111" w:rsidP="00D510F5">
            <w:pPr>
              <w:pStyle w:val="TableDataEntries"/>
            </w:pPr>
            <w:r>
              <w:t xml:space="preserve"> 4.6</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B0BF35" w14:textId="77777777" w:rsidR="00E84111" w:rsidRDefault="00E84111" w:rsidP="00D510F5">
            <w:pPr>
              <w:pStyle w:val="TableDataEntries"/>
            </w:pPr>
            <w:r>
              <w:t xml:space="preserve"> 42.0</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A4331D" w14:textId="77777777" w:rsidR="00E84111" w:rsidRDefault="00E84111" w:rsidP="00D510F5">
            <w:pPr>
              <w:pStyle w:val="TableDataEntries"/>
            </w:pPr>
            <w:r>
              <w:t xml:space="preserve"> 2.5</w:t>
            </w:r>
          </w:p>
        </w:tc>
      </w:tr>
      <w:tr w:rsidR="00E84111" w14:paraId="6FBB9F38" w14:textId="77777777" w:rsidTr="005331B4">
        <w:trPr>
          <w:trHeight w:val="245"/>
        </w:trPr>
        <w:tc>
          <w:tcPr>
            <w:tcW w:w="29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A2C64" w14:textId="77777777" w:rsidR="00E84111" w:rsidRDefault="00E84111" w:rsidP="00D510F5">
            <w:pPr>
              <w:pStyle w:val="TableDataEntries"/>
              <w:jc w:val="left"/>
            </w:pPr>
            <w:r>
              <w:t>Renters</w:t>
            </w:r>
          </w:p>
        </w:tc>
        <w:tc>
          <w:tcPr>
            <w:tcW w:w="12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5DFA7" w14:textId="77777777" w:rsidR="00E84111" w:rsidRDefault="00E84111" w:rsidP="00D510F5">
            <w:pPr>
              <w:pStyle w:val="TableDataEntries"/>
            </w:pPr>
            <w:r>
              <w:t xml:space="preserve"> 25.3</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01F604" w14:textId="77777777" w:rsidR="00E84111" w:rsidRDefault="00E84111" w:rsidP="00D510F5">
            <w:pPr>
              <w:pStyle w:val="TableDataEntries"/>
            </w:pPr>
            <w:r>
              <w:t xml:space="preserve"> 15.6</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7C3F5" w14:textId="77777777" w:rsidR="00E84111" w:rsidRDefault="00E84111" w:rsidP="00D510F5">
            <w:pPr>
              <w:pStyle w:val="TableDataEntries"/>
            </w:pPr>
            <w:r>
              <w:t xml:space="preserve"> 64.3</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3552F0" w14:textId="77777777" w:rsidR="00E84111" w:rsidRDefault="00E84111" w:rsidP="00D510F5">
            <w:pPr>
              <w:pStyle w:val="TableDataEntries"/>
            </w:pPr>
            <w:r>
              <w:t xml:space="preserve"> 3.9</w:t>
            </w:r>
          </w:p>
        </w:tc>
      </w:tr>
      <w:tr w:rsidR="00A0759B" w:rsidRPr="00A0759B" w14:paraId="78166718" w14:textId="77777777" w:rsidTr="00D510F5">
        <w:trPr>
          <w:trHeight w:val="245"/>
        </w:trPr>
        <w:tc>
          <w:tcPr>
            <w:tcW w:w="295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BD825FA" w14:textId="77777777" w:rsidR="00E84111" w:rsidRPr="005331B4" w:rsidRDefault="00E84111" w:rsidP="00D510F5">
            <w:pPr>
              <w:pStyle w:val="TableDataEntries"/>
              <w:jc w:val="left"/>
              <w:rPr>
                <w:rFonts w:ascii="Franklin Gothic Demi" w:hAnsi="Franklin Gothic Demi"/>
              </w:rPr>
            </w:pPr>
            <w:r w:rsidRPr="005331B4">
              <w:rPr>
                <w:rFonts w:ascii="Franklin Gothic Demi" w:hAnsi="Franklin Gothic Demi"/>
              </w:rPr>
              <w:t>Total</w:t>
            </w:r>
          </w:p>
        </w:tc>
        <w:tc>
          <w:tcPr>
            <w:tcW w:w="124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E359A65"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55.8</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97105D5"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20.2</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FF9A102"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106.3</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6A2A165"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6.4</w:t>
            </w:r>
          </w:p>
        </w:tc>
      </w:tr>
    </w:tbl>
    <w:p w14:paraId="0E7E07E5" w14:textId="77777777" w:rsidR="00E84111" w:rsidRPr="00E4232C" w:rsidRDefault="00E84111" w:rsidP="00E84111">
      <w:pPr>
        <w:pStyle w:val="Note"/>
      </w:pPr>
      <w:r w:rsidRPr="00E4232C">
        <w:rPr>
          <w:rStyle w:val="NoteLabel"/>
        </w:rPr>
        <w:t>a</w:t>
      </w:r>
      <w:r>
        <w:t xml:space="preserve"> Assumes that those that have moved more than once have moved 2.5 times on average. b Total avoidable moves divided by 16.6 (reflecting the average number of years since the accident happened or main condition occurred (see table </w:t>
      </w:r>
      <w:r w:rsidR="00A0759B">
        <w:t>E.4</w:t>
      </w:r>
      <w:r>
        <w:t xml:space="preserve"> above).</w:t>
      </w:r>
    </w:p>
    <w:p w14:paraId="14019F8E" w14:textId="77777777" w:rsidR="00E84111" w:rsidRDefault="00E84111" w:rsidP="00E84111">
      <w:pPr>
        <w:pStyle w:val="Source"/>
        <w:rPr>
          <w:lang w:bidi="fa-IR"/>
        </w:rPr>
      </w:pPr>
      <w:r w:rsidRPr="006149FD">
        <w:rPr>
          <w:i/>
          <w:lang w:bidi="fa-IR"/>
        </w:rPr>
        <w:t>Source:</w:t>
      </w:r>
      <w:r>
        <w:rPr>
          <w:lang w:bidi="fa-IR"/>
        </w:rPr>
        <w:t xml:space="preserve"> ABS, 2018 Survey of Disabilities, Ageing and Carers, TableBuilder, CIE.</w:t>
      </w:r>
    </w:p>
    <w:p w14:paraId="1D52C961" w14:textId="77777777" w:rsidR="00E84111" w:rsidRDefault="00E84111" w:rsidP="00E84111">
      <w:pPr>
        <w:pStyle w:val="BodyText"/>
        <w:rPr>
          <w:lang w:bidi="fa-IR"/>
        </w:rPr>
      </w:pPr>
      <w:r>
        <w:rPr>
          <w:lang w:bidi="fa-IR"/>
        </w:rPr>
        <w:t>The upper bound estimate suggests that there could be an additional 17 300 moves per year as a result of inaccessible housing (table </w:t>
      </w:r>
      <w:r w:rsidR="00960564">
        <w:rPr>
          <w:lang w:bidi="fa-IR"/>
        </w:rPr>
        <w:t>E.6</w:t>
      </w:r>
      <w:r>
        <w:rPr>
          <w:lang w:bidi="fa-IR"/>
        </w:rPr>
        <w:t>).</w:t>
      </w:r>
    </w:p>
    <w:p w14:paraId="0C0449F6" w14:textId="37DF6B79" w:rsidR="00E84111" w:rsidRDefault="00B27E24" w:rsidP="00E84111">
      <w:pPr>
        <w:pStyle w:val="Caption"/>
      </w:pPr>
      <w:bookmarkStart w:id="748" w:name="_Toc57643691"/>
      <w:bookmarkStart w:id="749" w:name="_Toc70505645"/>
      <w:r>
        <w:t>E.6</w:t>
      </w:r>
      <w:r w:rsidR="00E84111" w:rsidRPr="00695C93">
        <w:tab/>
      </w:r>
      <w:r w:rsidR="00E84111">
        <w:t>Estimated number of additional moves per year — upper bound estimate</w:t>
      </w:r>
      <w:bookmarkEnd w:id="748"/>
      <w:bookmarkEnd w:id="749"/>
    </w:p>
    <w:tbl>
      <w:tblPr>
        <w:tblW w:w="7937" w:type="dxa"/>
        <w:tblLayout w:type="fixed"/>
        <w:tblLook w:val="0000" w:firstRow="0" w:lastRow="0" w:firstColumn="0" w:lastColumn="0" w:noHBand="0" w:noVBand="0"/>
        <w:tblCaption w:val="Table E.6: Estimated number of additional moves per year — upper bound estimate"/>
        <w:tblDescription w:val="Table E.6 lists the number of owner-occupiers and the number of renters who have moved once or more than once due to inaccessible housing. It also lists the total number of unavoidable moves, and the avoidable moves per year. The total of avoidable moves per year has an upper bound estimate of 17,300."/>
      </w:tblPr>
      <w:tblGrid>
        <w:gridCol w:w="2958"/>
        <w:gridCol w:w="1244"/>
        <w:gridCol w:w="1245"/>
        <w:gridCol w:w="1245"/>
        <w:gridCol w:w="1245"/>
      </w:tblGrid>
      <w:tr w:rsidR="00E84111" w14:paraId="289FB41C" w14:textId="77777777" w:rsidTr="00D510F5">
        <w:trPr>
          <w:trHeight w:val="490"/>
        </w:trPr>
        <w:tc>
          <w:tcPr>
            <w:tcW w:w="2958" w:type="dxa"/>
            <w:tcBorders>
              <w:bottom w:val="single" w:sz="8" w:space="0" w:color="FFFFFF" w:themeColor="background1"/>
            </w:tcBorders>
            <w:shd w:val="clear" w:color="auto" w:fill="6F6652"/>
            <w:tcMar>
              <w:left w:w="57" w:type="dxa"/>
              <w:right w:w="57" w:type="dxa"/>
            </w:tcMar>
          </w:tcPr>
          <w:p w14:paraId="1B960CEE" w14:textId="77777777" w:rsidR="00E84111" w:rsidRDefault="00CE407E" w:rsidP="00D510F5">
            <w:pPr>
              <w:pStyle w:val="TableDataColumnHeading"/>
              <w:jc w:val="left"/>
            </w:pPr>
            <w:r>
              <w:t>People</w:t>
            </w:r>
          </w:p>
        </w:tc>
        <w:tc>
          <w:tcPr>
            <w:tcW w:w="1244" w:type="dxa"/>
            <w:tcBorders>
              <w:bottom w:val="single" w:sz="8" w:space="0" w:color="FFFFFF" w:themeColor="background1"/>
            </w:tcBorders>
            <w:shd w:val="clear" w:color="auto" w:fill="6F6652"/>
            <w:tcMar>
              <w:left w:w="57" w:type="dxa"/>
              <w:right w:w="57" w:type="dxa"/>
            </w:tcMar>
          </w:tcPr>
          <w:p w14:paraId="667AC087" w14:textId="77777777" w:rsidR="00E84111" w:rsidRDefault="00E84111" w:rsidP="00D510F5">
            <w:pPr>
              <w:pStyle w:val="TableDataColumnHeading"/>
            </w:pPr>
            <w:r>
              <w:t>Moved once</w:t>
            </w:r>
            <w:r w:rsidR="001B182C">
              <w:br/>
            </w:r>
            <w:r w:rsidR="001B182C">
              <w:br/>
            </w:r>
            <w:r w:rsidR="001B182C">
              <w:br/>
              <w:t>(‘000)</w:t>
            </w:r>
          </w:p>
        </w:tc>
        <w:tc>
          <w:tcPr>
            <w:tcW w:w="1245" w:type="dxa"/>
            <w:tcBorders>
              <w:bottom w:val="single" w:sz="8" w:space="0" w:color="FFFFFF" w:themeColor="background1"/>
            </w:tcBorders>
            <w:shd w:val="clear" w:color="auto" w:fill="6F6652"/>
            <w:tcMar>
              <w:left w:w="57" w:type="dxa"/>
              <w:right w:w="57" w:type="dxa"/>
            </w:tcMar>
          </w:tcPr>
          <w:p w14:paraId="0E38F27B" w14:textId="77777777" w:rsidR="00E84111" w:rsidRDefault="00E84111" w:rsidP="00D510F5">
            <w:pPr>
              <w:pStyle w:val="TableDataColumnHeading"/>
            </w:pPr>
            <w:r>
              <w:t>Moved more than once</w:t>
            </w:r>
            <w:r w:rsidR="001B182C">
              <w:br/>
            </w:r>
            <w:r w:rsidR="001B182C">
              <w:br/>
              <w:t>(‘000)</w:t>
            </w:r>
          </w:p>
        </w:tc>
        <w:tc>
          <w:tcPr>
            <w:tcW w:w="1245" w:type="dxa"/>
            <w:tcBorders>
              <w:bottom w:val="single" w:sz="8" w:space="0" w:color="FFFFFF" w:themeColor="background1"/>
            </w:tcBorders>
            <w:shd w:val="clear" w:color="auto" w:fill="6F6652"/>
            <w:tcMar>
              <w:left w:w="57" w:type="dxa"/>
              <w:right w:w="57" w:type="dxa"/>
            </w:tcMar>
          </w:tcPr>
          <w:p w14:paraId="39BB20B1" w14:textId="77777777" w:rsidR="00E84111" w:rsidRDefault="00E84111" w:rsidP="00D510F5">
            <w:pPr>
              <w:pStyle w:val="TableDataColumnHeading"/>
            </w:pPr>
            <w:r>
              <w:t>Total avoidable moves</w:t>
            </w:r>
            <w:r w:rsidRPr="00DA4C07">
              <w:rPr>
                <w:rStyle w:val="NoteLabel"/>
              </w:rPr>
              <w:t>a</w:t>
            </w:r>
            <w:r w:rsidR="001B182C">
              <w:rPr>
                <w:rStyle w:val="NoteLabel"/>
              </w:rPr>
              <w:br/>
            </w:r>
            <w:r w:rsidR="001B182C">
              <w:rPr>
                <w:rStyle w:val="NoteLabel"/>
              </w:rPr>
              <w:br/>
            </w:r>
            <w:r w:rsidR="001B182C">
              <w:t>(‘000)</w:t>
            </w:r>
          </w:p>
        </w:tc>
        <w:tc>
          <w:tcPr>
            <w:tcW w:w="1245" w:type="dxa"/>
            <w:tcBorders>
              <w:bottom w:val="single" w:sz="8" w:space="0" w:color="FFFFFF" w:themeColor="background1"/>
            </w:tcBorders>
            <w:shd w:val="clear" w:color="auto" w:fill="6F6652"/>
            <w:tcMar>
              <w:left w:w="57" w:type="dxa"/>
              <w:right w:w="57" w:type="dxa"/>
            </w:tcMar>
          </w:tcPr>
          <w:p w14:paraId="5AE1EF21" w14:textId="77777777" w:rsidR="00E84111" w:rsidRDefault="00E84111" w:rsidP="00D510F5">
            <w:pPr>
              <w:pStyle w:val="TableDataColumnHeading"/>
            </w:pPr>
            <w:r>
              <w:t>Avoidable moves per year</w:t>
            </w:r>
            <w:r w:rsidRPr="00DA4C07">
              <w:rPr>
                <w:rStyle w:val="NoteLabel"/>
              </w:rPr>
              <w:t>b</w:t>
            </w:r>
            <w:r w:rsidR="001B182C">
              <w:rPr>
                <w:rStyle w:val="NoteLabel"/>
              </w:rPr>
              <w:br/>
            </w:r>
            <w:r w:rsidR="001B182C">
              <w:t>(‘000)</w:t>
            </w:r>
          </w:p>
        </w:tc>
      </w:tr>
      <w:tr w:rsidR="00E84111" w14:paraId="539EF6D1" w14:textId="77777777" w:rsidTr="00D510F5">
        <w:trPr>
          <w:trHeight w:val="245"/>
        </w:trPr>
        <w:tc>
          <w:tcPr>
            <w:tcW w:w="29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CD57F6" w14:textId="77777777" w:rsidR="00E84111" w:rsidRDefault="00E84111" w:rsidP="00D510F5">
            <w:pPr>
              <w:pStyle w:val="TableDataEntries"/>
              <w:jc w:val="left"/>
            </w:pPr>
            <w:r>
              <w:t>Owner-occupiers</w:t>
            </w:r>
          </w:p>
        </w:tc>
        <w:tc>
          <w:tcPr>
            <w:tcW w:w="12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B43E47" w14:textId="77777777" w:rsidR="00E84111" w:rsidRPr="00DA4C07" w:rsidRDefault="00E84111" w:rsidP="00D510F5">
            <w:pPr>
              <w:pStyle w:val="TableDataEntries"/>
            </w:pPr>
            <w:r w:rsidRPr="00DA4C07">
              <w:t xml:space="preserve"> 97.9</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C5EF53" w14:textId="77777777" w:rsidR="00E84111" w:rsidRPr="00DA4C07" w:rsidRDefault="00E84111" w:rsidP="00D510F5">
            <w:pPr>
              <w:pStyle w:val="TableDataEntries"/>
            </w:pPr>
            <w:r w:rsidRPr="00DA4C07">
              <w:t xml:space="preserve"> 11.9</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7B3293" w14:textId="77777777" w:rsidR="00E84111" w:rsidRPr="00DA4C07" w:rsidRDefault="00E84111" w:rsidP="00D510F5">
            <w:pPr>
              <w:pStyle w:val="TableDataEntries"/>
            </w:pPr>
            <w:r w:rsidRPr="00DA4C07">
              <w:t xml:space="preserve"> 127.7</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4FE8B3" w14:textId="77777777" w:rsidR="00E84111" w:rsidRPr="00DA4C07" w:rsidRDefault="00E84111" w:rsidP="00D510F5">
            <w:pPr>
              <w:pStyle w:val="TableDataEntries"/>
            </w:pPr>
            <w:r w:rsidRPr="00DA4C07">
              <w:t xml:space="preserve"> 7.7</w:t>
            </w:r>
          </w:p>
        </w:tc>
      </w:tr>
      <w:tr w:rsidR="00E84111" w14:paraId="6F611237" w14:textId="77777777" w:rsidTr="005331B4">
        <w:trPr>
          <w:trHeight w:val="245"/>
        </w:trPr>
        <w:tc>
          <w:tcPr>
            <w:tcW w:w="29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6F8DF7" w14:textId="77777777" w:rsidR="00E84111" w:rsidRDefault="00E84111" w:rsidP="00D510F5">
            <w:pPr>
              <w:pStyle w:val="TableDataEntries"/>
              <w:jc w:val="left"/>
            </w:pPr>
            <w:r>
              <w:t>Renters</w:t>
            </w:r>
          </w:p>
        </w:tc>
        <w:tc>
          <w:tcPr>
            <w:tcW w:w="12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A5EEA3" w14:textId="77777777" w:rsidR="00E84111" w:rsidRPr="00DA4C07" w:rsidRDefault="00E84111" w:rsidP="00D510F5">
            <w:pPr>
              <w:pStyle w:val="TableDataEntries"/>
            </w:pPr>
            <w:r w:rsidRPr="00DA4C07">
              <w:t xml:space="preserve"> 76.6</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C095A3" w14:textId="77777777" w:rsidR="00E84111" w:rsidRPr="00DA4C07" w:rsidRDefault="00E84111" w:rsidP="00D510F5">
            <w:pPr>
              <w:pStyle w:val="TableDataEntries"/>
            </w:pPr>
            <w:r w:rsidRPr="00DA4C07">
              <w:t xml:space="preserve"> 33.1</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3997C8" w14:textId="77777777" w:rsidR="00E84111" w:rsidRPr="00DA4C07" w:rsidRDefault="00E84111" w:rsidP="00D510F5">
            <w:pPr>
              <w:pStyle w:val="TableDataEntries"/>
            </w:pPr>
            <w:r w:rsidRPr="00DA4C07">
              <w:t xml:space="preserve"> 159.4</w:t>
            </w:r>
          </w:p>
        </w:tc>
        <w:tc>
          <w:tcPr>
            <w:tcW w:w="12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80C061" w14:textId="77777777" w:rsidR="00E84111" w:rsidRPr="00DA4C07" w:rsidRDefault="00E84111" w:rsidP="00D510F5">
            <w:pPr>
              <w:pStyle w:val="TableDataEntries"/>
            </w:pPr>
            <w:r w:rsidRPr="00DA4C07">
              <w:t xml:space="preserve"> 9.6</w:t>
            </w:r>
          </w:p>
        </w:tc>
      </w:tr>
      <w:tr w:rsidR="001F42CB" w:rsidRPr="001F42CB" w14:paraId="7EE3FA04" w14:textId="77777777" w:rsidTr="00D510F5">
        <w:trPr>
          <w:trHeight w:val="245"/>
        </w:trPr>
        <w:tc>
          <w:tcPr>
            <w:tcW w:w="295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A04C508" w14:textId="77777777" w:rsidR="00E84111" w:rsidRPr="005331B4" w:rsidRDefault="00E84111" w:rsidP="00D510F5">
            <w:pPr>
              <w:pStyle w:val="TableDataEntries"/>
              <w:jc w:val="left"/>
              <w:rPr>
                <w:rFonts w:ascii="Franklin Gothic Demi" w:hAnsi="Franklin Gothic Demi"/>
              </w:rPr>
            </w:pPr>
            <w:r w:rsidRPr="005331B4">
              <w:rPr>
                <w:rFonts w:ascii="Franklin Gothic Demi" w:hAnsi="Franklin Gothic Demi"/>
              </w:rPr>
              <w:t>Total</w:t>
            </w:r>
          </w:p>
        </w:tc>
        <w:tc>
          <w:tcPr>
            <w:tcW w:w="124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407CA41"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174.5</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9E6ED50"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45.0</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B2AFDC4"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287.0</w:t>
            </w:r>
          </w:p>
        </w:tc>
        <w:tc>
          <w:tcPr>
            <w:tcW w:w="124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B560AAB" w14:textId="77777777" w:rsidR="00E84111" w:rsidRPr="005331B4" w:rsidRDefault="00E84111" w:rsidP="00D510F5">
            <w:pPr>
              <w:pStyle w:val="TableDataEntries"/>
              <w:rPr>
                <w:rFonts w:ascii="Franklin Gothic Demi" w:hAnsi="Franklin Gothic Demi"/>
              </w:rPr>
            </w:pPr>
            <w:r w:rsidRPr="005331B4">
              <w:rPr>
                <w:rFonts w:ascii="Franklin Gothic Demi" w:hAnsi="Franklin Gothic Demi"/>
              </w:rPr>
              <w:t xml:space="preserve"> 17.3</w:t>
            </w:r>
          </w:p>
        </w:tc>
      </w:tr>
    </w:tbl>
    <w:p w14:paraId="0AFB58A1" w14:textId="77777777" w:rsidR="00E84111" w:rsidRPr="00E4232C" w:rsidRDefault="00E84111" w:rsidP="00E84111">
      <w:pPr>
        <w:pStyle w:val="Note"/>
      </w:pPr>
      <w:r w:rsidRPr="00E4232C">
        <w:rPr>
          <w:rStyle w:val="NoteLabel"/>
        </w:rPr>
        <w:t>a</w:t>
      </w:r>
      <w:r>
        <w:t xml:space="preserve"> Assumes that those that have moved more than once have moved 2.5 times on average. b Total avoidable moves divided by 16.6 (reflecting the average number of years since the accident happened or main condition occurred (see table </w:t>
      </w:r>
      <w:r w:rsidR="00960564">
        <w:t>E.4</w:t>
      </w:r>
      <w:r>
        <w:t xml:space="preserve"> above).</w:t>
      </w:r>
    </w:p>
    <w:p w14:paraId="6783BEA0" w14:textId="77777777" w:rsidR="00E84111" w:rsidRDefault="00E84111" w:rsidP="00E84111">
      <w:pPr>
        <w:pStyle w:val="Source"/>
        <w:rPr>
          <w:lang w:bidi="fa-IR"/>
        </w:rPr>
      </w:pPr>
      <w:r w:rsidRPr="00280175">
        <w:rPr>
          <w:iCs/>
          <w:lang w:bidi="fa-IR"/>
        </w:rPr>
        <w:t>Source: ABS, 2018 Survey</w:t>
      </w:r>
      <w:r>
        <w:rPr>
          <w:lang w:bidi="fa-IR"/>
        </w:rPr>
        <w:t xml:space="preserve"> of Disabilities, Ageing and Carers, TableBuilder, CIE.</w:t>
      </w:r>
    </w:p>
    <w:p w14:paraId="4434EB6C" w14:textId="77777777" w:rsidR="004E736E" w:rsidRPr="004B79EC" w:rsidRDefault="004E736E" w:rsidP="004B79EC">
      <w:pPr>
        <w:pStyle w:val="Heading1-Appendix"/>
      </w:pPr>
      <w:bookmarkStart w:id="750" w:name="_Ref55130465"/>
      <w:bookmarkStart w:id="751" w:name="_Toc32321778"/>
      <w:bookmarkStart w:id="752" w:name="_Toc44598467"/>
      <w:bookmarkStart w:id="753" w:name="_Toc45654098"/>
      <w:r w:rsidRPr="004B79EC">
        <w:t>Longer stays in hospital or transition care</w:t>
      </w:r>
      <w:bookmarkEnd w:id="750"/>
      <w:bookmarkEnd w:id="751"/>
      <w:bookmarkEnd w:id="752"/>
      <w:bookmarkEnd w:id="753"/>
    </w:p>
    <w:p w14:paraId="3D386C45" w14:textId="77777777" w:rsidR="00ED748D" w:rsidRPr="004B79EC" w:rsidRDefault="00ED748D" w:rsidP="004B79EC">
      <w:pPr>
        <w:pStyle w:val="Heading2-Appendix"/>
      </w:pPr>
      <w:r w:rsidRPr="004B79EC">
        <w:t>Evidence on delayed discharge from hospital</w:t>
      </w:r>
    </w:p>
    <w:p w14:paraId="389E6B55" w14:textId="77777777" w:rsidR="00ED748D" w:rsidRDefault="00ED748D" w:rsidP="00ED748D">
      <w:pPr>
        <w:pStyle w:val="BodyText"/>
        <w:rPr>
          <w:lang w:bidi="fa-IR"/>
        </w:rPr>
      </w:pPr>
      <w:r>
        <w:rPr>
          <w:lang w:bidi="fa-IR"/>
        </w:rPr>
        <w:t xml:space="preserve">There are various international studies that examine various reasons and consequences of delayed discharge from hospitals. The National Health Service systematically reports data on delayed transfers of care in English hospitals, including the reason for the delay. However, given differences in health systems and the characteristics of the housing stock, English and other international data is unlikely to be a good indicator of the extent of the problem in Australia. </w:t>
      </w:r>
      <w:r w:rsidR="003034B0">
        <w:rPr>
          <w:lang w:bidi="fa-IR"/>
        </w:rPr>
        <w:t>CIE is</w:t>
      </w:r>
      <w:r>
        <w:rPr>
          <w:lang w:bidi="fa-IR"/>
        </w:rPr>
        <w:t xml:space="preserve"> not aware of any similar datasets for Australia.</w:t>
      </w:r>
    </w:p>
    <w:p w14:paraId="308874AC" w14:textId="77777777" w:rsidR="00ED748D" w:rsidRDefault="00ED748D" w:rsidP="00ED748D">
      <w:pPr>
        <w:pStyle w:val="BodyText"/>
        <w:rPr>
          <w:lang w:bidi="fa-IR"/>
        </w:rPr>
      </w:pPr>
      <w:r>
        <w:rPr>
          <w:lang w:bidi="fa-IR"/>
        </w:rPr>
        <w:t>There are a small number of Australian studies that identify the causes of delayed discharge from various types of care (summarised in table </w:t>
      </w:r>
      <w:r w:rsidR="006F3007">
        <w:rPr>
          <w:lang w:bidi="fa-IR"/>
        </w:rPr>
        <w:t>F</w:t>
      </w:r>
      <w:r>
        <w:rPr>
          <w:lang w:bidi="fa-IR"/>
        </w:rPr>
        <w:t>.1).</w:t>
      </w:r>
    </w:p>
    <w:p w14:paraId="7DF0A753" w14:textId="1BDF038A" w:rsidR="00ED748D" w:rsidRDefault="00B27E24" w:rsidP="00ED748D">
      <w:pPr>
        <w:pStyle w:val="Caption"/>
      </w:pPr>
      <w:bookmarkStart w:id="754" w:name="_Toc45654217"/>
      <w:bookmarkStart w:id="755" w:name="_Toc32321877"/>
      <w:bookmarkStart w:id="756" w:name="_Toc44598586"/>
      <w:bookmarkStart w:id="757" w:name="_Toc44695958"/>
      <w:bookmarkStart w:id="758" w:name="_Toc57643692"/>
      <w:bookmarkStart w:id="759" w:name="_Toc70505646"/>
      <w:r>
        <w:t>F.1</w:t>
      </w:r>
      <w:r w:rsidR="00ED748D" w:rsidRPr="00695C93">
        <w:tab/>
      </w:r>
      <w:r w:rsidR="00ED748D">
        <w:t>Summary of Australian literature on the causes of delayed discharge</w:t>
      </w:r>
      <w:bookmarkEnd w:id="754"/>
      <w:bookmarkEnd w:id="755"/>
      <w:bookmarkEnd w:id="756"/>
      <w:bookmarkEnd w:id="757"/>
      <w:bookmarkEnd w:id="758"/>
      <w:bookmarkEnd w:id="759"/>
    </w:p>
    <w:tbl>
      <w:tblPr>
        <w:tblW w:w="0" w:type="auto"/>
        <w:tblLayout w:type="fixed"/>
        <w:tblLook w:val="0000" w:firstRow="0" w:lastRow="0" w:firstColumn="0" w:lastColumn="0" w:noHBand="0" w:noVBand="0"/>
        <w:tblCaption w:val="Table F.1: Summary of Australian literature on the causes of delayed discharge"/>
        <w:tblDescription w:val="Table F.1 is a summary of Australian literature on the causes of delayed discharge from various types of care. The column headings are Study (name and year), Approach (number of patients/type of care), and Key findings relevant to the RIS."/>
      </w:tblPr>
      <w:tblGrid>
        <w:gridCol w:w="1560"/>
        <w:gridCol w:w="2126"/>
        <w:gridCol w:w="4251"/>
      </w:tblGrid>
      <w:tr w:rsidR="00ED748D" w14:paraId="35E2D18D" w14:textId="77777777" w:rsidTr="002B23FD">
        <w:trPr>
          <w:tblHeader/>
        </w:trPr>
        <w:tc>
          <w:tcPr>
            <w:tcW w:w="1560" w:type="dxa"/>
            <w:tcBorders>
              <w:bottom w:val="single" w:sz="8" w:space="0" w:color="FFFFFF" w:themeColor="background1"/>
            </w:tcBorders>
            <w:shd w:val="clear" w:color="auto" w:fill="6F6652"/>
            <w:tcMar>
              <w:left w:w="57" w:type="dxa"/>
              <w:right w:w="57" w:type="dxa"/>
            </w:tcMar>
          </w:tcPr>
          <w:p w14:paraId="145007E0" w14:textId="77777777" w:rsidR="00ED748D" w:rsidRDefault="00ED748D" w:rsidP="002B23FD">
            <w:pPr>
              <w:pStyle w:val="TableTextColumnHeading"/>
              <w:rPr>
                <w:lang w:bidi="fa-IR"/>
              </w:rPr>
            </w:pPr>
            <w:r>
              <w:rPr>
                <w:lang w:bidi="fa-IR"/>
              </w:rPr>
              <w:t>Study</w:t>
            </w:r>
          </w:p>
        </w:tc>
        <w:tc>
          <w:tcPr>
            <w:tcW w:w="2126" w:type="dxa"/>
            <w:tcBorders>
              <w:bottom w:val="single" w:sz="8" w:space="0" w:color="FFFFFF" w:themeColor="background1"/>
            </w:tcBorders>
            <w:shd w:val="clear" w:color="auto" w:fill="6F6652"/>
            <w:tcMar>
              <w:left w:w="57" w:type="dxa"/>
              <w:right w:w="57" w:type="dxa"/>
            </w:tcMar>
          </w:tcPr>
          <w:p w14:paraId="5D4AE56E" w14:textId="77777777" w:rsidR="00ED748D" w:rsidRDefault="00ED748D" w:rsidP="002B23FD">
            <w:pPr>
              <w:pStyle w:val="TableTextColumnHeading"/>
              <w:rPr>
                <w:lang w:bidi="fa-IR"/>
              </w:rPr>
            </w:pPr>
            <w:r>
              <w:rPr>
                <w:lang w:bidi="fa-IR"/>
              </w:rPr>
              <w:t>Approach</w:t>
            </w:r>
          </w:p>
        </w:tc>
        <w:tc>
          <w:tcPr>
            <w:tcW w:w="4251" w:type="dxa"/>
            <w:tcBorders>
              <w:bottom w:val="single" w:sz="8" w:space="0" w:color="FFFFFF" w:themeColor="background1"/>
            </w:tcBorders>
            <w:shd w:val="clear" w:color="auto" w:fill="6F6652"/>
            <w:tcMar>
              <w:left w:w="57" w:type="dxa"/>
              <w:right w:w="57" w:type="dxa"/>
            </w:tcMar>
          </w:tcPr>
          <w:p w14:paraId="1D508AA0" w14:textId="77777777" w:rsidR="00ED748D" w:rsidRDefault="00ED748D" w:rsidP="002B23FD">
            <w:pPr>
              <w:pStyle w:val="TableTextColumnHeading"/>
              <w:rPr>
                <w:lang w:bidi="fa-IR"/>
              </w:rPr>
            </w:pPr>
            <w:r>
              <w:rPr>
                <w:lang w:bidi="fa-IR"/>
              </w:rPr>
              <w:t>Key findings relevant to the RIS</w:t>
            </w:r>
          </w:p>
        </w:tc>
      </w:tr>
      <w:tr w:rsidR="00ED748D" w14:paraId="5A334B0A" w14:textId="77777777" w:rsidTr="002B23FD">
        <w:tc>
          <w:tcPr>
            <w:tcW w:w="15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8DD541" w14:textId="77777777" w:rsidR="00ED748D" w:rsidRDefault="00ED748D" w:rsidP="002B23FD">
            <w:pPr>
              <w:pStyle w:val="TableTextEntries"/>
              <w:rPr>
                <w:lang w:bidi="fa-IR"/>
              </w:rPr>
            </w:pPr>
            <w:r>
              <w:rPr>
                <w:lang w:bidi="fa-IR"/>
              </w:rPr>
              <w:t>New et. al. (2013)</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AFFF2" w14:textId="77777777" w:rsidR="00ED748D" w:rsidRDefault="00ED748D" w:rsidP="002B23FD">
            <w:pPr>
              <w:pStyle w:val="TableTextEntries"/>
              <w:rPr>
                <w:lang w:bidi="fa-IR"/>
              </w:rPr>
            </w:pPr>
            <w:r>
              <w:rPr>
                <w:lang w:bidi="fa-IR"/>
              </w:rPr>
              <w:t xml:space="preserve">Sample of 360 patients admitted into two inpatient </w:t>
            </w:r>
            <w:r w:rsidRPr="00FD72F1">
              <w:rPr>
                <w:rFonts w:ascii="Franklin Gothic Demi" w:hAnsi="Franklin Gothic Demi"/>
                <w:bCs/>
                <w:lang w:bidi="fa-IR"/>
              </w:rPr>
              <w:t>rehabilitation</w:t>
            </w:r>
            <w:r w:rsidRPr="00FD72F1">
              <w:rPr>
                <w:rFonts w:ascii="Franklin Gothic Demi" w:hAnsi="Franklin Gothic Demi"/>
                <w:lang w:bidi="fa-IR"/>
              </w:rPr>
              <w:t xml:space="preserve"> </w:t>
            </w:r>
            <w:r>
              <w:rPr>
                <w:lang w:bidi="fa-IR"/>
              </w:rPr>
              <w:t>units in Melbourne to examine the occurrence of discharge barriers, their causes and the duration of unnecessary hospitalisation</w:t>
            </w:r>
          </w:p>
        </w:tc>
        <w:tc>
          <w:tcPr>
            <w:tcW w:w="42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79BEE1" w14:textId="77777777" w:rsidR="00ED748D" w:rsidRDefault="00ED748D" w:rsidP="002B23FD">
            <w:pPr>
              <w:pStyle w:val="TableListBullet"/>
              <w:rPr>
                <w:lang w:bidi="fa-IR"/>
              </w:rPr>
            </w:pPr>
            <w:r>
              <w:rPr>
                <w:lang w:bidi="fa-IR"/>
              </w:rPr>
              <w:t>Over the study period, 21 per cent of all bed days were occupied by patients deemed to have a discharge barrier.</w:t>
            </w:r>
          </w:p>
          <w:p w14:paraId="3C9CA105" w14:textId="77777777" w:rsidR="00ED748D" w:rsidRDefault="00ED748D" w:rsidP="002B23FD">
            <w:pPr>
              <w:pStyle w:val="TableListBullet"/>
              <w:rPr>
                <w:lang w:bidi="fa-IR"/>
              </w:rPr>
            </w:pPr>
            <w:r>
              <w:rPr>
                <w:lang w:bidi="fa-IR"/>
              </w:rPr>
              <w:t>The causes of the discharge barrier included the following causes that are directly related to the accessibility of the dwelling, including:</w:t>
            </w:r>
          </w:p>
          <w:p w14:paraId="5FDA0A24" w14:textId="77777777" w:rsidR="00ED748D" w:rsidRDefault="00ED748D" w:rsidP="002B23FD">
            <w:pPr>
              <w:pStyle w:val="TableListBullet2"/>
              <w:rPr>
                <w:lang w:bidi="fa-IR"/>
              </w:rPr>
            </w:pPr>
            <w:r>
              <w:rPr>
                <w:lang w:bidi="fa-IR"/>
              </w:rPr>
              <w:t>Accommodation (patient has no available suitable accommodation options), which accounted for 9.1 per cent of all additional unnecessary days in hospital</w:t>
            </w:r>
            <w:r w:rsidR="000542CC">
              <w:rPr>
                <w:lang w:bidi="fa-IR"/>
              </w:rPr>
              <w:t>.</w:t>
            </w:r>
          </w:p>
          <w:p w14:paraId="4AC3F24D" w14:textId="77777777" w:rsidR="00ED748D" w:rsidRDefault="00ED748D" w:rsidP="002B23FD">
            <w:pPr>
              <w:pStyle w:val="TableListBullet2"/>
              <w:rPr>
                <w:lang w:bidi="fa-IR"/>
              </w:rPr>
            </w:pPr>
            <w:r>
              <w:rPr>
                <w:lang w:bidi="fa-IR"/>
              </w:rPr>
              <w:t>Home modifications (patient waiting for home modifications that are essential to ensure safe access and care at home after discharge), which account for 22.6 per cent of all additional unnecessary days in hospital.</w:t>
            </w:r>
          </w:p>
        </w:tc>
      </w:tr>
      <w:tr w:rsidR="00ED748D" w14:paraId="29D8FDB8" w14:textId="77777777" w:rsidTr="002B23FD">
        <w:tc>
          <w:tcPr>
            <w:tcW w:w="15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D29B04" w14:textId="77777777" w:rsidR="00ED748D" w:rsidRDefault="00ED748D" w:rsidP="002B23FD">
            <w:pPr>
              <w:pStyle w:val="TableTextEntries"/>
              <w:rPr>
                <w:lang w:bidi="fa-IR"/>
              </w:rPr>
            </w:pPr>
            <w:r>
              <w:rPr>
                <w:lang w:bidi="fa-IR"/>
              </w:rPr>
              <w:t>Salonga</w:t>
            </w:r>
            <w:r>
              <w:rPr>
                <w:lang w:bidi="fa-IR"/>
              </w:rPr>
              <w:noBreakHyphen/>
              <w:t>Reyes and Scott (2016)</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91E73C" w14:textId="77777777" w:rsidR="00ED748D" w:rsidRDefault="00ED748D" w:rsidP="002B23FD">
            <w:pPr>
              <w:pStyle w:val="TableTextEntries"/>
              <w:rPr>
                <w:lang w:bidi="fa-IR"/>
              </w:rPr>
            </w:pPr>
            <w:r>
              <w:rPr>
                <w:lang w:bidi="fa-IR"/>
              </w:rPr>
              <w:t>Sample of 406 patients admitted</w:t>
            </w:r>
            <w:r w:rsidR="002A43BC">
              <w:rPr>
                <w:lang w:bidi="fa-IR"/>
              </w:rPr>
              <w:t xml:space="preserve"> into</w:t>
            </w:r>
            <w:r>
              <w:rPr>
                <w:lang w:bidi="fa-IR"/>
              </w:rPr>
              <w:t xml:space="preserve"> non</w:t>
            </w:r>
            <w:r>
              <w:rPr>
                <w:lang w:bidi="fa-IR"/>
              </w:rPr>
              <w:noBreakHyphen/>
              <w:t xml:space="preserve">acute </w:t>
            </w:r>
            <w:r w:rsidRPr="00FD72F1">
              <w:rPr>
                <w:rFonts w:ascii="Franklin Gothic Demi" w:hAnsi="Franklin Gothic Demi"/>
                <w:bCs/>
                <w:lang w:bidi="fa-IR"/>
              </w:rPr>
              <w:t>maintenance</w:t>
            </w:r>
            <w:r>
              <w:rPr>
                <w:lang w:bidi="fa-IR"/>
              </w:rPr>
              <w:t xml:space="preserve"> care in a tertiary hospital in Brisbane was used to examine causes and effects of discharge delays.</w:t>
            </w:r>
          </w:p>
        </w:tc>
        <w:tc>
          <w:tcPr>
            <w:tcW w:w="42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60A92A" w14:textId="77777777" w:rsidR="00ED748D" w:rsidRDefault="00ED748D" w:rsidP="002B23FD">
            <w:pPr>
              <w:pStyle w:val="TableListBullet"/>
              <w:rPr>
                <w:lang w:bidi="fa-IR"/>
              </w:rPr>
            </w:pPr>
            <w:r>
              <w:rPr>
                <w:lang w:bidi="fa-IR"/>
              </w:rPr>
              <w:t>Delays accounted for 90 per cent of non</w:t>
            </w:r>
            <w:r>
              <w:rPr>
                <w:lang w:bidi="fa-IR"/>
              </w:rPr>
              <w:noBreakHyphen/>
              <w:t>acute occupied bed days.</w:t>
            </w:r>
          </w:p>
          <w:p w14:paraId="154664DC" w14:textId="77777777" w:rsidR="00ED748D" w:rsidRDefault="00ED748D" w:rsidP="002B23FD">
            <w:pPr>
              <w:pStyle w:val="TableListBullet"/>
              <w:rPr>
                <w:lang w:bidi="fa-IR"/>
              </w:rPr>
            </w:pPr>
            <w:r>
              <w:rPr>
                <w:lang w:bidi="fa-IR"/>
              </w:rPr>
              <w:t>Among the causes of delay most relevant to this RIS were:</w:t>
            </w:r>
          </w:p>
          <w:p w14:paraId="48981307" w14:textId="77777777" w:rsidR="00ED748D" w:rsidRDefault="00ED748D" w:rsidP="002B23FD">
            <w:pPr>
              <w:pStyle w:val="TableListBullet2"/>
              <w:rPr>
                <w:lang w:bidi="fa-IR"/>
              </w:rPr>
            </w:pPr>
            <w:r>
              <w:rPr>
                <w:lang w:bidi="fa-IR"/>
              </w:rPr>
              <w:t>Wait for beds in residential aged care facility (43.8 per cent of occupied bed days)</w:t>
            </w:r>
          </w:p>
          <w:p w14:paraId="0D1EDBD9" w14:textId="77777777" w:rsidR="00ED748D" w:rsidRDefault="00ED748D" w:rsidP="002B23FD">
            <w:pPr>
              <w:pStyle w:val="TableListBullet2"/>
              <w:rPr>
                <w:lang w:bidi="fa-IR"/>
              </w:rPr>
            </w:pPr>
            <w:r>
              <w:rPr>
                <w:lang w:bidi="fa-IR"/>
              </w:rPr>
              <w:t>Wait for delivery of home equipment (2.0 per cent of occupied bed days)</w:t>
            </w:r>
          </w:p>
          <w:p w14:paraId="73E4C150" w14:textId="77777777" w:rsidR="00ED748D" w:rsidRDefault="00ED748D" w:rsidP="002B23FD">
            <w:pPr>
              <w:pStyle w:val="TableListBullet2"/>
              <w:rPr>
                <w:lang w:bidi="fa-IR"/>
              </w:rPr>
            </w:pPr>
            <w:r>
              <w:rPr>
                <w:lang w:bidi="fa-IR"/>
              </w:rPr>
              <w:t>Wait for home modifications (0.5 per cent of occupied bed days)</w:t>
            </w:r>
          </w:p>
        </w:tc>
      </w:tr>
      <w:tr w:rsidR="00ED748D" w14:paraId="3D787132" w14:textId="77777777" w:rsidTr="002B23FD">
        <w:tc>
          <w:tcPr>
            <w:tcW w:w="1560" w:type="dxa"/>
            <w:tcBorders>
              <w:top w:val="single" w:sz="8" w:space="0" w:color="FFFFFF" w:themeColor="background1"/>
              <w:bottom w:val="single" w:sz="6" w:space="0" w:color="6F6652"/>
            </w:tcBorders>
            <w:shd w:val="clear" w:color="auto" w:fill="E9E8E5" w:themeFill="background2"/>
            <w:tcMar>
              <w:left w:w="57" w:type="dxa"/>
              <w:right w:w="57" w:type="dxa"/>
            </w:tcMar>
          </w:tcPr>
          <w:p w14:paraId="048A45CD" w14:textId="77777777" w:rsidR="00ED748D" w:rsidRDefault="00ED748D" w:rsidP="002B23FD">
            <w:pPr>
              <w:pStyle w:val="TableTextEntries"/>
              <w:rPr>
                <w:lang w:bidi="fa-IR"/>
              </w:rPr>
            </w:pPr>
            <w:r>
              <w:rPr>
                <w:lang w:bidi="fa-IR"/>
              </w:rPr>
              <w:t>Ou, Chen and Santiano (2009)</w:t>
            </w:r>
          </w:p>
        </w:tc>
        <w:tc>
          <w:tcPr>
            <w:tcW w:w="2126" w:type="dxa"/>
            <w:tcBorders>
              <w:top w:val="single" w:sz="8" w:space="0" w:color="FFFFFF" w:themeColor="background1"/>
              <w:bottom w:val="single" w:sz="6" w:space="0" w:color="6F6652"/>
            </w:tcBorders>
            <w:shd w:val="clear" w:color="auto" w:fill="E9E8E5" w:themeFill="background2"/>
            <w:tcMar>
              <w:left w:w="57" w:type="dxa"/>
              <w:right w:w="57" w:type="dxa"/>
            </w:tcMar>
          </w:tcPr>
          <w:p w14:paraId="47A487AA" w14:textId="77777777" w:rsidR="00ED748D" w:rsidRDefault="00ED748D" w:rsidP="002B23FD">
            <w:pPr>
              <w:pStyle w:val="TableTextEntries"/>
              <w:rPr>
                <w:lang w:bidi="fa-IR"/>
              </w:rPr>
            </w:pPr>
            <w:r>
              <w:rPr>
                <w:lang w:bidi="fa-IR"/>
              </w:rPr>
              <w:t xml:space="preserve">A sample of 1958 in a tertiary referral hospital in NSW was used to estimate the reasons and determinants of delay in </w:t>
            </w:r>
            <w:r w:rsidRPr="00FD72F1">
              <w:rPr>
                <w:rFonts w:ascii="Franklin Gothic Demi" w:hAnsi="Franklin Gothic Demi"/>
                <w:bCs/>
                <w:lang w:bidi="fa-IR"/>
              </w:rPr>
              <w:t>acute</w:t>
            </w:r>
            <w:r>
              <w:rPr>
                <w:lang w:bidi="fa-IR"/>
              </w:rPr>
              <w:t xml:space="preserve"> care general ward patients.</w:t>
            </w:r>
          </w:p>
        </w:tc>
        <w:tc>
          <w:tcPr>
            <w:tcW w:w="4251" w:type="dxa"/>
            <w:tcBorders>
              <w:top w:val="single" w:sz="8" w:space="0" w:color="FFFFFF" w:themeColor="background1"/>
              <w:bottom w:val="single" w:sz="6" w:space="0" w:color="6F6652"/>
            </w:tcBorders>
            <w:shd w:val="clear" w:color="auto" w:fill="E9E8E5" w:themeFill="background2"/>
            <w:tcMar>
              <w:left w:w="57" w:type="dxa"/>
              <w:right w:w="57" w:type="dxa"/>
            </w:tcMar>
          </w:tcPr>
          <w:p w14:paraId="0DF55575" w14:textId="77777777" w:rsidR="00ED748D" w:rsidRDefault="00ED748D" w:rsidP="002B23FD">
            <w:pPr>
              <w:pStyle w:val="TableTextEntries"/>
              <w:rPr>
                <w:lang w:bidi="fa-IR"/>
              </w:rPr>
            </w:pPr>
            <w:r>
              <w:rPr>
                <w:lang w:bidi="fa-IR"/>
              </w:rPr>
              <w:t>Causes listed were mostly not relevant to accessible housing. Identified causes most relevant included:</w:t>
            </w:r>
          </w:p>
          <w:p w14:paraId="17DC3509" w14:textId="77777777" w:rsidR="00ED748D" w:rsidRDefault="00ED748D" w:rsidP="002B23FD">
            <w:pPr>
              <w:pStyle w:val="TableListBullet"/>
              <w:rPr>
                <w:lang w:bidi="fa-IR"/>
              </w:rPr>
            </w:pPr>
            <w:r>
              <w:rPr>
                <w:lang w:bidi="fa-IR"/>
              </w:rPr>
              <w:t>Post</w:t>
            </w:r>
            <w:r>
              <w:rPr>
                <w:lang w:bidi="fa-IR"/>
              </w:rPr>
              <w:noBreakHyphen/>
              <w:t>hospital problem (8.2 per cent), including:</w:t>
            </w:r>
          </w:p>
          <w:p w14:paraId="75EB5157" w14:textId="77777777" w:rsidR="00ED748D" w:rsidRDefault="00ED748D" w:rsidP="002B23FD">
            <w:pPr>
              <w:pStyle w:val="TableListBullet2"/>
              <w:rPr>
                <w:lang w:bidi="fa-IR"/>
              </w:rPr>
            </w:pPr>
            <w:r>
              <w:rPr>
                <w:lang w:bidi="fa-IR"/>
              </w:rPr>
              <w:t>Awaiting equipment (1.1 per cent)</w:t>
            </w:r>
          </w:p>
          <w:p w14:paraId="5F9C63D9" w14:textId="77777777" w:rsidR="00ED748D" w:rsidRDefault="00ED748D" w:rsidP="002B23FD">
            <w:pPr>
              <w:pStyle w:val="TableListBullet2"/>
              <w:rPr>
                <w:lang w:bidi="fa-IR"/>
              </w:rPr>
            </w:pPr>
            <w:r>
              <w:rPr>
                <w:lang w:bidi="fa-IR"/>
              </w:rPr>
              <w:t>Lack of carer support (3.0 per cent)</w:t>
            </w:r>
          </w:p>
          <w:p w14:paraId="0DAF75BE" w14:textId="77777777" w:rsidR="00ED748D" w:rsidRDefault="00ED748D" w:rsidP="002B23FD">
            <w:pPr>
              <w:pStyle w:val="TableListBullet2"/>
              <w:rPr>
                <w:lang w:bidi="fa-IR"/>
              </w:rPr>
            </w:pPr>
            <w:r>
              <w:rPr>
                <w:lang w:bidi="fa-IR"/>
              </w:rPr>
              <w:t>Awaiting community nursing (0.8 per cent)</w:t>
            </w:r>
          </w:p>
          <w:p w14:paraId="1F44C1CF" w14:textId="77777777" w:rsidR="00ED748D" w:rsidRDefault="00ED748D" w:rsidP="002B23FD">
            <w:pPr>
              <w:pStyle w:val="TableListBullet2"/>
              <w:rPr>
                <w:lang w:bidi="fa-IR"/>
              </w:rPr>
            </w:pPr>
            <w:r>
              <w:rPr>
                <w:lang w:bidi="fa-IR"/>
              </w:rPr>
              <w:t>Awaiting allied health (4.0 per cent)</w:t>
            </w:r>
          </w:p>
          <w:p w14:paraId="2BCBD620" w14:textId="77777777" w:rsidR="00ED748D" w:rsidRDefault="00ED748D" w:rsidP="002B23FD">
            <w:pPr>
              <w:pStyle w:val="TableListBullet"/>
              <w:rPr>
                <w:lang w:bidi="fa-IR"/>
              </w:rPr>
            </w:pPr>
            <w:r>
              <w:rPr>
                <w:lang w:bidi="fa-IR"/>
              </w:rPr>
              <w:t>Alternative care problems (4.3 per cent), including:</w:t>
            </w:r>
          </w:p>
          <w:p w14:paraId="45E25EBE" w14:textId="77777777" w:rsidR="00ED748D" w:rsidRDefault="00ED748D" w:rsidP="002B23FD">
            <w:pPr>
              <w:pStyle w:val="TableListBullet2"/>
              <w:rPr>
                <w:lang w:bidi="fa-IR"/>
              </w:rPr>
            </w:pPr>
            <w:r>
              <w:rPr>
                <w:lang w:bidi="fa-IR"/>
              </w:rPr>
              <w:t>Awaiting rehabilitation placement (2.5 per cent)</w:t>
            </w:r>
          </w:p>
          <w:p w14:paraId="1859860D" w14:textId="77777777" w:rsidR="00ED748D" w:rsidRDefault="00ED748D" w:rsidP="002B23FD">
            <w:pPr>
              <w:pStyle w:val="TableListBullet2"/>
              <w:rPr>
                <w:lang w:bidi="fa-IR"/>
              </w:rPr>
            </w:pPr>
            <w:r>
              <w:rPr>
                <w:lang w:bidi="fa-IR"/>
              </w:rPr>
              <w:t>Awaiting respite care (2.1 per cent).</w:t>
            </w:r>
          </w:p>
        </w:tc>
      </w:tr>
    </w:tbl>
    <w:p w14:paraId="509B6826" w14:textId="77777777" w:rsidR="00ED748D" w:rsidRPr="00280175" w:rsidRDefault="00ED748D" w:rsidP="00ED748D">
      <w:pPr>
        <w:pStyle w:val="Source"/>
        <w:rPr>
          <w:iCs/>
          <w:lang w:bidi="fa-IR"/>
        </w:rPr>
      </w:pPr>
      <w:r w:rsidRPr="00280175">
        <w:rPr>
          <w:iCs/>
          <w:lang w:bidi="fa-IR"/>
        </w:rPr>
        <w:t xml:space="preserve">Source: New, P.W. Jolley, D.J. Cameron, P.A. Olver, J.H. and Stoelwinder, J.U. </w:t>
      </w:r>
      <w:r w:rsidRPr="00280175">
        <w:rPr>
          <w:iCs/>
          <w:lang w:val="en-US"/>
        </w:rPr>
        <w:t>2013, A prospective multicenter study to discharge from inpatient rehabilitations, Medical Journal of Australia, 198 (2), pp. 104</w:t>
      </w:r>
      <w:r w:rsidRPr="00280175">
        <w:rPr>
          <w:iCs/>
          <w:lang w:val="en-US"/>
        </w:rPr>
        <w:noBreakHyphen/>
        <w:t>108; Salonga</w:t>
      </w:r>
      <w:r w:rsidRPr="00280175">
        <w:rPr>
          <w:iCs/>
          <w:lang w:val="en-US"/>
        </w:rPr>
        <w:noBreakHyphen/>
        <w:t>Reyes, A. Scott, I.A. 2017, Stranded: causes and effects of discharge delays involving non</w:t>
      </w:r>
      <w:r w:rsidRPr="00280175">
        <w:rPr>
          <w:iCs/>
          <w:lang w:val="en-US"/>
        </w:rPr>
        <w:noBreakHyphen/>
        <w:t>acute in</w:t>
      </w:r>
      <w:r w:rsidRPr="00280175">
        <w:rPr>
          <w:iCs/>
          <w:lang w:val="en-US"/>
        </w:rPr>
        <w:noBreakHyphen/>
        <w:t>patients requiring maintenance care in a tertiary hospital general medicine service, Australian Health Review, 41, CSIRO Publishing, pp. 54</w:t>
      </w:r>
      <w:r w:rsidRPr="00280175">
        <w:rPr>
          <w:iCs/>
          <w:lang w:val="en-US"/>
        </w:rPr>
        <w:noBreakHyphen/>
        <w:t>62; Ou, L. Chen, J. and Santiano, N. 2009, Discharge delays in acute care: Reasons and determinants of delay in general ward patients, Australian Health Review, August 2009, Vol 33 No. 3, pp. 513</w:t>
      </w:r>
      <w:r w:rsidRPr="00280175">
        <w:rPr>
          <w:iCs/>
          <w:lang w:val="en-US"/>
        </w:rPr>
        <w:noBreakHyphen/>
        <w:t>521.</w:t>
      </w:r>
    </w:p>
    <w:p w14:paraId="74F7639A" w14:textId="77777777" w:rsidR="00ED748D" w:rsidRDefault="00ED748D" w:rsidP="00ED748D">
      <w:pPr>
        <w:pStyle w:val="BodyText"/>
        <w:rPr>
          <w:lang w:bidi="fa-IR"/>
        </w:rPr>
      </w:pPr>
      <w:r>
        <w:rPr>
          <w:lang w:bidi="fa-IR"/>
        </w:rPr>
        <w:t>From this limited Australian evidence base, the following inferences</w:t>
      </w:r>
      <w:r w:rsidR="00526DF5">
        <w:rPr>
          <w:lang w:bidi="fa-IR"/>
        </w:rPr>
        <w:t xml:space="preserve"> are drawn</w:t>
      </w:r>
      <w:r>
        <w:rPr>
          <w:lang w:bidi="fa-IR"/>
        </w:rPr>
        <w:t>.</w:t>
      </w:r>
    </w:p>
    <w:p w14:paraId="51B4F711" w14:textId="77777777" w:rsidR="00ED748D" w:rsidRDefault="00ED748D" w:rsidP="00ED748D">
      <w:pPr>
        <w:pStyle w:val="ListBullet"/>
        <w:numPr>
          <w:ilvl w:val="0"/>
          <w:numId w:val="16"/>
        </w:numPr>
        <w:rPr>
          <w:lang w:bidi="fa-IR"/>
        </w:rPr>
      </w:pPr>
      <w:r>
        <w:rPr>
          <w:lang w:bidi="fa-IR"/>
        </w:rPr>
        <w:t xml:space="preserve">Around 6.7 per cent of bed days in </w:t>
      </w:r>
      <w:r w:rsidRPr="005F6C3B">
        <w:rPr>
          <w:b/>
          <w:bCs/>
          <w:lang w:bidi="fa-IR"/>
        </w:rPr>
        <w:t>rehabilitation</w:t>
      </w:r>
      <w:r>
        <w:rPr>
          <w:lang w:bidi="fa-IR"/>
        </w:rPr>
        <w:t xml:space="preserve"> care (see box </w:t>
      </w:r>
      <w:r w:rsidR="00C51B33">
        <w:rPr>
          <w:lang w:bidi="fa-IR"/>
        </w:rPr>
        <w:t>F</w:t>
      </w:r>
      <w:r>
        <w:rPr>
          <w:lang w:bidi="fa-IR"/>
        </w:rPr>
        <w:t>.2 for definitions) can potentially be attributed to a lack of accessible housing, based on the following findings from New et. al. (2013):</w:t>
      </w:r>
    </w:p>
    <w:p w14:paraId="26772536" w14:textId="77777777" w:rsidR="00ED748D" w:rsidRDefault="00ED748D" w:rsidP="00ED748D">
      <w:pPr>
        <w:pStyle w:val="ListBullet2"/>
        <w:numPr>
          <w:ilvl w:val="1"/>
          <w:numId w:val="16"/>
        </w:numPr>
        <w:ind w:left="568" w:hanging="284"/>
        <w:rPr>
          <w:lang w:bidi="fa-IR"/>
        </w:rPr>
      </w:pPr>
      <w:r>
        <w:rPr>
          <w:lang w:bidi="fa-IR"/>
        </w:rPr>
        <w:t>Over 21 per cent of all bed days were occupied by patients deemed to have a discharge barrier.</w:t>
      </w:r>
    </w:p>
    <w:p w14:paraId="43DB60E2" w14:textId="77777777" w:rsidR="00ED748D" w:rsidRDefault="00ED748D" w:rsidP="00ED748D">
      <w:pPr>
        <w:pStyle w:val="ListBullet2"/>
        <w:numPr>
          <w:ilvl w:val="1"/>
          <w:numId w:val="16"/>
        </w:numPr>
        <w:ind w:left="568" w:hanging="284"/>
        <w:rPr>
          <w:lang w:bidi="fa-IR"/>
        </w:rPr>
      </w:pPr>
      <w:r>
        <w:rPr>
          <w:lang w:bidi="fa-IR"/>
        </w:rPr>
        <w:t>Together, accommodation (patient has no available suitable accommodation options) and home modifications (patient waiting for home modifications that are essential to ensure safe access and care at home after discharge) account for 31.7 per cent of additional/unnecessary bed days.</w:t>
      </w:r>
      <w:r>
        <w:rPr>
          <w:rStyle w:val="FootnoteReference"/>
          <w:lang w:bidi="fa-IR"/>
        </w:rPr>
        <w:footnoteReference w:id="487"/>
      </w:r>
    </w:p>
    <w:p w14:paraId="522096E4" w14:textId="77777777" w:rsidR="00ED748D" w:rsidRDefault="00ED748D" w:rsidP="00ED748D">
      <w:pPr>
        <w:pStyle w:val="ListBullet"/>
        <w:numPr>
          <w:ilvl w:val="0"/>
          <w:numId w:val="16"/>
        </w:numPr>
        <w:rPr>
          <w:lang w:bidi="fa-IR"/>
        </w:rPr>
      </w:pPr>
      <w:r>
        <w:rPr>
          <w:lang w:bidi="fa-IR"/>
        </w:rPr>
        <w:t>Around 1.8 per cent occupied bed days in maintenance care can potentially be attributed to a lack of accessible housing, based on the following findings from Salonga</w:t>
      </w:r>
      <w:r>
        <w:rPr>
          <w:lang w:bidi="fa-IR"/>
        </w:rPr>
        <w:noBreakHyphen/>
        <w:t>Reyes and Scott (2017).</w:t>
      </w:r>
    </w:p>
    <w:p w14:paraId="47498C08" w14:textId="77777777" w:rsidR="00ED748D" w:rsidRDefault="00ED748D" w:rsidP="00ED748D">
      <w:pPr>
        <w:pStyle w:val="ListBullet2"/>
        <w:numPr>
          <w:ilvl w:val="1"/>
          <w:numId w:val="16"/>
        </w:numPr>
        <w:ind w:left="568" w:hanging="284"/>
        <w:rPr>
          <w:lang w:bidi="fa-IR"/>
        </w:rPr>
      </w:pPr>
      <w:r>
        <w:rPr>
          <w:lang w:bidi="fa-IR"/>
        </w:rPr>
        <w:t>90 per cent of bed days in maintenance care are due to discharge delays.</w:t>
      </w:r>
    </w:p>
    <w:p w14:paraId="6B8DFBA0" w14:textId="77777777" w:rsidR="00ED748D" w:rsidRPr="006723B9" w:rsidRDefault="00ED748D" w:rsidP="00ED748D">
      <w:pPr>
        <w:pStyle w:val="ListBullet2"/>
        <w:numPr>
          <w:ilvl w:val="1"/>
          <w:numId w:val="16"/>
        </w:numPr>
        <w:ind w:left="568" w:hanging="284"/>
        <w:rPr>
          <w:lang w:bidi="fa-IR"/>
        </w:rPr>
      </w:pPr>
      <w:r w:rsidRPr="006723B9">
        <w:rPr>
          <w:lang w:bidi="fa-IR"/>
        </w:rPr>
        <w:t>2.0 per cent of delays were due to waiting for home modifications.</w:t>
      </w:r>
    </w:p>
    <w:p w14:paraId="40FB1878" w14:textId="77777777" w:rsidR="00ED748D" w:rsidRDefault="00526DF5" w:rsidP="00ED748D">
      <w:pPr>
        <w:pStyle w:val="ListBullet"/>
        <w:numPr>
          <w:ilvl w:val="0"/>
          <w:numId w:val="16"/>
        </w:numPr>
        <w:rPr>
          <w:lang w:bidi="fa-IR"/>
        </w:rPr>
      </w:pPr>
      <w:r>
        <w:rPr>
          <w:lang w:bidi="fa-IR"/>
        </w:rPr>
        <w:t>CIE</w:t>
      </w:r>
      <w:r w:rsidR="00ED748D">
        <w:rPr>
          <w:lang w:bidi="fa-IR"/>
        </w:rPr>
        <w:t xml:space="preserve"> did not identify any reliable evidence to suggest that housing issues are delaying discharge from hospital acute care.</w:t>
      </w:r>
      <w:r w:rsidR="00ED748D">
        <w:rPr>
          <w:rStyle w:val="FootnoteReference"/>
          <w:lang w:bidi="fa-IR"/>
        </w:rPr>
        <w:footnoteReference w:id="488"/>
      </w:r>
    </w:p>
    <w:p w14:paraId="7BE68A6F" w14:textId="77777777" w:rsidR="00ED748D" w:rsidRDefault="00ED748D" w:rsidP="00ED748D">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Table F.2: Relevant types of care"/>
        <w:tblDescription w:val="A list of the types of care and how they are defined. The main categories are acute care, subacute care, non-acute care (maintenance care) and transition care."/>
      </w:tblPr>
      <w:tblGrid>
        <w:gridCol w:w="7938"/>
      </w:tblGrid>
      <w:tr w:rsidR="00ED748D" w:rsidRPr="00E05C8C" w14:paraId="4A15008D" w14:textId="77777777" w:rsidTr="00FD72F1">
        <w:trPr>
          <w:cantSplit/>
        </w:trPr>
        <w:tc>
          <w:tcPr>
            <w:tcW w:w="7938" w:type="dxa"/>
            <w:tcBorders>
              <w:top w:val="nil"/>
              <w:left w:val="nil"/>
              <w:bottom w:val="nil"/>
              <w:right w:val="nil"/>
            </w:tcBorders>
            <w:shd w:val="clear" w:color="auto" w:fill="C6BFAB" w:themeFill="accent3"/>
          </w:tcPr>
          <w:p w14:paraId="5659B22B" w14:textId="553C61AB" w:rsidR="00ED748D" w:rsidRPr="00E05C8C" w:rsidRDefault="00B27E24" w:rsidP="002B23FD">
            <w:pPr>
              <w:pStyle w:val="Caption"/>
              <w:numPr>
                <w:ilvl w:val="0"/>
                <w:numId w:val="13"/>
              </w:numPr>
              <w:spacing w:before="120" w:after="100"/>
            </w:pPr>
            <w:bookmarkStart w:id="760" w:name="_Toc44598587"/>
            <w:bookmarkStart w:id="761" w:name="_Toc44695959"/>
            <w:bookmarkStart w:id="762" w:name="_Toc57643693"/>
            <w:bookmarkStart w:id="763" w:name="_Toc70505647"/>
            <w:r>
              <w:t>F.2</w:t>
            </w:r>
            <w:r w:rsidR="00ED748D" w:rsidRPr="00E05C8C">
              <w:tab/>
            </w:r>
            <w:r w:rsidR="00ED748D">
              <w:t>Relevant types of care</w:t>
            </w:r>
            <w:bookmarkEnd w:id="760"/>
            <w:bookmarkEnd w:id="761"/>
            <w:bookmarkEnd w:id="762"/>
            <w:bookmarkEnd w:id="763"/>
          </w:p>
        </w:tc>
      </w:tr>
      <w:tr w:rsidR="00ED748D" w14:paraId="6002DF8B" w14:textId="77777777" w:rsidTr="00FD72F1">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22C2EE67" w14:textId="77777777" w:rsidR="00ED748D" w:rsidRDefault="00ED748D" w:rsidP="00ED748D">
            <w:pPr>
              <w:pStyle w:val="ListBullet"/>
              <w:numPr>
                <w:ilvl w:val="0"/>
                <w:numId w:val="16"/>
              </w:numPr>
            </w:pPr>
            <w:r w:rsidRPr="003B6F2D">
              <w:rPr>
                <w:b/>
                <w:bCs/>
              </w:rPr>
              <w:t>Acute care</w:t>
            </w:r>
            <w:r>
              <w:t xml:space="preserve"> — care in which the intent is to perform surgery, diagnostic or therapeutic procedures in the treatment of illness or injury.</w:t>
            </w:r>
            <w:r>
              <w:rPr>
                <w:rStyle w:val="FootnoteReference"/>
              </w:rPr>
              <w:footnoteReference w:id="489"/>
            </w:r>
          </w:p>
          <w:p w14:paraId="2B409C58" w14:textId="77777777" w:rsidR="00ED748D" w:rsidRDefault="00ED748D" w:rsidP="00ED748D">
            <w:pPr>
              <w:pStyle w:val="ListBullet"/>
              <w:numPr>
                <w:ilvl w:val="0"/>
                <w:numId w:val="16"/>
              </w:numPr>
            </w:pPr>
            <w:r w:rsidRPr="003B6F2D">
              <w:rPr>
                <w:b/>
                <w:bCs/>
              </w:rPr>
              <w:t>Sub</w:t>
            </w:r>
            <w:r w:rsidR="00300235">
              <w:rPr>
                <w:b/>
                <w:bCs/>
              </w:rPr>
              <w:t>-</w:t>
            </w:r>
            <w:r w:rsidRPr="003B6F2D">
              <w:rPr>
                <w:b/>
                <w:bCs/>
              </w:rPr>
              <w:t>acute care</w:t>
            </w:r>
            <w:r>
              <w:t xml:space="preserve"> — specialised multidisciplinary hospital</w:t>
            </w:r>
            <w:r>
              <w:noBreakHyphen/>
              <w:t xml:space="preserve">based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and/or participation restriction </w:t>
            </w:r>
            <w:r w:rsidR="002A43BC">
              <w:t xml:space="preserve">and </w:t>
            </w:r>
            <w:r>
              <w:t>comprises the following care types:</w:t>
            </w:r>
            <w:r>
              <w:rPr>
                <w:rStyle w:val="FootnoteReference"/>
              </w:rPr>
              <w:footnoteReference w:id="490"/>
            </w:r>
          </w:p>
          <w:p w14:paraId="68BA94E9" w14:textId="77777777" w:rsidR="00ED748D" w:rsidRDefault="00ED748D" w:rsidP="00ED748D">
            <w:pPr>
              <w:pStyle w:val="ListBullet2"/>
              <w:numPr>
                <w:ilvl w:val="1"/>
                <w:numId w:val="16"/>
              </w:numPr>
              <w:ind w:left="568" w:hanging="284"/>
            </w:pPr>
            <w:r w:rsidRPr="003B6F2D">
              <w:rPr>
                <w:b/>
                <w:bCs/>
              </w:rPr>
              <w:t>Rehabilitation care</w:t>
            </w:r>
            <w:r>
              <w:t xml:space="preserve"> </w:t>
            </w:r>
            <w:r>
              <w:rPr>
                <w:lang w:val="en-GB" w:eastAsia="en-GB"/>
              </w:rPr>
              <w:t>—</w:t>
            </w:r>
            <w:r w:rsidRPr="006021A0">
              <w:rPr>
                <w:lang w:val="en-GB" w:eastAsia="en-GB"/>
              </w:rPr>
              <w:t xml:space="preserve"> </w:t>
            </w:r>
            <w:r>
              <w:rPr>
                <w:lang w:val="en-GB" w:eastAsia="en-GB"/>
              </w:rPr>
              <w:t xml:space="preserve">care to </w:t>
            </w:r>
            <w:r w:rsidRPr="006021A0">
              <w:rPr>
                <w:lang w:val="en-GB" w:eastAsia="en-GB"/>
              </w:rPr>
              <w:t>improve the functioning of a patient with an impairment, activity limitation or participation restriction due to a health condition.</w:t>
            </w:r>
          </w:p>
          <w:p w14:paraId="58EFB0A5" w14:textId="77777777" w:rsidR="00ED748D" w:rsidRPr="006021A0" w:rsidRDefault="00ED748D" w:rsidP="00ED748D">
            <w:pPr>
              <w:pStyle w:val="ListBullet2"/>
              <w:numPr>
                <w:ilvl w:val="1"/>
                <w:numId w:val="16"/>
              </w:numPr>
              <w:ind w:left="568" w:hanging="284"/>
              <w:rPr>
                <w:lang w:val="en-GB" w:eastAsia="en-GB"/>
              </w:rPr>
            </w:pPr>
            <w:r w:rsidRPr="003B6F2D">
              <w:rPr>
                <w:b/>
                <w:bCs/>
              </w:rPr>
              <w:t>Palliative care</w:t>
            </w:r>
            <w:r>
              <w:t xml:space="preserve"> — </w:t>
            </w:r>
            <w:r>
              <w:rPr>
                <w:lang w:val="en-GB" w:eastAsia="en-GB"/>
              </w:rPr>
              <w:t>care to</w:t>
            </w:r>
            <w:r w:rsidRPr="006021A0">
              <w:rPr>
                <w:lang w:val="en-GB" w:eastAsia="en-GB"/>
              </w:rPr>
              <w:t xml:space="preserve"> optimis</w:t>
            </w:r>
            <w:r>
              <w:rPr>
                <w:lang w:val="en-GB" w:eastAsia="en-GB"/>
              </w:rPr>
              <w:t>e</w:t>
            </w:r>
            <w:r w:rsidRPr="006021A0">
              <w:rPr>
                <w:lang w:val="en-GB" w:eastAsia="en-GB"/>
              </w:rPr>
              <w:t xml:space="preserve"> the quality of life of a patient with an active and advanced life-limiting illness.</w:t>
            </w:r>
          </w:p>
          <w:p w14:paraId="7E588966" w14:textId="77777777" w:rsidR="00ED748D" w:rsidRDefault="00ED748D" w:rsidP="00ED748D">
            <w:pPr>
              <w:pStyle w:val="ListBullet2"/>
              <w:numPr>
                <w:ilvl w:val="1"/>
                <w:numId w:val="16"/>
              </w:numPr>
              <w:ind w:left="568" w:hanging="284"/>
            </w:pPr>
            <w:r w:rsidRPr="003B6F2D">
              <w:rPr>
                <w:b/>
                <w:bCs/>
              </w:rPr>
              <w:t>Geriatric evaluation and management care</w:t>
            </w:r>
            <w:r>
              <w:t xml:space="preserve"> — </w:t>
            </w:r>
            <w:r w:rsidRPr="006021A0">
              <w:rPr>
                <w:lang w:val="en-GB" w:eastAsia="en-GB"/>
              </w:rPr>
              <w:t xml:space="preserve">care </w:t>
            </w:r>
            <w:r>
              <w:rPr>
                <w:lang w:val="en-GB" w:eastAsia="en-GB"/>
              </w:rPr>
              <w:t>to</w:t>
            </w:r>
            <w:r w:rsidRPr="006021A0">
              <w:rPr>
                <w:lang w:val="en-GB" w:eastAsia="en-GB"/>
              </w:rPr>
              <w:t xml:space="preserve"> improve</w:t>
            </w:r>
            <w:r>
              <w:rPr>
                <w:lang w:val="en-GB" w:eastAsia="en-GB"/>
              </w:rPr>
              <w:t xml:space="preserve"> </w:t>
            </w:r>
            <w:r w:rsidRPr="006021A0">
              <w:rPr>
                <w:lang w:val="en-GB" w:eastAsia="en-GB"/>
              </w:rPr>
              <w:t>the functioning of a patient with multi-dimensional needs, associated with age related medical conditions. Some examples of conditions in GEM care patients include a tendency to fall, incontinence, reduced mobility and cognitive impairment. The patient may also have complex psychosocial problems.</w:t>
            </w:r>
          </w:p>
          <w:p w14:paraId="259BF7A1" w14:textId="77777777" w:rsidR="00ED748D" w:rsidRDefault="00ED748D" w:rsidP="00ED748D">
            <w:pPr>
              <w:pStyle w:val="ListBullet2"/>
              <w:numPr>
                <w:ilvl w:val="1"/>
                <w:numId w:val="16"/>
              </w:numPr>
              <w:ind w:left="568" w:hanging="284"/>
              <w:rPr>
                <w:lang w:val="en-GB" w:eastAsia="en-GB"/>
              </w:rPr>
            </w:pPr>
            <w:r w:rsidRPr="003B6F2D">
              <w:rPr>
                <w:b/>
                <w:bCs/>
              </w:rPr>
              <w:t>P</w:t>
            </w:r>
            <w:r>
              <w:rPr>
                <w:b/>
                <w:bCs/>
              </w:rPr>
              <w:t>s</w:t>
            </w:r>
            <w:r w:rsidRPr="003B6F2D">
              <w:rPr>
                <w:b/>
                <w:bCs/>
              </w:rPr>
              <w:t>ychogeriatric care</w:t>
            </w:r>
            <w:r>
              <w:t xml:space="preserve"> — </w:t>
            </w:r>
            <w:r w:rsidRPr="006021A0">
              <w:rPr>
                <w:lang w:val="en-GB" w:eastAsia="en-GB"/>
              </w:rPr>
              <w:t xml:space="preserve">care </w:t>
            </w:r>
            <w:r>
              <w:rPr>
                <w:lang w:val="en-GB" w:eastAsia="en-GB"/>
              </w:rPr>
              <w:t>to</w:t>
            </w:r>
            <w:r w:rsidRPr="006021A0">
              <w:rPr>
                <w:lang w:val="en-GB" w:eastAsia="en-GB"/>
              </w:rPr>
              <w:t xml:space="preserve"> improve</w:t>
            </w:r>
            <w:r>
              <w:rPr>
                <w:lang w:val="en-GB" w:eastAsia="en-GB"/>
              </w:rPr>
              <w:t xml:space="preserve"> </w:t>
            </w:r>
            <w:r w:rsidRPr="006021A0">
              <w:rPr>
                <w:lang w:val="en-GB" w:eastAsia="en-GB"/>
              </w:rPr>
              <w:t>the functional status, behaviour and/or quality of life for an older patient with significant psychiatric or behavioural disturbance. The disturbance is caused by mental illness, age related organic brain impairment or a physical condition.</w:t>
            </w:r>
          </w:p>
          <w:p w14:paraId="6B77B2C7" w14:textId="77777777" w:rsidR="00ED748D" w:rsidRPr="006021A0" w:rsidRDefault="00ED748D" w:rsidP="00ED748D">
            <w:pPr>
              <w:pStyle w:val="ListBullet"/>
              <w:numPr>
                <w:ilvl w:val="0"/>
                <w:numId w:val="16"/>
              </w:numPr>
            </w:pPr>
            <w:r w:rsidRPr="003B6F2D">
              <w:rPr>
                <w:b/>
                <w:bCs/>
              </w:rPr>
              <w:t>Non</w:t>
            </w:r>
            <w:r w:rsidRPr="003B6F2D">
              <w:rPr>
                <w:b/>
                <w:bCs/>
              </w:rPr>
              <w:noBreakHyphen/>
              <w:t>acute care (also referred to as maintenance care)</w:t>
            </w:r>
            <w:r>
              <w:t xml:space="preserve"> —</w:t>
            </w:r>
            <w:r w:rsidRPr="006021A0">
              <w:t xml:space="preserve"> </w:t>
            </w:r>
            <w:r>
              <w:t>hospital</w:t>
            </w:r>
            <w:r>
              <w:noBreakHyphen/>
              <w:t xml:space="preserve">based </w:t>
            </w:r>
            <w:r w:rsidRPr="006021A0">
              <w:t xml:space="preserve">care </w:t>
            </w:r>
            <w:r>
              <w:t>to</w:t>
            </w:r>
            <w:r w:rsidRPr="006021A0">
              <w:t xml:space="preserve"> support patient</w:t>
            </w:r>
            <w:r>
              <w:t>s</w:t>
            </w:r>
            <w:r w:rsidRPr="006021A0">
              <w:t xml:space="preserve"> with </w:t>
            </w:r>
            <w:r>
              <w:t xml:space="preserve">an </w:t>
            </w:r>
            <w:r w:rsidRPr="006021A0">
              <w:t>impairment, activity limitation or participation restriction due to a health condition.</w:t>
            </w:r>
          </w:p>
          <w:p w14:paraId="6A126D95" w14:textId="77777777" w:rsidR="00ED748D" w:rsidRPr="00BF2F67" w:rsidRDefault="00ED748D" w:rsidP="00FD72F1">
            <w:pPr>
              <w:pStyle w:val="ListBullet"/>
              <w:numPr>
                <w:ilvl w:val="0"/>
                <w:numId w:val="16"/>
              </w:numPr>
              <w:spacing w:before="120" w:after="120"/>
            </w:pPr>
            <w:r w:rsidRPr="003B6F2D">
              <w:rPr>
                <w:b/>
                <w:bCs/>
              </w:rPr>
              <w:t>Transition care</w:t>
            </w:r>
            <w:r>
              <w:t xml:space="preserve"> — </w:t>
            </w:r>
            <w:r w:rsidRPr="006021A0">
              <w:rPr>
                <w:lang w:val="en-GB" w:eastAsia="en-GB"/>
              </w:rPr>
              <w:t xml:space="preserve">care </w:t>
            </w:r>
            <w:r>
              <w:rPr>
                <w:lang w:val="en-GB" w:eastAsia="en-GB"/>
              </w:rPr>
              <w:t xml:space="preserve">to </w:t>
            </w:r>
            <w:r w:rsidRPr="006021A0">
              <w:rPr>
                <w:lang w:val="en-GB" w:eastAsia="en-GB"/>
              </w:rPr>
              <w:t xml:space="preserve">help </w:t>
            </w:r>
            <w:r>
              <w:rPr>
                <w:lang w:val="en-GB" w:eastAsia="en-GB"/>
              </w:rPr>
              <w:t>patients</w:t>
            </w:r>
            <w:r w:rsidRPr="006021A0">
              <w:rPr>
                <w:lang w:val="en-GB" w:eastAsia="en-GB"/>
              </w:rPr>
              <w:t xml:space="preserve"> recover after a hospital stay. It provides short-term specialised care and support to help </w:t>
            </w:r>
            <w:r>
              <w:rPr>
                <w:lang w:val="en-GB" w:eastAsia="en-GB"/>
              </w:rPr>
              <w:t xml:space="preserve">the patient </w:t>
            </w:r>
            <w:r w:rsidRPr="006021A0">
              <w:rPr>
                <w:lang w:val="en-GB" w:eastAsia="en-GB"/>
              </w:rPr>
              <w:t>regain functional independence and confidence sooner, and avoid the need for longer term care and support services.</w:t>
            </w:r>
            <w:r>
              <w:rPr>
                <w:lang w:val="en-GB" w:eastAsia="en-GB"/>
              </w:rPr>
              <w:t xml:space="preserve"> C</w:t>
            </w:r>
            <w:r w:rsidRPr="006021A0">
              <w:rPr>
                <w:lang w:val="en-GB" w:eastAsia="en-GB"/>
              </w:rPr>
              <w:t xml:space="preserve">are is tailored to </w:t>
            </w:r>
            <w:r>
              <w:rPr>
                <w:lang w:val="en-GB" w:eastAsia="en-GB"/>
              </w:rPr>
              <w:t>the patient’s specific</w:t>
            </w:r>
            <w:r w:rsidRPr="006021A0">
              <w:rPr>
                <w:lang w:val="en-GB" w:eastAsia="en-GB"/>
              </w:rPr>
              <w:t xml:space="preserve"> needs and goals, and </w:t>
            </w:r>
            <w:r>
              <w:rPr>
                <w:lang w:val="en-GB" w:eastAsia="en-GB"/>
              </w:rPr>
              <w:t>can be delivered</w:t>
            </w:r>
            <w:r w:rsidRPr="006021A0">
              <w:rPr>
                <w:lang w:val="en-GB" w:eastAsia="en-GB"/>
              </w:rPr>
              <w:t xml:space="preserve"> in an aged care home, </w:t>
            </w:r>
            <w:r>
              <w:rPr>
                <w:lang w:val="en-GB" w:eastAsia="en-GB"/>
              </w:rPr>
              <w:t>the patient’s</w:t>
            </w:r>
            <w:r w:rsidRPr="006021A0">
              <w:rPr>
                <w:lang w:val="en-GB" w:eastAsia="en-GB"/>
              </w:rPr>
              <w:t xml:space="preserve"> own home, out in the community, or a mix of these locations, as </w:t>
            </w:r>
            <w:r>
              <w:rPr>
                <w:lang w:val="en-GB" w:eastAsia="en-GB"/>
              </w:rPr>
              <w:t>the</w:t>
            </w:r>
            <w:r w:rsidRPr="006021A0">
              <w:rPr>
                <w:lang w:val="en-GB" w:eastAsia="en-GB"/>
              </w:rPr>
              <w:t xml:space="preserve"> needs change with your recovery.</w:t>
            </w:r>
            <w:r>
              <w:rPr>
                <w:rStyle w:val="FootnoteReference"/>
                <w:lang w:val="en-GB" w:eastAsia="en-GB"/>
              </w:rPr>
              <w:footnoteReference w:id="491"/>
            </w:r>
          </w:p>
        </w:tc>
      </w:tr>
    </w:tbl>
    <w:p w14:paraId="6946BF58" w14:textId="77777777" w:rsidR="002316DC" w:rsidRDefault="002316DC" w:rsidP="007F0CC0">
      <w:pPr>
        <w:pStyle w:val="SingleTxtG"/>
        <w:rPr>
          <w:lang w:bidi="fa-IR"/>
        </w:rPr>
      </w:pPr>
    </w:p>
    <w:p w14:paraId="5A2789BB" w14:textId="77777777" w:rsidR="00EF506D" w:rsidRDefault="002316DC" w:rsidP="00EF506D">
      <w:pPr>
        <w:spacing w:before="140"/>
        <w:rPr>
          <w:lang w:bidi="fa-IR"/>
        </w:rPr>
      </w:pPr>
      <w:r>
        <w:rPr>
          <w:lang w:bidi="fa-IR"/>
        </w:rPr>
        <w:br w:type="page"/>
      </w:r>
    </w:p>
    <w:p w14:paraId="39DBA0F4" w14:textId="77777777" w:rsidR="00ED748D" w:rsidRPr="004B79EC" w:rsidRDefault="00ED748D" w:rsidP="004B79EC">
      <w:pPr>
        <w:pStyle w:val="Heading2-Appendix"/>
      </w:pPr>
      <w:r w:rsidRPr="004B79EC">
        <w:t>Estimating the size of the problem</w:t>
      </w:r>
    </w:p>
    <w:p w14:paraId="39BA7833" w14:textId="77777777" w:rsidR="00ED748D" w:rsidRDefault="00ED748D" w:rsidP="00ED748D">
      <w:pPr>
        <w:pStyle w:val="BodyText"/>
        <w:rPr>
          <w:lang w:bidi="fa-IR"/>
        </w:rPr>
      </w:pPr>
      <w:r>
        <w:rPr>
          <w:lang w:bidi="fa-IR"/>
        </w:rPr>
        <w:t>To estimate the size of the problem, the following approach</w:t>
      </w:r>
      <w:r w:rsidR="00526DF5">
        <w:rPr>
          <w:lang w:bidi="fa-IR"/>
        </w:rPr>
        <w:t xml:space="preserve"> is used</w:t>
      </w:r>
      <w:r>
        <w:rPr>
          <w:lang w:bidi="fa-IR"/>
        </w:rPr>
        <w:t>.</w:t>
      </w:r>
    </w:p>
    <w:p w14:paraId="41A201E9" w14:textId="77777777" w:rsidR="00ED748D" w:rsidRDefault="00ED748D" w:rsidP="00ED748D">
      <w:pPr>
        <w:pStyle w:val="ListBullet"/>
        <w:numPr>
          <w:ilvl w:val="0"/>
          <w:numId w:val="16"/>
        </w:numPr>
        <w:rPr>
          <w:lang w:bidi="fa-IR"/>
        </w:rPr>
      </w:pPr>
      <w:r>
        <w:rPr>
          <w:lang w:bidi="fa-IR"/>
        </w:rPr>
        <w:t>Estimate the total cost of the relevant types of care. This includes:</w:t>
      </w:r>
    </w:p>
    <w:p w14:paraId="7F30291F" w14:textId="77777777" w:rsidR="00ED748D" w:rsidRDefault="00ED748D" w:rsidP="00ED748D">
      <w:pPr>
        <w:pStyle w:val="ListBullet2"/>
        <w:numPr>
          <w:ilvl w:val="1"/>
          <w:numId w:val="16"/>
        </w:numPr>
        <w:ind w:left="568" w:hanging="284"/>
        <w:rPr>
          <w:lang w:bidi="fa-IR"/>
        </w:rPr>
      </w:pPr>
      <w:r>
        <w:rPr>
          <w:lang w:bidi="fa-IR"/>
        </w:rPr>
        <w:t>Sub</w:t>
      </w:r>
      <w:r>
        <w:rPr>
          <w:lang w:bidi="fa-IR"/>
        </w:rPr>
        <w:noBreakHyphen/>
        <w:t>acute care (excluding palliative care)</w:t>
      </w:r>
    </w:p>
    <w:p w14:paraId="75A69686" w14:textId="77777777" w:rsidR="00ED748D" w:rsidRDefault="00ED748D" w:rsidP="00ED748D">
      <w:pPr>
        <w:pStyle w:val="ListBullet2"/>
        <w:numPr>
          <w:ilvl w:val="1"/>
          <w:numId w:val="16"/>
        </w:numPr>
        <w:ind w:left="568" w:hanging="284"/>
        <w:rPr>
          <w:lang w:bidi="fa-IR"/>
        </w:rPr>
      </w:pPr>
      <w:r>
        <w:rPr>
          <w:lang w:bidi="fa-IR"/>
        </w:rPr>
        <w:t>Non</w:t>
      </w:r>
      <w:r>
        <w:rPr>
          <w:lang w:bidi="fa-IR"/>
        </w:rPr>
        <w:noBreakHyphen/>
        <w:t>acute hospital care</w:t>
      </w:r>
    </w:p>
    <w:p w14:paraId="12E99415" w14:textId="77777777" w:rsidR="00ED748D" w:rsidRDefault="00ED748D" w:rsidP="00ED748D">
      <w:pPr>
        <w:pStyle w:val="ListBullet2"/>
        <w:numPr>
          <w:ilvl w:val="1"/>
          <w:numId w:val="16"/>
        </w:numPr>
        <w:ind w:left="568" w:hanging="284"/>
        <w:rPr>
          <w:lang w:bidi="fa-IR"/>
        </w:rPr>
      </w:pPr>
      <w:r>
        <w:rPr>
          <w:lang w:bidi="fa-IR"/>
        </w:rPr>
        <w:t>Transition care.</w:t>
      </w:r>
    </w:p>
    <w:p w14:paraId="25E2B7C8" w14:textId="77777777" w:rsidR="00ED748D" w:rsidRDefault="00526DF5" w:rsidP="00ED748D">
      <w:pPr>
        <w:pStyle w:val="ListBullet"/>
        <w:numPr>
          <w:ilvl w:val="0"/>
          <w:numId w:val="16"/>
        </w:numPr>
        <w:rPr>
          <w:lang w:bidi="fa-IR"/>
        </w:rPr>
      </w:pPr>
      <w:r>
        <w:rPr>
          <w:lang w:bidi="fa-IR"/>
        </w:rPr>
        <w:t xml:space="preserve">It is </w:t>
      </w:r>
      <w:r w:rsidR="00ED748D">
        <w:rPr>
          <w:lang w:bidi="fa-IR"/>
        </w:rPr>
        <w:t>then assume</w:t>
      </w:r>
      <w:r>
        <w:rPr>
          <w:lang w:bidi="fa-IR"/>
        </w:rPr>
        <w:t>d that</w:t>
      </w:r>
      <w:r w:rsidR="00ED748D">
        <w:rPr>
          <w:lang w:bidi="fa-IR"/>
        </w:rPr>
        <w:t xml:space="preserve"> the following proportion</w:t>
      </w:r>
      <w:r w:rsidR="001611D7">
        <w:rPr>
          <w:lang w:bidi="fa-IR"/>
        </w:rPr>
        <w:t>s</w:t>
      </w:r>
      <w:r w:rsidR="00ED748D">
        <w:rPr>
          <w:lang w:bidi="fa-IR"/>
        </w:rPr>
        <w:t xml:space="preserve"> of these costs can be attributed to the problem of a lack of accessible housing.</w:t>
      </w:r>
    </w:p>
    <w:p w14:paraId="05B13872" w14:textId="77777777" w:rsidR="00ED748D" w:rsidRDefault="00ED748D" w:rsidP="00ED748D">
      <w:pPr>
        <w:pStyle w:val="ListBullet2"/>
        <w:numPr>
          <w:ilvl w:val="1"/>
          <w:numId w:val="16"/>
        </w:numPr>
        <w:ind w:left="568" w:hanging="284"/>
        <w:rPr>
          <w:lang w:bidi="fa-IR"/>
        </w:rPr>
      </w:pPr>
      <w:r>
        <w:rPr>
          <w:lang w:bidi="fa-IR"/>
        </w:rPr>
        <w:t>6.7 per cent of sub</w:t>
      </w:r>
      <w:r>
        <w:rPr>
          <w:lang w:bidi="fa-IR"/>
        </w:rPr>
        <w:noBreakHyphen/>
        <w:t>acute care based on the findings of New et. al. 2013 (although this study only related to rehabilitation care)</w:t>
      </w:r>
    </w:p>
    <w:p w14:paraId="7ACF1725" w14:textId="77777777" w:rsidR="00ED748D" w:rsidRDefault="00ED748D" w:rsidP="00ED748D">
      <w:pPr>
        <w:pStyle w:val="ListBullet2"/>
        <w:numPr>
          <w:ilvl w:val="1"/>
          <w:numId w:val="16"/>
        </w:numPr>
        <w:ind w:left="568" w:hanging="284"/>
        <w:rPr>
          <w:lang w:bidi="fa-IR"/>
        </w:rPr>
      </w:pPr>
      <w:r>
        <w:rPr>
          <w:lang w:bidi="fa-IR"/>
        </w:rPr>
        <w:t>1.8 per cent of maintenance care based on the findings of Salonga</w:t>
      </w:r>
      <w:r>
        <w:rPr>
          <w:lang w:bidi="fa-IR"/>
        </w:rPr>
        <w:noBreakHyphen/>
        <w:t>Reyes and Scott (2017)</w:t>
      </w:r>
    </w:p>
    <w:p w14:paraId="75B7ED4F" w14:textId="77777777" w:rsidR="00ED748D" w:rsidRDefault="00ED748D" w:rsidP="00ED748D">
      <w:pPr>
        <w:pStyle w:val="ListBullet2"/>
        <w:numPr>
          <w:ilvl w:val="1"/>
          <w:numId w:val="16"/>
        </w:numPr>
        <w:ind w:left="568" w:hanging="284"/>
        <w:rPr>
          <w:lang w:bidi="fa-IR"/>
        </w:rPr>
      </w:pPr>
      <w:r>
        <w:rPr>
          <w:lang w:bidi="fa-IR"/>
        </w:rPr>
        <w:t xml:space="preserve">As there are no studies on the extent to which lack of accessible housing increases the need for transition care, </w:t>
      </w:r>
      <w:r w:rsidR="00C57808">
        <w:rPr>
          <w:lang w:bidi="fa-IR"/>
        </w:rPr>
        <w:t>CIE applies</w:t>
      </w:r>
      <w:r>
        <w:rPr>
          <w:lang w:bidi="fa-IR"/>
        </w:rPr>
        <w:t xml:space="preserve"> the estimate relating to maintenance care.</w:t>
      </w:r>
    </w:p>
    <w:p w14:paraId="2C17EE1B" w14:textId="77777777" w:rsidR="004E736E" w:rsidRPr="004B79EC" w:rsidRDefault="004E736E" w:rsidP="004B79EC">
      <w:pPr>
        <w:pStyle w:val="Heading1-Appendix"/>
      </w:pPr>
      <w:bookmarkStart w:id="764" w:name="_Toc32321779"/>
      <w:bookmarkStart w:id="765" w:name="_Toc44598468"/>
      <w:bookmarkStart w:id="766" w:name="_Toc45654099"/>
      <w:bookmarkStart w:id="767" w:name="_Ref55130419"/>
      <w:r w:rsidRPr="004B79EC">
        <w:t xml:space="preserve">Approach to estimating the costs associated with </w:t>
      </w:r>
      <w:bookmarkEnd w:id="764"/>
      <w:bookmarkEnd w:id="765"/>
      <w:bookmarkEnd w:id="766"/>
      <w:r w:rsidRPr="004B79EC">
        <w:t>inability to visit family and friends</w:t>
      </w:r>
      <w:bookmarkEnd w:id="767"/>
    </w:p>
    <w:p w14:paraId="2D1645C5" w14:textId="77777777" w:rsidR="00ED748D" w:rsidRPr="004B79EC" w:rsidRDefault="00ED748D" w:rsidP="004B79EC">
      <w:pPr>
        <w:pStyle w:val="Heading2-Appendix"/>
      </w:pPr>
      <w:r w:rsidRPr="004B79EC">
        <w:t>Estimated incidence of loneliness due to inaccessible housing</w:t>
      </w:r>
    </w:p>
    <w:p w14:paraId="4A7F66BD" w14:textId="77777777" w:rsidR="0066215E" w:rsidRDefault="0066215E" w:rsidP="0066215E">
      <w:pPr>
        <w:pStyle w:val="BodyText"/>
        <w:rPr>
          <w:lang w:bidi="fa-IR"/>
        </w:rPr>
      </w:pPr>
      <w:r>
        <w:rPr>
          <w:lang w:bidi="fa-IR"/>
        </w:rPr>
        <w:t xml:space="preserve">A lack of accessible housing contributes to social isolation and loneliness where people with a mobility limitation are unable to visit friends and family because their homes are inaccessible. </w:t>
      </w:r>
      <w:r w:rsidR="00116AB2">
        <w:rPr>
          <w:lang w:bidi="fa-IR"/>
        </w:rPr>
        <w:t>H</w:t>
      </w:r>
      <w:r>
        <w:rPr>
          <w:lang w:bidi="fa-IR"/>
        </w:rPr>
        <w:t xml:space="preserve">ousing accessibility issues could also contribute to loneliness in people with limited mobility where their own dwelling does not meet their accessibility needs. However, here </w:t>
      </w:r>
      <w:r w:rsidR="001C0E1F">
        <w:rPr>
          <w:lang w:bidi="fa-IR"/>
        </w:rPr>
        <w:t xml:space="preserve">the </w:t>
      </w:r>
      <w:r>
        <w:rPr>
          <w:lang w:bidi="fa-IR"/>
        </w:rPr>
        <w:t>focus</w:t>
      </w:r>
      <w:r w:rsidR="00116AB2">
        <w:rPr>
          <w:lang w:bidi="fa-IR"/>
        </w:rPr>
        <w:t xml:space="preserve"> i</w:t>
      </w:r>
      <w:r w:rsidR="001C0E1F">
        <w:rPr>
          <w:lang w:bidi="fa-IR"/>
        </w:rPr>
        <w:t>s</w:t>
      </w:r>
      <w:r>
        <w:rPr>
          <w:lang w:bidi="fa-IR"/>
        </w:rPr>
        <w:t xml:space="preserve"> only on loneliness caused by an inability to visit family and friends. To the extent that their own dwelling does not meet their accessibility needs and contributes to loneliness in people with limited mobility, these impacts would be broadly included in the general quality of life impacts.</w:t>
      </w:r>
    </w:p>
    <w:p w14:paraId="14954824" w14:textId="77777777" w:rsidR="0066215E" w:rsidRDefault="0066215E" w:rsidP="0066215E">
      <w:pPr>
        <w:pStyle w:val="BodyText"/>
        <w:rPr>
          <w:lang w:bidi="fa-IR"/>
        </w:rPr>
      </w:pPr>
      <w:r>
        <w:rPr>
          <w:lang w:bidi="fa-IR"/>
        </w:rPr>
        <w:t>The SDAC data also provides some insights into the number of people affected by an inability to access the houses of family and friends.</w:t>
      </w:r>
    </w:p>
    <w:p w14:paraId="3DFD3AA3" w14:textId="77777777" w:rsidR="0066215E" w:rsidRDefault="0066215E" w:rsidP="0066215E">
      <w:pPr>
        <w:pStyle w:val="ListBullet"/>
        <w:numPr>
          <w:ilvl w:val="0"/>
          <w:numId w:val="16"/>
        </w:numPr>
        <w:rPr>
          <w:lang w:bidi="fa-IR"/>
        </w:rPr>
      </w:pPr>
      <w:r>
        <w:rPr>
          <w:lang w:bidi="fa-IR"/>
        </w:rPr>
        <w:t>In 2018, there were around 113 700 people who reported having difficulty accessing another person’s house over the past year. This is the most direct measure of the number people that may have been unable to visit friends and/or relatives due to inaccessible housing. However, this measure would understate the true impact, as many people with mobility limitation would avoid visiting friends and relatives if they know (or suspect) they will be unable to access the house.</w:t>
      </w:r>
    </w:p>
    <w:p w14:paraId="36BF437A" w14:textId="77777777" w:rsidR="0066215E" w:rsidRDefault="0066215E" w:rsidP="0066215E">
      <w:pPr>
        <w:pStyle w:val="ListBullet"/>
        <w:numPr>
          <w:ilvl w:val="0"/>
          <w:numId w:val="16"/>
        </w:numPr>
        <w:rPr>
          <w:lang w:bidi="fa-IR"/>
        </w:rPr>
      </w:pPr>
      <w:r>
        <w:rPr>
          <w:lang w:bidi="fa-IR"/>
        </w:rPr>
        <w:t>There were a further 309 000 people who reported avoiding visiting family and friends due to their disability (this excludes the overlap between those that also had difficulty accessing another person’s house). However, it is not clear that they avoided visiting family and friends because their housing was inaccessible or for some other reason related to their disability.</w:t>
      </w:r>
    </w:p>
    <w:p w14:paraId="628C6500" w14:textId="77777777" w:rsidR="0066215E" w:rsidRDefault="0066215E" w:rsidP="0066215E">
      <w:pPr>
        <w:pStyle w:val="ListBullet"/>
        <w:numPr>
          <w:ilvl w:val="0"/>
          <w:numId w:val="16"/>
        </w:numPr>
        <w:rPr>
          <w:lang w:bidi="fa-IR"/>
        </w:rPr>
      </w:pPr>
      <w:r>
        <w:rPr>
          <w:lang w:bidi="fa-IR"/>
        </w:rPr>
        <w:t>In total</w:t>
      </w:r>
      <w:r w:rsidR="0017038E">
        <w:rPr>
          <w:lang w:bidi="fa-IR"/>
        </w:rPr>
        <w:t>,</w:t>
      </w:r>
      <w:r>
        <w:rPr>
          <w:lang w:bidi="fa-IR"/>
        </w:rPr>
        <w:t xml:space="preserve"> up to 422 400 people were not able to access the home of a friend or relative. As noted above, this is likely to be an upper bound estimate because some people may have avoided visiting family or friends for reasons related to their disability, but unrelated to the accessibility of the house.</w:t>
      </w:r>
    </w:p>
    <w:p w14:paraId="3F0BAE5B" w14:textId="77777777" w:rsidR="0066215E" w:rsidRDefault="0066215E" w:rsidP="0066215E">
      <w:pPr>
        <w:pStyle w:val="BodyText"/>
        <w:spacing w:before="240"/>
        <w:rPr>
          <w:lang w:bidi="fa-IR"/>
        </w:rPr>
      </w:pPr>
      <w:r>
        <w:rPr>
          <w:lang w:bidi="fa-IR"/>
        </w:rPr>
        <w:t>A relevant indicator of social isolation is the frequency of contact with family/friends living outside the dwelling. Despite having had trouble accessing someone else’s house and/or avoiding visiting friends and relatives, most people within this group nevertheless see family and friends that live outside the household relatively frequently.</w:t>
      </w:r>
    </w:p>
    <w:p w14:paraId="3E2CAE7A" w14:textId="77777777" w:rsidR="0066215E" w:rsidRDefault="0066215E" w:rsidP="0066215E">
      <w:pPr>
        <w:pStyle w:val="ListBullet"/>
        <w:numPr>
          <w:ilvl w:val="0"/>
          <w:numId w:val="16"/>
        </w:numPr>
        <w:rPr>
          <w:lang w:bidi="fa-IR"/>
        </w:rPr>
      </w:pPr>
      <w:r>
        <w:rPr>
          <w:lang w:bidi="fa-IR"/>
        </w:rPr>
        <w:t>More than 60 per cent of people who had difficulty accessing another person’s house or avoided visiting other people because of their disability still saw a family member or friend who lived outside the house in the last week.</w:t>
      </w:r>
    </w:p>
    <w:p w14:paraId="532E5ADB" w14:textId="77777777" w:rsidR="0066215E" w:rsidRDefault="0066215E" w:rsidP="0066215E">
      <w:pPr>
        <w:pStyle w:val="ListBullet"/>
        <w:numPr>
          <w:ilvl w:val="0"/>
          <w:numId w:val="16"/>
        </w:numPr>
        <w:rPr>
          <w:lang w:bidi="fa-IR"/>
        </w:rPr>
      </w:pPr>
      <w:r>
        <w:rPr>
          <w:lang w:bidi="fa-IR"/>
        </w:rPr>
        <w:t>More than 80 per cent of these people had contact with family and friends in the last month.</w:t>
      </w:r>
    </w:p>
    <w:p w14:paraId="346069E9" w14:textId="318FFBED" w:rsidR="0066215E" w:rsidRDefault="0066215E" w:rsidP="0066215E">
      <w:pPr>
        <w:pStyle w:val="ListBullet"/>
        <w:numPr>
          <w:ilvl w:val="0"/>
          <w:numId w:val="16"/>
        </w:numPr>
        <w:rPr>
          <w:lang w:bidi="fa-IR"/>
        </w:rPr>
      </w:pPr>
      <w:r>
        <w:rPr>
          <w:lang w:bidi="fa-IR"/>
        </w:rPr>
        <w:t>Around 60 400 people had not had contact with family/friends not living in the same household in the last month (table </w:t>
      </w:r>
      <w:r w:rsidR="00362332">
        <w:rPr>
          <w:lang w:bidi="fa-IR"/>
        </w:rPr>
        <w:t>G.1</w:t>
      </w:r>
      <w:r>
        <w:rPr>
          <w:lang w:bidi="fa-IR"/>
        </w:rPr>
        <w:t>). Although there does not appear a formal definition of social isolation based on the frequency of contact with family and friends, this group appears to have minimal contact with people outside the dwelling.</w:t>
      </w:r>
    </w:p>
    <w:p w14:paraId="71CBEE20" w14:textId="643D23C0" w:rsidR="0066215E" w:rsidRDefault="00B27E24" w:rsidP="0066215E">
      <w:pPr>
        <w:pStyle w:val="Caption"/>
      </w:pPr>
      <w:bookmarkStart w:id="768" w:name="_Toc32321883"/>
      <w:bookmarkStart w:id="769" w:name="_Toc44598592"/>
      <w:bookmarkStart w:id="770" w:name="_Toc44695964"/>
      <w:bookmarkStart w:id="771" w:name="_Toc57643694"/>
      <w:bookmarkStart w:id="772" w:name="_Toc70505648"/>
      <w:r>
        <w:t>G.1</w:t>
      </w:r>
      <w:r w:rsidR="0066215E" w:rsidRPr="00695C93">
        <w:tab/>
      </w:r>
      <w:r w:rsidR="0066215E">
        <w:t>Frequency of contact with family or friends</w:t>
      </w:r>
      <w:bookmarkEnd w:id="768"/>
      <w:bookmarkEnd w:id="769"/>
      <w:bookmarkEnd w:id="770"/>
      <w:bookmarkEnd w:id="771"/>
      <w:bookmarkEnd w:id="772"/>
    </w:p>
    <w:tbl>
      <w:tblPr>
        <w:tblW w:w="7937" w:type="dxa"/>
        <w:tblLayout w:type="fixed"/>
        <w:tblLook w:val="0000" w:firstRow="0" w:lastRow="0" w:firstColumn="0" w:lastColumn="0" w:noHBand="0" w:noVBand="0"/>
        <w:tblCaption w:val="Table G.1: Frequency of contact with family or friends"/>
        <w:tblDescription w:val="Table G.1 lists how often people had contact with family and friends not living in the same household - every day, in the last week, in the last month, in the last quarter, more than 3 months, has no family or friends, or not applicable. People are divided into those who had difficulty accessing another person's house and those who avoided visiting other people."/>
      </w:tblPr>
      <w:tblGrid>
        <w:gridCol w:w="2704"/>
        <w:gridCol w:w="1436"/>
        <w:gridCol w:w="1437"/>
        <w:gridCol w:w="1436"/>
        <w:gridCol w:w="924"/>
      </w:tblGrid>
      <w:tr w:rsidR="0066215E" w:rsidRPr="00E8116F" w14:paraId="62E6FECD" w14:textId="77777777" w:rsidTr="00757632">
        <w:trPr>
          <w:trHeight w:val="922"/>
          <w:tblHeader/>
        </w:trPr>
        <w:tc>
          <w:tcPr>
            <w:tcW w:w="2704" w:type="dxa"/>
            <w:shd w:val="clear" w:color="auto" w:fill="6F6652"/>
            <w:tcMar>
              <w:left w:w="57" w:type="dxa"/>
              <w:right w:w="57" w:type="dxa"/>
            </w:tcMar>
          </w:tcPr>
          <w:p w14:paraId="377B43B4" w14:textId="77777777" w:rsidR="0066215E" w:rsidRPr="00E8116F" w:rsidRDefault="002A43BC" w:rsidP="00757632">
            <w:pPr>
              <w:pStyle w:val="TableDataColumnHeading"/>
              <w:jc w:val="left"/>
              <w:rPr>
                <w:lang w:val="en-GB"/>
              </w:rPr>
            </w:pPr>
            <w:r>
              <w:rPr>
                <w:lang w:val="en-GB"/>
              </w:rPr>
              <w:t>Frequency</w:t>
            </w:r>
          </w:p>
        </w:tc>
        <w:tc>
          <w:tcPr>
            <w:tcW w:w="1436" w:type="dxa"/>
            <w:shd w:val="clear" w:color="auto" w:fill="6F6652"/>
            <w:tcMar>
              <w:left w:w="57" w:type="dxa"/>
              <w:right w:w="57" w:type="dxa"/>
            </w:tcMar>
          </w:tcPr>
          <w:p w14:paraId="0EE11075" w14:textId="77777777" w:rsidR="0066215E" w:rsidRPr="00E8116F" w:rsidRDefault="0066215E" w:rsidP="00757632">
            <w:pPr>
              <w:pStyle w:val="TableDataColumnHeading"/>
              <w:rPr>
                <w:lang w:val="en-GB"/>
              </w:rPr>
            </w:pPr>
            <w:r w:rsidRPr="00E8116F">
              <w:rPr>
                <w:lang w:val="en-GB"/>
              </w:rPr>
              <w:t>People who had difficulty accessing another person's house</w:t>
            </w:r>
          </w:p>
        </w:tc>
        <w:tc>
          <w:tcPr>
            <w:tcW w:w="1437" w:type="dxa"/>
            <w:shd w:val="clear" w:color="auto" w:fill="6F6652"/>
            <w:tcMar>
              <w:left w:w="57" w:type="dxa"/>
              <w:right w:w="57" w:type="dxa"/>
            </w:tcMar>
          </w:tcPr>
          <w:p w14:paraId="6B411797" w14:textId="77777777" w:rsidR="0066215E" w:rsidRPr="00E8116F" w:rsidRDefault="0066215E" w:rsidP="00757632">
            <w:pPr>
              <w:pStyle w:val="TableDataColumnHeading"/>
              <w:rPr>
                <w:lang w:val="en-GB"/>
              </w:rPr>
            </w:pPr>
            <w:r w:rsidRPr="00E8116F">
              <w:rPr>
                <w:lang w:val="en-GB"/>
              </w:rPr>
              <w:t>People who avoided visiting other people</w:t>
            </w:r>
          </w:p>
        </w:tc>
        <w:tc>
          <w:tcPr>
            <w:tcW w:w="1436" w:type="dxa"/>
            <w:shd w:val="clear" w:color="auto" w:fill="6F6652"/>
            <w:tcMar>
              <w:left w:w="57" w:type="dxa"/>
              <w:right w:w="57" w:type="dxa"/>
            </w:tcMar>
          </w:tcPr>
          <w:p w14:paraId="3B32F9D0" w14:textId="77777777" w:rsidR="0066215E" w:rsidRPr="00E8116F" w:rsidRDefault="0066215E" w:rsidP="00757632">
            <w:pPr>
              <w:pStyle w:val="TableDataColumnHeading"/>
              <w:rPr>
                <w:lang w:val="en-GB"/>
              </w:rPr>
            </w:pPr>
            <w:r w:rsidRPr="00E8116F">
              <w:rPr>
                <w:lang w:val="en-GB"/>
              </w:rPr>
              <w:t>Total</w:t>
            </w:r>
          </w:p>
        </w:tc>
        <w:tc>
          <w:tcPr>
            <w:tcW w:w="924" w:type="dxa"/>
            <w:shd w:val="clear" w:color="auto" w:fill="6F6652"/>
            <w:tcMar>
              <w:left w:w="57" w:type="dxa"/>
              <w:right w:w="57" w:type="dxa"/>
            </w:tcMar>
          </w:tcPr>
          <w:p w14:paraId="2DA66114" w14:textId="77777777" w:rsidR="0066215E" w:rsidRPr="00E8116F" w:rsidRDefault="0066215E" w:rsidP="00757632">
            <w:pPr>
              <w:pStyle w:val="TableDataColumnHeading"/>
              <w:rPr>
                <w:lang w:val="en-GB"/>
              </w:rPr>
            </w:pPr>
            <w:r w:rsidRPr="00E8116F">
              <w:rPr>
                <w:lang w:val="en-GB"/>
              </w:rPr>
              <w:t>Share</w:t>
            </w:r>
          </w:p>
        </w:tc>
      </w:tr>
      <w:tr w:rsidR="0066215E" w14:paraId="102BB0D9" w14:textId="77777777" w:rsidTr="00757632">
        <w:trPr>
          <w:trHeight w:val="230"/>
          <w:tblHeader/>
        </w:trPr>
        <w:tc>
          <w:tcPr>
            <w:tcW w:w="2704" w:type="dxa"/>
            <w:tcBorders>
              <w:bottom w:val="single" w:sz="8" w:space="0" w:color="FFFFFF" w:themeColor="background1"/>
            </w:tcBorders>
            <w:shd w:val="clear" w:color="auto" w:fill="auto"/>
            <w:tcMar>
              <w:left w:w="57" w:type="dxa"/>
              <w:right w:w="57" w:type="dxa"/>
            </w:tcMar>
          </w:tcPr>
          <w:p w14:paraId="52C9E3B3" w14:textId="77777777" w:rsidR="0066215E" w:rsidRDefault="0066215E" w:rsidP="00757632">
            <w:pPr>
              <w:pStyle w:val="TableUnit"/>
              <w:jc w:val="left"/>
              <w:rPr>
                <w:lang w:val="en-GB"/>
              </w:rPr>
            </w:pPr>
          </w:p>
        </w:tc>
        <w:tc>
          <w:tcPr>
            <w:tcW w:w="1436" w:type="dxa"/>
            <w:tcBorders>
              <w:bottom w:val="single" w:sz="8" w:space="0" w:color="FFFFFF" w:themeColor="background1"/>
            </w:tcBorders>
            <w:shd w:val="clear" w:color="auto" w:fill="auto"/>
            <w:tcMar>
              <w:left w:w="57" w:type="dxa"/>
              <w:right w:w="57" w:type="dxa"/>
            </w:tcMar>
          </w:tcPr>
          <w:p w14:paraId="26313314" w14:textId="77777777" w:rsidR="0066215E" w:rsidRDefault="0066215E" w:rsidP="00757632">
            <w:pPr>
              <w:pStyle w:val="TableUnit"/>
              <w:rPr>
                <w:lang w:val="en-GB"/>
              </w:rPr>
            </w:pPr>
            <w:r>
              <w:rPr>
                <w:lang w:val="en-GB"/>
              </w:rPr>
              <w:t>'000</w:t>
            </w:r>
          </w:p>
        </w:tc>
        <w:tc>
          <w:tcPr>
            <w:tcW w:w="1437" w:type="dxa"/>
            <w:tcBorders>
              <w:bottom w:val="single" w:sz="8" w:space="0" w:color="FFFFFF" w:themeColor="background1"/>
            </w:tcBorders>
            <w:shd w:val="clear" w:color="auto" w:fill="auto"/>
            <w:tcMar>
              <w:left w:w="57" w:type="dxa"/>
              <w:right w:w="57" w:type="dxa"/>
            </w:tcMar>
          </w:tcPr>
          <w:p w14:paraId="48815311" w14:textId="77777777" w:rsidR="0066215E" w:rsidRDefault="0066215E" w:rsidP="00757632">
            <w:pPr>
              <w:pStyle w:val="TableUnit"/>
              <w:rPr>
                <w:lang w:val="en-GB"/>
              </w:rPr>
            </w:pPr>
            <w:r>
              <w:rPr>
                <w:lang w:val="en-GB"/>
              </w:rPr>
              <w:t>'000</w:t>
            </w:r>
          </w:p>
        </w:tc>
        <w:tc>
          <w:tcPr>
            <w:tcW w:w="1436" w:type="dxa"/>
            <w:tcBorders>
              <w:bottom w:val="single" w:sz="8" w:space="0" w:color="FFFFFF" w:themeColor="background1"/>
            </w:tcBorders>
            <w:shd w:val="clear" w:color="auto" w:fill="auto"/>
            <w:tcMar>
              <w:left w:w="57" w:type="dxa"/>
              <w:right w:w="57" w:type="dxa"/>
            </w:tcMar>
          </w:tcPr>
          <w:p w14:paraId="245C93FC" w14:textId="77777777" w:rsidR="0066215E" w:rsidRDefault="0066215E" w:rsidP="00757632">
            <w:pPr>
              <w:pStyle w:val="TableUnit"/>
              <w:rPr>
                <w:lang w:val="en-GB"/>
              </w:rPr>
            </w:pPr>
            <w:r>
              <w:rPr>
                <w:lang w:val="en-GB"/>
              </w:rPr>
              <w:t>'000</w:t>
            </w:r>
          </w:p>
        </w:tc>
        <w:tc>
          <w:tcPr>
            <w:tcW w:w="924" w:type="dxa"/>
            <w:tcBorders>
              <w:bottom w:val="single" w:sz="8" w:space="0" w:color="FFFFFF" w:themeColor="background1"/>
            </w:tcBorders>
            <w:shd w:val="clear" w:color="auto" w:fill="auto"/>
            <w:tcMar>
              <w:left w:w="57" w:type="dxa"/>
              <w:right w:w="57" w:type="dxa"/>
            </w:tcMar>
          </w:tcPr>
          <w:p w14:paraId="0EA5F81A" w14:textId="77777777" w:rsidR="0066215E" w:rsidRDefault="0066215E" w:rsidP="00757632">
            <w:pPr>
              <w:pStyle w:val="TableUnit"/>
              <w:rPr>
                <w:lang w:val="en-GB"/>
              </w:rPr>
            </w:pPr>
            <w:r>
              <w:rPr>
                <w:lang w:val="en-GB"/>
              </w:rPr>
              <w:t>Per cent</w:t>
            </w:r>
          </w:p>
        </w:tc>
      </w:tr>
      <w:tr w:rsidR="0066215E" w14:paraId="2DA4B908"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2C3F88" w14:textId="77777777" w:rsidR="0066215E" w:rsidRDefault="0066215E" w:rsidP="00757632">
            <w:pPr>
              <w:pStyle w:val="TableDataEntries"/>
              <w:jc w:val="left"/>
              <w:rPr>
                <w:lang w:val="en-GB"/>
              </w:rPr>
            </w:pPr>
            <w:r>
              <w:rPr>
                <w:lang w:val="en-GB"/>
              </w:rPr>
              <w:t>Every day</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8E4847" w14:textId="77777777" w:rsidR="0066215E" w:rsidRDefault="0066215E" w:rsidP="00757632">
            <w:pPr>
              <w:pStyle w:val="TableDataEntries"/>
              <w:rPr>
                <w:lang w:val="en-GB"/>
              </w:rPr>
            </w:pPr>
            <w:r>
              <w:rPr>
                <w:lang w:val="en-GB"/>
              </w:rPr>
              <w:t xml:space="preserve"> 14.7</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77C002" w14:textId="77777777" w:rsidR="0066215E" w:rsidRDefault="0066215E" w:rsidP="00757632">
            <w:pPr>
              <w:pStyle w:val="TableDataEntries"/>
              <w:rPr>
                <w:lang w:val="en-GB"/>
              </w:rPr>
            </w:pPr>
            <w:r>
              <w:rPr>
                <w:lang w:val="en-GB"/>
              </w:rPr>
              <w:t xml:space="preserve"> 27.3</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0DDC14" w14:textId="77777777" w:rsidR="0066215E" w:rsidRDefault="0066215E" w:rsidP="00757632">
            <w:pPr>
              <w:pStyle w:val="TableDataEntries"/>
              <w:rPr>
                <w:lang w:val="en-GB"/>
              </w:rPr>
            </w:pPr>
            <w:r>
              <w:rPr>
                <w:lang w:val="en-GB"/>
              </w:rPr>
              <w:t xml:space="preserve"> 40.3</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C0AC74" w14:textId="77777777" w:rsidR="0066215E" w:rsidRDefault="0066215E" w:rsidP="00757632">
            <w:pPr>
              <w:pStyle w:val="TableDataEntries"/>
              <w:rPr>
                <w:lang w:val="en-GB"/>
              </w:rPr>
            </w:pPr>
            <w:r>
              <w:rPr>
                <w:lang w:val="en-GB"/>
              </w:rPr>
              <w:t>9.5</w:t>
            </w:r>
          </w:p>
        </w:tc>
      </w:tr>
      <w:tr w:rsidR="0066215E" w14:paraId="277B5414"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B280C" w14:textId="77777777" w:rsidR="0066215E" w:rsidRDefault="0066215E" w:rsidP="00757632">
            <w:pPr>
              <w:pStyle w:val="TableDataEntries"/>
              <w:jc w:val="left"/>
              <w:rPr>
                <w:lang w:val="en-GB"/>
              </w:rPr>
            </w:pPr>
            <w:r>
              <w:rPr>
                <w:lang w:val="en-GB"/>
              </w:rPr>
              <w:t>In the last week</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1C1A6A" w14:textId="77777777" w:rsidR="0066215E" w:rsidRDefault="0066215E" w:rsidP="00757632">
            <w:pPr>
              <w:pStyle w:val="TableDataEntries"/>
              <w:rPr>
                <w:lang w:val="en-GB"/>
              </w:rPr>
            </w:pPr>
            <w:r>
              <w:rPr>
                <w:lang w:val="en-GB"/>
              </w:rPr>
              <w:t xml:space="preserve"> 58.8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2E4E58" w14:textId="77777777" w:rsidR="0066215E" w:rsidRDefault="0066215E" w:rsidP="00757632">
            <w:pPr>
              <w:pStyle w:val="TableDataEntries"/>
              <w:rPr>
                <w:lang w:val="en-GB"/>
              </w:rPr>
            </w:pPr>
            <w:r>
              <w:rPr>
                <w:lang w:val="en-GB"/>
              </w:rPr>
              <w:t xml:space="preserve"> 177.2</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8046EF" w14:textId="77777777" w:rsidR="0066215E" w:rsidRDefault="0066215E" w:rsidP="00757632">
            <w:pPr>
              <w:pStyle w:val="TableDataEntries"/>
              <w:rPr>
                <w:lang w:val="en-GB"/>
              </w:rPr>
            </w:pPr>
            <w:r>
              <w:rPr>
                <w:lang w:val="en-GB"/>
              </w:rPr>
              <w:t xml:space="preserve"> 219.0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2E04CF" w14:textId="77777777" w:rsidR="0066215E" w:rsidRDefault="0066215E" w:rsidP="00757632">
            <w:pPr>
              <w:pStyle w:val="TableDataEntries"/>
              <w:rPr>
                <w:lang w:val="en-GB"/>
              </w:rPr>
            </w:pPr>
            <w:r>
              <w:rPr>
                <w:lang w:val="en-GB"/>
              </w:rPr>
              <w:t>51.8</w:t>
            </w:r>
          </w:p>
        </w:tc>
      </w:tr>
      <w:tr w:rsidR="0066215E" w14:paraId="4A944D92"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555A7B" w14:textId="77777777" w:rsidR="0066215E" w:rsidRDefault="0066215E" w:rsidP="00757632">
            <w:pPr>
              <w:pStyle w:val="TableDataEntries"/>
              <w:jc w:val="left"/>
              <w:rPr>
                <w:lang w:val="en-GB"/>
              </w:rPr>
            </w:pPr>
            <w:r>
              <w:rPr>
                <w:lang w:val="en-GB"/>
              </w:rPr>
              <w:t>In the last month</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7D0B03" w14:textId="77777777" w:rsidR="0066215E" w:rsidRDefault="0066215E" w:rsidP="00757632">
            <w:pPr>
              <w:pStyle w:val="TableDataEntries"/>
              <w:rPr>
                <w:lang w:val="en-GB"/>
              </w:rPr>
            </w:pPr>
            <w:r>
              <w:rPr>
                <w:lang w:val="en-GB"/>
              </w:rPr>
              <w:t xml:space="preserve"> 19.1</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1C1BE7" w14:textId="77777777" w:rsidR="0066215E" w:rsidRDefault="0066215E" w:rsidP="00757632">
            <w:pPr>
              <w:pStyle w:val="TableDataEntries"/>
              <w:rPr>
                <w:lang w:val="en-GB"/>
              </w:rPr>
            </w:pPr>
            <w:r>
              <w:rPr>
                <w:lang w:val="en-GB"/>
              </w:rPr>
              <w:t xml:space="preserve"> 84.0</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672E08" w14:textId="77777777" w:rsidR="0066215E" w:rsidRDefault="0066215E" w:rsidP="00757632">
            <w:pPr>
              <w:pStyle w:val="TableDataEntries"/>
              <w:rPr>
                <w:lang w:val="en-GB"/>
              </w:rPr>
            </w:pPr>
            <w:r>
              <w:rPr>
                <w:lang w:val="en-GB"/>
              </w:rPr>
              <w:t xml:space="preserve"> 95.3</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5DD3D5" w14:textId="77777777" w:rsidR="0066215E" w:rsidRDefault="0066215E" w:rsidP="00757632">
            <w:pPr>
              <w:pStyle w:val="TableDataEntries"/>
              <w:rPr>
                <w:lang w:val="en-GB"/>
              </w:rPr>
            </w:pPr>
            <w:r>
              <w:rPr>
                <w:lang w:val="en-GB"/>
              </w:rPr>
              <w:t>22.6</w:t>
            </w:r>
          </w:p>
        </w:tc>
      </w:tr>
      <w:tr w:rsidR="0066215E" w14:paraId="41301A8B"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0C6E9" w14:textId="77777777" w:rsidR="0066215E" w:rsidRDefault="0066215E" w:rsidP="00757632">
            <w:pPr>
              <w:pStyle w:val="TableDataEntries"/>
              <w:jc w:val="left"/>
              <w:rPr>
                <w:lang w:val="en-GB"/>
              </w:rPr>
            </w:pPr>
            <w:r>
              <w:rPr>
                <w:lang w:val="en-GB"/>
              </w:rPr>
              <w:t>In the last quarter</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8BAF90" w14:textId="77777777" w:rsidR="0066215E" w:rsidRDefault="0066215E" w:rsidP="00757632">
            <w:pPr>
              <w:pStyle w:val="TableDataEntries"/>
              <w:rPr>
                <w:lang w:val="en-GB"/>
              </w:rPr>
            </w:pPr>
            <w:r>
              <w:rPr>
                <w:lang w:val="en-GB"/>
              </w:rPr>
              <w:t xml:space="preserve"> 8.8</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DAF5C3" w14:textId="77777777" w:rsidR="0066215E" w:rsidRDefault="0066215E" w:rsidP="00757632">
            <w:pPr>
              <w:pStyle w:val="TableDataEntries"/>
              <w:rPr>
                <w:lang w:val="en-GB"/>
              </w:rPr>
            </w:pPr>
            <w:r>
              <w:rPr>
                <w:lang w:val="en-GB"/>
              </w:rPr>
              <w:t xml:space="preserve"> 36.6</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131A80" w14:textId="77777777" w:rsidR="0066215E" w:rsidRDefault="0066215E" w:rsidP="00757632">
            <w:pPr>
              <w:pStyle w:val="TableDataEntries"/>
              <w:rPr>
                <w:lang w:val="en-GB"/>
              </w:rPr>
            </w:pPr>
            <w:r>
              <w:rPr>
                <w:lang w:val="en-GB"/>
              </w:rPr>
              <w:t xml:space="preserve"> 42.4</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EC601E" w14:textId="77777777" w:rsidR="0066215E" w:rsidRDefault="0066215E" w:rsidP="00757632">
            <w:pPr>
              <w:pStyle w:val="TableDataEntries"/>
              <w:rPr>
                <w:lang w:val="en-GB"/>
              </w:rPr>
            </w:pPr>
            <w:r>
              <w:rPr>
                <w:lang w:val="en-GB"/>
              </w:rPr>
              <w:t>10.0</w:t>
            </w:r>
          </w:p>
        </w:tc>
      </w:tr>
      <w:tr w:rsidR="0066215E" w14:paraId="02573AF2" w14:textId="77777777" w:rsidTr="00757632">
        <w:trPr>
          <w:trHeight w:val="691"/>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771073" w14:textId="77777777" w:rsidR="0066215E" w:rsidRDefault="0066215E" w:rsidP="00757632">
            <w:pPr>
              <w:pStyle w:val="TableDataEntries"/>
              <w:jc w:val="left"/>
              <w:rPr>
                <w:lang w:val="en-GB"/>
              </w:rPr>
            </w:pPr>
            <w:r>
              <w:rPr>
                <w:lang w:val="en-GB"/>
              </w:rPr>
              <w:t>Has not seen family or friends not living in same household in the last 3 months</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BF0756" w14:textId="77777777" w:rsidR="0066215E" w:rsidRDefault="0066215E" w:rsidP="00757632">
            <w:pPr>
              <w:pStyle w:val="TableDataEntries"/>
              <w:rPr>
                <w:lang w:val="en-GB"/>
              </w:rPr>
            </w:pPr>
            <w:r>
              <w:rPr>
                <w:lang w:val="en-GB"/>
              </w:rPr>
              <w:t xml:space="preserve"> 3.2</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8935F3" w14:textId="77777777" w:rsidR="0066215E" w:rsidRDefault="0066215E" w:rsidP="00757632">
            <w:pPr>
              <w:pStyle w:val="TableDataEntries"/>
              <w:rPr>
                <w:lang w:val="en-GB"/>
              </w:rPr>
            </w:pPr>
            <w:r>
              <w:rPr>
                <w:lang w:val="en-GB"/>
              </w:rPr>
              <w:t xml:space="preserve"> 12.7</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E77E99" w14:textId="77777777" w:rsidR="0066215E" w:rsidRDefault="0066215E" w:rsidP="00757632">
            <w:pPr>
              <w:pStyle w:val="TableDataEntries"/>
              <w:rPr>
                <w:lang w:val="en-GB"/>
              </w:rPr>
            </w:pPr>
            <w:r>
              <w:rPr>
                <w:lang w:val="en-GB"/>
              </w:rPr>
              <w:t xml:space="preserve"> 15.9</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F08CD3" w14:textId="77777777" w:rsidR="0066215E" w:rsidRDefault="0066215E" w:rsidP="00757632">
            <w:pPr>
              <w:pStyle w:val="TableDataEntries"/>
              <w:rPr>
                <w:lang w:val="en-GB"/>
              </w:rPr>
            </w:pPr>
            <w:r>
              <w:rPr>
                <w:lang w:val="en-GB"/>
              </w:rPr>
              <w:t>3.8</w:t>
            </w:r>
          </w:p>
        </w:tc>
      </w:tr>
      <w:tr w:rsidR="0066215E" w14:paraId="2A56E222"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7D038B" w14:textId="77777777" w:rsidR="0066215E" w:rsidRDefault="0066215E" w:rsidP="00757632">
            <w:pPr>
              <w:pStyle w:val="TableDataEntries"/>
              <w:jc w:val="left"/>
              <w:rPr>
                <w:lang w:val="en-GB"/>
              </w:rPr>
            </w:pPr>
            <w:r>
              <w:rPr>
                <w:lang w:val="en-GB"/>
              </w:rPr>
              <w:t>Has no family or friends</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FDDD17" w14:textId="77777777" w:rsidR="0066215E" w:rsidRDefault="0066215E" w:rsidP="00757632">
            <w:pPr>
              <w:pStyle w:val="TableDataEntries"/>
              <w:rPr>
                <w:lang w:val="en-GB"/>
              </w:rPr>
            </w:pPr>
            <w:r>
              <w:rPr>
                <w:lang w:val="en-GB"/>
              </w:rPr>
              <w:t xml:space="preserve"> 0.0</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1793EC" w14:textId="77777777" w:rsidR="0066215E" w:rsidRDefault="0066215E" w:rsidP="00757632">
            <w:pPr>
              <w:pStyle w:val="TableDataEntries"/>
              <w:rPr>
                <w:lang w:val="en-GB"/>
              </w:rPr>
            </w:pPr>
            <w:r>
              <w:rPr>
                <w:lang w:val="en-GB"/>
              </w:rPr>
              <w:t xml:space="preserve"> 2.1</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929308" w14:textId="77777777" w:rsidR="0066215E" w:rsidRDefault="0066215E" w:rsidP="00757632">
            <w:pPr>
              <w:pStyle w:val="TableDataEntries"/>
              <w:rPr>
                <w:lang w:val="en-GB"/>
              </w:rPr>
            </w:pPr>
            <w:r>
              <w:rPr>
                <w:lang w:val="en-GB"/>
              </w:rPr>
              <w:t xml:space="preserve"> 2.1</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1F92FD" w14:textId="77777777" w:rsidR="0066215E" w:rsidRDefault="0066215E" w:rsidP="00757632">
            <w:pPr>
              <w:pStyle w:val="TableDataEntries"/>
              <w:rPr>
                <w:lang w:val="en-GB"/>
              </w:rPr>
            </w:pPr>
            <w:r>
              <w:rPr>
                <w:lang w:val="en-GB"/>
              </w:rPr>
              <w:t>0.5</w:t>
            </w:r>
          </w:p>
        </w:tc>
      </w:tr>
      <w:tr w:rsidR="0066215E" w14:paraId="00454A03" w14:textId="77777777" w:rsidTr="00757632">
        <w:trPr>
          <w:trHeight w:val="230"/>
        </w:trPr>
        <w:tc>
          <w:tcPr>
            <w:tcW w:w="27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2DED3E" w14:textId="77777777" w:rsidR="0066215E" w:rsidRDefault="0066215E" w:rsidP="00757632">
            <w:pPr>
              <w:pStyle w:val="TableDataEntries"/>
              <w:jc w:val="left"/>
              <w:rPr>
                <w:lang w:val="en-GB"/>
              </w:rPr>
            </w:pPr>
            <w:r>
              <w:rPr>
                <w:lang w:val="en-GB"/>
              </w:rPr>
              <w:t>Not applicable</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F35AE3" w14:textId="77777777" w:rsidR="0066215E" w:rsidRDefault="0066215E" w:rsidP="00757632">
            <w:pPr>
              <w:pStyle w:val="TableDataEntries"/>
              <w:rPr>
                <w:lang w:val="en-GB"/>
              </w:rPr>
            </w:pPr>
            <w:r>
              <w:rPr>
                <w:lang w:val="en-GB"/>
              </w:rPr>
              <w:t xml:space="preserve"> 7.4</w:t>
            </w:r>
          </w:p>
        </w:tc>
        <w:tc>
          <w:tcPr>
            <w:tcW w:w="143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F27781" w14:textId="77777777" w:rsidR="0066215E" w:rsidRDefault="0066215E" w:rsidP="00757632">
            <w:pPr>
              <w:pStyle w:val="TableDataEntries"/>
              <w:rPr>
                <w:lang w:val="en-GB"/>
              </w:rPr>
            </w:pPr>
            <w:r>
              <w:rPr>
                <w:lang w:val="en-GB"/>
              </w:rPr>
              <w:t xml:space="preserve"> 0.0</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DF5CD1" w14:textId="77777777" w:rsidR="0066215E" w:rsidRDefault="0066215E" w:rsidP="00757632">
            <w:pPr>
              <w:pStyle w:val="TableDataEntries"/>
              <w:rPr>
                <w:lang w:val="en-GB"/>
              </w:rPr>
            </w:pPr>
            <w:r>
              <w:rPr>
                <w:lang w:val="en-GB"/>
              </w:rPr>
              <w:t xml:space="preserve"> 7.4</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F8864E" w14:textId="77777777" w:rsidR="0066215E" w:rsidRDefault="0066215E" w:rsidP="00757632">
            <w:pPr>
              <w:pStyle w:val="TableDataEntries"/>
              <w:rPr>
                <w:lang w:val="en-GB"/>
              </w:rPr>
            </w:pPr>
            <w:r>
              <w:rPr>
                <w:lang w:val="en-GB"/>
              </w:rPr>
              <w:t>1.8</w:t>
            </w:r>
          </w:p>
        </w:tc>
      </w:tr>
      <w:tr w:rsidR="0066215E" w:rsidRPr="00CD2EEC" w14:paraId="53B49A6D" w14:textId="77777777" w:rsidTr="00757632">
        <w:trPr>
          <w:trHeight w:val="230"/>
        </w:trPr>
        <w:tc>
          <w:tcPr>
            <w:tcW w:w="27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D35093D" w14:textId="77777777" w:rsidR="0066215E" w:rsidRPr="00CD2EEC" w:rsidRDefault="0066215E" w:rsidP="00757632">
            <w:pPr>
              <w:pStyle w:val="TableDataEntries"/>
              <w:jc w:val="left"/>
              <w:rPr>
                <w:rFonts w:ascii="Franklin Gothic Demi" w:hAnsi="Franklin Gothic Demi"/>
                <w:lang w:val="en-GB"/>
              </w:rPr>
            </w:pPr>
            <w:r w:rsidRPr="00CD2EEC">
              <w:rPr>
                <w:rFonts w:ascii="Franklin Gothic Demi" w:hAnsi="Franklin Gothic Demi"/>
                <w:lang w:val="en-GB"/>
              </w:rPr>
              <w:t>Total</w:t>
            </w:r>
          </w:p>
        </w:tc>
        <w:tc>
          <w:tcPr>
            <w:tcW w:w="143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6B0532F" w14:textId="77777777" w:rsidR="0066215E" w:rsidRPr="00CD2EEC" w:rsidRDefault="0066215E" w:rsidP="00757632">
            <w:pPr>
              <w:pStyle w:val="TableDataEntries"/>
              <w:rPr>
                <w:rFonts w:ascii="Franklin Gothic Demi" w:hAnsi="Franklin Gothic Demi"/>
                <w:lang w:val="en-GB"/>
              </w:rPr>
            </w:pPr>
            <w:r w:rsidRPr="00CD2EEC">
              <w:rPr>
                <w:rFonts w:ascii="Franklin Gothic Demi" w:hAnsi="Franklin Gothic Demi"/>
                <w:lang w:val="en-GB"/>
              </w:rPr>
              <w:t xml:space="preserve"> 113.7</w:t>
            </w:r>
          </w:p>
        </w:tc>
        <w:tc>
          <w:tcPr>
            <w:tcW w:w="143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5741B32" w14:textId="77777777" w:rsidR="0066215E" w:rsidRPr="00CD2EEC" w:rsidRDefault="0066215E" w:rsidP="00757632">
            <w:pPr>
              <w:pStyle w:val="TableDataEntries"/>
              <w:rPr>
                <w:rFonts w:ascii="Franklin Gothic Demi" w:hAnsi="Franklin Gothic Demi"/>
                <w:lang w:val="en-GB"/>
              </w:rPr>
            </w:pPr>
            <w:r w:rsidRPr="00CD2EEC">
              <w:rPr>
                <w:rFonts w:ascii="Franklin Gothic Demi" w:hAnsi="Franklin Gothic Demi"/>
                <w:lang w:val="en-GB"/>
              </w:rPr>
              <w:t xml:space="preserve"> 339.9</w:t>
            </w:r>
          </w:p>
        </w:tc>
        <w:tc>
          <w:tcPr>
            <w:tcW w:w="143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2444760" w14:textId="77777777" w:rsidR="0066215E" w:rsidRPr="00CD2EEC" w:rsidRDefault="0066215E" w:rsidP="00757632">
            <w:pPr>
              <w:pStyle w:val="TableDataEntries"/>
              <w:rPr>
                <w:rFonts w:ascii="Franklin Gothic Demi" w:hAnsi="Franklin Gothic Demi"/>
                <w:lang w:val="en-GB"/>
              </w:rPr>
            </w:pPr>
            <w:r w:rsidRPr="00CD2EEC">
              <w:rPr>
                <w:rFonts w:ascii="Franklin Gothic Demi" w:hAnsi="Franklin Gothic Demi"/>
                <w:lang w:val="en-GB"/>
              </w:rPr>
              <w:t xml:space="preserve"> 422.4</w:t>
            </w:r>
          </w:p>
        </w:tc>
        <w:tc>
          <w:tcPr>
            <w:tcW w:w="9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072EB2C" w14:textId="77777777" w:rsidR="0066215E" w:rsidRPr="00CD2EEC" w:rsidRDefault="0066215E" w:rsidP="00757632">
            <w:pPr>
              <w:pStyle w:val="TableDataEntries"/>
              <w:rPr>
                <w:rFonts w:ascii="Franklin Gothic Demi" w:hAnsi="Franklin Gothic Demi"/>
                <w:lang w:val="en-GB"/>
              </w:rPr>
            </w:pPr>
            <w:r w:rsidRPr="00CD2EEC">
              <w:rPr>
                <w:rFonts w:ascii="Franklin Gothic Demi" w:hAnsi="Franklin Gothic Demi"/>
                <w:lang w:val="en-GB"/>
              </w:rPr>
              <w:t>100.0</w:t>
            </w:r>
          </w:p>
        </w:tc>
      </w:tr>
    </w:tbl>
    <w:p w14:paraId="52951E37" w14:textId="77777777" w:rsidR="0066215E" w:rsidRPr="00280175" w:rsidRDefault="0066215E" w:rsidP="0066215E">
      <w:pPr>
        <w:pStyle w:val="Source"/>
        <w:rPr>
          <w:iCs/>
          <w:lang w:bidi="fa-IR"/>
        </w:rPr>
      </w:pPr>
      <w:r w:rsidRPr="00280175">
        <w:rPr>
          <w:iCs/>
          <w:lang w:bidi="fa-IR"/>
        </w:rPr>
        <w:t xml:space="preserve">Source: </w:t>
      </w:r>
      <w:r w:rsidRPr="00280175">
        <w:rPr>
          <w:iCs/>
        </w:rPr>
        <w:t>ABS, Survey of Disabilities, Ageing and Carers, 2018, TableBuilder.</w:t>
      </w:r>
    </w:p>
    <w:p w14:paraId="3DB50863" w14:textId="77777777" w:rsidR="0066215E" w:rsidRDefault="0066215E" w:rsidP="0066215E">
      <w:pPr>
        <w:pStyle w:val="BodyText"/>
        <w:rPr>
          <w:lang w:eastAsia="en-US" w:bidi="fa-IR"/>
        </w:rPr>
      </w:pPr>
      <w:r>
        <w:rPr>
          <w:lang w:eastAsia="en-US" w:bidi="fa-IR"/>
        </w:rPr>
        <w:t xml:space="preserve">As noted above, feelings of loneliness are not necessarily directly related to the frequency with which people see their social networks. Feelings of loneliness are subjective and some people can feel lonely even if they see their family and friends frequently. Perhaps a better (albeit still imperfect) measure of loneliness is whether people </w:t>
      </w:r>
      <w:r w:rsidRPr="00826C12">
        <w:rPr>
          <w:b/>
          <w:bCs/>
          <w:lang w:eastAsia="en-US" w:bidi="fa-IR"/>
        </w:rPr>
        <w:t>want</w:t>
      </w:r>
      <w:r>
        <w:rPr>
          <w:lang w:eastAsia="en-US" w:bidi="fa-IR"/>
        </w:rPr>
        <w:t xml:space="preserve"> more contact with their family and friends.</w:t>
      </w:r>
    </w:p>
    <w:p w14:paraId="650F80B9" w14:textId="5D7DD8A3" w:rsidR="0066215E" w:rsidRDefault="0066215E" w:rsidP="0066215E">
      <w:pPr>
        <w:pStyle w:val="BodyText"/>
        <w:rPr>
          <w:lang w:eastAsia="en-US" w:bidi="fa-IR"/>
        </w:rPr>
      </w:pPr>
      <w:r>
        <w:rPr>
          <w:lang w:eastAsia="en-US" w:bidi="fa-IR"/>
        </w:rPr>
        <w:t>Of the people who were identified as either having had trouble accessing someone else’s house and/or had avoided visiting family and friends, around 191 500 (or around 45 per cent) wanted more contact with their family and friends (table </w:t>
      </w:r>
      <w:r w:rsidR="00362332">
        <w:rPr>
          <w:lang w:eastAsia="en-US" w:bidi="fa-IR"/>
        </w:rPr>
        <w:t>G.2</w:t>
      </w:r>
      <w:r>
        <w:rPr>
          <w:lang w:eastAsia="en-US" w:bidi="fa-IR"/>
        </w:rPr>
        <w:t>).</w:t>
      </w:r>
    </w:p>
    <w:p w14:paraId="1ECA3358" w14:textId="1AAA6B33" w:rsidR="0066215E" w:rsidRDefault="00B27E24" w:rsidP="0066215E">
      <w:pPr>
        <w:pStyle w:val="Caption"/>
        <w:ind w:left="568" w:hanging="568"/>
      </w:pPr>
      <w:bookmarkStart w:id="773" w:name="_Toc45654224"/>
      <w:bookmarkStart w:id="774" w:name="_Toc32321884"/>
      <w:bookmarkStart w:id="775" w:name="_Toc44598593"/>
      <w:bookmarkStart w:id="776" w:name="_Toc44695965"/>
      <w:bookmarkStart w:id="777" w:name="_Toc57643695"/>
      <w:bookmarkStart w:id="778" w:name="_Toc70505649"/>
      <w:r>
        <w:t>G.2</w:t>
      </w:r>
      <w:r>
        <w:tab/>
      </w:r>
      <w:r w:rsidR="0066215E">
        <w:t>Share of identified population who would like to see family and friends more often</w:t>
      </w:r>
      <w:bookmarkEnd w:id="773"/>
      <w:bookmarkEnd w:id="774"/>
      <w:bookmarkEnd w:id="775"/>
      <w:bookmarkEnd w:id="776"/>
      <w:bookmarkEnd w:id="777"/>
      <w:bookmarkEnd w:id="778"/>
    </w:p>
    <w:tbl>
      <w:tblPr>
        <w:tblW w:w="7938" w:type="dxa"/>
        <w:tblLayout w:type="fixed"/>
        <w:tblLook w:val="0000" w:firstRow="0" w:lastRow="0" w:firstColumn="0" w:lastColumn="0" w:noHBand="0" w:noVBand="0"/>
        <w:tblCaption w:val="Table G.2: Share of identified population who would like to see family and friends more often"/>
        <w:tblDescription w:val="Table G.2 lists the share of the identified population (divided into profound, severe, moderate and mild) who would like to see family and friends more often. The column headings are 'Want more contact with family/friends', 'Total identified population' and 'Share wanting more contact with family/friends'. The average share wanting more contact is 45.3%."/>
      </w:tblPr>
      <w:tblGrid>
        <w:gridCol w:w="1938"/>
        <w:gridCol w:w="2000"/>
        <w:gridCol w:w="2000"/>
        <w:gridCol w:w="2000"/>
      </w:tblGrid>
      <w:tr w:rsidR="0066215E" w14:paraId="26BF0BCB" w14:textId="77777777" w:rsidTr="00757632">
        <w:trPr>
          <w:trHeight w:val="68"/>
        </w:trPr>
        <w:tc>
          <w:tcPr>
            <w:tcW w:w="1938" w:type="dxa"/>
            <w:shd w:val="clear" w:color="auto" w:fill="6F6652"/>
            <w:tcMar>
              <w:left w:w="57" w:type="dxa"/>
              <w:right w:w="57" w:type="dxa"/>
            </w:tcMar>
          </w:tcPr>
          <w:p w14:paraId="4E206D4B" w14:textId="77777777" w:rsidR="0066215E" w:rsidRDefault="00022241" w:rsidP="00757632">
            <w:pPr>
              <w:pStyle w:val="TableDataColumnHeading"/>
              <w:jc w:val="left"/>
              <w:rPr>
                <w:lang w:val="en-GB"/>
              </w:rPr>
            </w:pPr>
            <w:r>
              <w:rPr>
                <w:lang w:val="en-GB"/>
              </w:rPr>
              <w:t>Level of mobility limitation</w:t>
            </w:r>
          </w:p>
        </w:tc>
        <w:tc>
          <w:tcPr>
            <w:tcW w:w="2000" w:type="dxa"/>
            <w:shd w:val="clear" w:color="auto" w:fill="6F6652"/>
            <w:tcMar>
              <w:left w:w="57" w:type="dxa"/>
              <w:right w:w="57" w:type="dxa"/>
            </w:tcMar>
          </w:tcPr>
          <w:p w14:paraId="4D0DA42C" w14:textId="77777777" w:rsidR="0066215E" w:rsidRDefault="0066215E" w:rsidP="00757632">
            <w:pPr>
              <w:pStyle w:val="TableDataColumnHeading"/>
              <w:rPr>
                <w:lang w:val="en-GB"/>
              </w:rPr>
            </w:pPr>
            <w:r>
              <w:rPr>
                <w:lang w:val="en-GB"/>
              </w:rPr>
              <w:t>Want more contact with family/friends</w:t>
            </w:r>
          </w:p>
        </w:tc>
        <w:tc>
          <w:tcPr>
            <w:tcW w:w="2000" w:type="dxa"/>
            <w:shd w:val="clear" w:color="auto" w:fill="6F6652"/>
            <w:tcMar>
              <w:left w:w="57" w:type="dxa"/>
              <w:right w:w="57" w:type="dxa"/>
            </w:tcMar>
          </w:tcPr>
          <w:p w14:paraId="1F60023B" w14:textId="77777777" w:rsidR="0066215E" w:rsidRDefault="0066215E" w:rsidP="00757632">
            <w:pPr>
              <w:pStyle w:val="TableDataColumnHeading"/>
              <w:rPr>
                <w:lang w:val="en-GB"/>
              </w:rPr>
            </w:pPr>
            <w:r>
              <w:rPr>
                <w:lang w:val="en-GB"/>
              </w:rPr>
              <w:t>Total identified population</w:t>
            </w:r>
          </w:p>
        </w:tc>
        <w:tc>
          <w:tcPr>
            <w:tcW w:w="2000" w:type="dxa"/>
            <w:shd w:val="clear" w:color="auto" w:fill="6F6652"/>
            <w:tcMar>
              <w:left w:w="57" w:type="dxa"/>
              <w:right w:w="57" w:type="dxa"/>
            </w:tcMar>
          </w:tcPr>
          <w:p w14:paraId="41424788" w14:textId="77777777" w:rsidR="0066215E" w:rsidRDefault="0066215E" w:rsidP="00757632">
            <w:pPr>
              <w:pStyle w:val="TableDataColumnHeading"/>
              <w:rPr>
                <w:lang w:val="en-GB"/>
              </w:rPr>
            </w:pPr>
            <w:r>
              <w:rPr>
                <w:lang w:val="en-GB"/>
              </w:rPr>
              <w:t>Share wanting more contact with family/friends</w:t>
            </w:r>
          </w:p>
        </w:tc>
      </w:tr>
      <w:tr w:rsidR="0066215E" w14:paraId="302C5868" w14:textId="77777777" w:rsidTr="00757632">
        <w:trPr>
          <w:trHeight w:val="230"/>
        </w:trPr>
        <w:tc>
          <w:tcPr>
            <w:tcW w:w="1938" w:type="dxa"/>
            <w:tcBorders>
              <w:bottom w:val="single" w:sz="8" w:space="0" w:color="FFFFFF" w:themeColor="background1"/>
            </w:tcBorders>
            <w:shd w:val="clear" w:color="auto" w:fill="auto"/>
            <w:tcMar>
              <w:left w:w="57" w:type="dxa"/>
              <w:right w:w="57" w:type="dxa"/>
            </w:tcMar>
          </w:tcPr>
          <w:p w14:paraId="0A3426FE" w14:textId="77777777" w:rsidR="0066215E" w:rsidRDefault="0066215E" w:rsidP="00757632">
            <w:pPr>
              <w:pStyle w:val="TableUnit"/>
              <w:jc w:val="left"/>
              <w:rPr>
                <w:lang w:val="en-GB"/>
              </w:rPr>
            </w:pPr>
          </w:p>
        </w:tc>
        <w:tc>
          <w:tcPr>
            <w:tcW w:w="2000" w:type="dxa"/>
            <w:tcBorders>
              <w:bottom w:val="single" w:sz="8" w:space="0" w:color="FFFFFF" w:themeColor="background1"/>
            </w:tcBorders>
            <w:shd w:val="clear" w:color="auto" w:fill="auto"/>
            <w:tcMar>
              <w:left w:w="57" w:type="dxa"/>
              <w:right w:w="57" w:type="dxa"/>
            </w:tcMar>
          </w:tcPr>
          <w:p w14:paraId="0DC89340" w14:textId="77777777" w:rsidR="0066215E" w:rsidRDefault="0066215E" w:rsidP="00757632">
            <w:pPr>
              <w:pStyle w:val="TableUnit"/>
              <w:rPr>
                <w:lang w:val="en-GB"/>
              </w:rPr>
            </w:pPr>
            <w:r>
              <w:rPr>
                <w:lang w:val="en-GB"/>
              </w:rPr>
              <w:t>'000</w:t>
            </w:r>
          </w:p>
        </w:tc>
        <w:tc>
          <w:tcPr>
            <w:tcW w:w="2000" w:type="dxa"/>
            <w:tcBorders>
              <w:bottom w:val="single" w:sz="8" w:space="0" w:color="FFFFFF" w:themeColor="background1"/>
            </w:tcBorders>
            <w:shd w:val="clear" w:color="auto" w:fill="auto"/>
            <w:tcMar>
              <w:left w:w="57" w:type="dxa"/>
              <w:right w:w="57" w:type="dxa"/>
            </w:tcMar>
          </w:tcPr>
          <w:p w14:paraId="62C5C1D5" w14:textId="77777777" w:rsidR="0066215E" w:rsidRDefault="0066215E" w:rsidP="00757632">
            <w:pPr>
              <w:pStyle w:val="TableUnit"/>
              <w:rPr>
                <w:lang w:val="en-GB"/>
              </w:rPr>
            </w:pPr>
            <w:r>
              <w:rPr>
                <w:lang w:val="en-GB"/>
              </w:rPr>
              <w:t>'000</w:t>
            </w:r>
          </w:p>
        </w:tc>
        <w:tc>
          <w:tcPr>
            <w:tcW w:w="2000" w:type="dxa"/>
            <w:tcBorders>
              <w:bottom w:val="single" w:sz="8" w:space="0" w:color="FFFFFF" w:themeColor="background1"/>
            </w:tcBorders>
            <w:shd w:val="clear" w:color="auto" w:fill="auto"/>
            <w:tcMar>
              <w:left w:w="57" w:type="dxa"/>
              <w:right w:w="57" w:type="dxa"/>
            </w:tcMar>
          </w:tcPr>
          <w:p w14:paraId="57AA0270" w14:textId="77777777" w:rsidR="0066215E" w:rsidRDefault="0066215E" w:rsidP="00757632">
            <w:pPr>
              <w:pStyle w:val="TableUnit"/>
              <w:rPr>
                <w:lang w:val="en-GB"/>
              </w:rPr>
            </w:pPr>
            <w:r>
              <w:rPr>
                <w:lang w:val="en-GB"/>
              </w:rPr>
              <w:t>Per cent</w:t>
            </w:r>
          </w:p>
        </w:tc>
      </w:tr>
      <w:tr w:rsidR="0066215E" w14:paraId="272A6222" w14:textId="77777777" w:rsidTr="00757632">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485FD4" w14:textId="77777777" w:rsidR="0066215E" w:rsidRDefault="0066215E" w:rsidP="00757632">
            <w:pPr>
              <w:pStyle w:val="TableDataEntries"/>
              <w:jc w:val="left"/>
              <w:rPr>
                <w:lang w:val="en-GB"/>
              </w:rPr>
            </w:pPr>
            <w:r>
              <w:rPr>
                <w:lang w:val="en-GB"/>
              </w:rPr>
              <w:t>Profound</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911DE2" w14:textId="77777777" w:rsidR="0066215E" w:rsidRPr="002E44E1" w:rsidRDefault="0066215E" w:rsidP="00757632">
            <w:pPr>
              <w:pStyle w:val="TableDataEntries"/>
            </w:pPr>
            <w:r w:rsidRPr="002E44E1">
              <w:t xml:space="preserve"> 43.0</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344715" w14:textId="77777777" w:rsidR="0066215E" w:rsidRPr="002E44E1" w:rsidRDefault="0066215E" w:rsidP="00757632">
            <w:pPr>
              <w:pStyle w:val="TableDataEntries"/>
            </w:pPr>
            <w:r w:rsidRPr="002E44E1">
              <w:t xml:space="preserve"> 100.0</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97E49E" w14:textId="77777777" w:rsidR="0066215E" w:rsidRPr="002E44E1" w:rsidRDefault="0066215E" w:rsidP="00757632">
            <w:pPr>
              <w:pStyle w:val="TableDataEntries"/>
            </w:pPr>
            <w:r w:rsidRPr="002E44E1">
              <w:t xml:space="preserve"> 43.0</w:t>
            </w:r>
          </w:p>
        </w:tc>
      </w:tr>
      <w:tr w:rsidR="0066215E" w14:paraId="3FC943F2" w14:textId="77777777" w:rsidTr="00757632">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378F0" w14:textId="77777777" w:rsidR="0066215E" w:rsidRDefault="0066215E" w:rsidP="00757632">
            <w:pPr>
              <w:pStyle w:val="TableDataEntries"/>
              <w:jc w:val="left"/>
              <w:rPr>
                <w:lang w:val="en-GB"/>
              </w:rPr>
            </w:pPr>
            <w:r>
              <w:rPr>
                <w:lang w:val="en-GB"/>
              </w:rPr>
              <w:t>Severe</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4346B6" w14:textId="77777777" w:rsidR="0066215E" w:rsidRPr="002E44E1" w:rsidRDefault="0066215E" w:rsidP="00757632">
            <w:pPr>
              <w:pStyle w:val="TableDataEntries"/>
            </w:pPr>
            <w:r w:rsidRPr="002E44E1">
              <w:t xml:space="preserve"> 50.1</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FC7E72" w14:textId="77777777" w:rsidR="0066215E" w:rsidRPr="002E44E1" w:rsidRDefault="0066215E" w:rsidP="00757632">
            <w:pPr>
              <w:pStyle w:val="TableDataEntries"/>
            </w:pPr>
            <w:r w:rsidRPr="002E44E1">
              <w:t xml:space="preserve"> 114.6</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8BBC72" w14:textId="77777777" w:rsidR="0066215E" w:rsidRPr="002E44E1" w:rsidRDefault="0066215E" w:rsidP="00757632">
            <w:pPr>
              <w:pStyle w:val="TableDataEntries"/>
            </w:pPr>
            <w:r w:rsidRPr="002E44E1">
              <w:t xml:space="preserve"> 43.7</w:t>
            </w:r>
          </w:p>
        </w:tc>
      </w:tr>
      <w:tr w:rsidR="0066215E" w14:paraId="47AFDD54" w14:textId="77777777" w:rsidTr="00757632">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406F49" w14:textId="77777777" w:rsidR="0066215E" w:rsidRDefault="0066215E" w:rsidP="00757632">
            <w:pPr>
              <w:pStyle w:val="TableDataEntries"/>
              <w:jc w:val="left"/>
              <w:rPr>
                <w:lang w:val="en-GB"/>
              </w:rPr>
            </w:pPr>
            <w:r>
              <w:rPr>
                <w:lang w:val="en-GB"/>
              </w:rPr>
              <w:t>Moderate</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FA0B39" w14:textId="77777777" w:rsidR="0066215E" w:rsidRPr="002E44E1" w:rsidRDefault="0066215E" w:rsidP="00757632">
            <w:pPr>
              <w:pStyle w:val="TableDataEntries"/>
            </w:pPr>
            <w:r w:rsidRPr="002E44E1">
              <w:t xml:space="preserve"> 43.8</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8D8364" w14:textId="77777777" w:rsidR="0066215E" w:rsidRPr="002E44E1" w:rsidRDefault="0066215E" w:rsidP="00757632">
            <w:pPr>
              <w:pStyle w:val="TableDataEntries"/>
            </w:pPr>
            <w:r w:rsidRPr="002E44E1">
              <w:t xml:space="preserve"> 82.5</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F66C91" w14:textId="77777777" w:rsidR="0066215E" w:rsidRPr="002E44E1" w:rsidRDefault="0066215E" w:rsidP="00757632">
            <w:pPr>
              <w:pStyle w:val="TableDataEntries"/>
            </w:pPr>
            <w:r w:rsidRPr="002E44E1">
              <w:t xml:space="preserve"> 53.1</w:t>
            </w:r>
          </w:p>
        </w:tc>
      </w:tr>
      <w:tr w:rsidR="0066215E" w14:paraId="7247A035" w14:textId="77777777" w:rsidTr="00757632">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CAB383" w14:textId="77777777" w:rsidR="0066215E" w:rsidRDefault="0066215E" w:rsidP="00757632">
            <w:pPr>
              <w:pStyle w:val="TableDataEntries"/>
              <w:jc w:val="left"/>
              <w:rPr>
                <w:lang w:val="en-GB"/>
              </w:rPr>
            </w:pPr>
            <w:r>
              <w:rPr>
                <w:lang w:val="en-GB"/>
              </w:rPr>
              <w:t>Mild</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5573D2" w14:textId="77777777" w:rsidR="0066215E" w:rsidRPr="002E44E1" w:rsidRDefault="0066215E" w:rsidP="00757632">
            <w:pPr>
              <w:pStyle w:val="TableDataEntries"/>
            </w:pPr>
            <w:r w:rsidRPr="002E44E1">
              <w:t xml:space="preserve"> 61.6</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4900DA" w14:textId="77777777" w:rsidR="0066215E" w:rsidRPr="002E44E1" w:rsidRDefault="0066215E" w:rsidP="00757632">
            <w:pPr>
              <w:pStyle w:val="TableDataEntries"/>
            </w:pPr>
            <w:r w:rsidRPr="002E44E1">
              <w:t xml:space="preserve"> 127.7</w:t>
            </w:r>
          </w:p>
        </w:tc>
        <w:tc>
          <w:tcPr>
            <w:tcW w:w="20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B28291" w14:textId="77777777" w:rsidR="0066215E" w:rsidRPr="002E44E1" w:rsidRDefault="0066215E" w:rsidP="00757632">
            <w:pPr>
              <w:pStyle w:val="TableDataEntries"/>
            </w:pPr>
            <w:r w:rsidRPr="002E44E1">
              <w:t xml:space="preserve"> 48.2</w:t>
            </w:r>
          </w:p>
        </w:tc>
      </w:tr>
      <w:tr w:rsidR="0066215E" w:rsidRPr="002E44E1" w14:paraId="00599108" w14:textId="77777777" w:rsidTr="00757632">
        <w:trPr>
          <w:trHeight w:val="230"/>
        </w:trPr>
        <w:tc>
          <w:tcPr>
            <w:tcW w:w="193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0D9FF8C" w14:textId="77777777" w:rsidR="0066215E" w:rsidRPr="002E44E1" w:rsidRDefault="0066215E" w:rsidP="00757632">
            <w:pPr>
              <w:pStyle w:val="TableDataEntries"/>
              <w:jc w:val="left"/>
              <w:rPr>
                <w:rFonts w:ascii="Franklin Gothic Demi" w:hAnsi="Franklin Gothic Demi"/>
                <w:lang w:val="en-GB"/>
              </w:rPr>
            </w:pPr>
            <w:r w:rsidRPr="002E44E1">
              <w:rPr>
                <w:rFonts w:ascii="Franklin Gothic Demi" w:hAnsi="Franklin Gothic Demi"/>
                <w:lang w:val="en-GB"/>
              </w:rPr>
              <w:t>Total</w:t>
            </w:r>
          </w:p>
        </w:tc>
        <w:tc>
          <w:tcPr>
            <w:tcW w:w="200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62D8617"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191.5</w:t>
            </w:r>
          </w:p>
        </w:tc>
        <w:tc>
          <w:tcPr>
            <w:tcW w:w="200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B7DC6DF"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423.0</w:t>
            </w:r>
          </w:p>
        </w:tc>
        <w:tc>
          <w:tcPr>
            <w:tcW w:w="200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3431A6D"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45.3</w:t>
            </w:r>
          </w:p>
        </w:tc>
      </w:tr>
    </w:tbl>
    <w:p w14:paraId="071D93AF" w14:textId="77777777" w:rsidR="0066215E" w:rsidRDefault="0066215E" w:rsidP="0066215E">
      <w:pPr>
        <w:pStyle w:val="Source"/>
        <w:rPr>
          <w:lang w:bidi="fa-IR"/>
        </w:rPr>
      </w:pPr>
      <w:r w:rsidRPr="00280175">
        <w:rPr>
          <w:iCs/>
          <w:lang w:bidi="fa-IR"/>
        </w:rPr>
        <w:t xml:space="preserve">Source: </w:t>
      </w:r>
      <w:r w:rsidRPr="00280175">
        <w:rPr>
          <w:iCs/>
        </w:rPr>
        <w:t>ABS, Survey of Disabilities, Ageing and Carers, 2018, TableBuilder</w:t>
      </w:r>
      <w:r>
        <w:t>.</w:t>
      </w:r>
    </w:p>
    <w:p w14:paraId="14B767C3" w14:textId="77777777" w:rsidR="0066215E" w:rsidRDefault="0066215E" w:rsidP="0066215E">
      <w:pPr>
        <w:pStyle w:val="BodyText"/>
        <w:rPr>
          <w:lang w:eastAsia="en-US" w:bidi="fa-IR"/>
        </w:rPr>
      </w:pPr>
      <w:r>
        <w:rPr>
          <w:lang w:eastAsia="en-US" w:bidi="fa-IR"/>
        </w:rPr>
        <w:t xml:space="preserve">The proportion of people that want more contact with family and friends (and may therefore be vulnerable to loneliness) is higher among people </w:t>
      </w:r>
      <w:r w:rsidR="00BD626B">
        <w:rPr>
          <w:lang w:eastAsia="en-US" w:bidi="fa-IR"/>
        </w:rPr>
        <w:t xml:space="preserve">who </w:t>
      </w:r>
      <w:r>
        <w:rPr>
          <w:lang w:eastAsia="en-US" w:bidi="fa-IR"/>
        </w:rPr>
        <w:t xml:space="preserve">may have been unable to visit family and friends due to access issues, compared with the broader population of people with limited mobility. </w:t>
      </w:r>
      <w:r w:rsidR="00995F82">
        <w:rPr>
          <w:lang w:eastAsia="en-US" w:bidi="fa-IR"/>
        </w:rPr>
        <w:t>The proportion is a</w:t>
      </w:r>
      <w:r>
        <w:rPr>
          <w:lang w:eastAsia="en-US" w:bidi="fa-IR"/>
        </w:rPr>
        <w:t>round 26.5 per cent for others with mobility limitation (i.e. those that did not report that they had difficulty accessing the house of another person, did not report that they had avoided visiting a friend), which is consistent with the proportion of Australians that feel lonely, as reported above (around 25 per cent).</w:t>
      </w:r>
    </w:p>
    <w:p w14:paraId="5B1454C2" w14:textId="1FB34F5C" w:rsidR="0066215E" w:rsidRDefault="00B27E24" w:rsidP="0066215E">
      <w:pPr>
        <w:pStyle w:val="Caption"/>
        <w:ind w:left="568" w:hanging="568"/>
      </w:pPr>
      <w:bookmarkStart w:id="779" w:name="_Toc45654225"/>
      <w:bookmarkStart w:id="780" w:name="_Toc32321885"/>
      <w:bookmarkStart w:id="781" w:name="_Toc44598594"/>
      <w:bookmarkStart w:id="782" w:name="_Toc44695966"/>
      <w:bookmarkStart w:id="783" w:name="_Toc57643696"/>
      <w:bookmarkStart w:id="784" w:name="_Toc70505650"/>
      <w:r>
        <w:t>G.3</w:t>
      </w:r>
      <w:r w:rsidR="0066215E" w:rsidRPr="00695C93">
        <w:tab/>
      </w:r>
      <w:r w:rsidR="0066215E">
        <w:t>Share of people with a mobility limitation that want more contact with family/friends</w:t>
      </w:r>
      <w:bookmarkEnd w:id="779"/>
      <w:bookmarkEnd w:id="780"/>
      <w:bookmarkEnd w:id="781"/>
      <w:bookmarkEnd w:id="782"/>
      <w:bookmarkEnd w:id="783"/>
      <w:bookmarkEnd w:id="784"/>
    </w:p>
    <w:tbl>
      <w:tblPr>
        <w:tblW w:w="7938" w:type="dxa"/>
        <w:tblLayout w:type="fixed"/>
        <w:tblLook w:val="0000" w:firstRow="0" w:lastRow="0" w:firstColumn="0" w:lastColumn="0" w:noHBand="0" w:noVBand="0"/>
        <w:tblCaption w:val="Table G.3: Share of people with a mobility limitation that want more contact with family/friends"/>
        <w:tblDescription w:val="Table G.3 reports the share of people with a mobility limitation that want more contact with family/friends, divided into those who are unable to visit due to access issues ('relevant people') and others with mobility limitations who did not report having difficulty accessing the house of friends and relatives. The share for relevant people is 45.3%, and for other people with a mobility limitation is 26.5%, with an average of all people with a mobility limitation given as 29.1%."/>
      </w:tblPr>
      <w:tblGrid>
        <w:gridCol w:w="4722"/>
        <w:gridCol w:w="1072"/>
        <w:gridCol w:w="1072"/>
        <w:gridCol w:w="1072"/>
      </w:tblGrid>
      <w:tr w:rsidR="0066215E" w14:paraId="6536DED5" w14:textId="77777777" w:rsidTr="00757632">
        <w:trPr>
          <w:trHeight w:val="461"/>
          <w:tblHeader/>
        </w:trPr>
        <w:tc>
          <w:tcPr>
            <w:tcW w:w="4722" w:type="dxa"/>
            <w:shd w:val="clear" w:color="auto" w:fill="6F6652"/>
            <w:tcMar>
              <w:left w:w="57" w:type="dxa"/>
              <w:right w:w="57" w:type="dxa"/>
            </w:tcMar>
          </w:tcPr>
          <w:p w14:paraId="36047885" w14:textId="77777777" w:rsidR="0066215E" w:rsidRDefault="00022241" w:rsidP="00757632">
            <w:pPr>
              <w:pStyle w:val="TableDataColumnHeading"/>
              <w:jc w:val="left"/>
              <w:rPr>
                <w:lang w:val="en-GB"/>
              </w:rPr>
            </w:pPr>
            <w:r>
              <w:rPr>
                <w:lang w:val="en-GB"/>
              </w:rPr>
              <w:t>People with a mobility limitation</w:t>
            </w:r>
          </w:p>
        </w:tc>
        <w:tc>
          <w:tcPr>
            <w:tcW w:w="1072" w:type="dxa"/>
            <w:shd w:val="clear" w:color="auto" w:fill="6F6652"/>
            <w:tcMar>
              <w:left w:w="57" w:type="dxa"/>
              <w:right w:w="57" w:type="dxa"/>
            </w:tcMar>
          </w:tcPr>
          <w:p w14:paraId="649066F9" w14:textId="77777777" w:rsidR="0066215E" w:rsidRDefault="0066215E" w:rsidP="00757632">
            <w:pPr>
              <w:pStyle w:val="TableDataColumnHeading"/>
              <w:rPr>
                <w:lang w:val="en-GB"/>
              </w:rPr>
            </w:pPr>
            <w:r>
              <w:rPr>
                <w:lang w:val="en-GB"/>
              </w:rPr>
              <w:t>Want more contact with family/friends</w:t>
            </w:r>
          </w:p>
        </w:tc>
        <w:tc>
          <w:tcPr>
            <w:tcW w:w="1072" w:type="dxa"/>
            <w:shd w:val="clear" w:color="auto" w:fill="6F6652"/>
            <w:tcMar>
              <w:left w:w="57" w:type="dxa"/>
              <w:right w:w="57" w:type="dxa"/>
            </w:tcMar>
          </w:tcPr>
          <w:p w14:paraId="12CB4470" w14:textId="77777777" w:rsidR="0066215E" w:rsidRDefault="0066215E" w:rsidP="00757632">
            <w:pPr>
              <w:pStyle w:val="TableDataColumnHeading"/>
              <w:rPr>
                <w:lang w:val="en-GB"/>
              </w:rPr>
            </w:pPr>
            <w:r>
              <w:rPr>
                <w:lang w:val="en-GB"/>
              </w:rPr>
              <w:t>Total</w:t>
            </w:r>
          </w:p>
        </w:tc>
        <w:tc>
          <w:tcPr>
            <w:tcW w:w="1072" w:type="dxa"/>
            <w:shd w:val="clear" w:color="auto" w:fill="6F6652"/>
            <w:tcMar>
              <w:left w:w="57" w:type="dxa"/>
              <w:right w:w="57" w:type="dxa"/>
            </w:tcMar>
          </w:tcPr>
          <w:p w14:paraId="1B0D3855" w14:textId="77777777" w:rsidR="0066215E" w:rsidRDefault="0066215E" w:rsidP="00757632">
            <w:pPr>
              <w:pStyle w:val="TableDataColumnHeading"/>
              <w:rPr>
                <w:lang w:val="en-GB"/>
              </w:rPr>
            </w:pPr>
            <w:r>
              <w:rPr>
                <w:lang w:val="en-GB"/>
              </w:rPr>
              <w:t>Share</w:t>
            </w:r>
          </w:p>
        </w:tc>
      </w:tr>
      <w:tr w:rsidR="0066215E" w14:paraId="6CE6AD2E" w14:textId="77777777" w:rsidTr="00757632">
        <w:trPr>
          <w:trHeight w:val="230"/>
          <w:tblHeader/>
        </w:trPr>
        <w:tc>
          <w:tcPr>
            <w:tcW w:w="4722" w:type="dxa"/>
            <w:tcBorders>
              <w:bottom w:val="single" w:sz="8" w:space="0" w:color="FFFFFF" w:themeColor="background1"/>
            </w:tcBorders>
            <w:shd w:val="clear" w:color="auto" w:fill="auto"/>
            <w:tcMar>
              <w:left w:w="57" w:type="dxa"/>
              <w:right w:w="57" w:type="dxa"/>
            </w:tcMar>
          </w:tcPr>
          <w:p w14:paraId="050F75F0" w14:textId="77777777" w:rsidR="0066215E" w:rsidRDefault="0066215E" w:rsidP="00757632">
            <w:pPr>
              <w:pStyle w:val="TableUnit"/>
              <w:jc w:val="left"/>
              <w:rPr>
                <w:lang w:val="en-GB"/>
              </w:rPr>
            </w:pPr>
          </w:p>
        </w:tc>
        <w:tc>
          <w:tcPr>
            <w:tcW w:w="1072" w:type="dxa"/>
            <w:tcBorders>
              <w:bottom w:val="single" w:sz="8" w:space="0" w:color="FFFFFF" w:themeColor="background1"/>
            </w:tcBorders>
            <w:shd w:val="clear" w:color="auto" w:fill="auto"/>
            <w:tcMar>
              <w:left w:w="57" w:type="dxa"/>
              <w:right w:w="57" w:type="dxa"/>
            </w:tcMar>
          </w:tcPr>
          <w:p w14:paraId="3D2C2286" w14:textId="77777777" w:rsidR="0066215E" w:rsidRDefault="0066215E" w:rsidP="00757632">
            <w:pPr>
              <w:pStyle w:val="TableUnit"/>
              <w:rPr>
                <w:lang w:val="en-GB"/>
              </w:rPr>
            </w:pPr>
            <w:r>
              <w:rPr>
                <w:lang w:val="en-GB"/>
              </w:rPr>
              <w:t>'000</w:t>
            </w:r>
          </w:p>
        </w:tc>
        <w:tc>
          <w:tcPr>
            <w:tcW w:w="1072" w:type="dxa"/>
            <w:tcBorders>
              <w:bottom w:val="single" w:sz="8" w:space="0" w:color="FFFFFF" w:themeColor="background1"/>
            </w:tcBorders>
            <w:shd w:val="clear" w:color="auto" w:fill="auto"/>
            <w:tcMar>
              <w:left w:w="57" w:type="dxa"/>
              <w:right w:w="57" w:type="dxa"/>
            </w:tcMar>
          </w:tcPr>
          <w:p w14:paraId="61353A35" w14:textId="77777777" w:rsidR="0066215E" w:rsidRDefault="0066215E" w:rsidP="00757632">
            <w:pPr>
              <w:pStyle w:val="TableUnit"/>
              <w:rPr>
                <w:lang w:val="en-GB"/>
              </w:rPr>
            </w:pPr>
            <w:r>
              <w:rPr>
                <w:lang w:val="en-GB"/>
              </w:rPr>
              <w:t>'000</w:t>
            </w:r>
          </w:p>
        </w:tc>
        <w:tc>
          <w:tcPr>
            <w:tcW w:w="1072" w:type="dxa"/>
            <w:tcBorders>
              <w:bottom w:val="single" w:sz="8" w:space="0" w:color="FFFFFF" w:themeColor="background1"/>
            </w:tcBorders>
            <w:shd w:val="clear" w:color="auto" w:fill="auto"/>
            <w:tcMar>
              <w:left w:w="57" w:type="dxa"/>
              <w:right w:w="57" w:type="dxa"/>
            </w:tcMar>
          </w:tcPr>
          <w:p w14:paraId="5206E0B0" w14:textId="77777777" w:rsidR="0066215E" w:rsidRDefault="0066215E" w:rsidP="00757632">
            <w:pPr>
              <w:pStyle w:val="TableUnit"/>
              <w:rPr>
                <w:lang w:val="en-GB"/>
              </w:rPr>
            </w:pPr>
            <w:r>
              <w:rPr>
                <w:lang w:val="en-GB"/>
              </w:rPr>
              <w:t>Per cent</w:t>
            </w:r>
          </w:p>
        </w:tc>
      </w:tr>
      <w:tr w:rsidR="0066215E" w14:paraId="56CA7734" w14:textId="77777777" w:rsidTr="00757632">
        <w:trPr>
          <w:trHeight w:val="230"/>
        </w:trPr>
        <w:tc>
          <w:tcPr>
            <w:tcW w:w="47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8EB778" w14:textId="77777777" w:rsidR="0066215E" w:rsidRDefault="0066215E" w:rsidP="00757632">
            <w:pPr>
              <w:pStyle w:val="TableDataEntries"/>
              <w:jc w:val="left"/>
              <w:rPr>
                <w:lang w:val="en-GB"/>
              </w:rPr>
            </w:pPr>
            <w:r>
              <w:rPr>
                <w:lang w:val="en-GB"/>
              </w:rPr>
              <w:t>Relevant people</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2156E0" w14:textId="77777777" w:rsidR="0066215E" w:rsidRPr="002E44E1" w:rsidRDefault="0066215E" w:rsidP="00757632">
            <w:pPr>
              <w:pStyle w:val="TableDataEntries"/>
            </w:pPr>
            <w:r w:rsidRPr="002E44E1">
              <w:t xml:space="preserve"> 191.5</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0EB8E1" w14:textId="77777777" w:rsidR="0066215E" w:rsidRPr="002E44E1" w:rsidRDefault="0066215E" w:rsidP="00757632">
            <w:pPr>
              <w:pStyle w:val="TableDataEntries"/>
            </w:pPr>
            <w:r w:rsidRPr="002E44E1">
              <w:t xml:space="preserve"> 423.0</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D739A0" w14:textId="77777777" w:rsidR="0066215E" w:rsidRPr="002E44E1" w:rsidRDefault="0066215E" w:rsidP="00757632">
            <w:pPr>
              <w:pStyle w:val="TableDataEntries"/>
            </w:pPr>
            <w:r w:rsidRPr="002E44E1">
              <w:t xml:space="preserve"> 45.3</w:t>
            </w:r>
          </w:p>
        </w:tc>
      </w:tr>
      <w:tr w:rsidR="0066215E" w14:paraId="3BAB14B8" w14:textId="77777777" w:rsidTr="00757632">
        <w:trPr>
          <w:trHeight w:val="230"/>
        </w:trPr>
        <w:tc>
          <w:tcPr>
            <w:tcW w:w="47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4BFC0E" w14:textId="77777777" w:rsidR="0066215E" w:rsidRDefault="0066215E" w:rsidP="00757632">
            <w:pPr>
              <w:pStyle w:val="TableDataEntries"/>
              <w:jc w:val="left"/>
              <w:rPr>
                <w:lang w:val="en-GB"/>
              </w:rPr>
            </w:pPr>
            <w:r>
              <w:rPr>
                <w:lang w:val="en-GB"/>
              </w:rPr>
              <w:t>Others with mobility limitation</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1169B8" w14:textId="77777777" w:rsidR="0066215E" w:rsidRPr="002E44E1" w:rsidRDefault="0066215E" w:rsidP="00757632">
            <w:pPr>
              <w:pStyle w:val="TableDataEntries"/>
            </w:pPr>
            <w:r w:rsidRPr="002E44E1">
              <w:t xml:space="preserve"> 677.8</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11A05F" w14:textId="77777777" w:rsidR="0066215E" w:rsidRPr="002E44E1" w:rsidRDefault="0066215E" w:rsidP="00757632">
            <w:pPr>
              <w:pStyle w:val="TableDataEntries"/>
            </w:pPr>
            <w:r w:rsidRPr="002E44E1">
              <w:t>2 559.3</w:t>
            </w:r>
          </w:p>
        </w:tc>
        <w:tc>
          <w:tcPr>
            <w:tcW w:w="10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421EFA" w14:textId="77777777" w:rsidR="0066215E" w:rsidRPr="002E44E1" w:rsidRDefault="0066215E" w:rsidP="00757632">
            <w:pPr>
              <w:pStyle w:val="TableDataEntries"/>
            </w:pPr>
            <w:r w:rsidRPr="002E44E1">
              <w:t xml:space="preserve"> 26.5</w:t>
            </w:r>
          </w:p>
        </w:tc>
      </w:tr>
      <w:tr w:rsidR="0066215E" w:rsidRPr="002E44E1" w14:paraId="49EB46D8" w14:textId="77777777" w:rsidTr="00757632">
        <w:trPr>
          <w:trHeight w:val="230"/>
        </w:trPr>
        <w:tc>
          <w:tcPr>
            <w:tcW w:w="472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D469DA7" w14:textId="77777777" w:rsidR="0066215E" w:rsidRPr="002E44E1" w:rsidRDefault="0066215E" w:rsidP="00757632">
            <w:pPr>
              <w:pStyle w:val="TableDataEntries"/>
              <w:jc w:val="left"/>
              <w:rPr>
                <w:rFonts w:ascii="Franklin Gothic Demi" w:hAnsi="Franklin Gothic Demi"/>
                <w:lang w:val="en-GB"/>
              </w:rPr>
            </w:pPr>
            <w:r w:rsidRPr="002E44E1">
              <w:rPr>
                <w:rFonts w:ascii="Franklin Gothic Demi" w:hAnsi="Franklin Gothic Demi"/>
                <w:lang w:val="en-GB"/>
              </w:rPr>
              <w:t>All people with mobility limitation</w:t>
            </w:r>
          </w:p>
        </w:tc>
        <w:tc>
          <w:tcPr>
            <w:tcW w:w="107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91ADC19"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869.3</w:t>
            </w:r>
          </w:p>
        </w:tc>
        <w:tc>
          <w:tcPr>
            <w:tcW w:w="107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67A690C"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2 982.3</w:t>
            </w:r>
          </w:p>
        </w:tc>
        <w:tc>
          <w:tcPr>
            <w:tcW w:w="107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11CD385"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29.1</w:t>
            </w:r>
          </w:p>
        </w:tc>
      </w:tr>
    </w:tbl>
    <w:p w14:paraId="6209A8C8" w14:textId="77777777" w:rsidR="0066215E" w:rsidRPr="00280175" w:rsidRDefault="0066215E" w:rsidP="0066215E">
      <w:pPr>
        <w:pStyle w:val="Source"/>
        <w:rPr>
          <w:iCs/>
          <w:lang w:bidi="fa-IR"/>
        </w:rPr>
      </w:pPr>
      <w:r w:rsidRPr="00280175">
        <w:rPr>
          <w:iCs/>
          <w:lang w:bidi="fa-IR"/>
        </w:rPr>
        <w:t xml:space="preserve">Source: </w:t>
      </w:r>
      <w:r w:rsidRPr="00280175">
        <w:rPr>
          <w:iCs/>
        </w:rPr>
        <w:t>ABS, Survey of Disabilities, Ageing and Carers, 2018, TableBuilder.</w:t>
      </w:r>
    </w:p>
    <w:p w14:paraId="279CDD92" w14:textId="77777777" w:rsidR="0066215E" w:rsidRDefault="0066215E" w:rsidP="0066215E">
      <w:pPr>
        <w:pStyle w:val="BodyText"/>
        <w:rPr>
          <w:lang w:eastAsia="en-US" w:bidi="fa-IR"/>
        </w:rPr>
      </w:pPr>
      <w:r w:rsidRPr="00FF1159">
        <w:rPr>
          <w:lang w:eastAsia="en-US" w:bidi="fa-IR"/>
        </w:rPr>
        <w:t xml:space="preserve">This data supports the proposition that </w:t>
      </w:r>
      <w:r>
        <w:rPr>
          <w:lang w:eastAsia="en-US" w:bidi="fa-IR"/>
        </w:rPr>
        <w:t>in</w:t>
      </w:r>
      <w:r w:rsidRPr="00FF1159">
        <w:rPr>
          <w:lang w:eastAsia="en-US" w:bidi="fa-IR"/>
        </w:rPr>
        <w:t>accessible housing may be contributing to loneliness</w:t>
      </w:r>
      <w:r>
        <w:rPr>
          <w:lang w:eastAsia="en-US" w:bidi="fa-IR"/>
        </w:rPr>
        <w:t xml:space="preserve"> by preventing people from visiting family and friends</w:t>
      </w:r>
      <w:r w:rsidRPr="00FF1159">
        <w:rPr>
          <w:lang w:eastAsia="en-US" w:bidi="fa-IR"/>
        </w:rPr>
        <w:t>.</w:t>
      </w:r>
      <w:r>
        <w:rPr>
          <w:lang w:eastAsia="en-US" w:bidi="fa-IR"/>
        </w:rPr>
        <w:t xml:space="preserve"> </w:t>
      </w:r>
      <w:r w:rsidR="001B182C">
        <w:rPr>
          <w:lang w:eastAsia="en-US" w:bidi="fa-IR"/>
        </w:rPr>
        <w:t>Noting that</w:t>
      </w:r>
      <w:r w:rsidRPr="00FF1159">
        <w:rPr>
          <w:lang w:eastAsia="en-US" w:bidi="fa-IR"/>
        </w:rPr>
        <w:t xml:space="preserve"> some in this group may have been lonely even if </w:t>
      </w:r>
      <w:r>
        <w:rPr>
          <w:lang w:eastAsia="en-US" w:bidi="fa-IR"/>
        </w:rPr>
        <w:t>they had been able to access</w:t>
      </w:r>
      <w:r w:rsidRPr="00FF1159">
        <w:rPr>
          <w:lang w:eastAsia="en-US" w:bidi="fa-IR"/>
        </w:rPr>
        <w:t xml:space="preserve"> the home of </w:t>
      </w:r>
      <w:r>
        <w:rPr>
          <w:lang w:eastAsia="en-US" w:bidi="fa-IR"/>
        </w:rPr>
        <w:t>their</w:t>
      </w:r>
      <w:r w:rsidRPr="00FF1159">
        <w:rPr>
          <w:lang w:eastAsia="en-US" w:bidi="fa-IR"/>
        </w:rPr>
        <w:t xml:space="preserve"> friends or relatives.</w:t>
      </w:r>
    </w:p>
    <w:p w14:paraId="47ECE682" w14:textId="77777777" w:rsidR="0066215E" w:rsidRPr="00FF1159" w:rsidRDefault="0066215E" w:rsidP="0066215E">
      <w:pPr>
        <w:pStyle w:val="ListBullet"/>
        <w:rPr>
          <w:lang w:eastAsia="en-US" w:bidi="fa-IR"/>
        </w:rPr>
      </w:pPr>
      <w:r w:rsidRPr="00FF1159">
        <w:rPr>
          <w:lang w:eastAsia="en-US" w:bidi="fa-IR"/>
        </w:rPr>
        <w:t xml:space="preserve">Using the 25 per cent of the population (see above) as a benchmark implies that around </w:t>
      </w:r>
      <w:r>
        <w:rPr>
          <w:lang w:eastAsia="en-US" w:bidi="fa-IR"/>
        </w:rPr>
        <w:t>105 800</w:t>
      </w:r>
      <w:r w:rsidRPr="00FF1159">
        <w:rPr>
          <w:lang w:eastAsia="en-US" w:bidi="fa-IR"/>
        </w:rPr>
        <w:t xml:space="preserve"> </w:t>
      </w:r>
      <w:r>
        <w:rPr>
          <w:lang w:eastAsia="en-US" w:bidi="fa-IR"/>
        </w:rPr>
        <w:t>may</w:t>
      </w:r>
      <w:r w:rsidRPr="00FF1159">
        <w:rPr>
          <w:lang w:eastAsia="en-US" w:bidi="fa-IR"/>
        </w:rPr>
        <w:t xml:space="preserve"> have suffered from loneliness anyway.</w:t>
      </w:r>
    </w:p>
    <w:p w14:paraId="6653D31B" w14:textId="0D1FA48E" w:rsidR="0066215E" w:rsidRDefault="0066215E" w:rsidP="0066215E">
      <w:pPr>
        <w:pStyle w:val="ListBullet"/>
        <w:numPr>
          <w:ilvl w:val="0"/>
          <w:numId w:val="16"/>
        </w:numPr>
        <w:rPr>
          <w:lang w:eastAsia="en-US" w:bidi="fa-IR"/>
        </w:rPr>
      </w:pPr>
      <w:r w:rsidRPr="00FF1159">
        <w:rPr>
          <w:lang w:eastAsia="en-US" w:bidi="fa-IR"/>
        </w:rPr>
        <w:t xml:space="preserve">This implies that approximately an additional </w:t>
      </w:r>
      <w:r>
        <w:rPr>
          <w:lang w:eastAsia="en-US" w:bidi="fa-IR"/>
        </w:rPr>
        <w:t>85</w:t>
      </w:r>
      <w:r w:rsidRPr="00FF1159">
        <w:rPr>
          <w:lang w:eastAsia="en-US" w:bidi="fa-IR"/>
        </w:rPr>
        <w:t> </w:t>
      </w:r>
      <w:r>
        <w:rPr>
          <w:lang w:eastAsia="en-US" w:bidi="fa-IR"/>
        </w:rPr>
        <w:t xml:space="preserve">800 people with limited mobility </w:t>
      </w:r>
      <w:r w:rsidRPr="00FF1159">
        <w:rPr>
          <w:lang w:eastAsia="en-US" w:bidi="fa-IR"/>
        </w:rPr>
        <w:t xml:space="preserve">may </w:t>
      </w:r>
      <w:r>
        <w:rPr>
          <w:lang w:eastAsia="en-US" w:bidi="fa-IR"/>
        </w:rPr>
        <w:t xml:space="preserve">be </w:t>
      </w:r>
      <w:r w:rsidRPr="00FF1159">
        <w:rPr>
          <w:lang w:eastAsia="en-US" w:bidi="fa-IR"/>
        </w:rPr>
        <w:t>suffer</w:t>
      </w:r>
      <w:r>
        <w:rPr>
          <w:lang w:eastAsia="en-US" w:bidi="fa-IR"/>
        </w:rPr>
        <w:t>ing</w:t>
      </w:r>
      <w:r w:rsidRPr="00FF1159">
        <w:rPr>
          <w:lang w:eastAsia="en-US" w:bidi="fa-IR"/>
        </w:rPr>
        <w:t xml:space="preserve"> from loneliness as a result of a</w:t>
      </w:r>
      <w:r>
        <w:rPr>
          <w:lang w:eastAsia="en-US" w:bidi="fa-IR"/>
        </w:rPr>
        <w:t>n inability to visit family and friend</w:t>
      </w:r>
      <w:r w:rsidR="00260070">
        <w:rPr>
          <w:lang w:eastAsia="en-US" w:bidi="fa-IR"/>
        </w:rPr>
        <w:t>s</w:t>
      </w:r>
      <w:r>
        <w:rPr>
          <w:lang w:eastAsia="en-US" w:bidi="fa-IR"/>
        </w:rPr>
        <w:t xml:space="preserve"> due to in</w:t>
      </w:r>
      <w:r w:rsidRPr="00FF1159">
        <w:rPr>
          <w:lang w:eastAsia="en-US" w:bidi="fa-IR"/>
        </w:rPr>
        <w:t>accessible housing</w:t>
      </w:r>
      <w:r>
        <w:rPr>
          <w:lang w:eastAsia="en-US" w:bidi="fa-IR"/>
        </w:rPr>
        <w:t xml:space="preserve"> (table </w:t>
      </w:r>
      <w:r w:rsidR="00362332">
        <w:rPr>
          <w:lang w:eastAsia="en-US" w:bidi="fa-IR"/>
        </w:rPr>
        <w:t>G.4</w:t>
      </w:r>
      <w:r>
        <w:rPr>
          <w:lang w:eastAsia="en-US" w:bidi="fa-IR"/>
        </w:rPr>
        <w:t>)</w:t>
      </w:r>
      <w:r w:rsidRPr="00FF1159">
        <w:rPr>
          <w:lang w:eastAsia="en-US" w:bidi="fa-IR"/>
        </w:rPr>
        <w:t>.</w:t>
      </w:r>
    </w:p>
    <w:p w14:paraId="38D69065" w14:textId="0B31681C" w:rsidR="0066215E" w:rsidRDefault="00B27E24" w:rsidP="0066215E">
      <w:pPr>
        <w:pStyle w:val="Caption"/>
      </w:pPr>
      <w:bookmarkStart w:id="785" w:name="_Toc32321814"/>
      <w:bookmarkStart w:id="786" w:name="_Toc44598510"/>
      <w:bookmarkStart w:id="787" w:name="_Toc44695882"/>
      <w:bookmarkStart w:id="788" w:name="_Toc55131568"/>
      <w:bookmarkStart w:id="789" w:name="_Toc57643697"/>
      <w:bookmarkStart w:id="790" w:name="_Toc70505651"/>
      <w:r>
        <w:t>G.4</w:t>
      </w:r>
      <w:r w:rsidR="0066215E" w:rsidRPr="00695C93">
        <w:tab/>
      </w:r>
      <w:r w:rsidR="0066215E">
        <w:t>Estimated cost of loneliness due to a lack of accessible housing</w:t>
      </w:r>
      <w:bookmarkEnd w:id="785"/>
      <w:bookmarkEnd w:id="786"/>
      <w:bookmarkEnd w:id="787"/>
      <w:bookmarkEnd w:id="788"/>
      <w:bookmarkEnd w:id="789"/>
      <w:bookmarkEnd w:id="790"/>
    </w:p>
    <w:tbl>
      <w:tblPr>
        <w:tblW w:w="7938" w:type="dxa"/>
        <w:tblLayout w:type="fixed"/>
        <w:tblLook w:val="0000" w:firstRow="0" w:lastRow="0" w:firstColumn="0" w:lastColumn="0" w:noHBand="0" w:noVBand="0"/>
        <w:tblCaption w:val="Table G.4: Estimated cost of loneliness due to a lack of accessible housing"/>
        <w:tblDescription w:val="Table G.4 presents an estimated cost of loneliness due to a lack of accessible housing, as a percentage of the identified population and as a number of people. The figures take into account that some people may have suffered from loneliness anyway, giving a result of 85,800 people who suffer from loneliness as a result of inaccessible housing."/>
      </w:tblPr>
      <w:tblGrid>
        <w:gridCol w:w="3691"/>
        <w:gridCol w:w="1293"/>
        <w:gridCol w:w="1477"/>
        <w:gridCol w:w="1477"/>
      </w:tblGrid>
      <w:tr w:rsidR="0066215E" w:rsidRPr="00736B40" w14:paraId="6E132401" w14:textId="77777777" w:rsidTr="00757632">
        <w:trPr>
          <w:trHeight w:val="922"/>
          <w:tblHeader/>
        </w:trPr>
        <w:tc>
          <w:tcPr>
            <w:tcW w:w="2835" w:type="dxa"/>
            <w:shd w:val="clear" w:color="auto" w:fill="6F6652"/>
            <w:tcMar>
              <w:left w:w="57" w:type="dxa"/>
              <w:right w:w="57" w:type="dxa"/>
            </w:tcMar>
          </w:tcPr>
          <w:p w14:paraId="1A6E4783" w14:textId="77777777" w:rsidR="0066215E" w:rsidRPr="00736B40" w:rsidRDefault="0066215E" w:rsidP="00757632">
            <w:pPr>
              <w:pStyle w:val="TableDataColumnHeading"/>
              <w:jc w:val="left"/>
              <w:rPr>
                <w:lang w:val="en-GB"/>
              </w:rPr>
            </w:pPr>
          </w:p>
        </w:tc>
        <w:tc>
          <w:tcPr>
            <w:tcW w:w="993" w:type="dxa"/>
            <w:shd w:val="clear" w:color="auto" w:fill="6F6652"/>
            <w:tcMar>
              <w:left w:w="57" w:type="dxa"/>
              <w:right w:w="57" w:type="dxa"/>
            </w:tcMar>
          </w:tcPr>
          <w:p w14:paraId="13BA37BF" w14:textId="77777777" w:rsidR="0066215E" w:rsidRPr="00736B40" w:rsidRDefault="0066215E" w:rsidP="00757632">
            <w:pPr>
              <w:pStyle w:val="TableDataColumnHeading"/>
              <w:rPr>
                <w:lang w:val="en-GB"/>
              </w:rPr>
            </w:pPr>
            <w:r w:rsidRPr="00736B40">
              <w:rPr>
                <w:lang w:val="en-GB"/>
              </w:rPr>
              <w:t xml:space="preserve"> Identified population </w:t>
            </w:r>
            <w:r w:rsidRPr="00736B40">
              <w:rPr>
                <w:rStyle w:val="NoteLabel"/>
              </w:rPr>
              <w:t>a</w:t>
            </w:r>
            <w:r w:rsidRPr="00736B40">
              <w:rPr>
                <w:lang w:val="en-GB"/>
              </w:rPr>
              <w:t xml:space="preserve"> </w:t>
            </w:r>
          </w:p>
        </w:tc>
        <w:tc>
          <w:tcPr>
            <w:tcW w:w="1134" w:type="dxa"/>
            <w:shd w:val="clear" w:color="auto" w:fill="6F6652"/>
            <w:tcMar>
              <w:left w:w="57" w:type="dxa"/>
              <w:right w:w="57" w:type="dxa"/>
            </w:tcMar>
          </w:tcPr>
          <w:p w14:paraId="69F954FA" w14:textId="77777777" w:rsidR="0066215E" w:rsidRPr="00736B40" w:rsidRDefault="0066215E" w:rsidP="00757632">
            <w:pPr>
              <w:pStyle w:val="TableDataColumnHeading"/>
              <w:rPr>
                <w:lang w:val="en-GB"/>
              </w:rPr>
            </w:pPr>
            <w:r w:rsidRPr="00736B40">
              <w:rPr>
                <w:lang w:val="en-GB"/>
              </w:rPr>
              <w:t xml:space="preserve"> Share that want more contact with family/friends </w:t>
            </w:r>
          </w:p>
        </w:tc>
        <w:tc>
          <w:tcPr>
            <w:tcW w:w="1134" w:type="dxa"/>
            <w:shd w:val="clear" w:color="auto" w:fill="6F6652"/>
            <w:tcMar>
              <w:left w:w="57" w:type="dxa"/>
              <w:right w:w="57" w:type="dxa"/>
            </w:tcMar>
          </w:tcPr>
          <w:p w14:paraId="1D3DFCAC" w14:textId="77777777" w:rsidR="0066215E" w:rsidRPr="00736B40" w:rsidRDefault="0066215E" w:rsidP="00757632">
            <w:pPr>
              <w:pStyle w:val="TableDataColumnHeading"/>
              <w:rPr>
                <w:lang w:val="en-GB"/>
              </w:rPr>
            </w:pPr>
            <w:r w:rsidRPr="00736B40">
              <w:rPr>
                <w:lang w:val="en-GB"/>
              </w:rPr>
              <w:t xml:space="preserve"> People that want more contact with family/friends </w:t>
            </w:r>
          </w:p>
        </w:tc>
      </w:tr>
      <w:tr w:rsidR="0066215E" w14:paraId="1A4EA97A" w14:textId="77777777" w:rsidTr="00757632">
        <w:trPr>
          <w:trHeight w:val="230"/>
        </w:trPr>
        <w:tc>
          <w:tcPr>
            <w:tcW w:w="2835" w:type="dxa"/>
            <w:tcBorders>
              <w:bottom w:val="single" w:sz="8" w:space="0" w:color="FFFFFF" w:themeColor="background1"/>
            </w:tcBorders>
            <w:shd w:val="clear" w:color="auto" w:fill="auto"/>
            <w:tcMar>
              <w:left w:w="57" w:type="dxa"/>
              <w:right w:w="57" w:type="dxa"/>
            </w:tcMar>
          </w:tcPr>
          <w:p w14:paraId="6F592C2D" w14:textId="77777777" w:rsidR="0066215E" w:rsidRDefault="0066215E" w:rsidP="00757632">
            <w:pPr>
              <w:pStyle w:val="TableUnit"/>
              <w:jc w:val="left"/>
              <w:rPr>
                <w:lang w:val="en-GB"/>
              </w:rPr>
            </w:pPr>
          </w:p>
        </w:tc>
        <w:tc>
          <w:tcPr>
            <w:tcW w:w="993" w:type="dxa"/>
            <w:tcBorders>
              <w:bottom w:val="single" w:sz="8" w:space="0" w:color="FFFFFF" w:themeColor="background1"/>
            </w:tcBorders>
            <w:shd w:val="clear" w:color="auto" w:fill="auto"/>
            <w:tcMar>
              <w:left w:w="57" w:type="dxa"/>
              <w:right w:w="57" w:type="dxa"/>
            </w:tcMar>
          </w:tcPr>
          <w:p w14:paraId="4B00B741" w14:textId="77777777" w:rsidR="0066215E" w:rsidRDefault="0066215E" w:rsidP="00757632">
            <w:pPr>
              <w:pStyle w:val="TableUnit"/>
              <w:rPr>
                <w:lang w:val="en-GB"/>
              </w:rPr>
            </w:pPr>
            <w:r>
              <w:rPr>
                <w:lang w:val="en-GB"/>
              </w:rPr>
              <w:t>'000</w:t>
            </w:r>
          </w:p>
        </w:tc>
        <w:tc>
          <w:tcPr>
            <w:tcW w:w="1134" w:type="dxa"/>
            <w:tcBorders>
              <w:bottom w:val="single" w:sz="8" w:space="0" w:color="FFFFFF" w:themeColor="background1"/>
            </w:tcBorders>
            <w:shd w:val="clear" w:color="auto" w:fill="auto"/>
            <w:tcMar>
              <w:left w:w="57" w:type="dxa"/>
              <w:right w:w="57" w:type="dxa"/>
            </w:tcMar>
          </w:tcPr>
          <w:p w14:paraId="75830AA8" w14:textId="77777777" w:rsidR="0066215E" w:rsidRDefault="0066215E" w:rsidP="00757632">
            <w:pPr>
              <w:pStyle w:val="TableUnit"/>
              <w:rPr>
                <w:lang w:val="en-GB"/>
              </w:rPr>
            </w:pPr>
            <w:r>
              <w:rPr>
                <w:lang w:val="en-GB"/>
              </w:rPr>
              <w:t>Per cent</w:t>
            </w:r>
          </w:p>
        </w:tc>
        <w:tc>
          <w:tcPr>
            <w:tcW w:w="1134" w:type="dxa"/>
            <w:tcBorders>
              <w:bottom w:val="single" w:sz="8" w:space="0" w:color="FFFFFF" w:themeColor="background1"/>
            </w:tcBorders>
            <w:shd w:val="clear" w:color="auto" w:fill="auto"/>
            <w:tcMar>
              <w:left w:w="57" w:type="dxa"/>
              <w:right w:w="57" w:type="dxa"/>
            </w:tcMar>
          </w:tcPr>
          <w:p w14:paraId="3F3CCB43" w14:textId="77777777" w:rsidR="0066215E" w:rsidRDefault="0066215E" w:rsidP="00757632">
            <w:pPr>
              <w:pStyle w:val="TableUnit"/>
              <w:rPr>
                <w:lang w:val="en-GB"/>
              </w:rPr>
            </w:pPr>
            <w:r>
              <w:rPr>
                <w:lang w:val="en-GB"/>
              </w:rPr>
              <w:t>'000</w:t>
            </w:r>
          </w:p>
        </w:tc>
      </w:tr>
      <w:tr w:rsidR="0066215E" w14:paraId="50D0C2BB" w14:textId="77777777" w:rsidTr="00757632">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C86285" w14:textId="77777777" w:rsidR="0066215E" w:rsidRDefault="0066215E" w:rsidP="00757632">
            <w:pPr>
              <w:pStyle w:val="TableDataEntries"/>
              <w:jc w:val="left"/>
              <w:rPr>
                <w:lang w:val="en-GB"/>
              </w:rPr>
            </w:pPr>
            <w:r>
              <w:rPr>
                <w:lang w:val="en-GB"/>
              </w:rPr>
              <w:t>Actual estimates</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7860CE" w14:textId="77777777" w:rsidR="0066215E" w:rsidRPr="002E44E1" w:rsidRDefault="0066215E" w:rsidP="00757632">
            <w:pPr>
              <w:pStyle w:val="TableDataEntries"/>
            </w:pPr>
            <w:r w:rsidRPr="002E44E1">
              <w:t xml:space="preserve"> 423.0</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26AC89" w14:textId="77777777" w:rsidR="0066215E" w:rsidRPr="002E44E1" w:rsidRDefault="0066215E" w:rsidP="00757632">
            <w:pPr>
              <w:pStyle w:val="TableDataEntries"/>
            </w:pPr>
            <w:r w:rsidRPr="002E44E1">
              <w:t xml:space="preserve"> 45.3</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B5B440" w14:textId="77777777" w:rsidR="0066215E" w:rsidRPr="002E44E1" w:rsidRDefault="0066215E" w:rsidP="00757632">
            <w:pPr>
              <w:pStyle w:val="TableDataEntries"/>
            </w:pPr>
            <w:r w:rsidRPr="002E44E1">
              <w:t xml:space="preserve"> 191.5</w:t>
            </w:r>
          </w:p>
        </w:tc>
      </w:tr>
      <w:tr w:rsidR="0066215E" w14:paraId="6DF21738" w14:textId="77777777" w:rsidTr="00757632">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CB64B6" w14:textId="77777777" w:rsidR="0066215E" w:rsidRDefault="0066215E" w:rsidP="00757632">
            <w:pPr>
              <w:pStyle w:val="TableDataEntries"/>
              <w:jc w:val="left"/>
              <w:rPr>
                <w:lang w:val="en-GB"/>
              </w:rPr>
            </w:pPr>
            <w:r>
              <w:rPr>
                <w:lang w:val="en-GB"/>
              </w:rPr>
              <w:t>Implied baseline</w:t>
            </w:r>
          </w:p>
        </w:tc>
        <w:tc>
          <w:tcPr>
            <w:tcW w:w="9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E37FB8" w14:textId="77777777" w:rsidR="0066215E" w:rsidRPr="002E44E1" w:rsidRDefault="0066215E" w:rsidP="00757632">
            <w:pPr>
              <w:pStyle w:val="TableDataEntries"/>
            </w:pPr>
            <w:r w:rsidRPr="002E44E1">
              <w:t xml:space="preserve"> 423.0</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A79B60" w14:textId="77777777" w:rsidR="0066215E" w:rsidRPr="002E44E1" w:rsidRDefault="0066215E" w:rsidP="00757632">
            <w:pPr>
              <w:pStyle w:val="TableDataEntries"/>
            </w:pPr>
            <w:r w:rsidRPr="002E44E1">
              <w:t xml:space="preserve"> 25.0</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006A13" w14:textId="77777777" w:rsidR="0066215E" w:rsidRPr="002E44E1" w:rsidRDefault="0066215E" w:rsidP="00757632">
            <w:pPr>
              <w:pStyle w:val="TableDataEntries"/>
            </w:pPr>
            <w:r w:rsidRPr="002E44E1">
              <w:t xml:space="preserve"> 105.8</w:t>
            </w:r>
          </w:p>
        </w:tc>
      </w:tr>
      <w:tr w:rsidR="0066215E" w:rsidRPr="002E44E1" w14:paraId="1D59C1A9" w14:textId="77777777" w:rsidTr="00757632">
        <w:trPr>
          <w:trHeight w:val="40"/>
        </w:trPr>
        <w:tc>
          <w:tcPr>
            <w:tcW w:w="283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B71A1A5" w14:textId="77777777" w:rsidR="0066215E" w:rsidRPr="002E44E1" w:rsidRDefault="0066215E" w:rsidP="00757632">
            <w:pPr>
              <w:pStyle w:val="TableDataEntries"/>
              <w:jc w:val="left"/>
              <w:rPr>
                <w:rFonts w:ascii="Franklin Gothic Demi" w:hAnsi="Franklin Gothic Demi"/>
                <w:lang w:val="en-GB"/>
              </w:rPr>
            </w:pPr>
            <w:r w:rsidRPr="002E44E1">
              <w:rPr>
                <w:rFonts w:ascii="Franklin Gothic Demi" w:hAnsi="Franklin Gothic Demi"/>
                <w:lang w:val="en-GB"/>
              </w:rPr>
              <w:t>Cost due to lack of accessible housing</w:t>
            </w:r>
          </w:p>
        </w:tc>
        <w:tc>
          <w:tcPr>
            <w:tcW w:w="99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1534322" w14:textId="77777777" w:rsidR="0066215E" w:rsidRPr="002E44E1" w:rsidRDefault="0066215E" w:rsidP="00757632">
            <w:pPr>
              <w:pStyle w:val="TableDataEntries"/>
              <w:rPr>
                <w:rFonts w:ascii="Franklin Gothic Demi" w:hAnsi="Franklin Gothic Demi"/>
              </w:rPr>
            </w:pPr>
          </w:p>
        </w:tc>
        <w:tc>
          <w:tcPr>
            <w:tcW w:w="113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2434380" w14:textId="77777777" w:rsidR="0066215E" w:rsidRPr="002E44E1" w:rsidRDefault="0066215E" w:rsidP="00757632">
            <w:pPr>
              <w:pStyle w:val="TableDataEntries"/>
              <w:rPr>
                <w:rFonts w:ascii="Franklin Gothic Demi" w:hAnsi="Franklin Gothic Demi"/>
              </w:rPr>
            </w:pPr>
          </w:p>
        </w:tc>
        <w:tc>
          <w:tcPr>
            <w:tcW w:w="113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981384D" w14:textId="77777777" w:rsidR="0066215E" w:rsidRPr="002E44E1" w:rsidRDefault="0066215E" w:rsidP="00757632">
            <w:pPr>
              <w:pStyle w:val="TableDataEntries"/>
              <w:rPr>
                <w:rFonts w:ascii="Franklin Gothic Demi" w:hAnsi="Franklin Gothic Demi"/>
              </w:rPr>
            </w:pPr>
            <w:r w:rsidRPr="002E44E1">
              <w:rPr>
                <w:rFonts w:ascii="Franklin Gothic Demi" w:hAnsi="Franklin Gothic Demi"/>
              </w:rPr>
              <w:t xml:space="preserve"> 85.8</w:t>
            </w:r>
          </w:p>
        </w:tc>
      </w:tr>
    </w:tbl>
    <w:p w14:paraId="17673927" w14:textId="77777777" w:rsidR="0066215E" w:rsidRPr="00E4232C" w:rsidRDefault="0066215E" w:rsidP="0066215E">
      <w:pPr>
        <w:pStyle w:val="Note"/>
      </w:pPr>
      <w:r w:rsidRPr="00E4232C">
        <w:rPr>
          <w:rStyle w:val="NoteLabel"/>
        </w:rPr>
        <w:t>a</w:t>
      </w:r>
      <w:r>
        <w:t xml:space="preserve"> The identified population is based on 2018 SDAC data using TableBuilder. The identified population includes: people with a mobility limitation; and indicated they did not leave the house as often as they would like due to their own condition or age; or indicated they had difficult accessing another person’s house over the past year; or had avoided visiting people due to their condition. </w:t>
      </w:r>
      <w:r w:rsidRPr="00DF7B3F">
        <w:rPr>
          <w:rStyle w:val="NoteLabel"/>
        </w:rPr>
        <w:t>b</w:t>
      </w:r>
      <w:r>
        <w:t xml:space="preserve"> Based on the share of the identified population that indicated they want more contact with family/friends. </w:t>
      </w:r>
      <w:r w:rsidRPr="00DF7B3F">
        <w:rPr>
          <w:rStyle w:val="NoteLabel"/>
        </w:rPr>
        <w:t>c</w:t>
      </w:r>
      <w:r>
        <w:t xml:space="preserve"> The baseline share of the population that suffer from loneliness is based on a 2018 survey by the Australian Psychological Society and Swinburne University of Technology. </w:t>
      </w:r>
    </w:p>
    <w:p w14:paraId="6E084EF4" w14:textId="77777777" w:rsidR="0066215E" w:rsidRPr="00280175" w:rsidRDefault="0066215E" w:rsidP="0066215E">
      <w:pPr>
        <w:pStyle w:val="Source"/>
        <w:rPr>
          <w:iCs/>
        </w:rPr>
      </w:pPr>
      <w:r w:rsidRPr="00280175">
        <w:rPr>
          <w:iCs/>
          <w:lang w:bidi="fa-IR"/>
        </w:rPr>
        <w:t xml:space="preserve">Source: ABS Survey of Disabilities, Ageing and Carers, 2018, TableBuilder data; </w:t>
      </w:r>
      <w:r w:rsidRPr="00280175">
        <w:rPr>
          <w:iCs/>
          <w:lang w:val="en-US"/>
        </w:rPr>
        <w:t>Australian Pyschological Society and Swinburne University of Technology, 2018, Australian Loneliness Report: A survey exploring the loneliness levels of Australians and the impact on their health and wellbeing, p. 5; McDaid, D. Park, A.L. and Fernandez, J.L. Reconnections Evaluation Interim Report, Personal Social Services Research Unit (PSSRU), London School of Economics, June 2016, p. 30; CIE.</w:t>
      </w:r>
    </w:p>
    <w:p w14:paraId="4FC9D2E9" w14:textId="77777777" w:rsidR="00ED748D" w:rsidRPr="004B79EC" w:rsidRDefault="00ED748D" w:rsidP="004B79EC">
      <w:pPr>
        <w:pStyle w:val="Heading2-Appendix"/>
      </w:pPr>
      <w:r w:rsidRPr="004B79EC">
        <w:t>The cost of loneliness</w:t>
      </w:r>
    </w:p>
    <w:p w14:paraId="0CAD209F" w14:textId="77777777" w:rsidR="00ED748D" w:rsidRDefault="00ED748D" w:rsidP="00ED748D">
      <w:pPr>
        <w:pStyle w:val="BodyText"/>
      </w:pPr>
      <w:r>
        <w:t>Loneliness is associated with a range of health impacts, including:</w:t>
      </w:r>
    </w:p>
    <w:p w14:paraId="68C91D6B" w14:textId="77777777" w:rsidR="00ED748D" w:rsidRDefault="00ED748D" w:rsidP="00ED748D">
      <w:pPr>
        <w:pStyle w:val="ListBullet"/>
        <w:numPr>
          <w:ilvl w:val="0"/>
          <w:numId w:val="16"/>
        </w:numPr>
      </w:pPr>
      <w:r>
        <w:t xml:space="preserve">an increase in GP </w:t>
      </w:r>
      <w:r w:rsidR="00211AD1">
        <w:t>c</w:t>
      </w:r>
      <w:r>
        <w:t>onsultations</w:t>
      </w:r>
    </w:p>
    <w:p w14:paraId="067A91C7" w14:textId="77777777" w:rsidR="00ED748D" w:rsidRDefault="00ED748D" w:rsidP="00ED748D">
      <w:pPr>
        <w:pStyle w:val="ListBullet"/>
        <w:numPr>
          <w:ilvl w:val="0"/>
          <w:numId w:val="16"/>
        </w:numPr>
      </w:pPr>
      <w:r>
        <w:t>unplanned hospital admissions</w:t>
      </w:r>
    </w:p>
    <w:p w14:paraId="27373518" w14:textId="77777777" w:rsidR="00ED748D" w:rsidRDefault="00ED748D" w:rsidP="00ED748D">
      <w:pPr>
        <w:pStyle w:val="ListBullet"/>
        <w:numPr>
          <w:ilvl w:val="0"/>
          <w:numId w:val="16"/>
        </w:numPr>
      </w:pPr>
      <w:r>
        <w:t>increased attendance at an Emergency Department</w:t>
      </w:r>
    </w:p>
    <w:p w14:paraId="0BFC9D3C" w14:textId="77777777" w:rsidR="00ED748D" w:rsidRDefault="00ED748D" w:rsidP="00ED748D">
      <w:pPr>
        <w:pStyle w:val="ListBullet"/>
        <w:numPr>
          <w:ilvl w:val="0"/>
          <w:numId w:val="16"/>
        </w:numPr>
      </w:pPr>
      <w:r>
        <w:t>an increase in self</w:t>
      </w:r>
      <w:r>
        <w:noBreakHyphen/>
        <w:t>harm</w:t>
      </w:r>
    </w:p>
    <w:p w14:paraId="7528AD28" w14:textId="77777777" w:rsidR="00ED748D" w:rsidRDefault="00ED748D" w:rsidP="00ED748D">
      <w:pPr>
        <w:pStyle w:val="ListBullet"/>
        <w:numPr>
          <w:ilvl w:val="0"/>
          <w:numId w:val="16"/>
        </w:numPr>
      </w:pPr>
      <w:r>
        <w:t>an increase in depression</w:t>
      </w:r>
    </w:p>
    <w:p w14:paraId="3487D7BC" w14:textId="77777777" w:rsidR="00ED748D" w:rsidRDefault="00ED748D" w:rsidP="00ED748D">
      <w:pPr>
        <w:pStyle w:val="ListBullet"/>
        <w:numPr>
          <w:ilvl w:val="0"/>
          <w:numId w:val="16"/>
        </w:numPr>
      </w:pPr>
      <w:r>
        <w:t>an increase in coronary heart disease</w:t>
      </w:r>
    </w:p>
    <w:p w14:paraId="5A6C190B" w14:textId="77777777" w:rsidR="00ED748D" w:rsidRDefault="00ED748D" w:rsidP="00ED748D">
      <w:pPr>
        <w:pStyle w:val="ListBullet"/>
        <w:numPr>
          <w:ilvl w:val="0"/>
          <w:numId w:val="16"/>
        </w:numPr>
      </w:pPr>
      <w:r>
        <w:t>an increase in stroke</w:t>
      </w:r>
    </w:p>
    <w:p w14:paraId="00099B5C" w14:textId="77777777" w:rsidR="00ED748D" w:rsidRDefault="00ED748D" w:rsidP="00ED748D">
      <w:pPr>
        <w:pStyle w:val="ListBullet"/>
        <w:numPr>
          <w:ilvl w:val="0"/>
          <w:numId w:val="16"/>
        </w:numPr>
      </w:pPr>
      <w:r>
        <w:t>an increase in dementia.</w:t>
      </w:r>
    </w:p>
    <w:p w14:paraId="0B99BC2B" w14:textId="77777777" w:rsidR="00ED748D" w:rsidRDefault="00ED748D" w:rsidP="00ED748D">
      <w:pPr>
        <w:pStyle w:val="BodyText"/>
      </w:pPr>
      <w:r>
        <w:t xml:space="preserve">One way the cost of loneliness to the community has been measured in the literature is through these health impacts. Although </w:t>
      </w:r>
      <w:r w:rsidR="001C0E1F">
        <w:t>CIE</w:t>
      </w:r>
      <w:r>
        <w:t xml:space="preserve"> did not identify any Australian studies estimating the economic costs of loneliness, there are several UK studies. In particular:</w:t>
      </w:r>
    </w:p>
    <w:p w14:paraId="23D46363" w14:textId="77777777" w:rsidR="00ED748D" w:rsidRDefault="00ED748D" w:rsidP="00ED748D">
      <w:pPr>
        <w:pStyle w:val="ListBullet"/>
        <w:numPr>
          <w:ilvl w:val="0"/>
          <w:numId w:val="16"/>
        </w:numPr>
      </w:pPr>
      <w:r>
        <w:t>McDaid et. al. estimated the avoidable costs of loneliness could be around £1</w:t>
      </w:r>
      <w:r w:rsidR="00116AB2">
        <w:t> </w:t>
      </w:r>
      <w:r>
        <w:t>700 (2015 values) per person in net present value terms over ten years.</w:t>
      </w:r>
      <w:r>
        <w:rPr>
          <w:rStyle w:val="FootnoteReference"/>
        </w:rPr>
        <w:footnoteReference w:id="492"/>
      </w:r>
    </w:p>
    <w:p w14:paraId="25F5A314" w14:textId="77777777" w:rsidR="00ED748D" w:rsidRDefault="00ED748D" w:rsidP="00ED748D">
      <w:pPr>
        <w:pStyle w:val="ListBullet2"/>
        <w:numPr>
          <w:ilvl w:val="1"/>
          <w:numId w:val="16"/>
        </w:numPr>
        <w:ind w:left="568" w:hanging="284"/>
      </w:pPr>
      <w:r>
        <w:t>The discount rate used in the net present value calculation is not reported. However, using a 7 per cent discount rate, this equates to around £226 per year.</w:t>
      </w:r>
    </w:p>
    <w:p w14:paraId="5B7DFCEC" w14:textId="77777777" w:rsidR="00ED748D" w:rsidRDefault="00ED748D" w:rsidP="00ED748D">
      <w:pPr>
        <w:pStyle w:val="ListBullet2"/>
        <w:numPr>
          <w:ilvl w:val="1"/>
          <w:numId w:val="16"/>
        </w:numPr>
        <w:ind w:left="568" w:hanging="284"/>
      </w:pPr>
      <w:r>
        <w:t>Converted to 2019 Australian dollar terms, this is around $417 per year.</w:t>
      </w:r>
    </w:p>
    <w:p w14:paraId="0B5CCE97" w14:textId="77777777" w:rsidR="00ED748D" w:rsidRDefault="00ED748D" w:rsidP="00ED748D">
      <w:pPr>
        <w:pStyle w:val="ListBullet"/>
        <w:numPr>
          <w:ilvl w:val="0"/>
          <w:numId w:val="16"/>
        </w:numPr>
      </w:pPr>
      <w:r>
        <w:t xml:space="preserve">For those who are lonely most of the time, these costs are estimated at around </w:t>
      </w:r>
      <w:r w:rsidR="0046109F" w:rsidRPr="0046109F">
        <w:t>£</w:t>
      </w:r>
      <w:r>
        <w:t>6</w:t>
      </w:r>
      <w:r w:rsidR="00116AB2">
        <w:t> </w:t>
      </w:r>
      <w:r>
        <w:t>000 per person in net present value terms over ten years.</w:t>
      </w:r>
      <w:r w:rsidRPr="002D004B">
        <w:rPr>
          <w:rStyle w:val="FootnoteReference"/>
        </w:rPr>
        <w:t xml:space="preserve"> </w:t>
      </w:r>
      <w:r>
        <w:rPr>
          <w:rStyle w:val="FootnoteReference"/>
        </w:rPr>
        <w:footnoteReference w:id="493"/>
      </w:r>
    </w:p>
    <w:p w14:paraId="026E3D11" w14:textId="77777777" w:rsidR="00ED748D" w:rsidRDefault="00ED748D" w:rsidP="00ED748D">
      <w:pPr>
        <w:pStyle w:val="ListBullet2"/>
        <w:numPr>
          <w:ilvl w:val="1"/>
          <w:numId w:val="16"/>
        </w:numPr>
        <w:ind w:left="568" w:hanging="284"/>
      </w:pPr>
      <w:r>
        <w:t>Assuming a 7 per cent discount rate, this equates to around 798 per year.</w:t>
      </w:r>
    </w:p>
    <w:p w14:paraId="5A297038" w14:textId="77777777" w:rsidR="00ED748D" w:rsidRDefault="00ED748D" w:rsidP="00ED748D">
      <w:pPr>
        <w:pStyle w:val="ListBullet2"/>
        <w:numPr>
          <w:ilvl w:val="1"/>
          <w:numId w:val="16"/>
        </w:numPr>
        <w:ind w:left="568" w:hanging="284"/>
      </w:pPr>
      <w:r>
        <w:t>Converting to 2019 Australian dollar terms, this is around $1</w:t>
      </w:r>
      <w:r w:rsidR="00116AB2">
        <w:t> </w:t>
      </w:r>
      <w:r>
        <w:t>471 per year.</w:t>
      </w:r>
    </w:p>
    <w:p w14:paraId="02C2F349" w14:textId="77777777" w:rsidR="004E736E" w:rsidRDefault="001C0E1F" w:rsidP="006C5856">
      <w:pPr>
        <w:pStyle w:val="BodyText"/>
        <w:rPr>
          <w:lang w:bidi="fa-IR"/>
        </w:rPr>
      </w:pPr>
      <w:r>
        <w:rPr>
          <w:lang w:bidi="fa-IR"/>
        </w:rPr>
        <w:t>T</w:t>
      </w:r>
      <w:r w:rsidR="00ED748D">
        <w:rPr>
          <w:lang w:bidi="fa-IR"/>
        </w:rPr>
        <w:t xml:space="preserve">he above estimates </w:t>
      </w:r>
      <w:r>
        <w:rPr>
          <w:lang w:bidi="fa-IR"/>
        </w:rPr>
        <w:t>are used</w:t>
      </w:r>
      <w:r w:rsidR="00ED748D">
        <w:rPr>
          <w:lang w:bidi="fa-IR"/>
        </w:rPr>
        <w:t xml:space="preserve"> as low and high estimates, with the midpoint use</w:t>
      </w:r>
      <w:r w:rsidR="001C699C">
        <w:rPr>
          <w:lang w:bidi="fa-IR"/>
        </w:rPr>
        <w:t>d as the central case estimate.</w:t>
      </w:r>
    </w:p>
    <w:p w14:paraId="0BFBE0F5" w14:textId="77777777" w:rsidR="004E736E" w:rsidRPr="004B79EC" w:rsidRDefault="004E736E" w:rsidP="004B79EC">
      <w:pPr>
        <w:pStyle w:val="Heading1-Appendix"/>
      </w:pPr>
      <w:bookmarkStart w:id="791" w:name="_Ref55130384"/>
      <w:bookmarkStart w:id="792" w:name="_Ref31915182"/>
      <w:bookmarkStart w:id="793" w:name="_Ref31915213"/>
      <w:bookmarkStart w:id="794" w:name="_Toc32321780"/>
      <w:bookmarkStart w:id="795" w:name="_Toc44598469"/>
      <w:bookmarkStart w:id="796" w:name="_Toc45654100"/>
      <w:r w:rsidRPr="004B79EC">
        <w:t>Premature or inappropriate entry into residential aged care</w:t>
      </w:r>
      <w:bookmarkEnd w:id="791"/>
      <w:bookmarkEnd w:id="792"/>
      <w:bookmarkEnd w:id="793"/>
      <w:bookmarkEnd w:id="794"/>
      <w:bookmarkEnd w:id="795"/>
      <w:bookmarkEnd w:id="796"/>
    </w:p>
    <w:p w14:paraId="58F1DBA4" w14:textId="77777777" w:rsidR="00ED748D" w:rsidRPr="004B79EC" w:rsidRDefault="00ED748D" w:rsidP="004B79EC">
      <w:pPr>
        <w:pStyle w:val="Heading2-Appendix"/>
      </w:pPr>
      <w:r w:rsidRPr="004B79EC">
        <w:t>Incidence of people inappropriately or prematurely admitted to aged care</w:t>
      </w:r>
    </w:p>
    <w:p w14:paraId="5183FBBC" w14:textId="77777777" w:rsidR="00ED748D" w:rsidRDefault="00ED748D" w:rsidP="00ED748D">
      <w:pPr>
        <w:pStyle w:val="BodyText"/>
        <w:rPr>
          <w:lang w:bidi="fa-IR"/>
        </w:rPr>
      </w:pPr>
      <w:r>
        <w:rPr>
          <w:lang w:bidi="fa-IR"/>
        </w:rPr>
        <w:t>There were:</w:t>
      </w:r>
    </w:p>
    <w:p w14:paraId="4F5D2BB2" w14:textId="77777777" w:rsidR="00ED748D" w:rsidRDefault="00ED748D" w:rsidP="00ED748D">
      <w:pPr>
        <w:pStyle w:val="ListBullet"/>
        <w:numPr>
          <w:ilvl w:val="0"/>
          <w:numId w:val="16"/>
        </w:numPr>
        <w:rPr>
          <w:lang w:bidi="fa-IR"/>
        </w:rPr>
      </w:pPr>
      <w:r>
        <w:rPr>
          <w:lang w:bidi="fa-IR"/>
        </w:rPr>
        <w:t>around 176 300 people with mobility impairment in residential aged care in 2018 (including homes for the aged and cared retired/aged accommodation) according to SDAC data</w:t>
      </w:r>
    </w:p>
    <w:p w14:paraId="446221AF" w14:textId="77777777" w:rsidR="00ED748D" w:rsidRDefault="00ED748D" w:rsidP="00ED748D">
      <w:pPr>
        <w:pStyle w:val="ListBullet"/>
        <w:numPr>
          <w:ilvl w:val="0"/>
          <w:numId w:val="16"/>
        </w:numPr>
        <w:rPr>
          <w:lang w:bidi="fa-IR"/>
        </w:rPr>
      </w:pPr>
      <w:r>
        <w:rPr>
          <w:lang w:bidi="fa-IR"/>
        </w:rPr>
        <w:t>182 705 permanent aged care place</w:t>
      </w:r>
      <w:r w:rsidR="001B3A92">
        <w:rPr>
          <w:lang w:bidi="fa-IR"/>
        </w:rPr>
        <w:t>s</w:t>
      </w:r>
      <w:r>
        <w:rPr>
          <w:lang w:bidi="fa-IR"/>
        </w:rPr>
        <w:t xml:space="preserve"> funded by the Australian Government as at June 2019, according to AIHW data.</w:t>
      </w:r>
      <w:r>
        <w:rPr>
          <w:rStyle w:val="FootnoteReference"/>
          <w:lang w:bidi="fa-IR"/>
        </w:rPr>
        <w:footnoteReference w:id="494"/>
      </w:r>
    </w:p>
    <w:p w14:paraId="03B2FE22" w14:textId="77777777" w:rsidR="00ED748D" w:rsidRDefault="00ED748D" w:rsidP="00ED748D">
      <w:pPr>
        <w:pStyle w:val="BodyText"/>
        <w:rPr>
          <w:lang w:bidi="fa-IR"/>
        </w:rPr>
      </w:pPr>
      <w:r>
        <w:rPr>
          <w:lang w:bidi="fa-IR"/>
        </w:rPr>
        <w:t xml:space="preserve">Entry into residential care can be a complex decision, taking into account a range of factors. </w:t>
      </w:r>
      <w:r w:rsidRPr="00FF3A4A">
        <w:rPr>
          <w:lang w:bidi="fa-IR"/>
        </w:rPr>
        <w:t>There is limited evidence on the incidence of people being admitted to residential aged care inappropriately or prematurely</w:t>
      </w:r>
      <w:r>
        <w:rPr>
          <w:lang w:bidi="fa-IR"/>
        </w:rPr>
        <w:t>. Residential aged care is generally to address care needs beyond accessibility. However, it is possible that some proportion of these aged care residents may have prematurely entered aged care, where their previous home no longer meets their changing accessibility needs and they are unable to secure alternative accommodation that meets their needs. Even where an individual has some care needs, home-based care may be possible with accessible housing.</w:t>
      </w:r>
    </w:p>
    <w:p w14:paraId="04CC23BD" w14:textId="77777777" w:rsidR="00ED748D" w:rsidRDefault="00ED748D" w:rsidP="00ED748D">
      <w:pPr>
        <w:pStyle w:val="BodyText"/>
        <w:rPr>
          <w:lang w:bidi="fa-IR"/>
        </w:rPr>
      </w:pPr>
      <w:r>
        <w:rPr>
          <w:lang w:bidi="fa-IR"/>
        </w:rPr>
        <w:t xml:space="preserve">Based on the limited information available, </w:t>
      </w:r>
      <w:r w:rsidR="001C0E1F">
        <w:rPr>
          <w:lang w:bidi="fa-IR"/>
        </w:rPr>
        <w:t xml:space="preserve">it is </w:t>
      </w:r>
      <w:r>
        <w:rPr>
          <w:lang w:bidi="fa-IR"/>
        </w:rPr>
        <w:t>estimate</w:t>
      </w:r>
      <w:r w:rsidR="001C0E1F">
        <w:rPr>
          <w:lang w:bidi="fa-IR"/>
        </w:rPr>
        <w:t>d</w:t>
      </w:r>
      <w:r>
        <w:rPr>
          <w:lang w:bidi="fa-IR"/>
        </w:rPr>
        <w:t xml:space="preserve"> that there could be between 2</w:t>
      </w:r>
      <w:r w:rsidR="000D48EF">
        <w:rPr>
          <w:lang w:bidi="fa-IR"/>
        </w:rPr>
        <w:t> </w:t>
      </w:r>
      <w:r>
        <w:rPr>
          <w:lang w:bidi="fa-IR"/>
        </w:rPr>
        <w:t>6</w:t>
      </w:r>
      <w:r w:rsidR="000D48EF">
        <w:rPr>
          <w:lang w:bidi="fa-IR"/>
        </w:rPr>
        <w:t>60</w:t>
      </w:r>
      <w:r>
        <w:rPr>
          <w:lang w:bidi="fa-IR"/>
        </w:rPr>
        <w:t xml:space="preserve"> and 6</w:t>
      </w:r>
      <w:r w:rsidR="000D48EF">
        <w:rPr>
          <w:lang w:bidi="fa-IR"/>
        </w:rPr>
        <w:t> 023</w:t>
      </w:r>
      <w:r>
        <w:rPr>
          <w:lang w:bidi="fa-IR"/>
        </w:rPr>
        <w:t xml:space="preserve"> additional people in residential aged care due to a lack of accessible housing, with a central case estimate of 4</w:t>
      </w:r>
      <w:r w:rsidR="000D48EF">
        <w:rPr>
          <w:lang w:bidi="fa-IR"/>
        </w:rPr>
        <w:t> 140</w:t>
      </w:r>
      <w:r>
        <w:rPr>
          <w:lang w:bidi="fa-IR"/>
        </w:rPr>
        <w:t xml:space="preserve"> (table </w:t>
      </w:r>
      <w:r w:rsidRPr="00F36A14">
        <w:rPr>
          <w:lang w:bidi="fa-IR"/>
        </w:rPr>
        <w:t>G.1</w:t>
      </w:r>
      <w:r>
        <w:rPr>
          <w:lang w:bidi="fa-IR"/>
        </w:rPr>
        <w:t xml:space="preserve">). Details of </w:t>
      </w:r>
      <w:r w:rsidR="006E1CD0">
        <w:rPr>
          <w:lang w:bidi="fa-IR"/>
        </w:rPr>
        <w:t>the</w:t>
      </w:r>
      <w:r>
        <w:rPr>
          <w:lang w:bidi="fa-IR"/>
        </w:rPr>
        <w:t xml:space="preserve"> approach to estimating the number of additional people in residential aged care is provided below.</w:t>
      </w:r>
    </w:p>
    <w:p w14:paraId="2683C4C8" w14:textId="51AC15AA" w:rsidR="00ED748D" w:rsidRDefault="00B27E24" w:rsidP="00ED748D">
      <w:pPr>
        <w:pStyle w:val="Caption"/>
      </w:pPr>
      <w:bookmarkStart w:id="797" w:name="_Toc45654226"/>
      <w:bookmarkStart w:id="798" w:name="_Toc44598595"/>
      <w:bookmarkStart w:id="799" w:name="_Toc44695967"/>
      <w:bookmarkStart w:id="800" w:name="_Toc57643698"/>
      <w:bookmarkStart w:id="801" w:name="_Toc70505652"/>
      <w:r>
        <w:t>H.1</w:t>
      </w:r>
      <w:r w:rsidR="00ED748D" w:rsidRPr="00695C93">
        <w:tab/>
      </w:r>
      <w:r w:rsidR="00ED748D">
        <w:t>Additional people in residential aged care due to a lack of accessible housing</w:t>
      </w:r>
      <w:bookmarkEnd w:id="797"/>
      <w:bookmarkEnd w:id="798"/>
      <w:bookmarkEnd w:id="799"/>
      <w:bookmarkEnd w:id="800"/>
      <w:bookmarkEnd w:id="801"/>
    </w:p>
    <w:tbl>
      <w:tblPr>
        <w:tblW w:w="7936" w:type="dxa"/>
        <w:tblLayout w:type="fixed"/>
        <w:tblLook w:val="0000" w:firstRow="0" w:lastRow="0" w:firstColumn="0" w:lastColumn="0" w:noHBand="0" w:noVBand="0"/>
        <w:tblCaption w:val="Table H.1: Additional people in residential aged care due to a lack of accessible housing"/>
        <w:tblDescription w:val="Table H.1 reports an estimate of the number of additional people in residential aged care due to a lack of accessible housing. These are divided into older people (65+ years) and younger people (under 65 years). The estimate ranges from 2,767 to 6,199, with a central figure of 4,277. The overwhelming majority of people are 65 or over, although between 107 and 176 younger people are included in these figures."/>
      </w:tblPr>
      <w:tblGrid>
        <w:gridCol w:w="3328"/>
        <w:gridCol w:w="1536"/>
        <w:gridCol w:w="1536"/>
        <w:gridCol w:w="1536"/>
      </w:tblGrid>
      <w:tr w:rsidR="00ED748D" w14:paraId="0DC06ADE" w14:textId="77777777" w:rsidTr="002B23FD">
        <w:trPr>
          <w:trHeight w:val="230"/>
        </w:trPr>
        <w:tc>
          <w:tcPr>
            <w:tcW w:w="3328" w:type="dxa"/>
            <w:shd w:val="clear" w:color="auto" w:fill="6F6652"/>
            <w:tcMar>
              <w:left w:w="57" w:type="dxa"/>
              <w:right w:w="57" w:type="dxa"/>
            </w:tcMar>
          </w:tcPr>
          <w:p w14:paraId="2820EC32" w14:textId="77777777" w:rsidR="00ED748D" w:rsidRDefault="00022241" w:rsidP="002B23FD">
            <w:pPr>
              <w:pStyle w:val="TableDataColumnHeading"/>
              <w:jc w:val="left"/>
              <w:rPr>
                <w:lang w:val="en-GB"/>
              </w:rPr>
            </w:pPr>
            <w:r>
              <w:rPr>
                <w:lang w:val="en-GB"/>
              </w:rPr>
              <w:t>Age group</w:t>
            </w:r>
          </w:p>
        </w:tc>
        <w:tc>
          <w:tcPr>
            <w:tcW w:w="1536" w:type="dxa"/>
            <w:shd w:val="clear" w:color="auto" w:fill="6F6652"/>
            <w:tcMar>
              <w:left w:w="57" w:type="dxa"/>
              <w:right w:w="57" w:type="dxa"/>
            </w:tcMar>
          </w:tcPr>
          <w:p w14:paraId="12121534" w14:textId="77777777" w:rsidR="00ED748D" w:rsidRDefault="00ED748D" w:rsidP="002B23FD">
            <w:pPr>
              <w:pStyle w:val="TableDataColumnHeading"/>
              <w:rPr>
                <w:b/>
                <w:bCs/>
                <w:lang w:val="en-GB"/>
              </w:rPr>
            </w:pPr>
            <w:r>
              <w:rPr>
                <w:b/>
                <w:bCs/>
                <w:lang w:val="en-GB"/>
              </w:rPr>
              <w:t>Low estimate</w:t>
            </w:r>
          </w:p>
        </w:tc>
        <w:tc>
          <w:tcPr>
            <w:tcW w:w="1536" w:type="dxa"/>
            <w:shd w:val="clear" w:color="auto" w:fill="6F6652"/>
            <w:tcMar>
              <w:left w:w="57" w:type="dxa"/>
              <w:right w:w="57" w:type="dxa"/>
            </w:tcMar>
          </w:tcPr>
          <w:p w14:paraId="5AC439F7" w14:textId="77777777" w:rsidR="00ED748D" w:rsidRDefault="00ED748D" w:rsidP="002B23FD">
            <w:pPr>
              <w:pStyle w:val="TableDataColumnHeading"/>
              <w:rPr>
                <w:b/>
                <w:bCs/>
                <w:lang w:val="en-GB"/>
              </w:rPr>
            </w:pPr>
            <w:r>
              <w:rPr>
                <w:b/>
                <w:bCs/>
                <w:lang w:val="en-GB"/>
              </w:rPr>
              <w:t>Central case</w:t>
            </w:r>
          </w:p>
        </w:tc>
        <w:tc>
          <w:tcPr>
            <w:tcW w:w="1536" w:type="dxa"/>
            <w:shd w:val="clear" w:color="auto" w:fill="6F6652"/>
            <w:tcMar>
              <w:left w:w="57" w:type="dxa"/>
              <w:right w:w="57" w:type="dxa"/>
            </w:tcMar>
          </w:tcPr>
          <w:p w14:paraId="34F09CE9" w14:textId="77777777" w:rsidR="00ED748D" w:rsidRDefault="00ED748D" w:rsidP="002B23FD">
            <w:pPr>
              <w:pStyle w:val="TableDataColumnHeading"/>
              <w:rPr>
                <w:b/>
                <w:bCs/>
                <w:lang w:val="en-GB"/>
              </w:rPr>
            </w:pPr>
            <w:r>
              <w:rPr>
                <w:b/>
                <w:bCs/>
                <w:lang w:val="en-GB"/>
              </w:rPr>
              <w:t>High estimate</w:t>
            </w:r>
          </w:p>
        </w:tc>
      </w:tr>
      <w:tr w:rsidR="00ED748D" w14:paraId="25718DD2" w14:textId="77777777" w:rsidTr="002B23FD">
        <w:trPr>
          <w:trHeight w:val="230"/>
        </w:trPr>
        <w:tc>
          <w:tcPr>
            <w:tcW w:w="3328" w:type="dxa"/>
            <w:tcBorders>
              <w:bottom w:val="single" w:sz="8" w:space="0" w:color="FFFFFF" w:themeColor="background1"/>
            </w:tcBorders>
            <w:shd w:val="clear" w:color="auto" w:fill="auto"/>
            <w:tcMar>
              <w:left w:w="57" w:type="dxa"/>
              <w:right w:w="57" w:type="dxa"/>
            </w:tcMar>
          </w:tcPr>
          <w:p w14:paraId="29D0806B" w14:textId="77777777" w:rsidR="00ED748D" w:rsidRDefault="00ED748D" w:rsidP="002B23FD">
            <w:pPr>
              <w:pStyle w:val="TableUnit"/>
              <w:jc w:val="left"/>
              <w:rPr>
                <w:lang w:val="en-GB"/>
              </w:rPr>
            </w:pPr>
          </w:p>
        </w:tc>
        <w:tc>
          <w:tcPr>
            <w:tcW w:w="1536" w:type="dxa"/>
            <w:tcBorders>
              <w:bottom w:val="single" w:sz="8" w:space="0" w:color="FFFFFF" w:themeColor="background1"/>
            </w:tcBorders>
            <w:shd w:val="clear" w:color="auto" w:fill="auto"/>
            <w:tcMar>
              <w:left w:w="57" w:type="dxa"/>
              <w:right w:w="57" w:type="dxa"/>
            </w:tcMar>
          </w:tcPr>
          <w:p w14:paraId="3EDB646F" w14:textId="77777777" w:rsidR="00ED748D" w:rsidRDefault="00ED748D" w:rsidP="002B23FD">
            <w:pPr>
              <w:pStyle w:val="TableUnit"/>
              <w:rPr>
                <w:lang w:val="en-GB"/>
              </w:rPr>
            </w:pPr>
            <w:r>
              <w:rPr>
                <w:lang w:val="en-GB"/>
              </w:rPr>
              <w:t>No.</w:t>
            </w:r>
          </w:p>
        </w:tc>
        <w:tc>
          <w:tcPr>
            <w:tcW w:w="1536" w:type="dxa"/>
            <w:tcBorders>
              <w:bottom w:val="single" w:sz="8" w:space="0" w:color="FFFFFF" w:themeColor="background1"/>
            </w:tcBorders>
            <w:shd w:val="clear" w:color="auto" w:fill="auto"/>
            <w:tcMar>
              <w:left w:w="57" w:type="dxa"/>
              <w:right w:w="57" w:type="dxa"/>
            </w:tcMar>
          </w:tcPr>
          <w:p w14:paraId="01A8CED2" w14:textId="77777777" w:rsidR="00ED748D" w:rsidRDefault="00ED748D" w:rsidP="002B23FD">
            <w:pPr>
              <w:pStyle w:val="TableUnit"/>
              <w:rPr>
                <w:lang w:val="en-GB"/>
              </w:rPr>
            </w:pPr>
            <w:r>
              <w:rPr>
                <w:lang w:val="en-GB"/>
              </w:rPr>
              <w:t>No.</w:t>
            </w:r>
          </w:p>
        </w:tc>
        <w:tc>
          <w:tcPr>
            <w:tcW w:w="1536" w:type="dxa"/>
            <w:tcBorders>
              <w:bottom w:val="single" w:sz="8" w:space="0" w:color="FFFFFF" w:themeColor="background1"/>
            </w:tcBorders>
            <w:shd w:val="clear" w:color="auto" w:fill="auto"/>
            <w:tcMar>
              <w:left w:w="57" w:type="dxa"/>
              <w:right w:w="57" w:type="dxa"/>
            </w:tcMar>
          </w:tcPr>
          <w:p w14:paraId="4412EF42" w14:textId="77777777" w:rsidR="00ED748D" w:rsidRDefault="00ED748D" w:rsidP="002B23FD">
            <w:pPr>
              <w:pStyle w:val="TableUnit"/>
              <w:rPr>
                <w:lang w:val="en-GB"/>
              </w:rPr>
            </w:pPr>
            <w:r>
              <w:rPr>
                <w:lang w:val="en-GB"/>
              </w:rPr>
              <w:t>No.</w:t>
            </w:r>
          </w:p>
        </w:tc>
      </w:tr>
      <w:tr w:rsidR="00ED748D" w14:paraId="130FA591" w14:textId="77777777" w:rsidTr="002B23FD">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5A843D" w14:textId="77777777" w:rsidR="00ED748D" w:rsidRDefault="00ED748D" w:rsidP="002B23FD">
            <w:pPr>
              <w:pStyle w:val="TableDataEntries"/>
              <w:jc w:val="left"/>
              <w:rPr>
                <w:lang w:val="en-GB"/>
              </w:rPr>
            </w:pPr>
            <w:r>
              <w:rPr>
                <w:lang w:val="en-GB"/>
              </w:rPr>
              <w:t>Older people (65+ years)</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8FCE8E" w14:textId="77777777" w:rsidR="00ED748D" w:rsidRDefault="00ED748D" w:rsidP="002B23FD">
            <w:pPr>
              <w:pStyle w:val="TableDataEntries"/>
              <w:rPr>
                <w:lang w:val="en-GB"/>
              </w:rPr>
            </w:pPr>
            <w:r>
              <w:rPr>
                <w:lang w:val="en-GB"/>
              </w:rPr>
              <w:t>2 660</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F418D8" w14:textId="77777777" w:rsidR="00ED748D" w:rsidRDefault="00ED748D" w:rsidP="002B23FD">
            <w:pPr>
              <w:pStyle w:val="TableDataEntries"/>
              <w:rPr>
                <w:lang w:val="en-GB"/>
              </w:rPr>
            </w:pPr>
            <w:r>
              <w:rPr>
                <w:lang w:val="en-GB"/>
              </w:rPr>
              <w:t>4 140</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69E8AA" w14:textId="77777777" w:rsidR="00ED748D" w:rsidRDefault="00ED748D" w:rsidP="002B23FD">
            <w:pPr>
              <w:pStyle w:val="TableDataEntries"/>
              <w:rPr>
                <w:lang w:val="en-GB"/>
              </w:rPr>
            </w:pPr>
            <w:r>
              <w:rPr>
                <w:lang w:val="en-GB"/>
              </w:rPr>
              <w:t>6 023</w:t>
            </w:r>
          </w:p>
        </w:tc>
      </w:tr>
      <w:tr w:rsidR="00ED748D" w14:paraId="31322035" w14:textId="77777777" w:rsidTr="002B23FD">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4F5D0D" w14:textId="77777777" w:rsidR="00ED748D" w:rsidRDefault="00ED748D" w:rsidP="002B23FD">
            <w:pPr>
              <w:pStyle w:val="TableDataEntries"/>
              <w:jc w:val="left"/>
              <w:rPr>
                <w:lang w:val="en-GB"/>
              </w:rPr>
            </w:pPr>
            <w:r>
              <w:rPr>
                <w:lang w:val="en-GB"/>
              </w:rPr>
              <w:t>Younger people (&lt;65 years)</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B1B076" w14:textId="77777777" w:rsidR="00ED748D" w:rsidRDefault="00ED748D" w:rsidP="002B23FD">
            <w:pPr>
              <w:pStyle w:val="TableDataEntries"/>
              <w:rPr>
                <w:lang w:val="en-GB"/>
              </w:rPr>
            </w:pPr>
            <w:r>
              <w:rPr>
                <w:lang w:val="en-GB"/>
              </w:rPr>
              <w:t xml:space="preserve"> 107</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CB788F" w14:textId="77777777" w:rsidR="00ED748D" w:rsidRDefault="00ED748D" w:rsidP="002B23FD">
            <w:pPr>
              <w:pStyle w:val="TableDataEntries"/>
              <w:rPr>
                <w:lang w:val="en-GB"/>
              </w:rPr>
            </w:pPr>
            <w:r>
              <w:rPr>
                <w:lang w:val="en-GB"/>
              </w:rPr>
              <w:t xml:space="preserve"> 137</w:t>
            </w:r>
          </w:p>
        </w:tc>
        <w:tc>
          <w:tcPr>
            <w:tcW w:w="15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CC9B0" w14:textId="77777777" w:rsidR="00ED748D" w:rsidRDefault="00ED748D" w:rsidP="002B23FD">
            <w:pPr>
              <w:pStyle w:val="TableDataEntries"/>
              <w:rPr>
                <w:lang w:val="en-GB"/>
              </w:rPr>
            </w:pPr>
            <w:r>
              <w:rPr>
                <w:lang w:val="en-GB"/>
              </w:rPr>
              <w:t xml:space="preserve"> 176</w:t>
            </w:r>
          </w:p>
        </w:tc>
      </w:tr>
      <w:tr w:rsidR="00ED748D" w:rsidRPr="006154F2" w14:paraId="7DED4B5D" w14:textId="77777777" w:rsidTr="002B23FD">
        <w:trPr>
          <w:trHeight w:val="230"/>
        </w:trPr>
        <w:tc>
          <w:tcPr>
            <w:tcW w:w="332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B0A5EBB" w14:textId="77777777" w:rsidR="00ED748D" w:rsidRPr="006154F2" w:rsidRDefault="00ED748D" w:rsidP="002B23FD">
            <w:pPr>
              <w:pStyle w:val="TableDataEntries"/>
              <w:jc w:val="left"/>
              <w:rPr>
                <w:rFonts w:ascii="Franklin Gothic Demi" w:hAnsi="Franklin Gothic Demi"/>
                <w:lang w:val="en-GB"/>
              </w:rPr>
            </w:pPr>
            <w:r w:rsidRPr="006154F2">
              <w:rPr>
                <w:rFonts w:ascii="Franklin Gothic Demi" w:hAnsi="Franklin Gothic Demi"/>
                <w:lang w:val="en-GB"/>
              </w:rPr>
              <w:t>Total</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7E10A3C"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2 767</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F525704"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4 277</w:t>
            </w:r>
          </w:p>
        </w:tc>
        <w:tc>
          <w:tcPr>
            <w:tcW w:w="15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4E12FA2"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6 199</w:t>
            </w:r>
          </w:p>
        </w:tc>
      </w:tr>
    </w:tbl>
    <w:p w14:paraId="1371362F" w14:textId="77777777" w:rsidR="00ED748D" w:rsidRPr="00280175" w:rsidRDefault="00ED748D" w:rsidP="00ED748D">
      <w:pPr>
        <w:pStyle w:val="Source"/>
        <w:rPr>
          <w:iCs/>
          <w:lang w:bidi="fa-IR"/>
        </w:rPr>
      </w:pPr>
      <w:r w:rsidRPr="00280175">
        <w:rPr>
          <w:iCs/>
          <w:lang w:bidi="fa-IR"/>
        </w:rPr>
        <w:t>Source: CIE estimates.</w:t>
      </w:r>
    </w:p>
    <w:p w14:paraId="7938653D" w14:textId="77777777" w:rsidR="00ED748D" w:rsidRDefault="00ED748D" w:rsidP="00ED748D">
      <w:pPr>
        <w:pStyle w:val="BodyText"/>
        <w:rPr>
          <w:lang w:bidi="fa-IR"/>
        </w:rPr>
      </w:pPr>
    </w:p>
    <w:p w14:paraId="0390CFE6" w14:textId="77777777" w:rsidR="00ED748D" w:rsidRPr="00F4477B" w:rsidRDefault="00ED748D" w:rsidP="00F4477B">
      <w:pPr>
        <w:pStyle w:val="Heading3-Appendix"/>
      </w:pPr>
      <w:r w:rsidRPr="00F4477B">
        <w:t>Older people inappropriately or prematurely admitted to aged care</w:t>
      </w:r>
    </w:p>
    <w:p w14:paraId="65844C0C" w14:textId="77777777" w:rsidR="00ED748D" w:rsidRDefault="00ED748D" w:rsidP="00ED748D">
      <w:pPr>
        <w:pStyle w:val="BodyText"/>
        <w:rPr>
          <w:lang w:bidi="fa-IR"/>
        </w:rPr>
      </w:pPr>
      <w:r w:rsidRPr="00FF3A4A">
        <w:rPr>
          <w:lang w:bidi="fa-IR"/>
        </w:rPr>
        <w:t>Some stakeholders suggested it was unlikely that there would be a large number of inappropriate or premature entrants into residential aged care.</w:t>
      </w:r>
    </w:p>
    <w:p w14:paraId="1F66499E" w14:textId="77777777" w:rsidR="00ED748D" w:rsidRDefault="00ED748D" w:rsidP="00ED748D">
      <w:pPr>
        <w:pStyle w:val="ListBullet"/>
        <w:numPr>
          <w:ilvl w:val="0"/>
          <w:numId w:val="16"/>
        </w:numPr>
        <w:rPr>
          <w:lang w:bidi="fa-IR"/>
        </w:rPr>
      </w:pPr>
      <w:r>
        <w:rPr>
          <w:lang w:bidi="fa-IR"/>
        </w:rPr>
        <w:t>Prospective entrants into government</w:t>
      </w:r>
      <w:r>
        <w:rPr>
          <w:lang w:bidi="fa-IR"/>
        </w:rPr>
        <w:noBreakHyphen/>
        <w:t>funded residential aged care place</w:t>
      </w:r>
      <w:r w:rsidR="00211AD1">
        <w:rPr>
          <w:lang w:bidi="fa-IR"/>
        </w:rPr>
        <w:t>s</w:t>
      </w:r>
      <w:r>
        <w:rPr>
          <w:lang w:bidi="fa-IR"/>
        </w:rPr>
        <w:t xml:space="preserve"> undergo an assessment by an Aged Care Assessment Team (ACAT). ACATs assess the physical, psychological, medical, restorative, cultural and social needs of frail older people to help them and their carers to access appropriate levels of support. Evidence suggests that a range of factors influence the ACAT’s recommended long</w:t>
      </w:r>
      <w:r>
        <w:rPr>
          <w:lang w:bidi="fa-IR"/>
        </w:rPr>
        <w:noBreakHyphen/>
        <w:t>term care setting, including age, availability of informal care, health conditions and assistance needs.</w:t>
      </w:r>
      <w:r>
        <w:rPr>
          <w:rStyle w:val="FootnoteReference"/>
          <w:lang w:bidi="fa-IR"/>
        </w:rPr>
        <w:footnoteReference w:id="495"/>
      </w:r>
    </w:p>
    <w:p w14:paraId="32230366" w14:textId="77777777" w:rsidR="00ED748D" w:rsidRDefault="00ED748D" w:rsidP="00ED748D">
      <w:pPr>
        <w:pStyle w:val="ListBullet"/>
        <w:numPr>
          <w:ilvl w:val="0"/>
          <w:numId w:val="16"/>
        </w:numPr>
        <w:rPr>
          <w:lang w:bidi="fa-IR"/>
        </w:rPr>
      </w:pPr>
      <w:r>
        <w:rPr>
          <w:lang w:bidi="fa-IR"/>
        </w:rPr>
        <w:t xml:space="preserve">There has also been a policy shift towards assisting people </w:t>
      </w:r>
      <w:r w:rsidR="001B3A92">
        <w:rPr>
          <w:lang w:bidi="fa-IR"/>
        </w:rPr>
        <w:t xml:space="preserve">to </w:t>
      </w:r>
      <w:r>
        <w:rPr>
          <w:lang w:bidi="fa-IR"/>
        </w:rPr>
        <w:t>stay at home, rather than enter aged care.</w:t>
      </w:r>
    </w:p>
    <w:p w14:paraId="04462119" w14:textId="77777777" w:rsidR="00ED748D" w:rsidRDefault="00ED748D" w:rsidP="00ED748D">
      <w:pPr>
        <w:pStyle w:val="BodyText"/>
      </w:pPr>
      <w:r>
        <w:t>The AIHW reports that in 2018</w:t>
      </w:r>
      <w:r>
        <w:noBreakHyphen/>
        <w:t>19, there were 163 047 aged care assessments.</w:t>
      </w:r>
      <w:r>
        <w:rPr>
          <w:rStyle w:val="FootnoteReference"/>
        </w:rPr>
        <w:footnoteReference w:id="496"/>
      </w:r>
      <w:r>
        <w:t xml:space="preserve"> Among the issues considered as part of these assessments are any difficulties completing daily tasks and activities around the home and any issues relating to home and personal safety (i.e. issues relating to the accessibility of the home).</w:t>
      </w:r>
    </w:p>
    <w:p w14:paraId="117062AC" w14:textId="41E2A1B2" w:rsidR="00ED748D" w:rsidRDefault="00ED748D" w:rsidP="00ED748D">
      <w:pPr>
        <w:pStyle w:val="ListBullet"/>
        <w:numPr>
          <w:ilvl w:val="0"/>
          <w:numId w:val="16"/>
        </w:numPr>
      </w:pPr>
      <w:r>
        <w:t>In around 75 per cent of cases, the recommended long</w:t>
      </w:r>
      <w:r>
        <w:noBreakHyphen/>
        <w:t>term living arrangement was the private residence or other residential arrangements within the community (including independent living within a retirement village, supported community accommodation, boarding houses and other community settings) (chart </w:t>
      </w:r>
      <w:r w:rsidR="00362332">
        <w:t>H.2</w:t>
      </w:r>
      <w:r>
        <w:t xml:space="preserve">). </w:t>
      </w:r>
      <w:r w:rsidRPr="00502E79">
        <w:t>This implies that the client’s existing dwelling was assessed as being generally suitable</w:t>
      </w:r>
      <w:r>
        <w:t xml:space="preserve"> (although it is still possible that more accessibility features could improve the ease of entering/leaving or moving around the dwelling and reduce the risk of falls and care needs).</w:t>
      </w:r>
    </w:p>
    <w:p w14:paraId="1F8628DE" w14:textId="77777777" w:rsidR="00ED748D" w:rsidRDefault="00ED748D" w:rsidP="00ED748D">
      <w:pPr>
        <w:pStyle w:val="ListBullet"/>
        <w:numPr>
          <w:ilvl w:val="0"/>
          <w:numId w:val="16"/>
        </w:numPr>
      </w:pPr>
      <w:r>
        <w:t>In most of the remaining cases, the recommended long</w:t>
      </w:r>
      <w:r>
        <w:noBreakHyphen/>
        <w:t xml:space="preserve">term living arrangement was residential aged care. </w:t>
      </w:r>
      <w:r w:rsidRPr="00FF3A4A">
        <w:t>However, it is not clear to what extent lack of accessibility features within the existing dwelling contributed to that recommendation.</w:t>
      </w:r>
    </w:p>
    <w:p w14:paraId="78DA91F4" w14:textId="77777777" w:rsidR="000D48EF" w:rsidRDefault="000D48EF" w:rsidP="000D48EF">
      <w:pPr>
        <w:pStyle w:val="BodyText"/>
        <w:rPr>
          <w:lang w:bidi="fa-IR"/>
        </w:rPr>
      </w:pPr>
      <w:r>
        <w:rPr>
          <w:lang w:bidi="fa-IR"/>
        </w:rPr>
        <w:t>Although the number of places in residential aged care has grown over the past decade, the number of places per 1 000 people aged 70 years and over declined from around 87 to around 76 over the same timeframe (chart H.3). This reflects the greater focus on home</w:t>
      </w:r>
      <w:r>
        <w:rPr>
          <w:lang w:bidi="fa-IR"/>
        </w:rPr>
        <w:noBreakHyphen/>
        <w:t>based care, rather than residential care.</w:t>
      </w:r>
    </w:p>
    <w:p w14:paraId="741E3E84" w14:textId="77777777" w:rsidR="000D48EF" w:rsidRDefault="000D48EF" w:rsidP="000D48EF">
      <w:pPr>
        <w:pStyle w:val="BodyText"/>
      </w:pPr>
      <w:r>
        <w:rPr>
          <w:lang w:eastAsia="en-US" w:bidi="fa-IR"/>
        </w:rPr>
        <w:t>There have been several studies that have modelled the extent to which factors contribute to entry into residential aged care, using Australian data. These studies provide useful insights because they use statistical techniques to estimate the impact of each relevant factor, with all other factors held constant.</w:t>
      </w:r>
    </w:p>
    <w:p w14:paraId="475137FA" w14:textId="281A2D7D" w:rsidR="00ED748D" w:rsidRDefault="00B27E24" w:rsidP="00ED748D">
      <w:pPr>
        <w:pStyle w:val="Caption"/>
      </w:pPr>
      <w:bookmarkStart w:id="802" w:name="_Toc32321886"/>
      <w:bookmarkStart w:id="803" w:name="_Toc44598596"/>
      <w:bookmarkStart w:id="804" w:name="_Toc44695968"/>
      <w:bookmarkStart w:id="805" w:name="_Toc57643699"/>
      <w:bookmarkStart w:id="806" w:name="_Toc70505653"/>
      <w:r>
        <w:t>H.2</w:t>
      </w:r>
      <w:r w:rsidR="00ED748D" w:rsidRPr="00695C93">
        <w:tab/>
      </w:r>
      <w:r w:rsidR="00ED748D">
        <w:t>Recommended long-term living arrangement from aged care assessments</w:t>
      </w:r>
      <w:bookmarkEnd w:id="802"/>
      <w:bookmarkEnd w:id="803"/>
      <w:bookmarkEnd w:id="804"/>
      <w:bookmarkEnd w:id="805"/>
      <w:bookmarkEnd w:id="806"/>
    </w:p>
    <w:p w14:paraId="11DD4C90" w14:textId="77777777" w:rsidR="00ED748D" w:rsidRDefault="00ED748D" w:rsidP="00ED748D">
      <w:pPr>
        <w:pStyle w:val="Subtitlebox"/>
      </w:pPr>
      <w:r w:rsidRPr="00652DEA">
        <w:rPr>
          <w:noProof/>
        </w:rPr>
        <w:drawing>
          <wp:inline distT="0" distB="0" distL="0" distR="0" wp14:anchorId="63267677" wp14:editId="559B99A8">
            <wp:extent cx="5040000" cy="2125650"/>
            <wp:effectExtent l="57150" t="57150" r="65405" b="65405"/>
            <wp:docPr id="38" name="Picture 38" descr="This pie graph shows that two-thirds of people undergoing aged care assessments are recommended to live in private residences, and about a quarter are recommended for residential aged care." title="Chart H.2: Recommended long-term living arrangement from aged c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6508"/>
                    <a:stretch/>
                  </pic:blipFill>
                  <pic:spPr bwMode="auto">
                    <a:xfrm>
                      <a:off x="0" y="0"/>
                      <a:ext cx="5040000" cy="21256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1CEE283" w14:textId="77777777" w:rsidR="00ED748D" w:rsidRDefault="00ED748D" w:rsidP="00ED748D">
      <w:pPr>
        <w:pStyle w:val="Source"/>
      </w:pPr>
      <w:r>
        <w:rPr>
          <w:i/>
        </w:rPr>
        <w:t>Data source</w:t>
      </w:r>
      <w:r w:rsidRPr="00A67576">
        <w:rPr>
          <w:i/>
        </w:rPr>
        <w:t>:</w:t>
      </w:r>
      <w:r>
        <w:t xml:space="preserve"> </w:t>
      </w:r>
      <w:r w:rsidRPr="002A45FB">
        <w:rPr>
          <w:lang w:eastAsia="en-AU"/>
        </w:rPr>
        <w:t xml:space="preserve">Australian Institute of Health and Welfare website, </w:t>
      </w:r>
      <w:hyperlink r:id="rId87" w:tooltip="More information can be found at the website via this link" w:history="1">
        <w:r w:rsidRPr="002A45FB">
          <w:rPr>
            <w:rFonts w:eastAsiaTheme="minorEastAsia"/>
            <w:lang w:eastAsia="en-AU"/>
          </w:rPr>
          <w:t>https://www.gen-agedcaredata.gov.au/Resources/Access-data/2019/September/Aged-care-data-snapshot%E2%80%942019</w:t>
        </w:r>
      </w:hyperlink>
      <w:r w:rsidRPr="002A45FB">
        <w:rPr>
          <w:rFonts w:eastAsiaTheme="minorEastAsia"/>
          <w:lang w:eastAsia="en-AU"/>
        </w:rPr>
        <w:t>, accessed 22 December 2019.</w:t>
      </w:r>
    </w:p>
    <w:p w14:paraId="28D4B041" w14:textId="1E352EE8" w:rsidR="00ED748D" w:rsidRDefault="00B27E24" w:rsidP="00ED748D">
      <w:pPr>
        <w:pStyle w:val="Caption"/>
      </w:pPr>
      <w:bookmarkStart w:id="807" w:name="_Toc32321887"/>
      <w:bookmarkStart w:id="808" w:name="_Toc44598597"/>
      <w:bookmarkStart w:id="809" w:name="_Toc44695969"/>
      <w:bookmarkStart w:id="810" w:name="_Toc57643700"/>
      <w:bookmarkStart w:id="811" w:name="_Toc70505654"/>
      <w:bookmarkStart w:id="812" w:name="_Hlk35628412"/>
      <w:r>
        <w:t>H.3</w:t>
      </w:r>
      <w:r w:rsidR="00ED748D" w:rsidRPr="00FF2906">
        <w:tab/>
        <w:t>Operational number of residential aged care places, Australia-wide</w:t>
      </w:r>
      <w:bookmarkEnd w:id="807"/>
      <w:bookmarkEnd w:id="808"/>
      <w:bookmarkEnd w:id="809"/>
      <w:bookmarkEnd w:id="810"/>
      <w:bookmarkEnd w:id="811"/>
    </w:p>
    <w:p w14:paraId="027A806A" w14:textId="77777777" w:rsidR="00ED748D" w:rsidRPr="00280175" w:rsidRDefault="00ED748D" w:rsidP="00280175">
      <w:pPr>
        <w:pStyle w:val="Subtitlebox"/>
      </w:pPr>
      <w:r w:rsidRPr="00FF2906">
        <w:rPr>
          <w:noProof/>
        </w:rPr>
        <w:drawing>
          <wp:inline distT="0" distB="0" distL="0" distR="0" wp14:anchorId="4D62A77C" wp14:editId="5CC017A3">
            <wp:extent cx="5040000" cy="2573184"/>
            <wp:effectExtent l="57150" t="57150" r="65405" b="55880"/>
            <wp:docPr id="21" name="Picture 21" descr="This graph shows the changes in the number of residential aged care places in Australia between 2009 and 2018. Although the number of places in residential aged care has grown over the past decade, the number of places per 1 000 people aged 70 years and over declined from around 87 to around 76 over the same timeframe." title="Chart H.3: Operational number of residential aged care places, Australia-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0000" cy="2573184"/>
                    </a:xfrm>
                    <a:prstGeom prst="rect">
                      <a:avLst/>
                    </a:prstGeom>
                    <a:noFill/>
                    <a:ln w="57150">
                      <a:solidFill>
                        <a:schemeClr val="bg2"/>
                      </a:solidFill>
                    </a:ln>
                  </pic:spPr>
                </pic:pic>
              </a:graphicData>
            </a:graphic>
          </wp:inline>
        </w:drawing>
      </w:r>
      <w:r w:rsidR="00027945" w:rsidRPr="00027945">
        <w:rPr>
          <w:iCs/>
          <w:sz w:val="14"/>
          <w:szCs w:val="14"/>
        </w:rPr>
        <w:t>S</w:t>
      </w:r>
      <w:r w:rsidRPr="00027945">
        <w:rPr>
          <w:iCs/>
          <w:sz w:val="14"/>
          <w:szCs w:val="14"/>
        </w:rPr>
        <w:t>ource: PC Report on Government Services 2019, Chapter 14: Aged Care, Tables 14A.13-14.</w:t>
      </w:r>
    </w:p>
    <w:bookmarkEnd w:id="812"/>
    <w:p w14:paraId="309D0AF8" w14:textId="77777777" w:rsidR="00ED748D" w:rsidRDefault="00ED748D" w:rsidP="00ED748D">
      <w:pPr>
        <w:pStyle w:val="BodyText"/>
        <w:rPr>
          <w:lang w:eastAsia="en-US" w:bidi="fa-IR"/>
        </w:rPr>
      </w:pPr>
      <w:r>
        <w:rPr>
          <w:lang w:eastAsia="en-US" w:bidi="fa-IR"/>
        </w:rPr>
        <w:t xml:space="preserve">Of most </w:t>
      </w:r>
      <w:r w:rsidRPr="005172FF">
        <w:rPr>
          <w:lang w:eastAsia="en-US" w:bidi="fa-IR"/>
        </w:rPr>
        <w:t>relevance, Jukic</w:t>
      </w:r>
      <w:r w:rsidR="00F63BF5">
        <w:rPr>
          <w:lang w:eastAsia="en-US" w:bidi="fa-IR"/>
        </w:rPr>
        <w:t xml:space="preserve"> (2017)</w:t>
      </w:r>
      <w:r w:rsidR="00A31A52" w:rsidRPr="005172FF">
        <w:rPr>
          <w:rStyle w:val="FootnoteReference"/>
          <w:lang w:eastAsia="en-US" w:bidi="fa-IR"/>
        </w:rPr>
        <w:footnoteReference w:id="497"/>
      </w:r>
      <w:r w:rsidRPr="005172FF">
        <w:rPr>
          <w:lang w:eastAsia="en-US" w:bidi="fa-IR"/>
        </w:rPr>
        <w:t xml:space="preserve"> used SDAC (2012) data to estimate the extent to which various factors (including age, assistance needs and specific conditions) affect the probability (or odds) of being in residential aged care. Jukic (2017) and Jukic and Temple (2018)</w:t>
      </w:r>
      <w:r w:rsidR="00741FFF">
        <w:rPr>
          <w:rStyle w:val="FootnoteReference"/>
          <w:lang w:eastAsia="en-US" w:bidi="fa-IR"/>
        </w:rPr>
        <w:footnoteReference w:id="498"/>
      </w:r>
      <w:r w:rsidRPr="005172FF">
        <w:rPr>
          <w:lang w:eastAsia="en-US" w:bidi="fa-IR"/>
        </w:rPr>
        <w:t xml:space="preserve"> also used similar models with alternative data sources (such as ACAT assessment data) to estimate the extent to which various factors contribute to the recommended long</w:t>
      </w:r>
      <w:r w:rsidRPr="005172FF">
        <w:rPr>
          <w:lang w:eastAsia="en-US" w:bidi="fa-IR"/>
        </w:rPr>
        <w:noBreakHyphen/>
        <w:t>term care setting. However, the model using SDAC data is most relevant for the CBA because it focuses on the</w:t>
      </w:r>
      <w:r>
        <w:rPr>
          <w:lang w:eastAsia="en-US" w:bidi="fa-IR"/>
        </w:rPr>
        <w:t xml:space="preserve"> number of people </w:t>
      </w:r>
      <w:r w:rsidRPr="00131D3C">
        <w:rPr>
          <w:lang w:eastAsia="en-US" w:bidi="fa-IR"/>
        </w:rPr>
        <w:t>in</w:t>
      </w:r>
      <w:r>
        <w:rPr>
          <w:lang w:eastAsia="en-US" w:bidi="fa-IR"/>
        </w:rPr>
        <w:t xml:space="preserve"> residential aged care, rather than number of new admissions.</w:t>
      </w:r>
    </w:p>
    <w:p w14:paraId="13BAA93C" w14:textId="7D65607E" w:rsidR="00ED748D" w:rsidRDefault="00ED748D" w:rsidP="00ED748D">
      <w:pPr>
        <w:pStyle w:val="BodyText"/>
        <w:rPr>
          <w:lang w:eastAsia="en-US" w:bidi="fa-IR"/>
        </w:rPr>
      </w:pPr>
      <w:r>
        <w:rPr>
          <w:lang w:eastAsia="en-US" w:bidi="fa-IR"/>
        </w:rPr>
        <w:t>The odds ratio for each variable represents the odds that a person will be in aged care with the relevant variable (i.e. when a person has a particular need or condition), compared to the odds of being in residential aged care without the relevant need or condition (table </w:t>
      </w:r>
      <w:r w:rsidR="00362332">
        <w:rPr>
          <w:lang w:eastAsia="en-US" w:bidi="fa-IR"/>
        </w:rPr>
        <w:t>H.4</w:t>
      </w:r>
      <w:r>
        <w:rPr>
          <w:lang w:eastAsia="en-US" w:bidi="fa-IR"/>
        </w:rPr>
        <w:t>).</w:t>
      </w:r>
    </w:p>
    <w:p w14:paraId="7AFB24CE" w14:textId="77777777" w:rsidR="00ED748D" w:rsidRDefault="00ED748D" w:rsidP="00ED748D">
      <w:pPr>
        <w:pStyle w:val="ListBullet"/>
        <w:numPr>
          <w:ilvl w:val="0"/>
          <w:numId w:val="16"/>
        </w:numPr>
        <w:rPr>
          <w:lang w:eastAsia="en-US" w:bidi="fa-IR"/>
        </w:rPr>
      </w:pPr>
      <w:r>
        <w:rPr>
          <w:lang w:eastAsia="en-US" w:bidi="fa-IR"/>
        </w:rPr>
        <w:t>An odds ratio of 1 would imply that a person experiencing this variable has the same likelihood of being in residential aged care as those without the relevant need or condition, holding other characteristics constant.</w:t>
      </w:r>
    </w:p>
    <w:p w14:paraId="0FBFF404" w14:textId="77777777" w:rsidR="00ED748D" w:rsidRDefault="00ED748D" w:rsidP="00ED748D">
      <w:pPr>
        <w:pStyle w:val="ListBullet"/>
        <w:numPr>
          <w:ilvl w:val="0"/>
          <w:numId w:val="16"/>
        </w:numPr>
        <w:rPr>
          <w:lang w:eastAsia="en-US" w:bidi="fa-IR"/>
        </w:rPr>
      </w:pPr>
      <w:r>
        <w:rPr>
          <w:lang w:eastAsia="en-US" w:bidi="fa-IR"/>
        </w:rPr>
        <w:t>An odds ratio of less than 1 implies that it is less likely that those with the relevant need or condition will be in residential aged care.</w:t>
      </w:r>
    </w:p>
    <w:p w14:paraId="5200F69F" w14:textId="77777777" w:rsidR="00ED748D" w:rsidRDefault="00ED748D" w:rsidP="00ED748D">
      <w:pPr>
        <w:pStyle w:val="ListBullet"/>
        <w:numPr>
          <w:ilvl w:val="0"/>
          <w:numId w:val="16"/>
        </w:numPr>
        <w:rPr>
          <w:lang w:eastAsia="en-US" w:bidi="fa-IR"/>
        </w:rPr>
      </w:pPr>
      <w:r>
        <w:rPr>
          <w:lang w:eastAsia="en-US" w:bidi="fa-IR"/>
        </w:rPr>
        <w:t>An odds ratio greater than 1 implies that it is more likely that those with the relevant need or condition will be in residential aged care.</w:t>
      </w:r>
    </w:p>
    <w:p w14:paraId="0A02224F" w14:textId="42AAD27E" w:rsidR="00ED748D" w:rsidRDefault="00B27E24" w:rsidP="00ED748D">
      <w:pPr>
        <w:pStyle w:val="Caption"/>
      </w:pPr>
      <w:bookmarkStart w:id="813" w:name="_Toc45654229"/>
      <w:bookmarkStart w:id="814" w:name="_Toc44598598"/>
      <w:bookmarkStart w:id="815" w:name="_Toc44695970"/>
      <w:bookmarkStart w:id="816" w:name="_Toc57643701"/>
      <w:bookmarkStart w:id="817" w:name="_Toc70505655"/>
      <w:r>
        <w:t>H.4</w:t>
      </w:r>
      <w:r w:rsidR="00ED748D" w:rsidRPr="00695C93">
        <w:tab/>
      </w:r>
      <w:r w:rsidR="00ED748D">
        <w:t>Logistic model of probability of being in aged care — 2012</w:t>
      </w:r>
      <w:bookmarkEnd w:id="813"/>
      <w:bookmarkEnd w:id="814"/>
      <w:bookmarkEnd w:id="815"/>
      <w:bookmarkEnd w:id="816"/>
      <w:bookmarkEnd w:id="817"/>
    </w:p>
    <w:tbl>
      <w:tblPr>
        <w:tblW w:w="7938" w:type="dxa"/>
        <w:tblLayout w:type="fixed"/>
        <w:tblLook w:val="0000" w:firstRow="0" w:lastRow="0" w:firstColumn="0" w:lastColumn="0" w:noHBand="0" w:noVBand="0"/>
        <w:tblCaption w:val="Table H.4: Logistic model of probability of being in aged care — 2012"/>
        <w:tblDescription w:val="This table lists variables (include age, whether the person is married, the things they need help with, and health conditions, and the odds ratio for the probability they will need to go into aged care. The odds ratio for each variable represents the odds that a person will be in aged care with the relevant variable (i.e. when a person has a particular need or condition), compared to the odds of being in residential aged care without the relevant need or condition. The highest probability of needing residential aged care is for people who are paralysed, who need help with toileting, or who need help with communication. People who need help with mobility about their residence is highlighted, and is a very significant variable."/>
      </w:tblPr>
      <w:tblGrid>
        <w:gridCol w:w="3070"/>
        <w:gridCol w:w="1217"/>
        <w:gridCol w:w="1217"/>
        <w:gridCol w:w="1217"/>
        <w:gridCol w:w="1217"/>
      </w:tblGrid>
      <w:tr w:rsidR="00ED748D" w14:paraId="4F7AFB3A" w14:textId="77777777" w:rsidTr="002B23FD">
        <w:trPr>
          <w:trHeight w:val="461"/>
          <w:tblHeader/>
        </w:trPr>
        <w:tc>
          <w:tcPr>
            <w:tcW w:w="3070" w:type="dxa"/>
            <w:shd w:val="clear" w:color="auto" w:fill="6F6652"/>
            <w:tcMar>
              <w:left w:w="57" w:type="dxa"/>
              <w:right w:w="57" w:type="dxa"/>
            </w:tcMar>
          </w:tcPr>
          <w:p w14:paraId="0EEADD6F" w14:textId="77777777" w:rsidR="00ED748D" w:rsidRDefault="00ED748D" w:rsidP="002B23FD">
            <w:pPr>
              <w:pStyle w:val="TableDataColumnHeading"/>
              <w:spacing w:after="0"/>
              <w:jc w:val="left"/>
              <w:rPr>
                <w:lang w:val="en-GB"/>
              </w:rPr>
            </w:pPr>
          </w:p>
        </w:tc>
        <w:tc>
          <w:tcPr>
            <w:tcW w:w="1217" w:type="dxa"/>
            <w:shd w:val="clear" w:color="auto" w:fill="6F6652"/>
            <w:tcMar>
              <w:left w:w="57" w:type="dxa"/>
              <w:right w:w="57" w:type="dxa"/>
            </w:tcMar>
          </w:tcPr>
          <w:p w14:paraId="633DAFA8" w14:textId="77777777" w:rsidR="00ED748D" w:rsidRDefault="00ED748D" w:rsidP="002B23FD">
            <w:pPr>
              <w:pStyle w:val="TableDataColumnHeading"/>
              <w:spacing w:after="0"/>
              <w:rPr>
                <w:lang w:val="en-GB"/>
              </w:rPr>
            </w:pPr>
          </w:p>
        </w:tc>
        <w:tc>
          <w:tcPr>
            <w:tcW w:w="1217" w:type="dxa"/>
            <w:shd w:val="clear" w:color="auto" w:fill="6F6652"/>
            <w:tcMar>
              <w:left w:w="57" w:type="dxa"/>
              <w:right w:w="57" w:type="dxa"/>
            </w:tcMar>
          </w:tcPr>
          <w:p w14:paraId="5088B30C" w14:textId="77777777" w:rsidR="00ED748D" w:rsidRDefault="00ED748D" w:rsidP="002B23FD">
            <w:pPr>
              <w:pStyle w:val="TableDataColumnHeading"/>
              <w:spacing w:after="0"/>
              <w:rPr>
                <w:lang w:val="en-GB"/>
              </w:rPr>
            </w:pPr>
          </w:p>
        </w:tc>
        <w:tc>
          <w:tcPr>
            <w:tcW w:w="2434" w:type="dxa"/>
            <w:gridSpan w:val="2"/>
            <w:shd w:val="clear" w:color="auto" w:fill="6F6652"/>
            <w:tcMar>
              <w:left w:w="57" w:type="dxa"/>
              <w:right w:w="57" w:type="dxa"/>
            </w:tcMar>
          </w:tcPr>
          <w:p w14:paraId="2749A63B" w14:textId="77777777" w:rsidR="00ED748D" w:rsidRDefault="00ED748D" w:rsidP="002B23FD">
            <w:pPr>
              <w:pStyle w:val="TableDataColumnHeading"/>
              <w:spacing w:after="0"/>
              <w:rPr>
                <w:lang w:val="en-GB"/>
              </w:rPr>
            </w:pPr>
            <w:r>
              <w:rPr>
                <w:lang w:val="en-GB"/>
              </w:rPr>
              <w:t>95% confidence interval</w:t>
            </w:r>
          </w:p>
        </w:tc>
      </w:tr>
      <w:tr w:rsidR="00ED748D" w14:paraId="4F3F2D9C" w14:textId="77777777" w:rsidTr="002B23FD">
        <w:trPr>
          <w:trHeight w:val="230"/>
          <w:tblHeader/>
        </w:trPr>
        <w:tc>
          <w:tcPr>
            <w:tcW w:w="3070" w:type="dxa"/>
            <w:tcBorders>
              <w:bottom w:val="single" w:sz="8" w:space="0" w:color="FFFFFF" w:themeColor="background1"/>
            </w:tcBorders>
            <w:shd w:val="clear" w:color="auto" w:fill="6F6652"/>
            <w:tcMar>
              <w:left w:w="57" w:type="dxa"/>
              <w:right w:w="57" w:type="dxa"/>
            </w:tcMar>
          </w:tcPr>
          <w:p w14:paraId="3C04B916" w14:textId="77777777" w:rsidR="00ED748D" w:rsidRDefault="00ED748D" w:rsidP="002B23FD">
            <w:pPr>
              <w:pStyle w:val="TableDataColumnHeading"/>
              <w:spacing w:before="0"/>
              <w:jc w:val="left"/>
              <w:rPr>
                <w:lang w:val="en-GB"/>
              </w:rPr>
            </w:pPr>
            <w:r>
              <w:rPr>
                <w:lang w:val="en-GB"/>
              </w:rPr>
              <w:t>Variable</w:t>
            </w:r>
          </w:p>
        </w:tc>
        <w:tc>
          <w:tcPr>
            <w:tcW w:w="1217" w:type="dxa"/>
            <w:tcBorders>
              <w:bottom w:val="single" w:sz="8" w:space="0" w:color="FFFFFF" w:themeColor="background1"/>
            </w:tcBorders>
            <w:shd w:val="clear" w:color="auto" w:fill="6F6652"/>
            <w:tcMar>
              <w:left w:w="57" w:type="dxa"/>
              <w:right w:w="57" w:type="dxa"/>
            </w:tcMar>
          </w:tcPr>
          <w:p w14:paraId="1C3D52BE" w14:textId="77777777" w:rsidR="00ED748D" w:rsidRDefault="00ED748D" w:rsidP="002B23FD">
            <w:pPr>
              <w:pStyle w:val="TableDataColumnHeading"/>
              <w:spacing w:before="0"/>
              <w:rPr>
                <w:lang w:val="en-GB"/>
              </w:rPr>
            </w:pPr>
            <w:r>
              <w:rPr>
                <w:lang w:val="en-GB"/>
              </w:rPr>
              <w:t>Odds ratio</w:t>
            </w:r>
          </w:p>
        </w:tc>
        <w:tc>
          <w:tcPr>
            <w:tcW w:w="1217" w:type="dxa"/>
            <w:tcBorders>
              <w:bottom w:val="single" w:sz="8" w:space="0" w:color="FFFFFF" w:themeColor="background1"/>
            </w:tcBorders>
            <w:shd w:val="clear" w:color="auto" w:fill="6F6652"/>
            <w:tcMar>
              <w:left w:w="57" w:type="dxa"/>
              <w:right w:w="57" w:type="dxa"/>
            </w:tcMar>
          </w:tcPr>
          <w:p w14:paraId="779BFD04" w14:textId="77777777" w:rsidR="00ED748D" w:rsidRDefault="00ED748D" w:rsidP="002B23FD">
            <w:pPr>
              <w:pStyle w:val="TableDataColumnHeading"/>
              <w:spacing w:before="0"/>
              <w:rPr>
                <w:lang w:val="en-GB"/>
              </w:rPr>
            </w:pPr>
            <w:r>
              <w:rPr>
                <w:lang w:val="en-GB"/>
              </w:rPr>
              <w:t>P&gt;z</w:t>
            </w:r>
          </w:p>
        </w:tc>
        <w:tc>
          <w:tcPr>
            <w:tcW w:w="1217" w:type="dxa"/>
            <w:tcBorders>
              <w:bottom w:val="single" w:sz="8" w:space="0" w:color="FFFFFF" w:themeColor="background1"/>
            </w:tcBorders>
            <w:shd w:val="clear" w:color="auto" w:fill="6F6652"/>
            <w:tcMar>
              <w:left w:w="57" w:type="dxa"/>
              <w:right w:w="57" w:type="dxa"/>
            </w:tcMar>
          </w:tcPr>
          <w:p w14:paraId="364672EC" w14:textId="77777777" w:rsidR="00ED748D" w:rsidRDefault="00ED748D" w:rsidP="002B23FD">
            <w:pPr>
              <w:pStyle w:val="TableDataColumnHeading"/>
              <w:spacing w:before="0"/>
              <w:rPr>
                <w:lang w:val="en-GB"/>
              </w:rPr>
            </w:pPr>
            <w:r>
              <w:rPr>
                <w:lang w:val="en-GB"/>
              </w:rPr>
              <w:t>Lower bound</w:t>
            </w:r>
          </w:p>
        </w:tc>
        <w:tc>
          <w:tcPr>
            <w:tcW w:w="1217" w:type="dxa"/>
            <w:tcBorders>
              <w:bottom w:val="single" w:sz="8" w:space="0" w:color="FFFFFF" w:themeColor="background1"/>
            </w:tcBorders>
            <w:shd w:val="clear" w:color="auto" w:fill="6F6652"/>
            <w:tcMar>
              <w:left w:w="57" w:type="dxa"/>
              <w:right w:w="57" w:type="dxa"/>
            </w:tcMar>
          </w:tcPr>
          <w:p w14:paraId="47B393F0" w14:textId="77777777" w:rsidR="00ED748D" w:rsidRDefault="00ED748D" w:rsidP="002B23FD">
            <w:pPr>
              <w:pStyle w:val="TableDataColumnHeading"/>
              <w:spacing w:before="0"/>
              <w:rPr>
                <w:lang w:val="en-GB"/>
              </w:rPr>
            </w:pPr>
            <w:r>
              <w:rPr>
                <w:lang w:val="en-GB"/>
              </w:rPr>
              <w:t>Upper bound</w:t>
            </w:r>
          </w:p>
        </w:tc>
      </w:tr>
      <w:tr w:rsidR="00ED748D" w14:paraId="21E3DB76"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C5A831" w14:textId="77777777" w:rsidR="00ED748D" w:rsidRDefault="00ED748D" w:rsidP="002B23FD">
            <w:pPr>
              <w:pStyle w:val="TableDataEntries"/>
              <w:spacing w:before="30" w:after="30"/>
              <w:jc w:val="left"/>
              <w:rPr>
                <w:lang w:val="en-GB"/>
              </w:rPr>
            </w:pPr>
            <w:r>
              <w:rPr>
                <w:lang w:val="en-GB"/>
              </w:rPr>
              <w:t>Age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D23691" w14:textId="77777777" w:rsidR="00ED748D" w:rsidRDefault="00ED748D" w:rsidP="002B23FD">
            <w:pPr>
              <w:pStyle w:val="TableDataEntries"/>
              <w:spacing w:before="30" w:after="30"/>
              <w:rPr>
                <w:lang w:val="en-GB"/>
              </w:rPr>
            </w:pPr>
            <w:r>
              <w:rPr>
                <w:lang w:val="en-GB"/>
              </w:rPr>
              <w:t xml:space="preserve"> 1.204</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843F8D"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86ED1F" w14:textId="77777777" w:rsidR="00ED748D" w:rsidRDefault="00ED748D" w:rsidP="002B23FD">
            <w:pPr>
              <w:pStyle w:val="TableDataEntries"/>
              <w:spacing w:before="30" w:after="30"/>
              <w:rPr>
                <w:lang w:val="en-GB"/>
              </w:rPr>
            </w:pPr>
            <w:r>
              <w:rPr>
                <w:lang w:val="en-GB"/>
              </w:rPr>
              <w:t xml:space="preserve"> 1.136</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43A37E" w14:textId="77777777" w:rsidR="00ED748D" w:rsidRDefault="00ED748D" w:rsidP="002B23FD">
            <w:pPr>
              <w:pStyle w:val="TableDataEntries"/>
              <w:spacing w:before="30" w:after="30"/>
              <w:rPr>
                <w:lang w:val="en-GB"/>
              </w:rPr>
            </w:pPr>
            <w:r>
              <w:rPr>
                <w:lang w:val="en-GB"/>
              </w:rPr>
              <w:t xml:space="preserve"> 1.276</w:t>
            </w:r>
          </w:p>
        </w:tc>
      </w:tr>
      <w:tr w:rsidR="00ED748D" w14:paraId="47C01997"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670AAB" w14:textId="77777777" w:rsidR="00ED748D" w:rsidRDefault="00ED748D" w:rsidP="002B23FD">
            <w:pPr>
              <w:pStyle w:val="TableDataEntries"/>
              <w:spacing w:before="30" w:after="30"/>
              <w:jc w:val="left"/>
              <w:rPr>
                <w:lang w:val="en-GB"/>
              </w:rPr>
            </w:pPr>
            <w:r>
              <w:rPr>
                <w:lang w:val="en-GB"/>
              </w:rPr>
              <w:t>Age square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1122EE" w14:textId="77777777" w:rsidR="00ED748D" w:rsidRDefault="00ED748D" w:rsidP="002B23FD">
            <w:pPr>
              <w:pStyle w:val="TableDataEntries"/>
              <w:spacing w:before="30" w:after="30"/>
              <w:rPr>
                <w:lang w:val="en-GB"/>
              </w:rPr>
            </w:pPr>
            <w:r>
              <w:rPr>
                <w:lang w:val="en-GB"/>
              </w:rPr>
              <w:t xml:space="preserve"> 0.999</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75D202" w14:textId="77777777" w:rsidR="00ED748D" w:rsidRDefault="00ED748D" w:rsidP="002B23FD">
            <w:pPr>
              <w:pStyle w:val="TableDataEntries"/>
              <w:spacing w:before="30" w:after="30"/>
              <w:rPr>
                <w:lang w:val="en-GB"/>
              </w:rPr>
            </w:pPr>
            <w:r>
              <w:rPr>
                <w:lang w:val="en-GB"/>
              </w:rPr>
              <w:t xml:space="preserve"> 0.003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0696DA" w14:textId="77777777" w:rsidR="00ED748D" w:rsidRDefault="00ED748D" w:rsidP="002B23FD">
            <w:pPr>
              <w:pStyle w:val="TableDataEntries"/>
              <w:spacing w:before="30" w:after="30"/>
              <w:rPr>
                <w:lang w:val="en-GB"/>
              </w:rPr>
            </w:pPr>
            <w:r>
              <w:rPr>
                <w:lang w:val="en-GB"/>
              </w:rPr>
              <w:t xml:space="preserve"> 0.998</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D61A6A" w14:textId="77777777" w:rsidR="00ED748D" w:rsidRDefault="00ED748D" w:rsidP="002B23FD">
            <w:pPr>
              <w:pStyle w:val="TableDataEntries"/>
              <w:spacing w:before="30" w:after="30"/>
              <w:rPr>
                <w:lang w:val="en-GB"/>
              </w:rPr>
            </w:pPr>
            <w:r>
              <w:rPr>
                <w:lang w:val="en-GB"/>
              </w:rPr>
              <w:t xml:space="preserve"> 0.999</w:t>
            </w:r>
          </w:p>
        </w:tc>
      </w:tr>
      <w:tr w:rsidR="00ED748D" w14:paraId="2608F427"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A2A1D4" w14:textId="77777777" w:rsidR="00ED748D" w:rsidRDefault="00ED748D" w:rsidP="002B23FD">
            <w:pPr>
              <w:pStyle w:val="TableDataEntries"/>
              <w:spacing w:before="30" w:after="30"/>
              <w:jc w:val="left"/>
              <w:rPr>
                <w:lang w:val="en-GB"/>
              </w:rPr>
            </w:pPr>
            <w:r>
              <w:rPr>
                <w:lang w:val="en-GB"/>
              </w:rPr>
              <w:t>Married</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27120B" w14:textId="77777777" w:rsidR="00ED748D" w:rsidRDefault="00ED748D" w:rsidP="002B23FD">
            <w:pPr>
              <w:pStyle w:val="TableDataEntries"/>
              <w:spacing w:before="30" w:after="30"/>
              <w:rPr>
                <w:lang w:val="en-GB"/>
              </w:rPr>
            </w:pPr>
            <w:r>
              <w:rPr>
                <w:lang w:val="en-GB"/>
              </w:rPr>
              <w:t xml:space="preserve"> 0.206</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EBE32C"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76EB26" w14:textId="77777777" w:rsidR="00ED748D" w:rsidRDefault="00ED748D" w:rsidP="002B23FD">
            <w:pPr>
              <w:pStyle w:val="TableDataEntries"/>
              <w:spacing w:before="30" w:after="30"/>
              <w:rPr>
                <w:lang w:val="en-GB"/>
              </w:rPr>
            </w:pPr>
            <w:r>
              <w:rPr>
                <w:lang w:val="en-GB"/>
              </w:rPr>
              <w:t xml:space="preserve"> 0.165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27D451" w14:textId="77777777" w:rsidR="00ED748D" w:rsidRDefault="00ED748D" w:rsidP="002B23FD">
            <w:pPr>
              <w:pStyle w:val="TableDataEntries"/>
              <w:spacing w:before="30" w:after="30"/>
              <w:rPr>
                <w:lang w:val="en-GB"/>
              </w:rPr>
            </w:pPr>
            <w:r>
              <w:rPr>
                <w:lang w:val="en-GB"/>
              </w:rPr>
              <w:t xml:space="preserve"> 0.257</w:t>
            </w:r>
          </w:p>
        </w:tc>
      </w:tr>
      <w:tr w:rsidR="00ED748D" w14:paraId="68E00CEE"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8B5602" w14:textId="77777777" w:rsidR="00ED748D" w:rsidRDefault="00ED748D" w:rsidP="002B23FD">
            <w:pPr>
              <w:pStyle w:val="TableDataEntries"/>
              <w:spacing w:before="30" w:after="30"/>
              <w:jc w:val="left"/>
              <w:rPr>
                <w:lang w:val="en-GB"/>
              </w:rPr>
            </w:pPr>
            <w:r>
              <w:rPr>
                <w:lang w:val="en-GB"/>
              </w:rPr>
              <w:t>Needs help with emotional/cognitive tasks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6F5C66" w14:textId="77777777" w:rsidR="00ED748D" w:rsidRDefault="00ED748D" w:rsidP="002B23FD">
            <w:pPr>
              <w:pStyle w:val="TableDataEntries"/>
              <w:spacing w:before="30" w:after="30"/>
              <w:rPr>
                <w:lang w:val="en-GB"/>
              </w:rPr>
            </w:pPr>
            <w:r>
              <w:rPr>
                <w:lang w:val="en-GB"/>
              </w:rPr>
              <w:t xml:space="preserve"> 2.888</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388E72"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D79A3" w14:textId="77777777" w:rsidR="00ED748D" w:rsidRDefault="00ED748D" w:rsidP="002B23FD">
            <w:pPr>
              <w:pStyle w:val="TableDataEntries"/>
              <w:spacing w:before="30" w:after="30"/>
              <w:rPr>
                <w:lang w:val="en-GB"/>
              </w:rPr>
            </w:pPr>
            <w:r>
              <w:rPr>
                <w:lang w:val="en-GB"/>
              </w:rPr>
              <w:t xml:space="preserve"> 2.112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F05454" w14:textId="77777777" w:rsidR="00ED748D" w:rsidRDefault="00ED748D" w:rsidP="002B23FD">
            <w:pPr>
              <w:pStyle w:val="TableDataEntries"/>
              <w:spacing w:before="30" w:after="30"/>
              <w:rPr>
                <w:lang w:val="en-GB"/>
              </w:rPr>
            </w:pPr>
            <w:r>
              <w:rPr>
                <w:lang w:val="en-GB"/>
              </w:rPr>
              <w:t xml:space="preserve"> 3.948</w:t>
            </w:r>
          </w:p>
        </w:tc>
      </w:tr>
      <w:tr w:rsidR="00ED748D" w14:paraId="0D655800"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5CEE4F" w14:textId="77777777" w:rsidR="00ED748D" w:rsidRDefault="00ED748D" w:rsidP="002B23FD">
            <w:pPr>
              <w:pStyle w:val="TableDataEntries"/>
              <w:spacing w:before="30" w:after="30"/>
              <w:jc w:val="left"/>
              <w:rPr>
                <w:lang w:val="en-GB"/>
              </w:rPr>
            </w:pPr>
            <w:r>
              <w:rPr>
                <w:lang w:val="en-GB"/>
              </w:rPr>
              <w:t>Needs help to cope with emotions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2F4375" w14:textId="77777777" w:rsidR="00ED748D" w:rsidRDefault="00ED748D" w:rsidP="002B23FD">
            <w:pPr>
              <w:pStyle w:val="TableDataEntries"/>
              <w:spacing w:before="30" w:after="30"/>
              <w:rPr>
                <w:lang w:val="en-GB"/>
              </w:rPr>
            </w:pPr>
            <w:r>
              <w:rPr>
                <w:lang w:val="en-GB"/>
              </w:rPr>
              <w:t xml:space="preserve"> 2.105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BDBF6"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723AE5" w14:textId="77777777" w:rsidR="00ED748D" w:rsidRDefault="00ED748D" w:rsidP="002B23FD">
            <w:pPr>
              <w:pStyle w:val="TableDataEntries"/>
              <w:spacing w:before="30" w:after="30"/>
              <w:rPr>
                <w:lang w:val="en-GB"/>
              </w:rPr>
            </w:pPr>
            <w:r>
              <w:rPr>
                <w:lang w:val="en-GB"/>
              </w:rPr>
              <w:t xml:space="preserve"> 1.525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4A2474" w14:textId="77777777" w:rsidR="00ED748D" w:rsidRDefault="00ED748D" w:rsidP="002B23FD">
            <w:pPr>
              <w:pStyle w:val="TableDataEntries"/>
              <w:spacing w:before="30" w:after="30"/>
              <w:rPr>
                <w:lang w:val="en-GB"/>
              </w:rPr>
            </w:pPr>
            <w:r>
              <w:rPr>
                <w:lang w:val="en-GB"/>
              </w:rPr>
              <w:t xml:space="preserve"> 2.906</w:t>
            </w:r>
          </w:p>
        </w:tc>
      </w:tr>
      <w:tr w:rsidR="00ED748D" w14:paraId="4EC71849"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EDB406" w14:textId="77777777" w:rsidR="00ED748D" w:rsidRDefault="00ED748D" w:rsidP="002B23FD">
            <w:pPr>
              <w:pStyle w:val="TableDataEntries"/>
              <w:spacing w:before="30" w:after="30"/>
              <w:jc w:val="left"/>
              <w:rPr>
                <w:lang w:val="en-GB"/>
              </w:rPr>
            </w:pPr>
            <w:r>
              <w:rPr>
                <w:lang w:val="en-GB"/>
              </w:rPr>
              <w:t>Needs help with understanding</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1FEA40" w14:textId="77777777" w:rsidR="00ED748D" w:rsidRDefault="00ED748D" w:rsidP="002B23FD">
            <w:pPr>
              <w:pStyle w:val="TableDataEntries"/>
              <w:spacing w:before="30" w:after="30"/>
              <w:rPr>
                <w:lang w:val="en-GB"/>
              </w:rPr>
            </w:pPr>
            <w:r>
              <w:rPr>
                <w:lang w:val="en-GB"/>
              </w:rPr>
              <w:t xml:space="preserve"> 1.955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6A6933" w14:textId="77777777" w:rsidR="00ED748D" w:rsidRDefault="00ED748D" w:rsidP="002B23FD">
            <w:pPr>
              <w:pStyle w:val="TableDataEntries"/>
              <w:spacing w:before="30" w:after="30"/>
              <w:rPr>
                <w:lang w:val="en-GB"/>
              </w:rPr>
            </w:pPr>
            <w:r>
              <w:rPr>
                <w:lang w:val="en-GB"/>
              </w:rPr>
              <w:t xml:space="preserve"> 0.002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529C1A" w14:textId="77777777" w:rsidR="00ED748D" w:rsidRDefault="00ED748D" w:rsidP="002B23FD">
            <w:pPr>
              <w:pStyle w:val="TableDataEntries"/>
              <w:spacing w:before="30" w:after="30"/>
              <w:rPr>
                <w:lang w:val="en-GB"/>
              </w:rPr>
            </w:pPr>
            <w:r>
              <w:rPr>
                <w:lang w:val="en-GB"/>
              </w:rPr>
              <w:t xml:space="preserve"> 1.281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3B4B5E" w14:textId="77777777" w:rsidR="00ED748D" w:rsidRDefault="00ED748D" w:rsidP="002B23FD">
            <w:pPr>
              <w:pStyle w:val="TableDataEntries"/>
              <w:spacing w:before="30" w:after="30"/>
              <w:rPr>
                <w:lang w:val="en-GB"/>
              </w:rPr>
            </w:pPr>
            <w:r>
              <w:rPr>
                <w:lang w:val="en-GB"/>
              </w:rPr>
              <w:t xml:space="preserve"> 2.985</w:t>
            </w:r>
          </w:p>
        </w:tc>
      </w:tr>
      <w:tr w:rsidR="00ED748D" w14:paraId="0B55C028"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FB78C5" w14:textId="77777777" w:rsidR="00ED748D" w:rsidRDefault="00ED748D" w:rsidP="002B23FD">
            <w:pPr>
              <w:pStyle w:val="TableDataEntries"/>
              <w:spacing w:before="30" w:after="30"/>
              <w:jc w:val="left"/>
              <w:rPr>
                <w:lang w:val="en-GB"/>
              </w:rPr>
            </w:pPr>
            <w:r>
              <w:rPr>
                <w:lang w:val="en-GB"/>
              </w:rPr>
              <w:t>Needs help with communication</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54E5A6" w14:textId="77777777" w:rsidR="00ED748D" w:rsidRDefault="00ED748D" w:rsidP="002B23FD">
            <w:pPr>
              <w:pStyle w:val="TableDataEntries"/>
              <w:spacing w:before="30" w:after="30"/>
              <w:rPr>
                <w:lang w:val="en-GB"/>
              </w:rPr>
            </w:pPr>
            <w:r>
              <w:rPr>
                <w:lang w:val="en-GB"/>
              </w:rPr>
              <w:t xml:space="preserve"> 4.310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FAE11B"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9A8D71" w14:textId="77777777" w:rsidR="00ED748D" w:rsidRDefault="00ED748D" w:rsidP="002B23FD">
            <w:pPr>
              <w:pStyle w:val="TableDataEntries"/>
              <w:spacing w:before="30" w:after="30"/>
              <w:rPr>
                <w:lang w:val="en-GB"/>
              </w:rPr>
            </w:pPr>
            <w:r>
              <w:rPr>
                <w:lang w:val="en-GB"/>
              </w:rPr>
              <w:t xml:space="preserve"> 3.148</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311094" w14:textId="77777777" w:rsidR="00ED748D" w:rsidRDefault="00ED748D" w:rsidP="002B23FD">
            <w:pPr>
              <w:pStyle w:val="TableDataEntries"/>
              <w:spacing w:before="30" w:after="30"/>
              <w:rPr>
                <w:lang w:val="en-GB"/>
              </w:rPr>
            </w:pPr>
            <w:r>
              <w:rPr>
                <w:lang w:val="en-GB"/>
              </w:rPr>
              <w:t xml:space="preserve"> 5.901</w:t>
            </w:r>
          </w:p>
        </w:tc>
      </w:tr>
      <w:tr w:rsidR="00ED748D" w14:paraId="118B160A"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B96F75" w14:textId="77777777" w:rsidR="00ED748D" w:rsidRDefault="00ED748D" w:rsidP="002B23FD">
            <w:pPr>
              <w:pStyle w:val="TableDataEntries"/>
              <w:spacing w:before="30" w:after="30"/>
              <w:jc w:val="left"/>
              <w:rPr>
                <w:lang w:val="en-GB"/>
              </w:rPr>
            </w:pPr>
            <w:r>
              <w:rPr>
                <w:lang w:val="en-GB"/>
              </w:rPr>
              <w:t>Needs help with dressing</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F5CCCC" w14:textId="77777777" w:rsidR="00ED748D" w:rsidRDefault="00ED748D" w:rsidP="002B23FD">
            <w:pPr>
              <w:pStyle w:val="TableDataEntries"/>
              <w:spacing w:before="30" w:after="30"/>
              <w:rPr>
                <w:lang w:val="en-GB"/>
              </w:rPr>
            </w:pPr>
            <w:r>
              <w:rPr>
                <w:lang w:val="en-GB"/>
              </w:rPr>
              <w:t xml:space="preserve"> 1.781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BE7A2A" w14:textId="77777777" w:rsidR="00ED748D" w:rsidRDefault="00ED748D" w:rsidP="002B23FD">
            <w:pPr>
              <w:pStyle w:val="TableDataEntries"/>
              <w:spacing w:before="30" w:after="30"/>
              <w:rPr>
                <w:lang w:val="en-GB"/>
              </w:rPr>
            </w:pPr>
            <w:r>
              <w:rPr>
                <w:lang w:val="en-GB"/>
              </w:rPr>
              <w:t xml:space="preserve"> 0.001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615EBF" w14:textId="77777777" w:rsidR="00ED748D" w:rsidRDefault="00ED748D" w:rsidP="002B23FD">
            <w:pPr>
              <w:pStyle w:val="TableDataEntries"/>
              <w:spacing w:before="30" w:after="30"/>
              <w:rPr>
                <w:lang w:val="en-GB"/>
              </w:rPr>
            </w:pPr>
            <w:r>
              <w:rPr>
                <w:lang w:val="en-GB"/>
              </w:rPr>
              <w:t xml:space="preserve"> 1.275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C95C9" w14:textId="77777777" w:rsidR="00ED748D" w:rsidRDefault="00ED748D" w:rsidP="002B23FD">
            <w:pPr>
              <w:pStyle w:val="TableDataEntries"/>
              <w:spacing w:before="30" w:after="30"/>
              <w:rPr>
                <w:lang w:val="en-GB"/>
              </w:rPr>
            </w:pPr>
            <w:r>
              <w:rPr>
                <w:lang w:val="en-GB"/>
              </w:rPr>
              <w:t xml:space="preserve"> 2.487</w:t>
            </w:r>
          </w:p>
        </w:tc>
      </w:tr>
      <w:tr w:rsidR="00ED748D" w:rsidRPr="006154F2" w14:paraId="0FDB70BF"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FD94531" w14:textId="77777777" w:rsidR="00ED748D" w:rsidRPr="006154F2" w:rsidRDefault="00ED748D" w:rsidP="002B23FD">
            <w:pPr>
              <w:pStyle w:val="TableDataEntries"/>
              <w:spacing w:before="30" w:after="30"/>
              <w:jc w:val="left"/>
              <w:rPr>
                <w:rFonts w:ascii="Franklin Gothic Demi" w:hAnsi="Franklin Gothic Demi"/>
                <w:lang w:val="en-GB"/>
              </w:rPr>
            </w:pPr>
            <w:r w:rsidRPr="006154F2">
              <w:rPr>
                <w:rFonts w:ascii="Franklin Gothic Demi" w:hAnsi="Franklin Gothic Demi"/>
                <w:lang w:val="en-GB"/>
              </w:rPr>
              <w:t>Needs help with mobility about residence</w:t>
            </w:r>
          </w:p>
        </w:tc>
        <w:tc>
          <w:tcPr>
            <w:tcW w:w="121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D402E2F" w14:textId="77777777" w:rsidR="00ED748D" w:rsidRPr="006154F2" w:rsidRDefault="00ED748D" w:rsidP="002B23FD">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2.684</w:t>
            </w:r>
          </w:p>
        </w:tc>
        <w:tc>
          <w:tcPr>
            <w:tcW w:w="121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238A28E" w14:textId="77777777" w:rsidR="00ED748D" w:rsidRPr="006154F2" w:rsidRDefault="00ED748D" w:rsidP="002B23FD">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0.000</w:t>
            </w:r>
          </w:p>
        </w:tc>
        <w:tc>
          <w:tcPr>
            <w:tcW w:w="121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1C10790" w14:textId="77777777" w:rsidR="00ED748D" w:rsidRPr="006154F2" w:rsidRDefault="00ED748D" w:rsidP="002B23FD">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2.076</w:t>
            </w:r>
          </w:p>
        </w:tc>
        <w:tc>
          <w:tcPr>
            <w:tcW w:w="121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454C0152" w14:textId="77777777" w:rsidR="00ED748D" w:rsidRPr="006154F2" w:rsidRDefault="00ED748D" w:rsidP="002B23FD">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3.468</w:t>
            </w:r>
          </w:p>
        </w:tc>
      </w:tr>
      <w:tr w:rsidR="00ED748D" w14:paraId="4687976D"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810D93" w14:textId="77777777" w:rsidR="00ED748D" w:rsidRDefault="00ED748D" w:rsidP="002B23FD">
            <w:pPr>
              <w:pStyle w:val="TableDataEntries"/>
              <w:spacing w:before="30" w:after="30"/>
              <w:jc w:val="left"/>
              <w:rPr>
                <w:lang w:val="en-GB"/>
              </w:rPr>
            </w:pPr>
            <w:r>
              <w:rPr>
                <w:lang w:val="en-GB"/>
              </w:rPr>
              <w:t>Needs help with toileting</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F2B777" w14:textId="77777777" w:rsidR="00ED748D" w:rsidRDefault="00ED748D" w:rsidP="002B23FD">
            <w:pPr>
              <w:pStyle w:val="TableDataEntries"/>
              <w:spacing w:before="30" w:after="30"/>
              <w:rPr>
                <w:lang w:val="en-GB"/>
              </w:rPr>
            </w:pPr>
            <w:r>
              <w:rPr>
                <w:lang w:val="en-GB"/>
              </w:rPr>
              <w:t xml:space="preserve"> 4.371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751BD4"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B99EC8" w14:textId="77777777" w:rsidR="00ED748D" w:rsidRDefault="00ED748D" w:rsidP="002B23FD">
            <w:pPr>
              <w:pStyle w:val="TableDataEntries"/>
              <w:spacing w:before="30" w:after="30"/>
              <w:rPr>
                <w:lang w:val="en-GB"/>
              </w:rPr>
            </w:pPr>
            <w:r>
              <w:rPr>
                <w:lang w:val="en-GB"/>
              </w:rPr>
              <w:t xml:space="preserve"> 3.273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0D47C9" w14:textId="77777777" w:rsidR="00ED748D" w:rsidRDefault="00ED748D" w:rsidP="002B23FD">
            <w:pPr>
              <w:pStyle w:val="TableDataEntries"/>
              <w:spacing w:before="30" w:after="30"/>
              <w:rPr>
                <w:lang w:val="en-GB"/>
              </w:rPr>
            </w:pPr>
            <w:r>
              <w:rPr>
                <w:lang w:val="en-GB"/>
              </w:rPr>
              <w:t xml:space="preserve"> 5.836</w:t>
            </w:r>
          </w:p>
        </w:tc>
      </w:tr>
      <w:tr w:rsidR="00ED748D" w14:paraId="42B93707"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C90D48" w14:textId="77777777" w:rsidR="00ED748D" w:rsidRDefault="00ED748D" w:rsidP="002B23FD">
            <w:pPr>
              <w:pStyle w:val="TableDataEntries"/>
              <w:spacing w:before="30" w:after="30"/>
              <w:jc w:val="left"/>
              <w:rPr>
                <w:lang w:val="en-GB"/>
              </w:rPr>
            </w:pPr>
            <w:r>
              <w:rPr>
                <w:lang w:val="en-GB"/>
              </w:rPr>
              <w:t>Head injury</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0F7771" w14:textId="77777777" w:rsidR="00ED748D" w:rsidRDefault="00ED748D" w:rsidP="002B23FD">
            <w:pPr>
              <w:pStyle w:val="TableDataEntries"/>
              <w:spacing w:before="30" w:after="30"/>
              <w:rPr>
                <w:lang w:val="en-GB"/>
              </w:rPr>
            </w:pPr>
            <w:r>
              <w:rPr>
                <w:lang w:val="en-GB"/>
              </w:rPr>
              <w:t xml:space="preserve"> 0.580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6626A8" w14:textId="77777777" w:rsidR="00ED748D" w:rsidRDefault="00ED748D" w:rsidP="002B23FD">
            <w:pPr>
              <w:pStyle w:val="TableDataEntries"/>
              <w:spacing w:before="30" w:after="30"/>
              <w:rPr>
                <w:lang w:val="en-GB"/>
              </w:rPr>
            </w:pPr>
            <w:r>
              <w:rPr>
                <w:lang w:val="en-GB"/>
              </w:rPr>
              <w:t xml:space="preserve"> 0.003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E5D792" w14:textId="77777777" w:rsidR="00ED748D" w:rsidRDefault="00ED748D" w:rsidP="002B23FD">
            <w:pPr>
              <w:pStyle w:val="TableDataEntries"/>
              <w:spacing w:before="30" w:after="30"/>
              <w:rPr>
                <w:lang w:val="en-GB"/>
              </w:rPr>
            </w:pPr>
            <w:r>
              <w:rPr>
                <w:lang w:val="en-GB"/>
              </w:rPr>
              <w:t xml:space="preserve"> 0.404</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BBC08" w14:textId="77777777" w:rsidR="00ED748D" w:rsidRDefault="00ED748D" w:rsidP="002B23FD">
            <w:pPr>
              <w:pStyle w:val="TableDataEntries"/>
              <w:spacing w:before="30" w:after="30"/>
              <w:rPr>
                <w:lang w:val="en-GB"/>
              </w:rPr>
            </w:pPr>
            <w:r>
              <w:rPr>
                <w:lang w:val="en-GB"/>
              </w:rPr>
              <w:t xml:space="preserve"> 0.831</w:t>
            </w:r>
          </w:p>
        </w:tc>
      </w:tr>
      <w:tr w:rsidR="00ED748D" w14:paraId="3CC91D65"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80E341" w14:textId="77777777" w:rsidR="00ED748D" w:rsidRDefault="00ED748D" w:rsidP="002B23FD">
            <w:pPr>
              <w:pStyle w:val="TableDataEntries"/>
              <w:spacing w:before="30" w:after="30"/>
              <w:jc w:val="left"/>
              <w:rPr>
                <w:lang w:val="en-GB"/>
              </w:rPr>
            </w:pPr>
            <w:r>
              <w:rPr>
                <w:lang w:val="en-GB"/>
              </w:rPr>
              <w:t>Dementia</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9B1B0B" w14:textId="77777777" w:rsidR="00ED748D" w:rsidRDefault="00ED748D" w:rsidP="002B23FD">
            <w:pPr>
              <w:pStyle w:val="TableDataEntries"/>
              <w:spacing w:before="30" w:after="30"/>
              <w:rPr>
                <w:lang w:val="en-GB"/>
              </w:rPr>
            </w:pPr>
            <w:r>
              <w:rPr>
                <w:lang w:val="en-GB"/>
              </w:rPr>
              <w:t xml:space="preserve"> 2.541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693416"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000795" w14:textId="77777777" w:rsidR="00ED748D" w:rsidRDefault="00ED748D" w:rsidP="002B23FD">
            <w:pPr>
              <w:pStyle w:val="TableDataEntries"/>
              <w:spacing w:before="30" w:after="30"/>
              <w:rPr>
                <w:lang w:val="en-GB"/>
              </w:rPr>
            </w:pPr>
            <w:r>
              <w:rPr>
                <w:lang w:val="en-GB"/>
              </w:rPr>
              <w:t xml:space="preserve"> 1.818</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2FC5EE" w14:textId="77777777" w:rsidR="00ED748D" w:rsidRDefault="00ED748D" w:rsidP="002B23FD">
            <w:pPr>
              <w:pStyle w:val="TableDataEntries"/>
              <w:spacing w:before="30" w:after="30"/>
              <w:rPr>
                <w:lang w:val="en-GB"/>
              </w:rPr>
            </w:pPr>
            <w:r>
              <w:rPr>
                <w:lang w:val="en-GB"/>
              </w:rPr>
              <w:t xml:space="preserve"> 3.551</w:t>
            </w:r>
          </w:p>
        </w:tc>
      </w:tr>
      <w:tr w:rsidR="00ED748D" w14:paraId="5686BD98"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796EAE" w14:textId="77777777" w:rsidR="00ED748D" w:rsidRDefault="00ED748D" w:rsidP="002B23FD">
            <w:pPr>
              <w:pStyle w:val="TableDataEntries"/>
              <w:spacing w:before="30" w:after="30"/>
              <w:jc w:val="left"/>
              <w:rPr>
                <w:lang w:val="en-GB"/>
              </w:rPr>
            </w:pPr>
            <w:r>
              <w:rPr>
                <w:lang w:val="en-GB"/>
              </w:rPr>
              <w:t>Diabetes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97CB85" w14:textId="77777777" w:rsidR="00ED748D" w:rsidRDefault="00ED748D" w:rsidP="002B23FD">
            <w:pPr>
              <w:pStyle w:val="TableDataEntries"/>
              <w:spacing w:before="30" w:after="30"/>
              <w:rPr>
                <w:lang w:val="en-GB"/>
              </w:rPr>
            </w:pPr>
            <w:r>
              <w:rPr>
                <w:lang w:val="en-GB"/>
              </w:rPr>
              <w:t xml:space="preserve"> 0.719</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67A401" w14:textId="77777777" w:rsidR="00ED748D" w:rsidRDefault="00ED748D" w:rsidP="002B23FD">
            <w:pPr>
              <w:pStyle w:val="TableDataEntries"/>
              <w:spacing w:before="30" w:after="30"/>
              <w:rPr>
                <w:lang w:val="en-GB"/>
              </w:rPr>
            </w:pPr>
            <w:r>
              <w:rPr>
                <w:lang w:val="en-GB"/>
              </w:rPr>
              <w:t xml:space="preserve"> 0.043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0B8969" w14:textId="77777777" w:rsidR="00ED748D" w:rsidRDefault="00ED748D" w:rsidP="002B23FD">
            <w:pPr>
              <w:pStyle w:val="TableDataEntries"/>
              <w:spacing w:before="30" w:after="30"/>
              <w:rPr>
                <w:lang w:val="en-GB"/>
              </w:rPr>
            </w:pPr>
            <w:r>
              <w:rPr>
                <w:lang w:val="en-GB"/>
              </w:rPr>
              <w:t xml:space="preserve"> 0.522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3732F" w14:textId="77777777" w:rsidR="00ED748D" w:rsidRDefault="00ED748D" w:rsidP="002B23FD">
            <w:pPr>
              <w:pStyle w:val="TableDataEntries"/>
              <w:spacing w:before="30" w:after="30"/>
              <w:rPr>
                <w:lang w:val="en-GB"/>
              </w:rPr>
            </w:pPr>
            <w:r>
              <w:rPr>
                <w:lang w:val="en-GB"/>
              </w:rPr>
              <w:t xml:space="preserve"> 0.989</w:t>
            </w:r>
          </w:p>
        </w:tc>
      </w:tr>
      <w:tr w:rsidR="00ED748D" w14:paraId="4A5DF67F"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24632A" w14:textId="77777777" w:rsidR="00ED748D" w:rsidRDefault="00ED748D" w:rsidP="002B23FD">
            <w:pPr>
              <w:pStyle w:val="TableDataEntries"/>
              <w:spacing w:before="30" w:after="30"/>
              <w:jc w:val="left"/>
              <w:rPr>
                <w:lang w:val="en-GB"/>
              </w:rPr>
            </w:pPr>
            <w:r>
              <w:rPr>
                <w:lang w:val="en-GB"/>
              </w:rPr>
              <w:t>Schizophrenia</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FCE7CC" w14:textId="77777777" w:rsidR="00ED748D" w:rsidRDefault="00ED748D" w:rsidP="002B23FD">
            <w:pPr>
              <w:pStyle w:val="TableDataEntries"/>
              <w:spacing w:before="30" w:after="30"/>
              <w:rPr>
                <w:lang w:val="en-GB"/>
              </w:rPr>
            </w:pPr>
            <w:r>
              <w:rPr>
                <w:lang w:val="en-GB"/>
              </w:rPr>
              <w:t xml:space="preserve"> 3.859</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555705" w14:textId="77777777" w:rsidR="00ED748D" w:rsidRDefault="00ED748D" w:rsidP="002B23FD">
            <w:pPr>
              <w:pStyle w:val="TableDataEntries"/>
              <w:spacing w:before="30" w:after="30"/>
              <w:rPr>
                <w:lang w:val="en-GB"/>
              </w:rPr>
            </w:pPr>
            <w:r>
              <w:rPr>
                <w:lang w:val="en-GB"/>
              </w:rPr>
              <w:t xml:space="preserve"> 0.002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F859D1" w14:textId="77777777" w:rsidR="00ED748D" w:rsidRDefault="00ED748D" w:rsidP="002B23FD">
            <w:pPr>
              <w:pStyle w:val="TableDataEntries"/>
              <w:spacing w:before="30" w:after="30"/>
              <w:rPr>
                <w:lang w:val="en-GB"/>
              </w:rPr>
            </w:pPr>
            <w:r>
              <w:rPr>
                <w:lang w:val="en-GB"/>
              </w:rPr>
              <w:t xml:space="preserve"> 1.612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9AA2A1" w14:textId="77777777" w:rsidR="00ED748D" w:rsidRDefault="00ED748D" w:rsidP="002B23FD">
            <w:pPr>
              <w:pStyle w:val="TableDataEntries"/>
              <w:spacing w:before="30" w:after="30"/>
              <w:rPr>
                <w:lang w:val="en-GB"/>
              </w:rPr>
            </w:pPr>
            <w:r>
              <w:rPr>
                <w:lang w:val="en-GB"/>
              </w:rPr>
              <w:t xml:space="preserve"> 9.241</w:t>
            </w:r>
          </w:p>
        </w:tc>
      </w:tr>
      <w:tr w:rsidR="00ED748D" w14:paraId="281B4B08"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C63138" w14:textId="77777777" w:rsidR="00ED748D" w:rsidRDefault="00ED748D" w:rsidP="002B23FD">
            <w:pPr>
              <w:pStyle w:val="TableDataEntries"/>
              <w:spacing w:before="30" w:after="30"/>
              <w:jc w:val="left"/>
              <w:rPr>
                <w:lang w:val="en-GB"/>
              </w:rPr>
            </w:pPr>
            <w:r>
              <w:rPr>
                <w:lang w:val="en-GB"/>
              </w:rPr>
              <w:t>Depression</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5AE4F7" w14:textId="77777777" w:rsidR="00ED748D" w:rsidRDefault="00ED748D" w:rsidP="002B23FD">
            <w:pPr>
              <w:pStyle w:val="TableDataEntries"/>
              <w:spacing w:before="30" w:after="30"/>
              <w:rPr>
                <w:lang w:val="en-GB"/>
              </w:rPr>
            </w:pPr>
            <w:r>
              <w:rPr>
                <w:lang w:val="en-GB"/>
              </w:rPr>
              <w:t xml:space="preserve"> 3.172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0EDDB3"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5C1389" w14:textId="77777777" w:rsidR="00ED748D" w:rsidRDefault="00ED748D" w:rsidP="002B23FD">
            <w:pPr>
              <w:pStyle w:val="TableDataEntries"/>
              <w:spacing w:before="30" w:after="30"/>
              <w:rPr>
                <w:lang w:val="en-GB"/>
              </w:rPr>
            </w:pPr>
            <w:r>
              <w:rPr>
                <w:lang w:val="en-GB"/>
              </w:rPr>
              <w:t xml:space="preserve"> 2.392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66641C" w14:textId="77777777" w:rsidR="00ED748D" w:rsidRDefault="00ED748D" w:rsidP="002B23FD">
            <w:pPr>
              <w:pStyle w:val="TableDataEntries"/>
              <w:spacing w:before="30" w:after="30"/>
              <w:rPr>
                <w:lang w:val="en-GB"/>
              </w:rPr>
            </w:pPr>
            <w:r>
              <w:rPr>
                <w:lang w:val="en-GB"/>
              </w:rPr>
              <w:t xml:space="preserve"> 4.206</w:t>
            </w:r>
          </w:p>
        </w:tc>
      </w:tr>
      <w:tr w:rsidR="00ED748D" w14:paraId="7B5EAD70"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1A48F9" w14:textId="77777777" w:rsidR="00ED748D" w:rsidRDefault="00ED748D" w:rsidP="002B23FD">
            <w:pPr>
              <w:pStyle w:val="TableDataEntries"/>
              <w:spacing w:before="30" w:after="30"/>
              <w:jc w:val="left"/>
              <w:rPr>
                <w:lang w:val="en-GB"/>
              </w:rPr>
            </w:pPr>
            <w:r>
              <w:rPr>
                <w:lang w:val="en-GB"/>
              </w:rPr>
              <w:t>Retardation</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6E54D9" w14:textId="77777777" w:rsidR="00ED748D" w:rsidRDefault="00ED748D" w:rsidP="002B23FD">
            <w:pPr>
              <w:pStyle w:val="TableDataEntries"/>
              <w:spacing w:before="30" w:after="30"/>
              <w:rPr>
                <w:lang w:val="en-GB"/>
              </w:rPr>
            </w:pPr>
            <w:r>
              <w:rPr>
                <w:lang w:val="en-GB"/>
              </w:rPr>
              <w:t xml:space="preserve"> 0.433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B9BAE3" w14:textId="77777777" w:rsidR="00ED748D" w:rsidRDefault="00ED748D" w:rsidP="002B23FD">
            <w:pPr>
              <w:pStyle w:val="TableDataEntries"/>
              <w:spacing w:before="30" w:after="30"/>
              <w:rPr>
                <w:lang w:val="en-GB"/>
              </w:rPr>
            </w:pPr>
            <w:r>
              <w:rPr>
                <w:lang w:val="en-GB"/>
              </w:rPr>
              <w:t xml:space="preserve"> 0.094</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4356D3" w14:textId="77777777" w:rsidR="00ED748D" w:rsidRDefault="00ED748D" w:rsidP="002B23FD">
            <w:pPr>
              <w:pStyle w:val="TableDataEntries"/>
              <w:spacing w:before="30" w:after="30"/>
              <w:rPr>
                <w:lang w:val="en-GB"/>
              </w:rPr>
            </w:pPr>
            <w:r>
              <w:rPr>
                <w:lang w:val="en-GB"/>
              </w:rPr>
              <w:t xml:space="preserve"> 0.162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66DDFA" w14:textId="77777777" w:rsidR="00ED748D" w:rsidRDefault="00ED748D" w:rsidP="002B23FD">
            <w:pPr>
              <w:pStyle w:val="TableDataEntries"/>
              <w:spacing w:before="30" w:after="30"/>
              <w:rPr>
                <w:lang w:val="en-GB"/>
              </w:rPr>
            </w:pPr>
            <w:r>
              <w:rPr>
                <w:lang w:val="en-GB"/>
              </w:rPr>
              <w:t xml:space="preserve"> 1.154</w:t>
            </w:r>
          </w:p>
        </w:tc>
      </w:tr>
      <w:tr w:rsidR="00ED748D" w14:paraId="556FED01"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3097FF" w14:textId="77777777" w:rsidR="00ED748D" w:rsidRDefault="00ED748D" w:rsidP="002B23FD">
            <w:pPr>
              <w:pStyle w:val="TableDataEntries"/>
              <w:spacing w:before="30" w:after="30"/>
              <w:jc w:val="left"/>
              <w:rPr>
                <w:lang w:val="en-GB"/>
              </w:rPr>
            </w:pPr>
            <w:r>
              <w:rPr>
                <w:lang w:val="en-GB"/>
              </w:rPr>
              <w:t>Epilepsy</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440AA6" w14:textId="77777777" w:rsidR="00ED748D" w:rsidRDefault="00ED748D" w:rsidP="002B23FD">
            <w:pPr>
              <w:pStyle w:val="TableDataEntries"/>
              <w:spacing w:before="30" w:after="30"/>
              <w:rPr>
                <w:lang w:val="en-GB"/>
              </w:rPr>
            </w:pPr>
            <w:r>
              <w:rPr>
                <w:lang w:val="en-GB"/>
              </w:rPr>
              <w:t xml:space="preserve"> 2.853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594345" w14:textId="77777777" w:rsidR="00ED748D" w:rsidRDefault="00ED748D" w:rsidP="002B23FD">
            <w:pPr>
              <w:pStyle w:val="TableDataEntries"/>
              <w:spacing w:before="30" w:after="30"/>
              <w:rPr>
                <w:lang w:val="en-GB"/>
              </w:rPr>
            </w:pPr>
            <w:r>
              <w:rPr>
                <w:lang w:val="en-GB"/>
              </w:rPr>
              <w:t xml:space="preserve"> 0.013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76740D" w14:textId="77777777" w:rsidR="00ED748D" w:rsidRDefault="00ED748D" w:rsidP="002B23FD">
            <w:pPr>
              <w:pStyle w:val="TableDataEntries"/>
              <w:spacing w:before="30" w:after="30"/>
              <w:rPr>
                <w:lang w:val="en-GB"/>
              </w:rPr>
            </w:pPr>
            <w:r>
              <w:rPr>
                <w:lang w:val="en-GB"/>
              </w:rPr>
              <w:t xml:space="preserve"> 1.244</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4EE33A" w14:textId="77777777" w:rsidR="00ED748D" w:rsidRDefault="00ED748D" w:rsidP="002B23FD">
            <w:pPr>
              <w:pStyle w:val="TableDataEntries"/>
              <w:spacing w:before="30" w:after="30"/>
              <w:rPr>
                <w:lang w:val="en-GB"/>
              </w:rPr>
            </w:pPr>
            <w:r>
              <w:rPr>
                <w:lang w:val="en-GB"/>
              </w:rPr>
              <w:t xml:space="preserve"> 6.541</w:t>
            </w:r>
          </w:p>
        </w:tc>
      </w:tr>
      <w:tr w:rsidR="00ED748D" w14:paraId="0BC01CE9"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E41D66" w14:textId="77777777" w:rsidR="00ED748D" w:rsidRDefault="00ED748D" w:rsidP="002B23FD">
            <w:pPr>
              <w:pStyle w:val="TableDataEntries"/>
              <w:spacing w:before="30" w:after="30"/>
              <w:jc w:val="left"/>
              <w:rPr>
                <w:lang w:val="en-GB"/>
              </w:rPr>
            </w:pPr>
            <w:r>
              <w:rPr>
                <w:lang w:val="en-GB"/>
              </w:rPr>
              <w:t>Multiple Sclerosis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48AA51" w14:textId="77777777" w:rsidR="00ED748D" w:rsidRDefault="00ED748D" w:rsidP="002B23FD">
            <w:pPr>
              <w:pStyle w:val="TableDataEntries"/>
              <w:spacing w:before="30" w:after="30"/>
              <w:rPr>
                <w:lang w:val="en-GB"/>
              </w:rPr>
            </w:pPr>
            <w:r>
              <w:rPr>
                <w:lang w:val="en-GB"/>
              </w:rPr>
              <w:t xml:space="preserve"> 2.167</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BAE494" w14:textId="77777777" w:rsidR="00ED748D" w:rsidRDefault="00ED748D" w:rsidP="002B23FD">
            <w:pPr>
              <w:pStyle w:val="TableDataEntries"/>
              <w:spacing w:before="30" w:after="30"/>
              <w:rPr>
                <w:lang w:val="en-GB"/>
              </w:rPr>
            </w:pPr>
            <w:r>
              <w:rPr>
                <w:lang w:val="en-GB"/>
              </w:rPr>
              <w:t xml:space="preserve"> 0.028</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DFE4F9" w14:textId="77777777" w:rsidR="00ED748D" w:rsidRDefault="00ED748D" w:rsidP="002B23FD">
            <w:pPr>
              <w:pStyle w:val="TableDataEntries"/>
              <w:spacing w:before="30" w:after="30"/>
              <w:rPr>
                <w:lang w:val="en-GB"/>
              </w:rPr>
            </w:pPr>
            <w:r>
              <w:rPr>
                <w:lang w:val="en-GB"/>
              </w:rPr>
              <w:t xml:space="preserve"> 1.087</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5FEAD1" w14:textId="77777777" w:rsidR="00ED748D" w:rsidRDefault="00ED748D" w:rsidP="002B23FD">
            <w:pPr>
              <w:pStyle w:val="TableDataEntries"/>
              <w:spacing w:before="30" w:after="30"/>
              <w:rPr>
                <w:lang w:val="en-GB"/>
              </w:rPr>
            </w:pPr>
            <w:r>
              <w:rPr>
                <w:lang w:val="en-GB"/>
              </w:rPr>
              <w:t xml:space="preserve"> 4.321</w:t>
            </w:r>
          </w:p>
        </w:tc>
      </w:tr>
      <w:tr w:rsidR="00ED748D" w14:paraId="2EA44786"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21C6F9" w14:textId="77777777" w:rsidR="00ED748D" w:rsidRDefault="00ED748D" w:rsidP="002B23FD">
            <w:pPr>
              <w:pStyle w:val="TableDataEntries"/>
              <w:spacing w:before="30" w:after="30"/>
              <w:jc w:val="left"/>
              <w:rPr>
                <w:lang w:val="en-GB"/>
              </w:rPr>
            </w:pPr>
            <w:r>
              <w:rPr>
                <w:lang w:val="en-GB"/>
              </w:rPr>
              <w:t>Paralysis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B1E5D" w14:textId="77777777" w:rsidR="00ED748D" w:rsidRDefault="00ED748D" w:rsidP="002B23FD">
            <w:pPr>
              <w:pStyle w:val="TableDataEntries"/>
              <w:spacing w:before="30" w:after="30"/>
              <w:rPr>
                <w:lang w:val="en-GB"/>
              </w:rPr>
            </w:pPr>
            <w:r>
              <w:rPr>
                <w:lang w:val="en-GB"/>
              </w:rPr>
              <w:t xml:space="preserve"> 4.786</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28C2CF"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C63DC4" w14:textId="77777777" w:rsidR="00ED748D" w:rsidRDefault="00ED748D" w:rsidP="002B23FD">
            <w:pPr>
              <w:pStyle w:val="TableDataEntries"/>
              <w:spacing w:before="30" w:after="30"/>
              <w:rPr>
                <w:lang w:val="en-GB"/>
              </w:rPr>
            </w:pPr>
            <w:r>
              <w:rPr>
                <w:lang w:val="en-GB"/>
              </w:rPr>
              <w:t xml:space="preserve"> 2.591</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3C5562" w14:textId="77777777" w:rsidR="00ED748D" w:rsidRDefault="00ED748D" w:rsidP="002B23FD">
            <w:pPr>
              <w:pStyle w:val="TableDataEntries"/>
              <w:spacing w:before="30" w:after="30"/>
              <w:rPr>
                <w:lang w:val="en-GB"/>
              </w:rPr>
            </w:pPr>
            <w:r>
              <w:rPr>
                <w:lang w:val="en-GB"/>
              </w:rPr>
              <w:t xml:space="preserve"> 8.841</w:t>
            </w:r>
          </w:p>
        </w:tc>
      </w:tr>
      <w:tr w:rsidR="00ED748D" w14:paraId="2098C582"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58BEFC" w14:textId="77777777" w:rsidR="00ED748D" w:rsidRDefault="00ED748D" w:rsidP="002B23FD">
            <w:pPr>
              <w:pStyle w:val="TableDataEntries"/>
              <w:spacing w:before="30" w:after="30"/>
              <w:jc w:val="left"/>
              <w:rPr>
                <w:lang w:val="en-GB"/>
              </w:rPr>
            </w:pPr>
            <w:r>
              <w:rPr>
                <w:lang w:val="en-GB"/>
              </w:rPr>
              <w:t>Heart Disease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A3CB8C" w14:textId="77777777" w:rsidR="00ED748D" w:rsidRDefault="00ED748D" w:rsidP="002B23FD">
            <w:pPr>
              <w:pStyle w:val="TableDataEntries"/>
              <w:spacing w:before="30" w:after="30"/>
              <w:rPr>
                <w:lang w:val="en-GB"/>
              </w:rPr>
            </w:pPr>
            <w:r>
              <w:rPr>
                <w:lang w:val="en-GB"/>
              </w:rPr>
              <w:t xml:space="preserve"> 1.653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C49965"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D81DE" w14:textId="77777777" w:rsidR="00ED748D" w:rsidRDefault="00ED748D" w:rsidP="002B23FD">
            <w:pPr>
              <w:pStyle w:val="TableDataEntries"/>
              <w:spacing w:before="30" w:after="30"/>
              <w:rPr>
                <w:lang w:val="en-GB"/>
              </w:rPr>
            </w:pPr>
            <w:r>
              <w:rPr>
                <w:lang w:val="en-GB"/>
              </w:rPr>
              <w:t xml:space="preserve"> 1.283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AC1B1B" w14:textId="77777777" w:rsidR="00ED748D" w:rsidRDefault="00ED748D" w:rsidP="002B23FD">
            <w:pPr>
              <w:pStyle w:val="TableDataEntries"/>
              <w:spacing w:before="30" w:after="30"/>
              <w:rPr>
                <w:lang w:val="en-GB"/>
              </w:rPr>
            </w:pPr>
            <w:r>
              <w:rPr>
                <w:lang w:val="en-GB"/>
              </w:rPr>
              <w:t xml:space="preserve"> 2.130</w:t>
            </w:r>
          </w:p>
        </w:tc>
      </w:tr>
      <w:tr w:rsidR="00ED748D" w14:paraId="3CFE6F49"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DDD8E1" w14:textId="77777777" w:rsidR="00ED748D" w:rsidRDefault="00ED748D" w:rsidP="002B23FD">
            <w:pPr>
              <w:pStyle w:val="TableDataEntries"/>
              <w:spacing w:before="30" w:after="30"/>
              <w:jc w:val="left"/>
              <w:rPr>
                <w:lang w:val="en-GB"/>
              </w:rPr>
            </w:pPr>
            <w:r>
              <w:rPr>
                <w:lang w:val="en-GB"/>
              </w:rPr>
              <w:t>Urinary</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D6029D" w14:textId="77777777" w:rsidR="00ED748D" w:rsidRDefault="00ED748D" w:rsidP="002B23FD">
            <w:pPr>
              <w:pStyle w:val="TableDataEntries"/>
              <w:spacing w:before="30" w:after="30"/>
              <w:rPr>
                <w:lang w:val="en-GB"/>
              </w:rPr>
            </w:pPr>
            <w:r>
              <w:rPr>
                <w:lang w:val="en-GB"/>
              </w:rPr>
              <w:t xml:space="preserve"> 1.593</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2EF077" w14:textId="77777777" w:rsidR="00ED748D" w:rsidRDefault="00ED748D" w:rsidP="002B23FD">
            <w:pPr>
              <w:pStyle w:val="TableDataEntries"/>
              <w:spacing w:before="30" w:after="30"/>
              <w:rPr>
                <w:lang w:val="en-GB"/>
              </w:rPr>
            </w:pPr>
            <w:r>
              <w:rPr>
                <w:lang w:val="en-GB"/>
              </w:rPr>
              <w:t xml:space="preserve"> 0.052</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CBDE3E" w14:textId="77777777" w:rsidR="00ED748D" w:rsidRDefault="00ED748D" w:rsidP="002B23FD">
            <w:pPr>
              <w:pStyle w:val="TableDataEntries"/>
              <w:spacing w:before="30" w:after="30"/>
              <w:rPr>
                <w:lang w:val="en-GB"/>
              </w:rPr>
            </w:pPr>
            <w:r>
              <w:rPr>
                <w:lang w:val="en-GB"/>
              </w:rPr>
              <w:t xml:space="preserve"> 0.996</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19E8A2" w14:textId="77777777" w:rsidR="00ED748D" w:rsidRDefault="00ED748D" w:rsidP="002B23FD">
            <w:pPr>
              <w:pStyle w:val="TableDataEntries"/>
              <w:spacing w:before="30" w:after="30"/>
              <w:rPr>
                <w:lang w:val="en-GB"/>
              </w:rPr>
            </w:pPr>
            <w:r>
              <w:rPr>
                <w:lang w:val="en-GB"/>
              </w:rPr>
              <w:t xml:space="preserve"> 2.549</w:t>
            </w:r>
          </w:p>
        </w:tc>
      </w:tr>
      <w:tr w:rsidR="00ED748D" w14:paraId="14D22AA1"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001498" w14:textId="77777777" w:rsidR="00ED748D" w:rsidRDefault="00ED748D" w:rsidP="002B23FD">
            <w:pPr>
              <w:pStyle w:val="TableDataEntries"/>
              <w:spacing w:before="30" w:after="30"/>
              <w:jc w:val="left"/>
              <w:rPr>
                <w:lang w:val="en-GB"/>
              </w:rPr>
            </w:pPr>
            <w:r>
              <w:rPr>
                <w:lang w:val="en-GB"/>
              </w:rPr>
              <w:t>Constant</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22D33B" w14:textId="77777777" w:rsidR="00ED748D" w:rsidRDefault="00ED748D" w:rsidP="002B23FD">
            <w:pPr>
              <w:pStyle w:val="TableDataEntries"/>
              <w:spacing w:before="30" w:after="30"/>
              <w:rPr>
                <w:lang w:val="en-GB"/>
              </w:rPr>
            </w:pPr>
            <w:r>
              <w:rPr>
                <w:lang w:val="en-GB"/>
              </w:rPr>
              <w:t xml:space="preserve"> 1.115</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E20E8" w14:textId="77777777" w:rsidR="00ED748D" w:rsidRDefault="00ED748D" w:rsidP="002B23FD">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1106AD" w14:textId="77777777" w:rsidR="00ED748D" w:rsidRDefault="00ED748D" w:rsidP="002B23FD">
            <w:pPr>
              <w:pStyle w:val="TableDataEntries"/>
              <w:spacing w:before="30" w:after="30"/>
              <w:rPr>
                <w:lang w:val="en-GB"/>
              </w:rPr>
            </w:pPr>
            <w:r>
              <w:rPr>
                <w:lang w:val="en-GB"/>
              </w:rPr>
              <w:t xml:space="preserve"> 1.420</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39DCA3" w14:textId="77777777" w:rsidR="00ED748D" w:rsidRDefault="00ED748D" w:rsidP="002B23FD">
            <w:pPr>
              <w:pStyle w:val="TableDataEntries"/>
              <w:spacing w:before="30" w:after="30"/>
              <w:rPr>
                <w:lang w:val="en-GB"/>
              </w:rPr>
            </w:pPr>
            <w:r>
              <w:rPr>
                <w:lang w:val="en-GB"/>
              </w:rPr>
              <w:t xml:space="preserve"> 9.340</w:t>
            </w:r>
          </w:p>
        </w:tc>
      </w:tr>
      <w:tr w:rsidR="00ED748D" w14:paraId="5725FB35" w14:textId="77777777" w:rsidTr="002B23FD">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BA104E" w14:textId="77777777" w:rsidR="00ED748D" w:rsidRDefault="00ED748D" w:rsidP="002B23FD">
            <w:pPr>
              <w:pStyle w:val="TableDataEntries"/>
              <w:spacing w:before="30" w:after="30"/>
              <w:jc w:val="left"/>
              <w:rPr>
                <w:lang w:val="en-GB"/>
              </w:rPr>
            </w:pPr>
            <w:r>
              <w:rPr>
                <w:lang w:val="en-GB"/>
              </w:rPr>
              <w:t>Number of resident records</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10702B"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ABEC19"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8D6A0E"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2A4F03" w14:textId="77777777" w:rsidR="00ED748D" w:rsidRDefault="00ED748D" w:rsidP="002B23FD">
            <w:pPr>
              <w:pStyle w:val="TableDataEntries"/>
              <w:spacing w:before="30" w:after="30"/>
              <w:rPr>
                <w:lang w:val="en-GB"/>
              </w:rPr>
            </w:pPr>
            <w:r>
              <w:rPr>
                <w:lang w:val="en-GB"/>
              </w:rPr>
              <w:t>9 787</w:t>
            </w:r>
          </w:p>
        </w:tc>
      </w:tr>
      <w:tr w:rsidR="00ED748D" w14:paraId="4FA6A694" w14:textId="77777777" w:rsidTr="002B23FD">
        <w:trPr>
          <w:trHeight w:val="230"/>
        </w:trPr>
        <w:tc>
          <w:tcPr>
            <w:tcW w:w="3070" w:type="dxa"/>
            <w:tcBorders>
              <w:top w:val="single" w:sz="8" w:space="0" w:color="FFFFFF" w:themeColor="background1"/>
              <w:bottom w:val="single" w:sz="6" w:space="0" w:color="6F6652"/>
            </w:tcBorders>
            <w:shd w:val="clear" w:color="auto" w:fill="E9E8E5" w:themeFill="background2"/>
            <w:tcMar>
              <w:left w:w="57" w:type="dxa"/>
              <w:right w:w="57" w:type="dxa"/>
            </w:tcMar>
          </w:tcPr>
          <w:p w14:paraId="672312C8" w14:textId="77777777" w:rsidR="00ED748D" w:rsidRDefault="00ED748D" w:rsidP="002B23FD">
            <w:pPr>
              <w:pStyle w:val="TableDataEntries"/>
              <w:spacing w:before="30" w:after="30"/>
              <w:jc w:val="left"/>
              <w:rPr>
                <w:lang w:val="en-GB"/>
              </w:rPr>
            </w:pPr>
            <w:r>
              <w:rPr>
                <w:lang w:val="en-GB"/>
              </w:rPr>
              <w:t>Pseudo R</w:t>
            </w:r>
            <w:r w:rsidRPr="00F36A14">
              <w:rPr>
                <w:vertAlign w:val="superscript"/>
                <w:lang w:val="en-GB"/>
              </w:rPr>
              <w:t>2</w:t>
            </w:r>
          </w:p>
        </w:tc>
        <w:tc>
          <w:tcPr>
            <w:tcW w:w="1217" w:type="dxa"/>
            <w:tcBorders>
              <w:top w:val="single" w:sz="8" w:space="0" w:color="FFFFFF" w:themeColor="background1"/>
              <w:bottom w:val="single" w:sz="6" w:space="0" w:color="6F6652"/>
            </w:tcBorders>
            <w:shd w:val="clear" w:color="auto" w:fill="E9E8E5" w:themeFill="background2"/>
            <w:tcMar>
              <w:left w:w="57" w:type="dxa"/>
              <w:right w:w="57" w:type="dxa"/>
            </w:tcMar>
          </w:tcPr>
          <w:p w14:paraId="479461D1"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6" w:space="0" w:color="6F6652"/>
            </w:tcBorders>
            <w:shd w:val="clear" w:color="auto" w:fill="E9E8E5" w:themeFill="background2"/>
            <w:tcMar>
              <w:left w:w="57" w:type="dxa"/>
              <w:right w:w="57" w:type="dxa"/>
            </w:tcMar>
          </w:tcPr>
          <w:p w14:paraId="22795CA1"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6" w:space="0" w:color="6F6652"/>
            </w:tcBorders>
            <w:shd w:val="clear" w:color="auto" w:fill="E9E8E5" w:themeFill="background2"/>
            <w:tcMar>
              <w:left w:w="57" w:type="dxa"/>
              <w:right w:w="57" w:type="dxa"/>
            </w:tcMar>
          </w:tcPr>
          <w:p w14:paraId="24E34DD4" w14:textId="77777777" w:rsidR="00ED748D" w:rsidRDefault="00ED748D" w:rsidP="002B23FD">
            <w:pPr>
              <w:pStyle w:val="TableDataEntries"/>
              <w:spacing w:before="30" w:after="30"/>
              <w:rPr>
                <w:lang w:val="en-GB"/>
              </w:rPr>
            </w:pPr>
          </w:p>
        </w:tc>
        <w:tc>
          <w:tcPr>
            <w:tcW w:w="1217" w:type="dxa"/>
            <w:tcBorders>
              <w:top w:val="single" w:sz="8" w:space="0" w:color="FFFFFF" w:themeColor="background1"/>
              <w:bottom w:val="single" w:sz="6" w:space="0" w:color="6F6652"/>
            </w:tcBorders>
            <w:shd w:val="clear" w:color="auto" w:fill="E9E8E5" w:themeFill="background2"/>
            <w:tcMar>
              <w:left w:w="57" w:type="dxa"/>
              <w:right w:w="57" w:type="dxa"/>
            </w:tcMar>
          </w:tcPr>
          <w:p w14:paraId="3F2D807A" w14:textId="77777777" w:rsidR="00ED748D" w:rsidRDefault="00ED748D" w:rsidP="002B23FD">
            <w:pPr>
              <w:pStyle w:val="TableDataEntries"/>
              <w:spacing w:before="30" w:after="30"/>
              <w:rPr>
                <w:lang w:val="en-GB"/>
              </w:rPr>
            </w:pPr>
            <w:r>
              <w:rPr>
                <w:lang w:val="en-GB"/>
              </w:rPr>
              <w:t xml:space="preserve"> 0.799</w:t>
            </w:r>
          </w:p>
        </w:tc>
      </w:tr>
    </w:tbl>
    <w:p w14:paraId="475168F0" w14:textId="77777777" w:rsidR="00ED748D" w:rsidRPr="00027945" w:rsidRDefault="00ED748D" w:rsidP="00ED748D">
      <w:pPr>
        <w:pStyle w:val="Source"/>
        <w:rPr>
          <w:iCs/>
          <w:lang w:bidi="fa-IR"/>
        </w:rPr>
      </w:pPr>
      <w:r w:rsidRPr="00027945">
        <w:rPr>
          <w:iCs/>
          <w:lang w:bidi="fa-IR"/>
        </w:rPr>
        <w:t>Source: Jukic, M. 2017, Modelling Residential Aged Care in Australia: Entry and Exit, A thesis submitted for the degree of Doctor of Philosophy of the University of Melbourne, p. 132.</w:t>
      </w:r>
    </w:p>
    <w:p w14:paraId="19338B9E" w14:textId="77777777" w:rsidR="00ED748D" w:rsidRDefault="00ED748D" w:rsidP="00ED748D">
      <w:pPr>
        <w:pStyle w:val="BodyText"/>
        <w:rPr>
          <w:lang w:eastAsia="en-US" w:bidi="fa-IR"/>
        </w:rPr>
      </w:pPr>
      <w:r>
        <w:rPr>
          <w:lang w:eastAsia="en-US" w:bidi="fa-IR"/>
        </w:rPr>
        <w:t xml:space="preserve">The accessibility of the residence (or previous residence for those that have already moved into aged care) is not one of the variables included in the various models. The variable that is mostly closely related to housing accessibility is whether an individual </w:t>
      </w:r>
      <w:r w:rsidRPr="009754AF">
        <w:rPr>
          <w:lang w:eastAsia="en-US" w:bidi="fa-IR"/>
        </w:rPr>
        <w:t xml:space="preserve">‘needs help </w:t>
      </w:r>
      <w:r w:rsidR="007C1F09" w:rsidRPr="009754AF">
        <w:rPr>
          <w:lang w:eastAsia="en-US" w:bidi="fa-IR"/>
        </w:rPr>
        <w:t xml:space="preserve">with mobility about </w:t>
      </w:r>
      <w:r w:rsidRPr="009754AF">
        <w:rPr>
          <w:lang w:eastAsia="en-US" w:bidi="fa-IR"/>
        </w:rPr>
        <w:t>residence’.</w:t>
      </w:r>
      <w:r>
        <w:rPr>
          <w:lang w:eastAsia="en-US" w:bidi="fa-IR"/>
        </w:rPr>
        <w:t xml:space="preserve"> </w:t>
      </w:r>
    </w:p>
    <w:p w14:paraId="697FEA5D" w14:textId="77777777" w:rsidR="000D48EF" w:rsidRDefault="00AE4C09" w:rsidP="000D48EF">
      <w:pPr>
        <w:pStyle w:val="BodyText"/>
        <w:rPr>
          <w:lang w:eastAsia="en-US" w:bidi="fa-IR"/>
        </w:rPr>
      </w:pPr>
      <w:r>
        <w:rPr>
          <w:lang w:eastAsia="en-US" w:bidi="fa-IR"/>
        </w:rPr>
        <w:t xml:space="preserve">One submission argued that the focus on people who need help </w:t>
      </w:r>
      <w:r w:rsidR="00DB67E1">
        <w:rPr>
          <w:lang w:eastAsia="en-US" w:bidi="fa-IR"/>
        </w:rPr>
        <w:t xml:space="preserve">moving around their place of residence excludes conditions that would be assisted by the propose provisions (such as toileting, dementia, multiple sclerosis, </w:t>
      </w:r>
      <w:r w:rsidR="00003AE9">
        <w:rPr>
          <w:lang w:eastAsia="en-US" w:bidi="fa-IR"/>
        </w:rPr>
        <w:t xml:space="preserve">paralysis and heart disease). </w:t>
      </w:r>
      <w:r w:rsidR="000D48EF">
        <w:rPr>
          <w:lang w:eastAsia="en-US" w:bidi="fa-IR"/>
        </w:rPr>
        <w:t xml:space="preserve">The proposed NCC provisions would help with the functional need (i.e. </w:t>
      </w:r>
      <w:r w:rsidR="00D23884">
        <w:rPr>
          <w:lang w:eastAsia="en-US" w:bidi="fa-IR"/>
        </w:rPr>
        <w:t>‘</w:t>
      </w:r>
      <w:r w:rsidR="000D48EF">
        <w:rPr>
          <w:lang w:eastAsia="en-US" w:bidi="fa-IR"/>
        </w:rPr>
        <w:t>need</w:t>
      </w:r>
      <w:r w:rsidR="00324BFE">
        <w:rPr>
          <w:lang w:eastAsia="en-US" w:bidi="fa-IR"/>
        </w:rPr>
        <w:t>s</w:t>
      </w:r>
      <w:r w:rsidR="000D48EF">
        <w:rPr>
          <w:lang w:eastAsia="en-US" w:bidi="fa-IR"/>
        </w:rPr>
        <w:t xml:space="preserve"> help </w:t>
      </w:r>
      <w:r w:rsidR="00324BFE">
        <w:rPr>
          <w:lang w:eastAsia="en-US" w:bidi="fa-IR"/>
        </w:rPr>
        <w:t>with mobility about</w:t>
      </w:r>
      <w:r w:rsidR="000D48EF">
        <w:rPr>
          <w:lang w:eastAsia="en-US" w:bidi="fa-IR"/>
        </w:rPr>
        <w:t xml:space="preserve"> </w:t>
      </w:r>
      <w:r w:rsidR="000D48EF" w:rsidRPr="00D23884">
        <w:rPr>
          <w:lang w:eastAsia="en-US" w:bidi="fa-IR"/>
        </w:rPr>
        <w:t>residence</w:t>
      </w:r>
      <w:r w:rsidR="00D23884" w:rsidRPr="00D23884">
        <w:rPr>
          <w:lang w:eastAsia="en-US" w:bidi="fa-IR"/>
        </w:rPr>
        <w:t>’</w:t>
      </w:r>
      <w:r w:rsidR="000D48EF" w:rsidRPr="00D23884">
        <w:rPr>
          <w:lang w:eastAsia="en-US" w:bidi="fa-IR"/>
        </w:rPr>
        <w:t>), rather than the underlying condition per se. The conditions identified in the submission (such as dementia, multiple sclerosis, paralysis and heart disease</w:t>
      </w:r>
      <w:r w:rsidR="002F79F1" w:rsidRPr="00D23884">
        <w:rPr>
          <w:lang w:eastAsia="en-US" w:bidi="fa-IR"/>
        </w:rPr>
        <w:t>)</w:t>
      </w:r>
      <w:r w:rsidR="000D48EF" w:rsidRPr="00D23884">
        <w:rPr>
          <w:lang w:eastAsia="en-US" w:bidi="fa-IR"/>
        </w:rPr>
        <w:t xml:space="preserve"> may in many cases co</w:t>
      </w:r>
      <w:r w:rsidR="000D48EF" w:rsidRPr="00D23884">
        <w:rPr>
          <w:lang w:eastAsia="en-US" w:bidi="fa-IR"/>
        </w:rPr>
        <w:noBreakHyphen/>
      </w:r>
      <w:r w:rsidR="000D48EF">
        <w:rPr>
          <w:lang w:eastAsia="en-US" w:bidi="fa-IR"/>
        </w:rPr>
        <w:t>exist with ‘need</w:t>
      </w:r>
      <w:r w:rsidR="00324BFE">
        <w:rPr>
          <w:lang w:eastAsia="en-US" w:bidi="fa-IR"/>
        </w:rPr>
        <w:t>s</w:t>
      </w:r>
      <w:r w:rsidR="000D48EF">
        <w:rPr>
          <w:lang w:eastAsia="en-US" w:bidi="fa-IR"/>
        </w:rPr>
        <w:t xml:space="preserve"> help with mobility about residence’. The statistical model disentangles the impact of the functional need (i.e. ‘need</w:t>
      </w:r>
      <w:r w:rsidR="00324BFE">
        <w:rPr>
          <w:lang w:eastAsia="en-US" w:bidi="fa-IR"/>
        </w:rPr>
        <w:t>s</w:t>
      </w:r>
      <w:r w:rsidR="000D48EF">
        <w:rPr>
          <w:lang w:eastAsia="en-US" w:bidi="fa-IR"/>
        </w:rPr>
        <w:t xml:space="preserve"> help </w:t>
      </w:r>
      <w:r w:rsidR="00324BFE">
        <w:rPr>
          <w:lang w:eastAsia="en-US" w:bidi="fa-IR"/>
        </w:rPr>
        <w:t>with mobility about</w:t>
      </w:r>
      <w:r w:rsidR="000D48EF">
        <w:rPr>
          <w:lang w:eastAsia="en-US" w:bidi="fa-IR"/>
        </w:rPr>
        <w:t xml:space="preserve"> residence’) from the underlying condition.</w:t>
      </w:r>
    </w:p>
    <w:p w14:paraId="6B4ED3F0" w14:textId="77777777" w:rsidR="00ED748D" w:rsidRDefault="00ED748D" w:rsidP="00ED748D">
      <w:pPr>
        <w:pStyle w:val="BodyText"/>
        <w:rPr>
          <w:lang w:eastAsia="en-US" w:bidi="fa-IR"/>
        </w:rPr>
      </w:pPr>
      <w:r>
        <w:rPr>
          <w:lang w:eastAsia="en-US" w:bidi="fa-IR"/>
        </w:rPr>
        <w:t xml:space="preserve">The modelling results suggest that </w:t>
      </w:r>
      <w:r w:rsidR="00324BFE">
        <w:rPr>
          <w:lang w:eastAsia="en-US" w:bidi="fa-IR"/>
        </w:rPr>
        <w:t>‘</w:t>
      </w:r>
      <w:r>
        <w:rPr>
          <w:lang w:eastAsia="en-US" w:bidi="fa-IR"/>
        </w:rPr>
        <w:t>need</w:t>
      </w:r>
      <w:r w:rsidR="00324BFE">
        <w:rPr>
          <w:lang w:eastAsia="en-US" w:bidi="fa-IR"/>
        </w:rPr>
        <w:t>s</w:t>
      </w:r>
      <w:r>
        <w:rPr>
          <w:lang w:eastAsia="en-US" w:bidi="fa-IR"/>
        </w:rPr>
        <w:t xml:space="preserve"> assistance moving around a residence has a statistically significant impact on the odds of being in residential aged care. All else being equal, for those that need assistance moving around the residence, the odds of being in residential aged care </w:t>
      </w:r>
      <w:r w:rsidR="00C56333">
        <w:rPr>
          <w:lang w:eastAsia="en-US" w:bidi="fa-IR"/>
        </w:rPr>
        <w:t>are</w:t>
      </w:r>
      <w:r>
        <w:rPr>
          <w:lang w:eastAsia="en-US" w:bidi="fa-IR"/>
        </w:rPr>
        <w:t xml:space="preserve"> around 2.7 times higher than </w:t>
      </w:r>
      <w:r w:rsidR="00C56333">
        <w:rPr>
          <w:lang w:eastAsia="en-US" w:bidi="fa-IR"/>
        </w:rPr>
        <w:t xml:space="preserve">for </w:t>
      </w:r>
      <w:r>
        <w:rPr>
          <w:lang w:eastAsia="en-US" w:bidi="fa-IR"/>
        </w:rPr>
        <w:t>those without a need for assistance moving around the residence. This could be interpreted as evidence that inaccessible housing is contributing to additional people being in residential aged care.</w:t>
      </w:r>
    </w:p>
    <w:p w14:paraId="4A259C71" w14:textId="489E0EBF" w:rsidR="00ED748D" w:rsidRDefault="00ED748D" w:rsidP="00ED748D">
      <w:pPr>
        <w:pStyle w:val="BodyText"/>
        <w:rPr>
          <w:lang w:eastAsia="en-US" w:bidi="fa-IR"/>
        </w:rPr>
      </w:pPr>
      <w:r>
        <w:rPr>
          <w:lang w:eastAsia="en-US" w:bidi="fa-IR"/>
        </w:rPr>
        <w:t xml:space="preserve">Based on 2018 SDAC data, the probability/odds of being in residential aged </w:t>
      </w:r>
      <w:r w:rsidR="00EC58EF">
        <w:rPr>
          <w:lang w:eastAsia="en-US" w:bidi="fa-IR"/>
        </w:rPr>
        <w:t xml:space="preserve">care </w:t>
      </w:r>
      <w:r w:rsidR="00C56333">
        <w:rPr>
          <w:lang w:eastAsia="en-US" w:bidi="fa-IR"/>
        </w:rPr>
        <w:t xml:space="preserve">are </w:t>
      </w:r>
      <w:r>
        <w:rPr>
          <w:lang w:eastAsia="en-US" w:bidi="fa-IR"/>
        </w:rPr>
        <w:t>relatively low (less than 1 per cent) for those over the age of 65 that do not need assistance moving around the residence, but much higher for those that need assistance (including those that do not move around the residence) (table </w:t>
      </w:r>
      <w:r w:rsidR="00362332">
        <w:rPr>
          <w:lang w:eastAsia="en-US" w:bidi="fa-IR"/>
        </w:rPr>
        <w:t>H.5</w:t>
      </w:r>
      <w:r>
        <w:rPr>
          <w:lang w:eastAsia="en-US" w:bidi="fa-IR"/>
        </w:rPr>
        <w:t>). However, as noted above, those that need assistance moving around the residence often have a range of other risk factors, unrelated to the dwelling, that also contribute to being in residential aged care.</w:t>
      </w:r>
    </w:p>
    <w:p w14:paraId="1FEF7771" w14:textId="20020141" w:rsidR="00ED748D" w:rsidRDefault="00B27E24" w:rsidP="00ED748D">
      <w:pPr>
        <w:pStyle w:val="Caption"/>
      </w:pPr>
      <w:bookmarkStart w:id="818" w:name="_Toc45654230"/>
      <w:bookmarkStart w:id="819" w:name="_Toc44598599"/>
      <w:bookmarkStart w:id="820" w:name="_Toc44695971"/>
      <w:bookmarkStart w:id="821" w:name="_Toc57643702"/>
      <w:bookmarkStart w:id="822" w:name="_Toc70505656"/>
      <w:r>
        <w:t>H.5</w:t>
      </w:r>
      <w:r w:rsidR="00ED748D" w:rsidRPr="00695C93">
        <w:tab/>
      </w:r>
      <w:r w:rsidR="00ED748D">
        <w:t>Probability/odds of being in residential aged care — 2018</w:t>
      </w:r>
      <w:bookmarkEnd w:id="818"/>
      <w:bookmarkEnd w:id="819"/>
      <w:bookmarkEnd w:id="820"/>
      <w:bookmarkEnd w:id="821"/>
      <w:bookmarkEnd w:id="822"/>
    </w:p>
    <w:tbl>
      <w:tblPr>
        <w:tblW w:w="7938" w:type="dxa"/>
        <w:tblLayout w:type="fixed"/>
        <w:tblLook w:val="0000" w:firstRow="0" w:lastRow="0" w:firstColumn="0" w:lastColumn="0" w:noHBand="0" w:noVBand="0"/>
        <w:tblCaption w:val="Table H.5: Probability/odds of being in residential aged care — 2018"/>
        <w:tblDescription w:val="Table H.5 shows that needing assistance greatly increases the probability of being in residential aged care. For those who do not need assistance, the probability of being in aged care is 0.95%. For those who do need assistance, the probability rises to 58.11%."/>
      </w:tblPr>
      <w:tblGrid>
        <w:gridCol w:w="2554"/>
        <w:gridCol w:w="1346"/>
        <w:gridCol w:w="1346"/>
        <w:gridCol w:w="1346"/>
        <w:gridCol w:w="1346"/>
      </w:tblGrid>
      <w:tr w:rsidR="00ED748D" w14:paraId="1E1D5CF3" w14:textId="77777777" w:rsidTr="002B23FD">
        <w:trPr>
          <w:trHeight w:val="461"/>
        </w:trPr>
        <w:tc>
          <w:tcPr>
            <w:tcW w:w="2554" w:type="dxa"/>
            <w:shd w:val="clear" w:color="auto" w:fill="6F6652"/>
            <w:tcMar>
              <w:left w:w="57" w:type="dxa"/>
              <w:right w:w="57" w:type="dxa"/>
            </w:tcMar>
          </w:tcPr>
          <w:p w14:paraId="40C5DC1A" w14:textId="77777777" w:rsidR="00ED748D" w:rsidRDefault="00022241" w:rsidP="002B23FD">
            <w:pPr>
              <w:pStyle w:val="TableDataColumnHeading"/>
              <w:jc w:val="left"/>
              <w:rPr>
                <w:lang w:val="en-GB"/>
              </w:rPr>
            </w:pPr>
            <w:r>
              <w:rPr>
                <w:lang w:val="en-GB"/>
              </w:rPr>
              <w:t>Assistance required</w:t>
            </w:r>
          </w:p>
        </w:tc>
        <w:tc>
          <w:tcPr>
            <w:tcW w:w="1346" w:type="dxa"/>
            <w:shd w:val="clear" w:color="auto" w:fill="6F6652"/>
            <w:tcMar>
              <w:left w:w="57" w:type="dxa"/>
              <w:right w:w="57" w:type="dxa"/>
            </w:tcMar>
          </w:tcPr>
          <w:p w14:paraId="0199B82D" w14:textId="77777777" w:rsidR="00ED748D" w:rsidRDefault="00ED748D" w:rsidP="002B23FD">
            <w:pPr>
              <w:pStyle w:val="TableDataColumnHeading"/>
              <w:rPr>
                <w:lang w:val="en-GB"/>
              </w:rPr>
            </w:pPr>
            <w:r>
              <w:rPr>
                <w:lang w:val="en-GB"/>
              </w:rPr>
              <w:t>In residential aged care</w:t>
            </w:r>
          </w:p>
        </w:tc>
        <w:tc>
          <w:tcPr>
            <w:tcW w:w="1346" w:type="dxa"/>
            <w:shd w:val="clear" w:color="auto" w:fill="6F6652"/>
            <w:tcMar>
              <w:left w:w="57" w:type="dxa"/>
              <w:right w:w="57" w:type="dxa"/>
            </w:tcMar>
          </w:tcPr>
          <w:p w14:paraId="013B4AF4" w14:textId="77777777" w:rsidR="00ED748D" w:rsidRDefault="00ED748D" w:rsidP="002B23FD">
            <w:pPr>
              <w:pStyle w:val="TableDataColumnHeading"/>
              <w:rPr>
                <w:lang w:val="en-GB"/>
              </w:rPr>
            </w:pPr>
            <w:r>
              <w:rPr>
                <w:lang w:val="en-GB"/>
              </w:rPr>
              <w:t>Total</w:t>
            </w:r>
          </w:p>
        </w:tc>
        <w:tc>
          <w:tcPr>
            <w:tcW w:w="1346" w:type="dxa"/>
            <w:shd w:val="clear" w:color="auto" w:fill="6F6652"/>
            <w:tcMar>
              <w:left w:w="57" w:type="dxa"/>
              <w:right w:w="57" w:type="dxa"/>
            </w:tcMar>
          </w:tcPr>
          <w:p w14:paraId="5AB71362" w14:textId="77777777" w:rsidR="00ED748D" w:rsidRDefault="00ED748D" w:rsidP="002B23FD">
            <w:pPr>
              <w:pStyle w:val="TableDataColumnHeading"/>
              <w:rPr>
                <w:lang w:val="en-GB"/>
              </w:rPr>
            </w:pPr>
            <w:r>
              <w:rPr>
                <w:lang w:val="en-GB"/>
              </w:rPr>
              <w:t>Probability of being in aged care</w:t>
            </w:r>
          </w:p>
        </w:tc>
        <w:tc>
          <w:tcPr>
            <w:tcW w:w="1346" w:type="dxa"/>
            <w:shd w:val="clear" w:color="auto" w:fill="6F6652"/>
            <w:tcMar>
              <w:left w:w="57" w:type="dxa"/>
              <w:right w:w="57" w:type="dxa"/>
            </w:tcMar>
          </w:tcPr>
          <w:p w14:paraId="3C6F8A67" w14:textId="77777777" w:rsidR="00ED748D" w:rsidRDefault="00ED748D" w:rsidP="002B23FD">
            <w:pPr>
              <w:pStyle w:val="TableDataColumnHeading"/>
              <w:rPr>
                <w:lang w:val="en-GB"/>
              </w:rPr>
            </w:pPr>
            <w:r>
              <w:rPr>
                <w:lang w:val="en-GB"/>
              </w:rPr>
              <w:t>Odds of being in aged care</w:t>
            </w:r>
          </w:p>
        </w:tc>
      </w:tr>
      <w:tr w:rsidR="00ED748D" w14:paraId="00A6C432" w14:textId="77777777" w:rsidTr="002B23FD">
        <w:trPr>
          <w:trHeight w:val="230"/>
        </w:trPr>
        <w:tc>
          <w:tcPr>
            <w:tcW w:w="2554" w:type="dxa"/>
            <w:tcBorders>
              <w:bottom w:val="single" w:sz="8" w:space="0" w:color="FFFFFF" w:themeColor="background1"/>
            </w:tcBorders>
            <w:shd w:val="clear" w:color="auto" w:fill="auto"/>
            <w:tcMar>
              <w:left w:w="57" w:type="dxa"/>
              <w:right w:w="57" w:type="dxa"/>
            </w:tcMar>
          </w:tcPr>
          <w:p w14:paraId="67838D59" w14:textId="77777777" w:rsidR="00ED748D" w:rsidRDefault="00ED748D" w:rsidP="002B23FD">
            <w:pPr>
              <w:pStyle w:val="TableUnit"/>
              <w:jc w:val="left"/>
              <w:rPr>
                <w:lang w:val="en-GB"/>
              </w:rPr>
            </w:pPr>
          </w:p>
        </w:tc>
        <w:tc>
          <w:tcPr>
            <w:tcW w:w="1346" w:type="dxa"/>
            <w:tcBorders>
              <w:bottom w:val="single" w:sz="8" w:space="0" w:color="FFFFFF" w:themeColor="background1"/>
            </w:tcBorders>
            <w:shd w:val="clear" w:color="auto" w:fill="auto"/>
            <w:tcMar>
              <w:left w:w="57" w:type="dxa"/>
              <w:right w:w="57" w:type="dxa"/>
            </w:tcMar>
          </w:tcPr>
          <w:p w14:paraId="3CD27C94" w14:textId="77777777" w:rsidR="00ED748D" w:rsidRDefault="00ED748D" w:rsidP="002B23FD">
            <w:pPr>
              <w:pStyle w:val="TableUnit"/>
              <w:rPr>
                <w:lang w:val="en-GB"/>
              </w:rPr>
            </w:pPr>
            <w:r>
              <w:rPr>
                <w:lang w:val="en-GB"/>
              </w:rPr>
              <w:t>'000</w:t>
            </w:r>
          </w:p>
        </w:tc>
        <w:tc>
          <w:tcPr>
            <w:tcW w:w="1346" w:type="dxa"/>
            <w:tcBorders>
              <w:bottom w:val="single" w:sz="8" w:space="0" w:color="FFFFFF" w:themeColor="background1"/>
            </w:tcBorders>
            <w:shd w:val="clear" w:color="auto" w:fill="auto"/>
            <w:tcMar>
              <w:left w:w="57" w:type="dxa"/>
              <w:right w:w="57" w:type="dxa"/>
            </w:tcMar>
          </w:tcPr>
          <w:p w14:paraId="72020D28" w14:textId="77777777" w:rsidR="00ED748D" w:rsidRDefault="00ED748D" w:rsidP="002B23FD">
            <w:pPr>
              <w:pStyle w:val="TableUnit"/>
              <w:rPr>
                <w:lang w:val="en-GB"/>
              </w:rPr>
            </w:pPr>
            <w:r>
              <w:rPr>
                <w:lang w:val="en-GB"/>
              </w:rPr>
              <w:t>'000</w:t>
            </w:r>
          </w:p>
        </w:tc>
        <w:tc>
          <w:tcPr>
            <w:tcW w:w="1346" w:type="dxa"/>
            <w:tcBorders>
              <w:bottom w:val="single" w:sz="8" w:space="0" w:color="FFFFFF" w:themeColor="background1"/>
            </w:tcBorders>
            <w:shd w:val="clear" w:color="auto" w:fill="auto"/>
            <w:tcMar>
              <w:left w:w="57" w:type="dxa"/>
              <w:right w:w="57" w:type="dxa"/>
            </w:tcMar>
          </w:tcPr>
          <w:p w14:paraId="53BFBE1A" w14:textId="77777777" w:rsidR="00ED748D" w:rsidRDefault="00ED748D" w:rsidP="002B23FD">
            <w:pPr>
              <w:pStyle w:val="TableUnit"/>
              <w:rPr>
                <w:lang w:val="en-GB"/>
              </w:rPr>
            </w:pPr>
            <w:r>
              <w:rPr>
                <w:lang w:val="en-GB"/>
              </w:rPr>
              <w:t>Per cent</w:t>
            </w:r>
          </w:p>
        </w:tc>
        <w:tc>
          <w:tcPr>
            <w:tcW w:w="1346" w:type="dxa"/>
            <w:tcBorders>
              <w:bottom w:val="single" w:sz="8" w:space="0" w:color="FFFFFF" w:themeColor="background1"/>
            </w:tcBorders>
            <w:shd w:val="clear" w:color="auto" w:fill="auto"/>
            <w:tcMar>
              <w:left w:w="57" w:type="dxa"/>
              <w:right w:w="57" w:type="dxa"/>
            </w:tcMar>
          </w:tcPr>
          <w:p w14:paraId="7DECCDF9" w14:textId="77777777" w:rsidR="00ED748D" w:rsidRDefault="00ED748D" w:rsidP="002B23FD">
            <w:pPr>
              <w:pStyle w:val="TableUnit"/>
              <w:rPr>
                <w:lang w:val="en-GB"/>
              </w:rPr>
            </w:pPr>
          </w:p>
        </w:tc>
      </w:tr>
      <w:tr w:rsidR="00ED748D" w14:paraId="1A0A105C" w14:textId="77777777" w:rsidTr="002B23FD">
        <w:trPr>
          <w:trHeight w:val="230"/>
        </w:trPr>
        <w:tc>
          <w:tcPr>
            <w:tcW w:w="25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C153A9" w14:textId="77777777" w:rsidR="00ED748D" w:rsidRDefault="00ED748D" w:rsidP="002B23FD">
            <w:pPr>
              <w:pStyle w:val="TableDataEntries"/>
              <w:jc w:val="left"/>
              <w:rPr>
                <w:lang w:val="en-GB"/>
              </w:rPr>
            </w:pPr>
            <w:r>
              <w:rPr>
                <w:lang w:val="en-GB"/>
              </w:rPr>
              <w:t>Does not need assistance</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B3354A" w14:textId="77777777" w:rsidR="00ED748D" w:rsidRDefault="00ED748D" w:rsidP="002B23FD">
            <w:pPr>
              <w:pStyle w:val="TableDataEntries"/>
              <w:rPr>
                <w:lang w:val="en-GB"/>
              </w:rPr>
            </w:pPr>
            <w:r>
              <w:rPr>
                <w:lang w:val="en-GB"/>
              </w:rPr>
              <w:t>15.9</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103462" w14:textId="77777777" w:rsidR="00ED748D" w:rsidRDefault="00ED748D" w:rsidP="002B23FD">
            <w:pPr>
              <w:pStyle w:val="TableDataEntries"/>
              <w:rPr>
                <w:lang w:val="en-GB"/>
              </w:rPr>
            </w:pPr>
            <w:r>
              <w:rPr>
                <w:lang w:val="en-GB"/>
              </w:rPr>
              <w:t>1 676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66353" w14:textId="77777777" w:rsidR="00ED748D" w:rsidRDefault="00ED748D" w:rsidP="002B23FD">
            <w:pPr>
              <w:pStyle w:val="TableDataEntries"/>
              <w:rPr>
                <w:lang w:val="en-GB"/>
              </w:rPr>
            </w:pPr>
            <w:r>
              <w:rPr>
                <w:lang w:val="en-GB"/>
              </w:rPr>
              <w:t>0.95</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0D4B2E" w14:textId="77777777" w:rsidR="00ED748D" w:rsidRDefault="00ED748D" w:rsidP="002B23FD">
            <w:pPr>
              <w:pStyle w:val="TableDataEntries"/>
              <w:rPr>
                <w:lang w:val="en-GB"/>
              </w:rPr>
            </w:pPr>
            <w:r>
              <w:rPr>
                <w:lang w:val="en-GB"/>
              </w:rPr>
              <w:t>0.0096</w:t>
            </w:r>
          </w:p>
        </w:tc>
      </w:tr>
      <w:tr w:rsidR="00ED748D" w14:paraId="29354799" w14:textId="77777777" w:rsidTr="002B23FD">
        <w:trPr>
          <w:trHeight w:val="230"/>
        </w:trPr>
        <w:tc>
          <w:tcPr>
            <w:tcW w:w="25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225B96" w14:textId="77777777" w:rsidR="00ED748D" w:rsidRDefault="00ED748D" w:rsidP="002B23FD">
            <w:pPr>
              <w:pStyle w:val="TableDataEntries"/>
              <w:jc w:val="left"/>
              <w:rPr>
                <w:lang w:val="en-GB"/>
              </w:rPr>
            </w:pPr>
            <w:r>
              <w:rPr>
                <w:lang w:val="en-GB"/>
              </w:rPr>
              <w:t>Needs assistance</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204BE1" w14:textId="77777777" w:rsidR="00ED748D" w:rsidRDefault="00ED748D" w:rsidP="002B23FD">
            <w:pPr>
              <w:pStyle w:val="TableDataEntries"/>
              <w:rPr>
                <w:lang w:val="en-GB"/>
              </w:rPr>
            </w:pPr>
            <w:r>
              <w:rPr>
                <w:lang w:val="en-GB"/>
              </w:rPr>
              <w:t>154.4</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0BCE07" w14:textId="77777777" w:rsidR="00ED748D" w:rsidRDefault="00ED748D" w:rsidP="002B23FD">
            <w:pPr>
              <w:pStyle w:val="TableDataEntries"/>
              <w:rPr>
                <w:lang w:val="en-GB"/>
              </w:rPr>
            </w:pPr>
            <w:r>
              <w:rPr>
                <w:lang w:val="en-GB"/>
              </w:rPr>
              <w:t>266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EBD3D6" w14:textId="77777777" w:rsidR="00ED748D" w:rsidRDefault="00ED748D" w:rsidP="002B23FD">
            <w:pPr>
              <w:pStyle w:val="TableDataEntries"/>
              <w:rPr>
                <w:lang w:val="en-GB"/>
              </w:rPr>
            </w:pPr>
            <w:r>
              <w:rPr>
                <w:lang w:val="en-GB"/>
              </w:rPr>
              <w:t>58.11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2A84CB" w14:textId="77777777" w:rsidR="00ED748D" w:rsidRDefault="00ED748D" w:rsidP="002B23FD">
            <w:pPr>
              <w:pStyle w:val="TableDataEntries"/>
              <w:rPr>
                <w:lang w:val="en-GB"/>
              </w:rPr>
            </w:pPr>
            <w:r>
              <w:rPr>
                <w:lang w:val="en-GB"/>
              </w:rPr>
              <w:t>1.3872</w:t>
            </w:r>
          </w:p>
        </w:tc>
      </w:tr>
      <w:tr w:rsidR="00ED748D" w:rsidRPr="006154F2" w14:paraId="519454C2" w14:textId="77777777" w:rsidTr="002B23FD">
        <w:trPr>
          <w:trHeight w:val="230"/>
        </w:trPr>
        <w:tc>
          <w:tcPr>
            <w:tcW w:w="255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C088920" w14:textId="77777777" w:rsidR="00ED748D" w:rsidRPr="006154F2" w:rsidRDefault="00ED748D" w:rsidP="002B23FD">
            <w:pPr>
              <w:pStyle w:val="TableDataEntries"/>
              <w:jc w:val="left"/>
              <w:rPr>
                <w:rFonts w:ascii="Franklin Gothic Demi" w:hAnsi="Franklin Gothic Demi"/>
                <w:lang w:val="en-GB"/>
              </w:rPr>
            </w:pPr>
            <w:r w:rsidRPr="006154F2">
              <w:rPr>
                <w:rFonts w:ascii="Franklin Gothic Demi" w:hAnsi="Franklin Gothic Demi"/>
                <w:lang w:val="en-GB"/>
              </w:rPr>
              <w:t>Total</w:t>
            </w:r>
          </w:p>
        </w:tc>
        <w:tc>
          <w:tcPr>
            <w:tcW w:w="13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819AF1"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170.3</w:t>
            </w:r>
          </w:p>
        </w:tc>
        <w:tc>
          <w:tcPr>
            <w:tcW w:w="13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D21F560"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1 941.2</w:t>
            </w:r>
          </w:p>
        </w:tc>
        <w:tc>
          <w:tcPr>
            <w:tcW w:w="13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ACF5E63"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8.77</w:t>
            </w:r>
          </w:p>
        </w:tc>
        <w:tc>
          <w:tcPr>
            <w:tcW w:w="13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064AED8"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lang w:val="en-GB"/>
              </w:rPr>
              <w:t>0.0962</w:t>
            </w:r>
          </w:p>
        </w:tc>
      </w:tr>
    </w:tbl>
    <w:p w14:paraId="42846A79" w14:textId="77777777" w:rsidR="00ED748D" w:rsidRPr="00027945" w:rsidRDefault="00ED748D" w:rsidP="00ED748D">
      <w:pPr>
        <w:pStyle w:val="Source"/>
        <w:rPr>
          <w:iCs/>
          <w:lang w:bidi="fa-IR"/>
        </w:rPr>
      </w:pPr>
      <w:r w:rsidRPr="00027945">
        <w:rPr>
          <w:iCs/>
          <w:lang w:bidi="fa-IR"/>
        </w:rPr>
        <w:t>Source: ABS, 2018 Survey of Disabilities, Ageing and Carers, TableBuilder.</w:t>
      </w:r>
    </w:p>
    <w:p w14:paraId="6CF56F2F" w14:textId="77777777" w:rsidR="00ED748D" w:rsidRDefault="001C0E1F" w:rsidP="00ED748D">
      <w:pPr>
        <w:pStyle w:val="BodyText"/>
        <w:rPr>
          <w:lang w:eastAsia="en-US" w:bidi="fa-IR"/>
        </w:rPr>
      </w:pPr>
      <w:r>
        <w:rPr>
          <w:lang w:eastAsia="en-US" w:bidi="fa-IR"/>
        </w:rPr>
        <w:t>T</w:t>
      </w:r>
      <w:r w:rsidR="00ED748D">
        <w:rPr>
          <w:lang w:eastAsia="en-US" w:bidi="fa-IR"/>
        </w:rPr>
        <w:t xml:space="preserve">he SDAC data and the modelling results </w:t>
      </w:r>
      <w:r>
        <w:rPr>
          <w:lang w:eastAsia="en-US" w:bidi="fa-IR"/>
        </w:rPr>
        <w:t>can be used</w:t>
      </w:r>
      <w:r w:rsidR="00ED748D">
        <w:rPr>
          <w:lang w:eastAsia="en-US" w:bidi="fa-IR"/>
        </w:rPr>
        <w:t xml:space="preserve"> to infer the number of additional people that may be in residential aged care as a result of the need for help with moving around the residence as follows (see table </w:t>
      </w:r>
      <w:r w:rsidR="00ED748D" w:rsidRPr="00F36A14">
        <w:rPr>
          <w:lang w:eastAsia="en-US" w:bidi="fa-IR"/>
        </w:rPr>
        <w:t>G.6</w:t>
      </w:r>
      <w:r w:rsidR="00ED748D" w:rsidRPr="00317781">
        <w:rPr>
          <w:lang w:eastAsia="en-US" w:bidi="fa-IR"/>
        </w:rPr>
        <w:t>).</w:t>
      </w:r>
    </w:p>
    <w:p w14:paraId="1EB74601" w14:textId="77777777" w:rsidR="00ED748D" w:rsidRDefault="001C0E1F" w:rsidP="00ED748D">
      <w:pPr>
        <w:pStyle w:val="ListBullet"/>
        <w:numPr>
          <w:ilvl w:val="0"/>
          <w:numId w:val="16"/>
        </w:numPr>
        <w:rPr>
          <w:lang w:eastAsia="en-US" w:bidi="fa-IR"/>
        </w:rPr>
      </w:pPr>
      <w:r>
        <w:rPr>
          <w:lang w:eastAsia="en-US" w:bidi="fa-IR"/>
        </w:rPr>
        <w:t>T</w:t>
      </w:r>
      <w:r w:rsidR="00ED748D">
        <w:rPr>
          <w:lang w:eastAsia="en-US" w:bidi="fa-IR"/>
        </w:rPr>
        <w:t xml:space="preserve">he odds (0.0096) of being in residential aged care for those that do not need assistance moving around the residence </w:t>
      </w:r>
      <w:r>
        <w:rPr>
          <w:lang w:eastAsia="en-US" w:bidi="fa-IR"/>
        </w:rPr>
        <w:t>are used</w:t>
      </w:r>
      <w:r w:rsidR="00ED748D">
        <w:rPr>
          <w:lang w:eastAsia="en-US" w:bidi="fa-IR"/>
        </w:rPr>
        <w:t xml:space="preserve"> as a baseline. This implies a baseline of around 2</w:t>
      </w:r>
      <w:r w:rsidR="00EC58EF">
        <w:rPr>
          <w:lang w:eastAsia="en-US" w:bidi="fa-IR"/>
        </w:rPr>
        <w:t xml:space="preserve"> </w:t>
      </w:r>
      <w:r w:rsidR="00ED748D">
        <w:rPr>
          <w:lang w:eastAsia="en-US" w:bidi="fa-IR"/>
        </w:rPr>
        <w:t>500 people (out of the 266 000 people in total) who need assistance with mobility would have been in residential aged care anyway (i.e. even if they did not need assistance with mobility). This is less than 1 per cent of the total.</w:t>
      </w:r>
    </w:p>
    <w:p w14:paraId="78054570" w14:textId="77777777" w:rsidR="00ED748D" w:rsidRDefault="001C0E1F" w:rsidP="00ED748D">
      <w:pPr>
        <w:pStyle w:val="ListBullet"/>
        <w:numPr>
          <w:ilvl w:val="0"/>
          <w:numId w:val="16"/>
        </w:numPr>
        <w:rPr>
          <w:lang w:eastAsia="en-US" w:bidi="fa-IR"/>
        </w:rPr>
      </w:pPr>
      <w:r>
        <w:rPr>
          <w:lang w:eastAsia="en-US" w:bidi="fa-IR"/>
        </w:rPr>
        <w:t>T</w:t>
      </w:r>
      <w:r w:rsidR="00ED748D">
        <w:rPr>
          <w:lang w:eastAsia="en-US" w:bidi="fa-IR"/>
        </w:rPr>
        <w:t xml:space="preserve">he odds ratio reported above </w:t>
      </w:r>
      <w:r>
        <w:rPr>
          <w:lang w:eastAsia="en-US" w:bidi="fa-IR"/>
        </w:rPr>
        <w:t>is then applied</w:t>
      </w:r>
      <w:r w:rsidR="00ED748D">
        <w:rPr>
          <w:lang w:eastAsia="en-US" w:bidi="fa-IR"/>
        </w:rPr>
        <w:t xml:space="preserve"> to estimate the odds of being in residential aged care for those </w:t>
      </w:r>
      <w:r w:rsidR="00D277A4">
        <w:rPr>
          <w:lang w:eastAsia="en-US" w:bidi="fa-IR"/>
        </w:rPr>
        <w:t>who</w:t>
      </w:r>
      <w:r w:rsidR="00ED748D">
        <w:rPr>
          <w:lang w:eastAsia="en-US" w:bidi="fa-IR"/>
        </w:rPr>
        <w:t xml:space="preserve"> need assistance moving around the residence, </w:t>
      </w:r>
      <w:r w:rsidR="00ED748D" w:rsidRPr="00F36A14">
        <w:rPr>
          <w:b/>
          <w:bCs/>
          <w:lang w:eastAsia="en-US" w:bidi="fa-IR"/>
        </w:rPr>
        <w:t>all other variables being equal</w:t>
      </w:r>
      <w:r w:rsidR="00ED748D">
        <w:rPr>
          <w:lang w:eastAsia="en-US" w:bidi="fa-IR"/>
        </w:rPr>
        <w:t xml:space="preserve">. </w:t>
      </w:r>
      <w:r w:rsidR="00CA22F2">
        <w:rPr>
          <w:lang w:eastAsia="en-US" w:bidi="fa-IR"/>
        </w:rPr>
        <w:t>T</w:t>
      </w:r>
      <w:r w:rsidR="00ED748D">
        <w:rPr>
          <w:lang w:eastAsia="en-US" w:bidi="fa-IR"/>
        </w:rPr>
        <w:t>he central case odds ratio (2.684), as well as the lower (2.076) and upper (3.468) bound</w:t>
      </w:r>
      <w:r w:rsidR="00FF0572">
        <w:rPr>
          <w:lang w:eastAsia="en-US" w:bidi="fa-IR"/>
        </w:rPr>
        <w:t>s</w:t>
      </w:r>
      <w:r w:rsidR="00ED748D">
        <w:rPr>
          <w:lang w:eastAsia="en-US" w:bidi="fa-IR"/>
        </w:rPr>
        <w:t xml:space="preserve"> of the 95 per cent confidence interval</w:t>
      </w:r>
      <w:r w:rsidR="00CA22F2">
        <w:rPr>
          <w:lang w:eastAsia="en-US" w:bidi="fa-IR"/>
        </w:rPr>
        <w:t xml:space="preserve"> are applied</w:t>
      </w:r>
      <w:r w:rsidR="00ED748D">
        <w:rPr>
          <w:lang w:eastAsia="en-US" w:bidi="fa-IR"/>
        </w:rPr>
        <w:t>.</w:t>
      </w:r>
    </w:p>
    <w:p w14:paraId="7D45D8EA" w14:textId="77777777" w:rsidR="00ED748D" w:rsidRDefault="00ED748D" w:rsidP="00ED748D">
      <w:pPr>
        <w:pStyle w:val="ListBullet"/>
        <w:numPr>
          <w:ilvl w:val="0"/>
          <w:numId w:val="16"/>
        </w:numPr>
        <w:rPr>
          <w:lang w:eastAsia="en-US" w:bidi="fa-IR"/>
        </w:rPr>
      </w:pPr>
      <w:r>
        <w:rPr>
          <w:lang w:eastAsia="en-US" w:bidi="fa-IR"/>
        </w:rPr>
        <w:t>The difference between the number of people estimated to be in residential aged care implied by the odds estimated above and the baseline can be interpreted as the impact of needing help with mobility around the place of residence.</w:t>
      </w:r>
    </w:p>
    <w:p w14:paraId="7B9F7354" w14:textId="77777777" w:rsidR="00ED748D" w:rsidRDefault="00ED748D" w:rsidP="00ED748D">
      <w:pPr>
        <w:pStyle w:val="ListBullet2"/>
        <w:numPr>
          <w:ilvl w:val="1"/>
          <w:numId w:val="16"/>
        </w:numPr>
        <w:ind w:left="568" w:hanging="284"/>
        <w:rPr>
          <w:lang w:eastAsia="en-US" w:bidi="fa-IR"/>
        </w:rPr>
      </w:pPr>
      <w:r>
        <w:rPr>
          <w:lang w:eastAsia="en-US" w:bidi="fa-IR"/>
        </w:rPr>
        <w:t>This implies that there are between 2</w:t>
      </w:r>
      <w:r w:rsidR="00556530">
        <w:rPr>
          <w:lang w:eastAsia="en-US" w:bidi="fa-IR"/>
        </w:rPr>
        <w:t> </w:t>
      </w:r>
      <w:r>
        <w:rPr>
          <w:lang w:eastAsia="en-US" w:bidi="fa-IR"/>
        </w:rPr>
        <w:t>660 and 6</w:t>
      </w:r>
      <w:r w:rsidR="00556530">
        <w:rPr>
          <w:lang w:eastAsia="en-US" w:bidi="fa-IR"/>
        </w:rPr>
        <w:t> </w:t>
      </w:r>
      <w:r>
        <w:rPr>
          <w:lang w:eastAsia="en-US" w:bidi="fa-IR"/>
        </w:rPr>
        <w:t>023 additional older Australians in residential aged care as a direct result of needing help with mobility around the place of residence, with a central case estimate of 4</w:t>
      </w:r>
      <w:r w:rsidR="00556530">
        <w:rPr>
          <w:lang w:eastAsia="en-US" w:bidi="fa-IR"/>
        </w:rPr>
        <w:t> </w:t>
      </w:r>
      <w:r>
        <w:rPr>
          <w:lang w:eastAsia="en-US" w:bidi="fa-IR"/>
        </w:rPr>
        <w:t>140 additional people.</w:t>
      </w:r>
    </w:p>
    <w:p w14:paraId="2F185421" w14:textId="77777777" w:rsidR="00ED748D" w:rsidRDefault="00ED748D" w:rsidP="00ED748D">
      <w:pPr>
        <w:pStyle w:val="ListBullet2"/>
        <w:numPr>
          <w:ilvl w:val="1"/>
          <w:numId w:val="16"/>
        </w:numPr>
        <w:ind w:left="568" w:hanging="284"/>
        <w:rPr>
          <w:lang w:eastAsia="en-US" w:bidi="fa-IR"/>
        </w:rPr>
      </w:pPr>
      <w:r>
        <w:rPr>
          <w:lang w:eastAsia="en-US" w:bidi="fa-IR"/>
        </w:rPr>
        <w:t>Note that this estimate is far less than the 154 400 people with mobility needs that were reported to be in residential aged care in 2018. This implies that the remaining people were in residential aged care due to other factors unrelated to their need for help moving around the place of residence.</w:t>
      </w:r>
    </w:p>
    <w:p w14:paraId="53603E25" w14:textId="675EC3D1" w:rsidR="00ED748D" w:rsidRDefault="00B27E24" w:rsidP="00ED748D">
      <w:pPr>
        <w:pStyle w:val="Caption"/>
        <w:ind w:left="568" w:hanging="568"/>
      </w:pPr>
      <w:bookmarkStart w:id="823" w:name="_Toc45654231"/>
      <w:bookmarkStart w:id="824" w:name="_Toc44598600"/>
      <w:bookmarkStart w:id="825" w:name="_Toc44695972"/>
      <w:bookmarkStart w:id="826" w:name="_Toc57643703"/>
      <w:bookmarkStart w:id="827" w:name="_Toc70505657"/>
      <w:r>
        <w:t>H.6</w:t>
      </w:r>
      <w:r w:rsidR="00ED748D" w:rsidRPr="00695C93">
        <w:tab/>
      </w:r>
      <w:r w:rsidR="00ED748D">
        <w:t>Estimated number of people in residential aged care due to needing help with mobility</w:t>
      </w:r>
      <w:bookmarkEnd w:id="823"/>
      <w:bookmarkEnd w:id="824"/>
      <w:bookmarkEnd w:id="825"/>
      <w:bookmarkEnd w:id="826"/>
      <w:bookmarkEnd w:id="827"/>
    </w:p>
    <w:tbl>
      <w:tblPr>
        <w:tblW w:w="7938" w:type="dxa"/>
        <w:tblLayout w:type="fixed"/>
        <w:tblLook w:val="0000" w:firstRow="0" w:lastRow="0" w:firstColumn="0" w:lastColumn="0" w:noHBand="0" w:noVBand="0"/>
        <w:tblCaption w:val="Table H.6: Estimated number of people in residential aged care due to needing help with mobility"/>
        <w:tblDescription w:val="Table H.6 reports the estimated number of people in residential aged care due to needing help with mobility. The estimates range from 2,660 to 6,023, with a central estimate of 4,140."/>
      </w:tblPr>
      <w:tblGrid>
        <w:gridCol w:w="2534"/>
        <w:gridCol w:w="1346"/>
        <w:gridCol w:w="1347"/>
        <w:gridCol w:w="1346"/>
        <w:gridCol w:w="1365"/>
      </w:tblGrid>
      <w:tr w:rsidR="00ED748D" w14:paraId="0319EF80" w14:textId="77777777" w:rsidTr="002B23FD">
        <w:trPr>
          <w:trHeight w:val="461"/>
          <w:tblHeader/>
        </w:trPr>
        <w:tc>
          <w:tcPr>
            <w:tcW w:w="2534" w:type="dxa"/>
            <w:shd w:val="clear" w:color="auto" w:fill="6F6652"/>
            <w:tcMar>
              <w:left w:w="57" w:type="dxa"/>
              <w:right w:w="57" w:type="dxa"/>
            </w:tcMar>
          </w:tcPr>
          <w:p w14:paraId="2E3CE836" w14:textId="77777777" w:rsidR="00ED748D" w:rsidRDefault="00022241" w:rsidP="002B23FD">
            <w:pPr>
              <w:pStyle w:val="TableDataColumnHeading"/>
              <w:jc w:val="left"/>
              <w:rPr>
                <w:lang w:val="en-GB"/>
              </w:rPr>
            </w:pPr>
            <w:r>
              <w:rPr>
                <w:lang w:val="en-GB"/>
              </w:rPr>
              <w:t>Level of mobility limitation</w:t>
            </w:r>
          </w:p>
        </w:tc>
        <w:tc>
          <w:tcPr>
            <w:tcW w:w="1346" w:type="dxa"/>
            <w:shd w:val="clear" w:color="auto" w:fill="6F6652"/>
            <w:tcMar>
              <w:left w:w="57" w:type="dxa"/>
              <w:right w:w="57" w:type="dxa"/>
            </w:tcMar>
          </w:tcPr>
          <w:p w14:paraId="71A52021" w14:textId="77777777" w:rsidR="00ED748D" w:rsidRDefault="00ED748D" w:rsidP="002B23FD">
            <w:pPr>
              <w:pStyle w:val="TableDataColumnHeading"/>
              <w:rPr>
                <w:lang w:val="en-GB"/>
              </w:rPr>
            </w:pPr>
            <w:r>
              <w:rPr>
                <w:lang w:val="en-GB"/>
              </w:rPr>
              <w:t>Odds</w:t>
            </w:r>
          </w:p>
        </w:tc>
        <w:tc>
          <w:tcPr>
            <w:tcW w:w="1347" w:type="dxa"/>
            <w:shd w:val="clear" w:color="auto" w:fill="6F6652"/>
            <w:tcMar>
              <w:left w:w="57" w:type="dxa"/>
              <w:right w:w="57" w:type="dxa"/>
            </w:tcMar>
          </w:tcPr>
          <w:p w14:paraId="66CE7AE3" w14:textId="77777777" w:rsidR="00ED748D" w:rsidRDefault="00ED748D" w:rsidP="002B23FD">
            <w:pPr>
              <w:pStyle w:val="TableDataColumnHeading"/>
              <w:rPr>
                <w:lang w:val="en-GB"/>
              </w:rPr>
            </w:pPr>
            <w:r>
              <w:rPr>
                <w:lang w:val="en-GB"/>
              </w:rPr>
              <w:t>Probability</w:t>
            </w:r>
            <w:r w:rsidR="00A62D1C">
              <w:rPr>
                <w:lang w:val="en-GB"/>
              </w:rPr>
              <w:t xml:space="preserve"> (Per cent)</w:t>
            </w:r>
          </w:p>
        </w:tc>
        <w:tc>
          <w:tcPr>
            <w:tcW w:w="1346" w:type="dxa"/>
            <w:shd w:val="clear" w:color="auto" w:fill="6F6652"/>
            <w:tcMar>
              <w:left w:w="57" w:type="dxa"/>
              <w:right w:w="57" w:type="dxa"/>
            </w:tcMar>
          </w:tcPr>
          <w:p w14:paraId="1A4D3BB2" w14:textId="77777777" w:rsidR="00ED748D" w:rsidRDefault="00ED748D" w:rsidP="002B23FD">
            <w:pPr>
              <w:pStyle w:val="TableDataColumnHeading"/>
              <w:rPr>
                <w:lang w:val="en-GB"/>
              </w:rPr>
            </w:pPr>
            <w:r>
              <w:rPr>
                <w:lang w:val="en-GB"/>
              </w:rPr>
              <w:t>Estimated number of people</w:t>
            </w:r>
            <w:r w:rsidR="00A62D1C">
              <w:rPr>
                <w:lang w:val="en-GB"/>
              </w:rPr>
              <w:t xml:space="preserve"> (Persons)</w:t>
            </w:r>
          </w:p>
        </w:tc>
        <w:tc>
          <w:tcPr>
            <w:tcW w:w="1365" w:type="dxa"/>
            <w:shd w:val="clear" w:color="auto" w:fill="6F6652"/>
          </w:tcPr>
          <w:p w14:paraId="1FF7DE5A" w14:textId="77777777" w:rsidR="00ED748D" w:rsidRDefault="00ED748D" w:rsidP="002B23FD">
            <w:pPr>
              <w:pStyle w:val="TableDataColumnHeading"/>
              <w:rPr>
                <w:lang w:val="en-GB"/>
              </w:rPr>
            </w:pPr>
            <w:r>
              <w:rPr>
                <w:lang w:val="en-GB"/>
              </w:rPr>
              <w:t>Attributable to mobility needs</w:t>
            </w:r>
            <w:r w:rsidR="00A62D1C">
              <w:rPr>
                <w:lang w:val="en-GB"/>
              </w:rPr>
              <w:t xml:space="preserve"> (Persons)</w:t>
            </w:r>
          </w:p>
        </w:tc>
      </w:tr>
      <w:tr w:rsidR="00ED748D" w14:paraId="42229500" w14:textId="77777777" w:rsidTr="002B23FD">
        <w:trPr>
          <w:trHeight w:val="230"/>
        </w:trPr>
        <w:tc>
          <w:tcPr>
            <w:tcW w:w="25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05BBF2" w14:textId="77777777" w:rsidR="00ED748D" w:rsidRDefault="00ED748D" w:rsidP="002B23FD">
            <w:pPr>
              <w:pStyle w:val="TableDataEntries"/>
              <w:jc w:val="left"/>
              <w:rPr>
                <w:lang w:val="en-GB"/>
              </w:rPr>
            </w:pPr>
            <w:r>
              <w:rPr>
                <w:lang w:val="en-GB"/>
              </w:rPr>
              <w:t>Baseline (people without mobility needs)</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080078" w14:textId="77777777" w:rsidR="00ED748D" w:rsidRDefault="00ED748D" w:rsidP="002B23FD">
            <w:pPr>
              <w:pStyle w:val="TableDataEntries"/>
              <w:rPr>
                <w:lang w:val="en-GB"/>
              </w:rPr>
            </w:pPr>
            <w:r>
              <w:t xml:space="preserve"> 0.0096</w:t>
            </w:r>
          </w:p>
        </w:tc>
        <w:tc>
          <w:tcPr>
            <w:tcW w:w="13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06C600" w14:textId="77777777" w:rsidR="00ED748D" w:rsidRDefault="00ED748D" w:rsidP="002B23FD">
            <w:pPr>
              <w:pStyle w:val="TableDataEntries"/>
              <w:rPr>
                <w:lang w:val="en-GB"/>
              </w:rPr>
            </w:pPr>
            <w:r>
              <w:t xml:space="preserve"> 0.9490</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E6AFA3" w14:textId="77777777" w:rsidR="00ED748D" w:rsidRDefault="00ED748D" w:rsidP="002B23FD">
            <w:pPr>
              <w:pStyle w:val="TableDataEntries"/>
              <w:rPr>
                <w:lang w:val="en-GB"/>
              </w:rPr>
            </w:pPr>
            <w:r>
              <w:t>2 521</w:t>
            </w:r>
          </w:p>
        </w:tc>
        <w:tc>
          <w:tcPr>
            <w:tcW w:w="1365" w:type="dxa"/>
            <w:tcBorders>
              <w:top w:val="single" w:sz="8" w:space="0" w:color="FFFFFF" w:themeColor="background1"/>
              <w:bottom w:val="single" w:sz="8" w:space="0" w:color="FFFFFF" w:themeColor="background1"/>
            </w:tcBorders>
            <w:shd w:val="clear" w:color="auto" w:fill="E9E8E5" w:themeFill="background2"/>
            <w:vAlign w:val="bottom"/>
          </w:tcPr>
          <w:p w14:paraId="48ECDE8D" w14:textId="77777777" w:rsidR="00ED748D" w:rsidRDefault="00ED748D" w:rsidP="002B23FD">
            <w:pPr>
              <w:pStyle w:val="TableDataEntries"/>
              <w:rPr>
                <w:lang w:val="en-GB"/>
              </w:rPr>
            </w:pPr>
            <w:r>
              <w:t xml:space="preserve">n.a. </w:t>
            </w:r>
          </w:p>
        </w:tc>
      </w:tr>
      <w:tr w:rsidR="00ED748D" w14:paraId="379B53D5" w14:textId="77777777" w:rsidTr="002B23FD">
        <w:trPr>
          <w:trHeight w:val="230"/>
        </w:trPr>
        <w:tc>
          <w:tcPr>
            <w:tcW w:w="25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BAE94E" w14:textId="77777777" w:rsidR="00ED748D" w:rsidRDefault="00ED748D" w:rsidP="002B23FD">
            <w:pPr>
              <w:pStyle w:val="TableDataEntries"/>
              <w:jc w:val="left"/>
              <w:rPr>
                <w:lang w:val="en-GB"/>
              </w:rPr>
            </w:pPr>
            <w:r>
              <w:rPr>
                <w:lang w:val="en-GB"/>
              </w:rPr>
              <w:t>Lower bound estimate</w:t>
            </w:r>
            <w:r w:rsidR="00A62D1C">
              <w:rPr>
                <w:lang w:val="en-GB"/>
              </w:rPr>
              <w:t xml:space="preserve"> (People with mobility needs)</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953A09" w14:textId="77777777" w:rsidR="00ED748D" w:rsidRDefault="00ED748D" w:rsidP="002B23FD">
            <w:pPr>
              <w:pStyle w:val="TableDataEntries"/>
              <w:rPr>
                <w:lang w:val="en-GB"/>
              </w:rPr>
            </w:pPr>
            <w:r>
              <w:t xml:space="preserve"> 0.0199</w:t>
            </w:r>
          </w:p>
        </w:tc>
        <w:tc>
          <w:tcPr>
            <w:tcW w:w="13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E07045" w14:textId="77777777" w:rsidR="00ED748D" w:rsidRDefault="00ED748D" w:rsidP="002B23FD">
            <w:pPr>
              <w:pStyle w:val="TableDataEntries"/>
              <w:rPr>
                <w:lang w:val="en-GB"/>
              </w:rPr>
            </w:pPr>
            <w:r>
              <w:t xml:space="preserve"> 1.9501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3FCA6E" w14:textId="77777777" w:rsidR="00ED748D" w:rsidRDefault="00ED748D" w:rsidP="002B23FD">
            <w:pPr>
              <w:pStyle w:val="TableDataEntries"/>
              <w:rPr>
                <w:lang w:val="en-GB"/>
              </w:rPr>
            </w:pPr>
            <w:r>
              <w:t>5 182</w:t>
            </w:r>
          </w:p>
        </w:tc>
        <w:tc>
          <w:tcPr>
            <w:tcW w:w="1365" w:type="dxa"/>
            <w:tcBorders>
              <w:top w:val="single" w:sz="8" w:space="0" w:color="FFFFFF" w:themeColor="background1"/>
              <w:bottom w:val="single" w:sz="8" w:space="0" w:color="FFFFFF" w:themeColor="background1"/>
            </w:tcBorders>
            <w:shd w:val="clear" w:color="auto" w:fill="C2DADB" w:themeFill="accent6" w:themeFillTint="99"/>
            <w:vAlign w:val="bottom"/>
          </w:tcPr>
          <w:p w14:paraId="06459CC1"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rPr>
              <w:t>2 660</w:t>
            </w:r>
          </w:p>
        </w:tc>
      </w:tr>
      <w:tr w:rsidR="00ED748D" w14:paraId="43C5AAFB" w14:textId="77777777" w:rsidTr="002B23FD">
        <w:trPr>
          <w:trHeight w:val="230"/>
        </w:trPr>
        <w:tc>
          <w:tcPr>
            <w:tcW w:w="25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EBE34D" w14:textId="77777777" w:rsidR="00ED748D" w:rsidRDefault="00ED748D" w:rsidP="002B23FD">
            <w:pPr>
              <w:pStyle w:val="TableDataEntries"/>
              <w:jc w:val="left"/>
              <w:rPr>
                <w:lang w:val="en-GB"/>
              </w:rPr>
            </w:pPr>
            <w:r>
              <w:rPr>
                <w:lang w:val="en-GB"/>
              </w:rPr>
              <w:t>Central case</w:t>
            </w:r>
            <w:r w:rsidR="00A62D1C">
              <w:rPr>
                <w:lang w:val="en-GB"/>
              </w:rPr>
              <w:t xml:space="preserve"> (People with mobility needs)</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7BE167" w14:textId="77777777" w:rsidR="00ED748D" w:rsidRDefault="00ED748D" w:rsidP="002B23FD">
            <w:pPr>
              <w:pStyle w:val="TableDataEntries"/>
              <w:rPr>
                <w:lang w:val="en-GB"/>
              </w:rPr>
            </w:pPr>
            <w:r>
              <w:t xml:space="preserve"> 0.0257</w:t>
            </w:r>
          </w:p>
        </w:tc>
        <w:tc>
          <w:tcPr>
            <w:tcW w:w="13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8323DB" w14:textId="77777777" w:rsidR="00ED748D" w:rsidRDefault="00ED748D" w:rsidP="002B23FD">
            <w:pPr>
              <w:pStyle w:val="TableDataEntries"/>
              <w:rPr>
                <w:lang w:val="en-GB"/>
              </w:rPr>
            </w:pPr>
            <w:r>
              <w:t xml:space="preserve"> 2.5070</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035091" w14:textId="77777777" w:rsidR="00ED748D" w:rsidRDefault="00ED748D" w:rsidP="002B23FD">
            <w:pPr>
              <w:pStyle w:val="TableDataEntries"/>
              <w:rPr>
                <w:lang w:val="en-GB"/>
              </w:rPr>
            </w:pPr>
            <w:r>
              <w:t>6 661</w:t>
            </w:r>
          </w:p>
        </w:tc>
        <w:tc>
          <w:tcPr>
            <w:tcW w:w="1365" w:type="dxa"/>
            <w:tcBorders>
              <w:top w:val="single" w:sz="8" w:space="0" w:color="FFFFFF" w:themeColor="background1"/>
              <w:bottom w:val="single" w:sz="8" w:space="0" w:color="FFFFFF" w:themeColor="background1"/>
            </w:tcBorders>
            <w:shd w:val="clear" w:color="auto" w:fill="C2DADB" w:themeFill="accent6" w:themeFillTint="99"/>
            <w:vAlign w:val="bottom"/>
          </w:tcPr>
          <w:p w14:paraId="37369382"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rPr>
              <w:t>4 140</w:t>
            </w:r>
          </w:p>
        </w:tc>
      </w:tr>
      <w:tr w:rsidR="00ED748D" w14:paraId="154A29B2" w14:textId="77777777" w:rsidTr="002B23FD">
        <w:trPr>
          <w:trHeight w:val="230"/>
        </w:trPr>
        <w:tc>
          <w:tcPr>
            <w:tcW w:w="2534" w:type="dxa"/>
            <w:tcBorders>
              <w:top w:val="single" w:sz="8" w:space="0" w:color="FFFFFF" w:themeColor="background1"/>
              <w:bottom w:val="single" w:sz="6" w:space="0" w:color="6F6652"/>
            </w:tcBorders>
            <w:shd w:val="clear" w:color="auto" w:fill="E9E8E5" w:themeFill="background2"/>
            <w:tcMar>
              <w:left w:w="57" w:type="dxa"/>
              <w:right w:w="57" w:type="dxa"/>
            </w:tcMar>
          </w:tcPr>
          <w:p w14:paraId="113D4756" w14:textId="77777777" w:rsidR="00ED748D" w:rsidRDefault="00ED748D" w:rsidP="002B23FD">
            <w:pPr>
              <w:pStyle w:val="TableDataEntries"/>
              <w:jc w:val="left"/>
              <w:rPr>
                <w:lang w:val="en-GB"/>
              </w:rPr>
            </w:pPr>
            <w:r>
              <w:rPr>
                <w:lang w:val="en-GB"/>
              </w:rPr>
              <w:t>Upper bound estimate</w:t>
            </w:r>
            <w:r w:rsidR="00A62D1C">
              <w:rPr>
                <w:lang w:val="en-GB"/>
              </w:rPr>
              <w:t xml:space="preserve"> (People with mobility needs)</w:t>
            </w:r>
          </w:p>
        </w:tc>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6E67426" w14:textId="77777777" w:rsidR="00ED748D" w:rsidRDefault="00ED748D" w:rsidP="002B23FD">
            <w:pPr>
              <w:pStyle w:val="TableDataEntries"/>
              <w:rPr>
                <w:lang w:val="en-GB"/>
              </w:rPr>
            </w:pPr>
            <w:r>
              <w:t xml:space="preserve"> 0.0332</w:t>
            </w:r>
          </w:p>
        </w:tc>
        <w:tc>
          <w:tcPr>
            <w:tcW w:w="1347"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0202C1B5" w14:textId="77777777" w:rsidR="00ED748D" w:rsidRDefault="00ED748D" w:rsidP="002B23FD">
            <w:pPr>
              <w:pStyle w:val="TableDataEntries"/>
              <w:rPr>
                <w:lang w:val="en-GB"/>
              </w:rPr>
            </w:pPr>
            <w:r>
              <w:t xml:space="preserve"> 3.2157</w:t>
            </w:r>
          </w:p>
        </w:tc>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ECDDF72" w14:textId="77777777" w:rsidR="00ED748D" w:rsidRDefault="00ED748D" w:rsidP="002B23FD">
            <w:pPr>
              <w:pStyle w:val="TableDataEntries"/>
              <w:rPr>
                <w:lang w:val="en-GB"/>
              </w:rPr>
            </w:pPr>
            <w:r>
              <w:t>8 544</w:t>
            </w:r>
          </w:p>
        </w:tc>
        <w:tc>
          <w:tcPr>
            <w:tcW w:w="1365" w:type="dxa"/>
            <w:tcBorders>
              <w:top w:val="single" w:sz="8" w:space="0" w:color="FFFFFF" w:themeColor="background1"/>
              <w:bottom w:val="single" w:sz="6" w:space="0" w:color="6F6652"/>
            </w:tcBorders>
            <w:shd w:val="clear" w:color="auto" w:fill="C2DADB" w:themeFill="accent6" w:themeFillTint="99"/>
            <w:vAlign w:val="bottom"/>
          </w:tcPr>
          <w:p w14:paraId="7B01F613" w14:textId="77777777" w:rsidR="00ED748D" w:rsidRPr="006154F2" w:rsidRDefault="00ED748D" w:rsidP="002B23FD">
            <w:pPr>
              <w:pStyle w:val="TableDataEntries"/>
              <w:rPr>
                <w:rFonts w:ascii="Franklin Gothic Demi" w:hAnsi="Franklin Gothic Demi"/>
                <w:lang w:val="en-GB"/>
              </w:rPr>
            </w:pPr>
            <w:r w:rsidRPr="006154F2">
              <w:rPr>
                <w:rFonts w:ascii="Franklin Gothic Demi" w:hAnsi="Franklin Gothic Demi"/>
              </w:rPr>
              <w:t>6 023</w:t>
            </w:r>
          </w:p>
        </w:tc>
      </w:tr>
    </w:tbl>
    <w:p w14:paraId="592E4FA1" w14:textId="77777777" w:rsidR="00ED748D" w:rsidRPr="00027945" w:rsidRDefault="00ED748D" w:rsidP="00ED748D">
      <w:pPr>
        <w:pStyle w:val="Source"/>
        <w:rPr>
          <w:iCs/>
          <w:lang w:bidi="fa-IR"/>
        </w:rPr>
      </w:pPr>
      <w:r w:rsidRPr="00027945">
        <w:rPr>
          <w:iCs/>
          <w:lang w:bidi="fa-IR"/>
        </w:rPr>
        <w:t>Source: CIE estimates</w:t>
      </w:r>
    </w:p>
    <w:p w14:paraId="60B1B5A5" w14:textId="77777777" w:rsidR="00ED748D" w:rsidRDefault="00ED748D" w:rsidP="00095C31">
      <w:pPr>
        <w:pStyle w:val="KeyPoint"/>
        <w:numPr>
          <w:ilvl w:val="0"/>
          <w:numId w:val="11"/>
        </w:numPr>
        <w:rPr>
          <w:lang w:bidi="fa-IR"/>
        </w:rPr>
      </w:pPr>
      <w:r>
        <w:rPr>
          <w:lang w:bidi="fa-IR"/>
        </w:rPr>
        <w:t>Many people who need help moving around their place of residence can remain at home if their home has the necessary accessibility features. One possible interpretation of the fact that some people are estimated to be in residential aged care as a direct result of their need for assistance moving around their home is that this is due to their residence lacking relevant accessibility features.</w:t>
      </w:r>
    </w:p>
    <w:p w14:paraId="1C9252D6" w14:textId="77777777" w:rsidR="00ED748D" w:rsidRDefault="00ED748D" w:rsidP="00095C31">
      <w:pPr>
        <w:pStyle w:val="KeyPoint"/>
        <w:numPr>
          <w:ilvl w:val="0"/>
          <w:numId w:val="11"/>
        </w:numPr>
        <w:rPr>
          <w:lang w:bidi="fa-IR"/>
        </w:rPr>
      </w:pPr>
      <w:r>
        <w:rPr>
          <w:lang w:bidi="fa-IR"/>
        </w:rPr>
        <w:t>Under this interpretation, the additional people that are in residential aged care as a result of their need for help moving around their place of residence can be attributed to a lack of accessible housing.</w:t>
      </w:r>
    </w:p>
    <w:p w14:paraId="348091B1" w14:textId="77777777" w:rsidR="00ED748D" w:rsidRDefault="00ED748D" w:rsidP="00095C31">
      <w:pPr>
        <w:pStyle w:val="KeyPoint"/>
        <w:numPr>
          <w:ilvl w:val="0"/>
          <w:numId w:val="11"/>
        </w:numPr>
        <w:rPr>
          <w:lang w:bidi="fa-IR"/>
        </w:rPr>
      </w:pPr>
      <w:r>
        <w:rPr>
          <w:lang w:bidi="fa-IR"/>
        </w:rPr>
        <w:t>This implies that between 2660 and 6023 additional people — with a central case estimate of 4140 additional people — are in residential aged care as a result of inaccessible housing.</w:t>
      </w:r>
    </w:p>
    <w:p w14:paraId="436204BF" w14:textId="77777777" w:rsidR="00ED748D" w:rsidRPr="00F4477B" w:rsidRDefault="00ED748D" w:rsidP="00F4477B">
      <w:pPr>
        <w:pStyle w:val="Heading3-Appendix"/>
      </w:pPr>
      <w:r w:rsidRPr="00F4477B">
        <w:t>Younger people in residential aged care</w:t>
      </w:r>
    </w:p>
    <w:p w14:paraId="225CFE3D" w14:textId="77777777" w:rsidR="00ED748D" w:rsidRDefault="00ED748D" w:rsidP="00ED748D">
      <w:pPr>
        <w:pStyle w:val="BodyText"/>
        <w:rPr>
          <w:lang w:bidi="fa-IR"/>
        </w:rPr>
      </w:pPr>
      <w:r>
        <w:rPr>
          <w:lang w:bidi="fa-IR"/>
        </w:rPr>
        <w:t>According to the COAG Disability Reform Council Quarterly report there were 5</w:t>
      </w:r>
      <w:r w:rsidR="00556530">
        <w:rPr>
          <w:lang w:bidi="fa-IR"/>
        </w:rPr>
        <w:t> </w:t>
      </w:r>
      <w:r>
        <w:rPr>
          <w:lang w:bidi="fa-IR"/>
        </w:rPr>
        <w:t xml:space="preserve">468 people under the age of 65 living in residential aged care in the December quarter 2019. Some stakeholders </w:t>
      </w:r>
      <w:r w:rsidR="00D277A4">
        <w:rPr>
          <w:lang w:bidi="fa-IR"/>
        </w:rPr>
        <w:t>believe</w:t>
      </w:r>
      <w:r>
        <w:rPr>
          <w:lang w:bidi="fa-IR"/>
        </w:rPr>
        <w:t xml:space="preserve"> it is inappropriate for anyone under the age of 65 to be in residential aged care. According to the Royal Commission into the Quality and Safety of Aged Care:</w:t>
      </w:r>
    </w:p>
    <w:p w14:paraId="64921E62" w14:textId="77777777" w:rsidR="00ED748D" w:rsidRDefault="00ED748D" w:rsidP="00ED748D">
      <w:pPr>
        <w:pStyle w:val="Quote"/>
        <w:rPr>
          <w:lang w:bidi="fa-IR"/>
        </w:rPr>
      </w:pPr>
      <w:r>
        <w:rPr>
          <w:lang w:bidi="fa-IR"/>
        </w:rPr>
        <w:t>“For younger people with disability, their friends stop dropping by and rarely visit over time. It is an isolating and daunting experience. It is not a life.”</w:t>
      </w:r>
      <w:r>
        <w:rPr>
          <w:rStyle w:val="FootnoteReference"/>
          <w:lang w:bidi="fa-IR"/>
        </w:rPr>
        <w:footnoteReference w:id="499"/>
      </w:r>
    </w:p>
    <w:p w14:paraId="54A48698" w14:textId="77777777" w:rsidR="00ED748D" w:rsidRDefault="00ED748D" w:rsidP="00ED748D">
      <w:pPr>
        <w:pStyle w:val="BodyText"/>
        <w:rPr>
          <w:lang w:bidi="fa-IR"/>
        </w:rPr>
      </w:pPr>
      <w:r>
        <w:rPr>
          <w:lang w:bidi="fa-IR"/>
        </w:rPr>
        <w:t>Minimising the number of younger people in residential aged care is an important focus of the Australian Government.</w:t>
      </w:r>
      <w:r>
        <w:rPr>
          <w:rStyle w:val="FootnoteReference"/>
          <w:lang w:bidi="fa-IR"/>
        </w:rPr>
        <w:footnoteReference w:id="500"/>
      </w:r>
      <w:r>
        <w:rPr>
          <w:lang w:bidi="fa-IR"/>
        </w:rPr>
        <w:t xml:space="preserve"> In March 2019, the Government announced it had developed a national action plan that included a target of halving the number of younger people under the age of 65 entering aged care by 2025. A new strategy to support this target is currently being finalised.</w:t>
      </w:r>
      <w:r>
        <w:rPr>
          <w:rStyle w:val="FootnoteReference"/>
          <w:lang w:bidi="fa-IR"/>
        </w:rPr>
        <w:footnoteReference w:id="501"/>
      </w:r>
      <w:r>
        <w:rPr>
          <w:lang w:bidi="fa-IR"/>
        </w:rPr>
        <w:t xml:space="preserve"> </w:t>
      </w:r>
    </w:p>
    <w:p w14:paraId="46CC4BC3" w14:textId="77777777" w:rsidR="00ED748D" w:rsidRPr="00317781" w:rsidRDefault="00ED748D" w:rsidP="00ED748D">
      <w:pPr>
        <w:pStyle w:val="BodyText"/>
        <w:rPr>
          <w:lang w:bidi="fa-IR"/>
        </w:rPr>
      </w:pPr>
      <w:r>
        <w:rPr>
          <w:lang w:bidi="fa-IR"/>
        </w:rPr>
        <w:t>The number of people under the age of 65 in residential aged care (and new entrants under the age of 65) has been de</w:t>
      </w:r>
      <w:r w:rsidRPr="00317781">
        <w:rPr>
          <w:lang w:bidi="fa-IR"/>
        </w:rPr>
        <w:t>clining over recent years as the number of NDIS participants has increased (chart </w:t>
      </w:r>
      <w:r w:rsidR="0071092B">
        <w:rPr>
          <w:lang w:bidi="fa-IR"/>
        </w:rPr>
        <w:t>H</w:t>
      </w:r>
      <w:r w:rsidRPr="00317781">
        <w:rPr>
          <w:lang w:bidi="fa-IR"/>
        </w:rPr>
        <w:t>.7).</w:t>
      </w:r>
      <w:r w:rsidRPr="00317781">
        <w:rPr>
          <w:rStyle w:val="FootnoteReference"/>
          <w:lang w:bidi="fa-IR"/>
        </w:rPr>
        <w:footnoteReference w:id="502"/>
      </w:r>
    </w:p>
    <w:p w14:paraId="268349D0" w14:textId="77777777" w:rsidR="00ED748D" w:rsidRDefault="00ED748D" w:rsidP="00ED748D">
      <w:pPr>
        <w:pStyle w:val="ListBullet"/>
        <w:numPr>
          <w:ilvl w:val="0"/>
          <w:numId w:val="16"/>
        </w:numPr>
        <w:rPr>
          <w:lang w:bidi="fa-IR"/>
        </w:rPr>
      </w:pPr>
      <w:r w:rsidRPr="00317781">
        <w:rPr>
          <w:lang w:bidi="fa-IR"/>
        </w:rPr>
        <w:t>The number of residents under the</w:t>
      </w:r>
      <w:r>
        <w:rPr>
          <w:lang w:bidi="fa-IR"/>
        </w:rPr>
        <w:t xml:space="preserve"> age of 65 has decreased from 6</w:t>
      </w:r>
      <w:r w:rsidR="0071092B">
        <w:rPr>
          <w:lang w:bidi="fa-IR"/>
        </w:rPr>
        <w:t> </w:t>
      </w:r>
      <w:r>
        <w:rPr>
          <w:lang w:bidi="fa-IR"/>
        </w:rPr>
        <w:t>243 at 31 March 2017 to 5</w:t>
      </w:r>
      <w:r w:rsidR="0071092B">
        <w:rPr>
          <w:lang w:bidi="fa-IR"/>
        </w:rPr>
        <w:t> </w:t>
      </w:r>
      <w:r>
        <w:rPr>
          <w:lang w:bidi="fa-IR"/>
        </w:rPr>
        <w:t>468 at 30 September 2019, a 12 per cent decrease.</w:t>
      </w:r>
    </w:p>
    <w:p w14:paraId="15B37F77" w14:textId="77777777" w:rsidR="00EC65E7" w:rsidRDefault="00ED748D" w:rsidP="00ED748D">
      <w:pPr>
        <w:pStyle w:val="ListBullet"/>
        <w:numPr>
          <w:ilvl w:val="0"/>
          <w:numId w:val="16"/>
        </w:numPr>
        <w:rPr>
          <w:lang w:bidi="fa-IR"/>
        </w:rPr>
      </w:pPr>
      <w:r>
        <w:rPr>
          <w:lang w:bidi="fa-IR"/>
        </w:rPr>
        <w:t>The number of new entrants into residential aged care under the age of 65 has decreased from 536 in the June quarter 2017 to 386 in the September quarter 2019, a decrease of around 28 per cent.</w:t>
      </w:r>
    </w:p>
    <w:p w14:paraId="222DB5F9" w14:textId="77777777" w:rsidR="00ED748D" w:rsidRPr="00EC65E7" w:rsidRDefault="00EC65E7" w:rsidP="00EC65E7">
      <w:pPr>
        <w:spacing w:before="140"/>
        <w:rPr>
          <w:rFonts w:asciiTheme="minorHAnsi" w:eastAsia="Times New Roman" w:hAnsiTheme="minorHAnsi"/>
          <w:lang w:bidi="fa-IR"/>
        </w:rPr>
      </w:pPr>
      <w:r>
        <w:rPr>
          <w:lang w:bidi="fa-IR"/>
        </w:rPr>
        <w:br w:type="page"/>
      </w:r>
    </w:p>
    <w:p w14:paraId="4EAADEB5" w14:textId="4BE55474" w:rsidR="00ED748D" w:rsidRDefault="00B27E24" w:rsidP="00ED748D">
      <w:pPr>
        <w:pStyle w:val="Caption"/>
      </w:pPr>
      <w:bookmarkStart w:id="828" w:name="_Toc44598601"/>
      <w:bookmarkStart w:id="829" w:name="_Toc44695973"/>
      <w:bookmarkStart w:id="830" w:name="_Toc57643704"/>
      <w:bookmarkStart w:id="831" w:name="_Toc70505658"/>
      <w:r>
        <w:t>H.7</w:t>
      </w:r>
      <w:r w:rsidR="00ED748D" w:rsidRPr="00022241">
        <w:tab/>
        <w:t>Number of people under the age of 65 in residential aged care</w:t>
      </w:r>
      <w:bookmarkEnd w:id="828"/>
      <w:bookmarkEnd w:id="829"/>
      <w:bookmarkEnd w:id="830"/>
      <w:bookmarkEnd w:id="831"/>
    </w:p>
    <w:p w14:paraId="0C2EAA03" w14:textId="77777777" w:rsidR="00184E9F" w:rsidRPr="00184E9F" w:rsidRDefault="00184E9F" w:rsidP="00184E9F">
      <w:pPr>
        <w:pStyle w:val="Subtitlebox"/>
      </w:pPr>
      <w:r w:rsidRPr="00D42FD6">
        <w:rPr>
          <w:noProof/>
        </w:rPr>
        <w:drawing>
          <wp:inline distT="0" distB="0" distL="0" distR="0" wp14:anchorId="5057AF04" wp14:editId="4EE20E62">
            <wp:extent cx="5039995" cy="2500630"/>
            <wp:effectExtent l="57150" t="57150" r="65405" b="52070"/>
            <wp:docPr id="23" name="Picture 23" descr="Chart H.7: Number of people under the age of 65 in residential aged care&#10;&#10;This graph shows a decline in the number of residents under 65 years in residential aged care, while the number of NDIA participants has increased over the same time period (June 2017-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7: Number of people under the age of 65 in residential aged care&#10;&#10;This graph shows a decline in the number of residents under 65 years in residential aged care, while the number of NDIA participants has increased over the same time period (June 2017-December 2019)."/>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2797"/>
                    <a:stretch/>
                  </pic:blipFill>
                  <pic:spPr bwMode="auto">
                    <a:xfrm>
                      <a:off x="0" y="0"/>
                      <a:ext cx="5039995" cy="250063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53CE9E9" w14:textId="77777777" w:rsidR="00ED748D" w:rsidRPr="00027945" w:rsidRDefault="0071092B" w:rsidP="00184E9F">
      <w:pPr>
        <w:pStyle w:val="Source"/>
      </w:pPr>
      <w:r w:rsidRPr="00184E9F">
        <w:rPr>
          <w:i/>
          <w:iCs/>
          <w:noProof/>
        </w:rPr>
        <w:t> </w:t>
      </w:r>
      <w:r w:rsidR="00ED748D" w:rsidRPr="00184E9F">
        <w:rPr>
          <w:i/>
          <w:iCs/>
        </w:rPr>
        <w:t>Data source</w:t>
      </w:r>
      <w:r w:rsidR="00ED748D" w:rsidRPr="00027945">
        <w:t xml:space="preserve">: </w:t>
      </w:r>
      <w:r w:rsidR="00ED748D" w:rsidRPr="00027945">
        <w:rPr>
          <w:lang w:val="en-US"/>
        </w:rPr>
        <w:t>COAG Disability Reform Council Quarterly Report, December 2019, pp. 26</w:t>
      </w:r>
      <w:r w:rsidR="00ED748D" w:rsidRPr="00027945">
        <w:rPr>
          <w:lang w:val="en-US"/>
        </w:rPr>
        <w:noBreakHyphen/>
        <w:t>27.</w:t>
      </w:r>
    </w:p>
    <w:p w14:paraId="3CE69205" w14:textId="77777777" w:rsidR="00ED748D" w:rsidRDefault="00ED748D" w:rsidP="00ED748D">
      <w:pPr>
        <w:pStyle w:val="BodyText"/>
      </w:pPr>
      <w:r>
        <w:t>The national action plan</w:t>
      </w:r>
      <w:r w:rsidR="008B5EEA">
        <w:t>, Younger People in Residential Aged Care – Action P</w:t>
      </w:r>
      <w:r w:rsidR="005A28C0">
        <w:t>lan,</w:t>
      </w:r>
      <w:r>
        <w:t xml:space="preserve"> notes that younger people with disability often have complex health needs and identifies the following reasons why younger people are living in aged care facilities:</w:t>
      </w:r>
    </w:p>
    <w:p w14:paraId="747CA5C0" w14:textId="77777777" w:rsidR="00ED748D" w:rsidRDefault="00ED748D" w:rsidP="00ED748D">
      <w:pPr>
        <w:pStyle w:val="ListBullet"/>
        <w:numPr>
          <w:ilvl w:val="0"/>
          <w:numId w:val="16"/>
        </w:numPr>
      </w:pPr>
      <w:r>
        <w:t>difficulty in accessing appropriate health supports in other settings</w:t>
      </w:r>
    </w:p>
    <w:p w14:paraId="6CEFB214" w14:textId="77777777" w:rsidR="00ED748D" w:rsidRDefault="00ED748D" w:rsidP="00ED748D">
      <w:pPr>
        <w:pStyle w:val="ListBullet"/>
        <w:numPr>
          <w:ilvl w:val="0"/>
          <w:numId w:val="16"/>
        </w:numPr>
      </w:pPr>
      <w:r>
        <w:t xml:space="preserve">the lack of suitable housing </w:t>
      </w:r>
      <w:r>
        <w:noBreakHyphen/>
        <w:t xml:space="preserve"> the national action plan identifies a significant gap in the market for highly specialised disability accommodation.</w:t>
      </w:r>
    </w:p>
    <w:p w14:paraId="428FA8DE" w14:textId="77777777" w:rsidR="00ED748D" w:rsidRDefault="00ED748D" w:rsidP="00ED748D">
      <w:pPr>
        <w:pStyle w:val="BodyText"/>
      </w:pPr>
      <w:r>
        <w:t>The national action plan also notes:</w:t>
      </w:r>
    </w:p>
    <w:p w14:paraId="1C4E3361" w14:textId="77777777" w:rsidR="00ED748D" w:rsidRDefault="00ED748D" w:rsidP="00ED748D">
      <w:pPr>
        <w:pStyle w:val="Quote"/>
      </w:pPr>
      <w:r>
        <w:t>“Younger people with a disability have been directed to aged care due to a lack of suitable alternative housing and supports. One support that may accommodate the needs of younger people in aged care is SDA…[However, there] is currently a shortfall in the availability of SDA for younger people who require this level of support. The SDA market is not yet mature, with limited supply, lack of demand data for potential investors, and significant lead-time required for construction of new stock.”</w:t>
      </w:r>
      <w:r>
        <w:rPr>
          <w:rStyle w:val="FootnoteReference"/>
        </w:rPr>
        <w:footnoteReference w:id="503"/>
      </w:r>
    </w:p>
    <w:p w14:paraId="7F15C4D6" w14:textId="77777777" w:rsidR="00ED748D" w:rsidRDefault="00ED748D" w:rsidP="00ED748D">
      <w:pPr>
        <w:pStyle w:val="BodyText"/>
      </w:pPr>
      <w:r>
        <w:t>Key elements of the national action plan are to:</w:t>
      </w:r>
    </w:p>
    <w:p w14:paraId="012D3337" w14:textId="77777777" w:rsidR="00ED748D" w:rsidRDefault="00ED748D" w:rsidP="00ED748D">
      <w:pPr>
        <w:pStyle w:val="ListBullet"/>
        <w:numPr>
          <w:ilvl w:val="0"/>
          <w:numId w:val="16"/>
        </w:numPr>
      </w:pPr>
      <w:r>
        <w:t>improve the ability of younger NDIS participants in aged care to access SDA; and</w:t>
      </w:r>
    </w:p>
    <w:p w14:paraId="3E1286FE" w14:textId="77777777" w:rsidR="00ED748D" w:rsidRDefault="00ED748D" w:rsidP="00ED748D">
      <w:pPr>
        <w:pStyle w:val="ListBullet"/>
        <w:numPr>
          <w:ilvl w:val="0"/>
          <w:numId w:val="16"/>
        </w:numPr>
      </w:pPr>
      <w:r>
        <w:t>to encourage the development of a vibrant SDA market.</w:t>
      </w:r>
    </w:p>
    <w:p w14:paraId="67D19916" w14:textId="77777777" w:rsidR="00ED748D" w:rsidRDefault="00ED748D" w:rsidP="00ED748D">
      <w:pPr>
        <w:pStyle w:val="BodyText"/>
        <w:rPr>
          <w:lang w:eastAsia="en-US" w:bidi="fa-IR"/>
        </w:rPr>
      </w:pPr>
      <w:r>
        <w:rPr>
          <w:lang w:eastAsia="en-US" w:bidi="fa-IR"/>
        </w:rPr>
        <w:t>It is therefore reasonable to expect that the number of younger people in residential aged care will decline</w:t>
      </w:r>
      <w:r w:rsidRPr="009D69CA">
        <w:rPr>
          <w:lang w:eastAsia="en-US" w:bidi="fa-IR"/>
        </w:rPr>
        <w:t xml:space="preserve"> </w:t>
      </w:r>
      <w:r>
        <w:rPr>
          <w:lang w:eastAsia="en-US" w:bidi="fa-IR"/>
        </w:rPr>
        <w:t>as the SDA market develops.</w:t>
      </w:r>
    </w:p>
    <w:p w14:paraId="6EEACBFD" w14:textId="77777777" w:rsidR="00ED748D" w:rsidRDefault="00ED748D" w:rsidP="009C34D1">
      <w:pPr>
        <w:pStyle w:val="KeyPoint"/>
        <w:numPr>
          <w:ilvl w:val="0"/>
          <w:numId w:val="11"/>
        </w:numPr>
        <w:rPr>
          <w:lang w:bidi="fa-IR"/>
        </w:rPr>
      </w:pPr>
      <w:r>
        <w:rPr>
          <w:lang w:bidi="fa-IR"/>
        </w:rPr>
        <w:t>There are no data specifically on the number of younger people in residential aged care that would have been able to remain living in the community if more private (non SDA) accessible housing were available.</w:t>
      </w:r>
    </w:p>
    <w:p w14:paraId="40A0916F" w14:textId="77777777" w:rsidR="00ED748D" w:rsidRDefault="00ED748D" w:rsidP="009C34D1">
      <w:pPr>
        <w:pStyle w:val="KeyPoint"/>
        <w:numPr>
          <w:ilvl w:val="0"/>
          <w:numId w:val="11"/>
        </w:numPr>
        <w:rPr>
          <w:lang w:bidi="fa-IR"/>
        </w:rPr>
      </w:pPr>
      <w:r>
        <w:rPr>
          <w:lang w:bidi="fa-IR"/>
        </w:rPr>
        <w:t>In the absence of better information, similar shares as for older people, implied by the modelling studies outlined above</w:t>
      </w:r>
      <w:r w:rsidR="007570FF">
        <w:rPr>
          <w:lang w:bidi="fa-IR"/>
        </w:rPr>
        <w:t>, are assumed</w:t>
      </w:r>
      <w:r>
        <w:rPr>
          <w:lang w:bidi="fa-IR"/>
        </w:rPr>
        <w:t>. Under this assumption, between 1.95 per cent and 3.22 per cent of younger people in residential aged care may have been able to live in the community if more accessible housing were available, with a central case estimate of 2.51 per cent.</w:t>
      </w:r>
    </w:p>
    <w:p w14:paraId="6AF83826" w14:textId="77777777" w:rsidR="00ED748D" w:rsidRDefault="00ED748D" w:rsidP="009C34D1">
      <w:pPr>
        <w:pStyle w:val="KeyPoint"/>
        <w:numPr>
          <w:ilvl w:val="0"/>
          <w:numId w:val="11"/>
        </w:numPr>
        <w:rPr>
          <w:lang w:bidi="fa-IR"/>
        </w:rPr>
      </w:pPr>
      <w:r>
        <w:rPr>
          <w:lang w:bidi="fa-IR"/>
        </w:rPr>
        <w:t>Based on 5</w:t>
      </w:r>
      <w:r w:rsidR="0071092B">
        <w:rPr>
          <w:lang w:bidi="fa-IR"/>
        </w:rPr>
        <w:t> </w:t>
      </w:r>
      <w:r>
        <w:rPr>
          <w:lang w:bidi="fa-IR"/>
        </w:rPr>
        <w:t>468 younger Australians currently in residential aged care (as at September 2019) this implies between 107 and 176 of these people may have been able to live in the community if more accessible housing were available, with a central case estimate of 137.</w:t>
      </w:r>
    </w:p>
    <w:p w14:paraId="4F8EE810" w14:textId="77777777" w:rsidR="00ED748D" w:rsidRPr="004B79EC" w:rsidRDefault="00ED748D" w:rsidP="004B79EC">
      <w:pPr>
        <w:pStyle w:val="Heading2-Appendix"/>
      </w:pPr>
      <w:r w:rsidRPr="004B79EC">
        <w:t xml:space="preserve">Impact of inappropriate or premature entry into </w:t>
      </w:r>
      <w:r w:rsidR="00655F3E" w:rsidRPr="004B79EC">
        <w:t xml:space="preserve">residential </w:t>
      </w:r>
      <w:r w:rsidRPr="004B79EC">
        <w:t>aged care</w:t>
      </w:r>
    </w:p>
    <w:p w14:paraId="38699B22" w14:textId="77777777" w:rsidR="00ED748D" w:rsidRDefault="00ED748D" w:rsidP="00ED748D">
      <w:pPr>
        <w:pStyle w:val="BodyText"/>
        <w:rPr>
          <w:lang w:bidi="fa-IR"/>
        </w:rPr>
      </w:pPr>
      <w:r>
        <w:rPr>
          <w:lang w:bidi="fa-IR"/>
        </w:rPr>
        <w:t xml:space="preserve">The impact of inappropriate or premature or inappropriate entry into </w:t>
      </w:r>
      <w:r w:rsidR="000153FD">
        <w:rPr>
          <w:lang w:bidi="fa-IR"/>
        </w:rPr>
        <w:t xml:space="preserve">residential </w:t>
      </w:r>
      <w:r>
        <w:rPr>
          <w:lang w:bidi="fa-IR"/>
        </w:rPr>
        <w:t>aged care incudes:</w:t>
      </w:r>
    </w:p>
    <w:p w14:paraId="467141B7" w14:textId="77777777" w:rsidR="00ED748D" w:rsidRDefault="00ED748D" w:rsidP="00ED748D">
      <w:pPr>
        <w:pStyle w:val="ListBullet"/>
        <w:numPr>
          <w:ilvl w:val="0"/>
          <w:numId w:val="16"/>
        </w:numPr>
        <w:rPr>
          <w:lang w:bidi="fa-IR"/>
        </w:rPr>
      </w:pPr>
      <w:r>
        <w:rPr>
          <w:lang w:bidi="fa-IR"/>
        </w:rPr>
        <w:t xml:space="preserve">reduced wellbeing for those people inappropriately or prematurely entering </w:t>
      </w:r>
      <w:r w:rsidR="002A3ABF">
        <w:rPr>
          <w:lang w:bidi="fa-IR"/>
        </w:rPr>
        <w:t xml:space="preserve">residential </w:t>
      </w:r>
      <w:r>
        <w:rPr>
          <w:lang w:bidi="fa-IR"/>
        </w:rPr>
        <w:t>aged care</w:t>
      </w:r>
    </w:p>
    <w:p w14:paraId="01F2E592" w14:textId="77777777" w:rsidR="00ED748D" w:rsidRPr="009B51D7" w:rsidRDefault="00ED748D" w:rsidP="00ED748D">
      <w:pPr>
        <w:pStyle w:val="ListBullet"/>
        <w:numPr>
          <w:ilvl w:val="0"/>
          <w:numId w:val="16"/>
        </w:numPr>
        <w:rPr>
          <w:lang w:bidi="fa-IR"/>
        </w:rPr>
      </w:pPr>
      <w:r>
        <w:rPr>
          <w:lang w:bidi="fa-IR"/>
        </w:rPr>
        <w:t>additional financial costs associated with residential aged care (relative to other care models).</w:t>
      </w:r>
    </w:p>
    <w:p w14:paraId="5E5DCE94" w14:textId="77777777" w:rsidR="00ED748D" w:rsidRPr="00F4477B" w:rsidRDefault="00ED748D" w:rsidP="00F4477B">
      <w:pPr>
        <w:pStyle w:val="Heading3-Appendix"/>
      </w:pPr>
      <w:r w:rsidRPr="00F4477B">
        <w:t>Reduced wellbeing for premature or inappropriate entrants</w:t>
      </w:r>
    </w:p>
    <w:p w14:paraId="4FCAFAFA" w14:textId="7E1032C2" w:rsidR="00ED748D" w:rsidRDefault="00ED748D" w:rsidP="00ED748D">
      <w:pPr>
        <w:pStyle w:val="BodyText"/>
        <w:rPr>
          <w:lang w:bidi="fa-IR"/>
        </w:rPr>
      </w:pPr>
      <w:r>
        <w:rPr>
          <w:lang w:bidi="fa-IR"/>
        </w:rPr>
        <w:t>As noted above, residential aged care is not the preferred outcome for many older Australians (as well as younger people that are admitted to residential aged care).</w:t>
      </w:r>
      <w:r w:rsidR="0071092B">
        <w:rPr>
          <w:lang w:bidi="fa-IR"/>
        </w:rPr>
        <w:t xml:space="preserve"> </w:t>
      </w:r>
      <w:r>
        <w:rPr>
          <w:lang w:bidi="fa-IR"/>
        </w:rPr>
        <w:t>The ongoing Royal Commission into Aged Care Quality and Safety (see box </w:t>
      </w:r>
      <w:r w:rsidR="00362332">
        <w:rPr>
          <w:lang w:bidi="fa-IR"/>
        </w:rPr>
        <w:t>H.8</w:t>
      </w:r>
      <w:r>
        <w:rPr>
          <w:lang w:bidi="fa-IR"/>
        </w:rPr>
        <w:t xml:space="preserve">) noted that: </w:t>
      </w:r>
    </w:p>
    <w:p w14:paraId="390B394A" w14:textId="77777777" w:rsidR="00ED748D" w:rsidRDefault="00ED748D" w:rsidP="00ED748D">
      <w:pPr>
        <w:pStyle w:val="Quote"/>
        <w:rPr>
          <w:lang w:bidi="fa-IR"/>
        </w:rPr>
      </w:pPr>
      <w:r>
        <w:rPr>
          <w:lang w:bidi="fa-IR"/>
        </w:rPr>
        <w:t>“People do not usually enter aged care willingly. They often do so with great trepidation. They fear loss of autonomy, of individuality, of control over their own lives.”</w:t>
      </w:r>
      <w:r>
        <w:rPr>
          <w:rStyle w:val="FootnoteReference"/>
          <w:lang w:bidi="fa-IR"/>
        </w:rPr>
        <w:footnoteReference w:id="504"/>
      </w:r>
    </w:p>
    <w:p w14:paraId="7EA19802" w14:textId="77777777" w:rsidR="00ED748D" w:rsidRDefault="00ED748D" w:rsidP="00ED748D">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H.8: Royal Commission into Aged Care Quality and Safety"/>
        <w:tblDescription w:val="Box H.8 contains information about the Royal Commission into Aged Care Quality and Safety and the methods used to gather information."/>
      </w:tblPr>
      <w:tblGrid>
        <w:gridCol w:w="7938"/>
      </w:tblGrid>
      <w:tr w:rsidR="00ED748D" w:rsidRPr="00E05C8C" w14:paraId="07CA8E37" w14:textId="77777777" w:rsidTr="00184E9F">
        <w:trPr>
          <w:cantSplit/>
        </w:trPr>
        <w:tc>
          <w:tcPr>
            <w:tcW w:w="7938" w:type="dxa"/>
            <w:tcBorders>
              <w:top w:val="nil"/>
              <w:left w:val="nil"/>
              <w:bottom w:val="nil"/>
              <w:right w:val="nil"/>
            </w:tcBorders>
            <w:shd w:val="clear" w:color="auto" w:fill="C6BFAB" w:themeFill="accent3"/>
          </w:tcPr>
          <w:p w14:paraId="1851738C" w14:textId="4D63DFB9" w:rsidR="00ED748D" w:rsidRPr="00E05C8C" w:rsidRDefault="00390CDB" w:rsidP="002B23FD">
            <w:pPr>
              <w:pStyle w:val="Caption"/>
              <w:numPr>
                <w:ilvl w:val="0"/>
                <w:numId w:val="13"/>
              </w:numPr>
              <w:spacing w:before="120" w:after="100"/>
            </w:pPr>
            <w:bookmarkStart w:id="832" w:name="_Toc44598602"/>
            <w:bookmarkStart w:id="833" w:name="_Toc44695974"/>
            <w:bookmarkStart w:id="834" w:name="_Toc57643705"/>
            <w:bookmarkStart w:id="835" w:name="_Toc70505659"/>
            <w:r>
              <w:t>H.8</w:t>
            </w:r>
            <w:r w:rsidR="00ED748D" w:rsidRPr="00E05C8C">
              <w:tab/>
            </w:r>
            <w:r w:rsidR="00ED748D">
              <w:t>Royal Commission into Aged Care Quality and Safety</w:t>
            </w:r>
            <w:bookmarkEnd w:id="832"/>
            <w:bookmarkEnd w:id="833"/>
            <w:bookmarkEnd w:id="834"/>
            <w:bookmarkEnd w:id="835"/>
          </w:p>
        </w:tc>
      </w:tr>
      <w:tr w:rsidR="00ED748D" w14:paraId="2DA6B99A" w14:textId="77777777" w:rsidTr="00184E9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00BE8AFB" w14:textId="77777777" w:rsidR="00ED748D" w:rsidRDefault="00ED748D" w:rsidP="002B23FD">
            <w:pPr>
              <w:pStyle w:val="BodyText"/>
            </w:pPr>
            <w:r>
              <w:t>A Royal Commission into Aged Care Quality and Safety was established on 8 October 2018. The Royal Commission has gathered evidence through a range of methods including: public hearings; notices requiring the production of documents, things, information or statements in writing; public submissions; community forums; expert roundtable discussions; service visits; and research conducted by both the Royal Commission staff and commissioned from external providers.</w:t>
            </w:r>
          </w:p>
          <w:p w14:paraId="28E67F19" w14:textId="77777777" w:rsidR="00ED748D" w:rsidRPr="00BF2F67" w:rsidRDefault="00ED748D" w:rsidP="00184E9F">
            <w:pPr>
              <w:pStyle w:val="BodyText"/>
              <w:spacing w:after="120"/>
            </w:pPr>
            <w:r>
              <w:t xml:space="preserve">The Commissioners delivered an interim on 31 October 2019 a will provide a final report by </w:t>
            </w:r>
            <w:r w:rsidR="00393DF9">
              <w:t xml:space="preserve">26 </w:t>
            </w:r>
            <w:r w:rsidR="00022F10">
              <w:t>February 2021</w:t>
            </w:r>
            <w:r>
              <w:t>.</w:t>
            </w:r>
            <w:r>
              <w:rPr>
                <w:rStyle w:val="FootnoteReference"/>
              </w:rPr>
              <w:footnoteReference w:id="505"/>
            </w:r>
            <w:r>
              <w:t xml:space="preserve">. </w:t>
            </w:r>
          </w:p>
        </w:tc>
      </w:tr>
    </w:tbl>
    <w:p w14:paraId="702B0DEA" w14:textId="77777777" w:rsidR="00ED748D" w:rsidRDefault="00ED748D" w:rsidP="00ED748D">
      <w:pPr>
        <w:pStyle w:val="BodyText"/>
      </w:pPr>
      <w:r>
        <w:rPr>
          <w:lang w:bidi="fa-IR"/>
        </w:rPr>
        <w:t>The wellbeing of people in residential aged care (relative to remaining at home) is likely to be at least partly related to the quality of the care receive</w:t>
      </w:r>
      <w:r w:rsidR="00BC5B9C">
        <w:rPr>
          <w:lang w:bidi="fa-IR"/>
        </w:rPr>
        <w:t>d</w:t>
      </w:r>
      <w:r>
        <w:rPr>
          <w:lang w:bidi="fa-IR"/>
        </w:rPr>
        <w:t xml:space="preserve">. </w:t>
      </w:r>
      <w:r>
        <w:t>In the interim report of the Royal Commission, the Commissioners stated:</w:t>
      </w:r>
    </w:p>
    <w:p w14:paraId="3EC1BEB6" w14:textId="77777777" w:rsidR="00ED748D" w:rsidRDefault="00ED748D" w:rsidP="00ED748D">
      <w:pPr>
        <w:pStyle w:val="Quote"/>
      </w:pPr>
      <w:r>
        <w:t>“The Royal Commission has heard compelling evidence that the system designed to care for older Australians is woefully inadequate. Many people receiving aged care services have their basic human rights denied. Their dignity is not respected and their identity is ignored. It most certainly is not a full life. It is a shocking tale of neglect.”</w:t>
      </w:r>
      <w:r>
        <w:rPr>
          <w:rStyle w:val="FootnoteReference"/>
        </w:rPr>
        <w:footnoteReference w:id="506"/>
      </w:r>
    </w:p>
    <w:p w14:paraId="29BE0F2E" w14:textId="77777777" w:rsidR="00ED748D" w:rsidRDefault="00ED748D" w:rsidP="00ED748D">
      <w:pPr>
        <w:pStyle w:val="BodyText"/>
      </w:pPr>
      <w:r>
        <w:t>The Royal Commission concluded that sub</w:t>
      </w:r>
      <w:r w:rsidR="00BC5B9C">
        <w:t>-</w:t>
      </w:r>
      <w:r>
        <w:t>standard care (care that does not meet relevant quality standards or other legislative obligations, or which otherwise does not meet community expectations) is widespread and is more serious than had been anticipated.</w:t>
      </w:r>
      <w:r>
        <w:rPr>
          <w:rStyle w:val="FootnoteReference"/>
        </w:rPr>
        <w:footnoteReference w:id="507"/>
      </w:r>
      <w:r>
        <w:t xml:space="preserve"> </w:t>
      </w:r>
      <w:r>
        <w:rPr>
          <w:lang w:bidi="fa-IR"/>
        </w:rPr>
        <w:t xml:space="preserve">Discussions with the Disability Discrimination Commissioner also highlighted that people in closed care systems are vulnerable to neglect, abuse and exploitation. </w:t>
      </w:r>
    </w:p>
    <w:p w14:paraId="7B5920FD" w14:textId="77777777" w:rsidR="00ED748D" w:rsidRDefault="00ED748D" w:rsidP="00ED748D">
      <w:pPr>
        <w:pStyle w:val="BodyText"/>
      </w:pPr>
      <w:r>
        <w:rPr>
          <w:lang w:bidi="fa-IR"/>
        </w:rPr>
        <w:t>It is reasonable to expect further reforms to address the safety and quality issues in response to the Royal Commission’s recommendations (although the specific recommendations are not yet known).</w:t>
      </w:r>
      <w:r>
        <w:t xml:space="preserve"> </w:t>
      </w:r>
    </w:p>
    <w:p w14:paraId="25537C7A" w14:textId="77777777" w:rsidR="00ED748D" w:rsidRDefault="00ED748D" w:rsidP="00ED748D">
      <w:pPr>
        <w:pStyle w:val="BodyText"/>
      </w:pPr>
      <w:r>
        <w:t>One study from AIHW on consumer experiences with residential aged care presents a much more positive view of the quality of care provided in residential aged care facilities.</w:t>
      </w:r>
      <w:r>
        <w:rPr>
          <w:rStyle w:val="FootnoteReference"/>
        </w:rPr>
        <w:footnoteReference w:id="508"/>
      </w:r>
      <w:r>
        <w:t xml:space="preserve"> For most questions, more than 90 per cent of responses were positive, although responses across all questions were slightly less positive for those with restricted mobility. The responses for the remaining questions were mostly more than 80 per cent positive. Responses from people with restricted mobility on ‘staff to talk to’ was the only question with a positive response rate less than 80 per cent.</w:t>
      </w:r>
    </w:p>
    <w:p w14:paraId="0EDB23D3" w14:textId="77777777" w:rsidR="00ED748D" w:rsidRDefault="00ED748D" w:rsidP="00ED748D">
      <w:pPr>
        <w:pStyle w:val="BodyText"/>
        <w:rPr>
          <w:lang w:bidi="fa-IR"/>
        </w:rPr>
      </w:pPr>
      <w:r>
        <w:rPr>
          <w:lang w:bidi="fa-IR"/>
        </w:rPr>
        <w:t>The findings of the Royal Commission suggest that there may nevertheless be a significant number of people that receive sub</w:t>
      </w:r>
      <w:r>
        <w:rPr>
          <w:lang w:bidi="fa-IR"/>
        </w:rPr>
        <w:noBreakHyphen/>
        <w:t>standard care. However, there is currently no publicly available data from the Royal Commission on the proportion of residential aged care users that have receive sub-standard care.</w:t>
      </w:r>
      <w:r w:rsidRPr="00143411">
        <w:rPr>
          <w:lang w:bidi="fa-IR"/>
        </w:rPr>
        <w:t xml:space="preserve"> </w:t>
      </w:r>
      <w:r>
        <w:rPr>
          <w:lang w:bidi="fa-IR"/>
        </w:rPr>
        <w:t>The impact of inappropriate or premature entry into residential aged care could be very high for people who receive sub</w:t>
      </w:r>
      <w:r>
        <w:rPr>
          <w:lang w:bidi="fa-IR"/>
        </w:rPr>
        <w:noBreakHyphen/>
        <w:t>standard care (and even higher for those that are the victim of violence or abuse).</w:t>
      </w:r>
    </w:p>
    <w:p w14:paraId="07F9FE6B" w14:textId="77777777" w:rsidR="00ED748D" w:rsidRDefault="00DF1E8B" w:rsidP="00ED748D">
      <w:pPr>
        <w:pStyle w:val="BodyText"/>
        <w:rPr>
          <w:lang w:bidi="fa-IR"/>
        </w:rPr>
      </w:pPr>
      <w:r>
        <w:rPr>
          <w:lang w:bidi="fa-IR"/>
        </w:rPr>
        <w:t xml:space="preserve">CIE </w:t>
      </w:r>
      <w:r w:rsidR="00ED748D">
        <w:rPr>
          <w:lang w:bidi="fa-IR"/>
        </w:rPr>
        <w:t>also note</w:t>
      </w:r>
      <w:r>
        <w:rPr>
          <w:lang w:bidi="fa-IR"/>
        </w:rPr>
        <w:t>s</w:t>
      </w:r>
      <w:r w:rsidR="00ED748D">
        <w:rPr>
          <w:lang w:bidi="fa-IR"/>
        </w:rPr>
        <w:t xml:space="preserve"> recent aged care reforms, including:</w:t>
      </w:r>
      <w:r w:rsidR="00ED748D">
        <w:rPr>
          <w:rStyle w:val="FootnoteReference"/>
          <w:lang w:bidi="fa-IR"/>
        </w:rPr>
        <w:footnoteReference w:id="509"/>
      </w:r>
    </w:p>
    <w:p w14:paraId="1CA1FB28" w14:textId="77777777" w:rsidR="00ED748D" w:rsidRDefault="00ED748D" w:rsidP="00ED748D">
      <w:pPr>
        <w:pStyle w:val="ListBullet"/>
        <w:numPr>
          <w:ilvl w:val="0"/>
          <w:numId w:val="16"/>
        </w:numPr>
        <w:rPr>
          <w:lang w:bidi="fa-IR"/>
        </w:rPr>
      </w:pPr>
      <w:r>
        <w:rPr>
          <w:lang w:bidi="fa-IR"/>
        </w:rPr>
        <w:t>a new set of 8 Aged Care Quality Standards that bec</w:t>
      </w:r>
      <w:r w:rsidR="00393DF9">
        <w:rPr>
          <w:lang w:bidi="fa-IR"/>
        </w:rPr>
        <w:t>a</w:t>
      </w:r>
      <w:r>
        <w:rPr>
          <w:lang w:bidi="fa-IR"/>
        </w:rPr>
        <w:t>me effective in July 2019</w:t>
      </w:r>
    </w:p>
    <w:p w14:paraId="0D2CEE6C" w14:textId="77777777" w:rsidR="00ED748D" w:rsidRDefault="00ED748D" w:rsidP="00ED748D">
      <w:pPr>
        <w:pStyle w:val="ListBullet"/>
        <w:numPr>
          <w:ilvl w:val="0"/>
          <w:numId w:val="16"/>
        </w:numPr>
        <w:rPr>
          <w:lang w:bidi="fa-IR"/>
        </w:rPr>
      </w:pPr>
      <w:r>
        <w:rPr>
          <w:lang w:bidi="fa-IR"/>
        </w:rPr>
        <w:t xml:space="preserve">the establishment of the Aged Care Quality and Safety Commission </w:t>
      </w:r>
      <w:r>
        <w:rPr>
          <w:shd w:val="clear" w:color="auto" w:fill="FFFFFF"/>
        </w:rPr>
        <w:t>to protect and enhance the safety, health, well-being and quality of life of people receiving aged care.</w:t>
      </w:r>
    </w:p>
    <w:p w14:paraId="0FC36441" w14:textId="77777777" w:rsidR="00ED748D" w:rsidRDefault="00ED748D" w:rsidP="00ED748D">
      <w:pPr>
        <w:pStyle w:val="BodyText"/>
        <w:rPr>
          <w:lang w:bidi="fa-IR"/>
        </w:rPr>
      </w:pPr>
      <w:r>
        <w:rPr>
          <w:lang w:bidi="fa-IR"/>
        </w:rPr>
        <w:t>That a significant number of people in residential aged care receive sub</w:t>
      </w:r>
      <w:r>
        <w:rPr>
          <w:lang w:bidi="fa-IR"/>
        </w:rPr>
        <w:noBreakHyphen/>
        <w:t xml:space="preserve">standard care (including instances of neglect, violence and abuse) is clearly an important issue. However, this reflects current failings of the aged care system, rather than residential aged care as a type of care. Changes to the NCC can address this issue only to the extent that it may </w:t>
      </w:r>
      <w:r w:rsidR="003246EC">
        <w:rPr>
          <w:lang w:bidi="fa-IR"/>
        </w:rPr>
        <w:t>forestall</w:t>
      </w:r>
      <w:r>
        <w:rPr>
          <w:lang w:bidi="fa-IR"/>
        </w:rPr>
        <w:t xml:space="preserve"> some people entering residential aged care.</w:t>
      </w:r>
    </w:p>
    <w:p w14:paraId="55E9BBDF" w14:textId="77777777" w:rsidR="00ED748D" w:rsidRDefault="00ED748D" w:rsidP="00ED748D">
      <w:pPr>
        <w:pStyle w:val="BodyText"/>
        <w:rPr>
          <w:lang w:bidi="fa-IR"/>
        </w:rPr>
      </w:pPr>
      <w:r>
        <w:rPr>
          <w:lang w:bidi="fa-IR"/>
        </w:rPr>
        <w:t xml:space="preserve">Furthermore, </w:t>
      </w:r>
      <w:r w:rsidR="00DF1E8B">
        <w:rPr>
          <w:lang w:bidi="fa-IR"/>
        </w:rPr>
        <w:t>one</w:t>
      </w:r>
      <w:r>
        <w:rPr>
          <w:lang w:bidi="fa-IR"/>
        </w:rPr>
        <w:t xml:space="preserve"> would hope that the issues identified by the Royal Commission are addressed in the years ahead. </w:t>
      </w:r>
      <w:r w:rsidR="00DF1E8B">
        <w:rPr>
          <w:lang w:bidi="fa-IR"/>
        </w:rPr>
        <w:t>CIE has</w:t>
      </w:r>
      <w:r>
        <w:rPr>
          <w:lang w:bidi="fa-IR"/>
        </w:rPr>
        <w:t xml:space="preserve"> therefore not tried to specifically quantify the costs associated with sub</w:t>
      </w:r>
      <w:r>
        <w:rPr>
          <w:lang w:bidi="fa-IR"/>
        </w:rPr>
        <w:noBreakHyphen/>
        <w:t>standard care (although sub</w:t>
      </w:r>
      <w:r>
        <w:rPr>
          <w:lang w:bidi="fa-IR"/>
        </w:rPr>
        <w:noBreakHyphen/>
        <w:t>standard care may be partly reflected in the increased incidence of depression — see below).</w:t>
      </w:r>
    </w:p>
    <w:p w14:paraId="02D944F0" w14:textId="77777777" w:rsidR="0071092B" w:rsidRPr="00755B70" w:rsidRDefault="0071092B" w:rsidP="0071092B">
      <w:pPr>
        <w:pStyle w:val="BodyText"/>
        <w:rPr>
          <w:lang w:bidi="fa-IR"/>
        </w:rPr>
      </w:pPr>
      <w:r w:rsidRPr="00755B70">
        <w:rPr>
          <w:lang w:bidi="fa-IR"/>
        </w:rPr>
        <w:t xml:space="preserve">That said, even if the quality of care is of an acceptable standard in all </w:t>
      </w:r>
      <w:r w:rsidR="00267132">
        <w:rPr>
          <w:lang w:bidi="fa-IR"/>
        </w:rPr>
        <w:t xml:space="preserve">residential </w:t>
      </w:r>
      <w:r w:rsidRPr="00755B70">
        <w:rPr>
          <w:lang w:bidi="fa-IR"/>
        </w:rPr>
        <w:t>aged care facilities, many older Australians in residential aged care would have preferred to have remained at home if that were possible.</w:t>
      </w:r>
    </w:p>
    <w:p w14:paraId="64366661" w14:textId="77777777" w:rsidR="0071092B" w:rsidRPr="00755B70" w:rsidRDefault="0071092B" w:rsidP="0071092B">
      <w:pPr>
        <w:pStyle w:val="BodyText"/>
        <w:rPr>
          <w:lang w:bidi="fa-IR"/>
        </w:rPr>
      </w:pPr>
      <w:r w:rsidRPr="00755B70">
        <w:rPr>
          <w:lang w:bidi="fa-IR"/>
        </w:rPr>
        <w:t>In the Consultation RIS, the loss of wellbeing associated with inappropriate or premature entry into residential aged care, based on reported higher rates of depression among permanent aged care residents relative to older Australians living in the community</w:t>
      </w:r>
      <w:r w:rsidR="00DF1E8B">
        <w:rPr>
          <w:lang w:bidi="fa-IR"/>
        </w:rPr>
        <w:t xml:space="preserve"> was </w:t>
      </w:r>
      <w:r w:rsidR="00DF1E8B" w:rsidRPr="00755B70">
        <w:rPr>
          <w:lang w:bidi="fa-IR"/>
        </w:rPr>
        <w:t>estimated</w:t>
      </w:r>
      <w:r w:rsidRPr="00755B70">
        <w:rPr>
          <w:lang w:bidi="fa-IR"/>
        </w:rPr>
        <w:t>.</w:t>
      </w:r>
      <w:r w:rsidRPr="00755B70">
        <w:rPr>
          <w:rStyle w:val="FootnoteReference"/>
          <w:lang w:bidi="fa-IR"/>
        </w:rPr>
        <w:footnoteReference w:id="510"/>
      </w:r>
      <w:r w:rsidRPr="00755B70">
        <w:rPr>
          <w:lang w:bidi="fa-IR"/>
        </w:rPr>
        <w:t xml:space="preserve"> However, as acknowledged by the AIHW</w:t>
      </w:r>
      <w:r w:rsidR="006912C7">
        <w:rPr>
          <w:lang w:bidi="fa-IR"/>
        </w:rPr>
        <w:t>,</w:t>
      </w:r>
      <w:r w:rsidRPr="00755B70">
        <w:rPr>
          <w:lang w:bidi="fa-IR"/>
        </w:rPr>
        <w:t xml:space="preserve"> this could reflect people in residential aged care generally having more complex care needs.</w:t>
      </w:r>
      <w:r w:rsidRPr="00755B70">
        <w:rPr>
          <w:rStyle w:val="FootnoteReference"/>
          <w:lang w:bidi="fa-IR"/>
        </w:rPr>
        <w:footnoteReference w:id="511"/>
      </w:r>
    </w:p>
    <w:p w14:paraId="1602841D" w14:textId="77777777" w:rsidR="0071092B" w:rsidRPr="00755B70" w:rsidRDefault="0071092B" w:rsidP="0071092B">
      <w:pPr>
        <w:pStyle w:val="BodyText"/>
        <w:rPr>
          <w:lang w:bidi="fa-IR"/>
        </w:rPr>
      </w:pPr>
      <w:r w:rsidRPr="00755B70">
        <w:rPr>
          <w:lang w:bidi="fa-IR"/>
        </w:rPr>
        <w:t>Since the Consultation RIS was completed, the Royal Commission released a report that estimates the ‘willingness to pay’ a co</w:t>
      </w:r>
      <w:r w:rsidRPr="00755B70">
        <w:rPr>
          <w:lang w:bidi="fa-IR"/>
        </w:rPr>
        <w:noBreakHyphen/>
        <w:t>contribution to facilitate remaining in their own home using a stated preference survey. This was interpreted as a ‘willingness to pay’ to avoid moving into residential care.</w:t>
      </w:r>
      <w:r w:rsidRPr="00755B70">
        <w:rPr>
          <w:rStyle w:val="FootnoteReference"/>
          <w:lang w:bidi="fa-IR"/>
        </w:rPr>
        <w:footnoteReference w:id="512"/>
      </w:r>
      <w:r w:rsidRPr="00755B70">
        <w:rPr>
          <w:lang w:bidi="fa-IR"/>
        </w:rPr>
        <w:t xml:space="preserve"> This is a more direct estimate of the loss of wellbeing associated with moving into residential aged care</w:t>
      </w:r>
      <w:r w:rsidR="00695A92">
        <w:rPr>
          <w:lang w:bidi="fa-IR"/>
        </w:rPr>
        <w:t xml:space="preserve"> and is used in the RIS</w:t>
      </w:r>
      <w:r w:rsidRPr="00755B70">
        <w:rPr>
          <w:lang w:bidi="fa-IR"/>
        </w:rPr>
        <w:t>.</w:t>
      </w:r>
    </w:p>
    <w:p w14:paraId="79931417" w14:textId="77777777" w:rsidR="0071092B" w:rsidRPr="00755B70" w:rsidRDefault="0071092B" w:rsidP="005C0F1D">
      <w:pPr>
        <w:pStyle w:val="KeyPoint"/>
        <w:numPr>
          <w:ilvl w:val="0"/>
          <w:numId w:val="11"/>
        </w:numPr>
        <w:rPr>
          <w:lang w:bidi="fa-IR"/>
        </w:rPr>
      </w:pPr>
      <w:r w:rsidRPr="00755B70">
        <w:rPr>
          <w:lang w:bidi="fa-IR"/>
        </w:rPr>
        <w:t>The average co</w:t>
      </w:r>
      <w:r w:rsidRPr="00755B70">
        <w:rPr>
          <w:lang w:bidi="fa-IR"/>
        </w:rPr>
        <w:noBreakHyphen/>
        <w:t>contribution amount respondents were willing to pay to avoid moving into residential aged care was $184 per week, equating to $9</w:t>
      </w:r>
      <w:r>
        <w:rPr>
          <w:lang w:bidi="fa-IR"/>
        </w:rPr>
        <w:t> </w:t>
      </w:r>
      <w:r w:rsidRPr="00755B70">
        <w:rPr>
          <w:lang w:bidi="fa-IR"/>
        </w:rPr>
        <w:t>568 per year.</w:t>
      </w:r>
      <w:r w:rsidR="005C0F1D" w:rsidRPr="005C0F1D">
        <w:rPr>
          <w:lang w:bidi="fa-IR"/>
        </w:rPr>
        <w:t xml:space="preserve"> </w:t>
      </w:r>
      <w:r w:rsidR="005C0F1D" w:rsidRPr="00755B70">
        <w:rPr>
          <w:rStyle w:val="FootnoteReference"/>
          <w:lang w:bidi="fa-IR"/>
        </w:rPr>
        <w:footnoteReference w:id="513"/>
      </w:r>
    </w:p>
    <w:p w14:paraId="1A76A21B" w14:textId="77777777" w:rsidR="00ED748D" w:rsidRPr="00F4477B" w:rsidRDefault="00ED748D" w:rsidP="00F4477B">
      <w:pPr>
        <w:pStyle w:val="Heading3-Appendix"/>
      </w:pPr>
      <w:r w:rsidRPr="00F4477B">
        <w:t>Cost impact of inappropriate or premature entry into residential aged care</w:t>
      </w:r>
    </w:p>
    <w:p w14:paraId="5435A113" w14:textId="77777777" w:rsidR="00ED748D" w:rsidRDefault="00ED748D" w:rsidP="00ED748D">
      <w:pPr>
        <w:pStyle w:val="BodyText"/>
        <w:rPr>
          <w:lang w:bidi="fa-IR"/>
        </w:rPr>
      </w:pPr>
      <w:r>
        <w:rPr>
          <w:lang w:bidi="fa-IR"/>
        </w:rPr>
        <w:t>The cost impacts estimated below relate specifically to older people in residential aged care. Cost impacts may be somewhat different for younger people, reflecting the different services available to different age groups and possibly some other impacts. However, younger people make up a relatively small share of the total.</w:t>
      </w:r>
    </w:p>
    <w:p w14:paraId="287149BE" w14:textId="77777777" w:rsidR="00ED748D" w:rsidRDefault="00ED748D" w:rsidP="00ED748D">
      <w:pPr>
        <w:pStyle w:val="BodyText"/>
        <w:rPr>
          <w:lang w:bidi="fa-IR"/>
        </w:rPr>
      </w:pPr>
      <w:r>
        <w:rPr>
          <w:lang w:bidi="fa-IR"/>
        </w:rPr>
        <w:t>Government subsidies associated with residential aged care are significantly higher than other types of care.</w:t>
      </w:r>
    </w:p>
    <w:p w14:paraId="1D26D0D2" w14:textId="77777777" w:rsidR="00ED748D" w:rsidRDefault="00ED748D" w:rsidP="00ED748D">
      <w:pPr>
        <w:pStyle w:val="ListBullet"/>
        <w:numPr>
          <w:ilvl w:val="0"/>
          <w:numId w:val="16"/>
        </w:numPr>
        <w:rPr>
          <w:lang w:bidi="fa-IR"/>
        </w:rPr>
      </w:pPr>
      <w:r>
        <w:rPr>
          <w:lang w:bidi="fa-IR"/>
        </w:rPr>
        <w:t>AIHW reports that the average annual Australian Government subsidy per client for residential aged care was estimated at $69 114 in 2018</w:t>
      </w:r>
      <w:r>
        <w:rPr>
          <w:lang w:bidi="fa-IR"/>
        </w:rPr>
        <w:noBreakHyphen/>
        <w:t>19.</w:t>
      </w:r>
    </w:p>
    <w:p w14:paraId="7525D71C" w14:textId="77777777" w:rsidR="00ED748D" w:rsidRDefault="00ED748D" w:rsidP="00ED748D">
      <w:pPr>
        <w:pStyle w:val="ListBullet"/>
        <w:numPr>
          <w:ilvl w:val="0"/>
          <w:numId w:val="16"/>
        </w:numPr>
        <w:rPr>
          <w:lang w:bidi="fa-IR"/>
        </w:rPr>
      </w:pPr>
      <w:r>
        <w:rPr>
          <w:lang w:bidi="fa-IR"/>
        </w:rPr>
        <w:t>By contrast, the average cost for Home Care is around $23 140 in 2018</w:t>
      </w:r>
      <w:r>
        <w:rPr>
          <w:lang w:bidi="fa-IR"/>
        </w:rPr>
        <w:noBreakHyphen/>
        <w:t>19.</w:t>
      </w:r>
    </w:p>
    <w:p w14:paraId="47BA50AC" w14:textId="77777777" w:rsidR="00E91208" w:rsidRDefault="00E91208" w:rsidP="00E91208">
      <w:pPr>
        <w:pStyle w:val="BodyText"/>
        <w:rPr>
          <w:lang w:bidi="fa-IR"/>
        </w:rPr>
      </w:pPr>
      <w:r>
        <w:rPr>
          <w:lang w:bidi="fa-IR"/>
        </w:rPr>
        <w:t xml:space="preserve">However, this does not take into account client contributions. This could significantly distort the relative cost of different types of care. Furthermore, if someone is inappropriately or prematurely admitted into </w:t>
      </w:r>
      <w:r w:rsidR="00DE3A78">
        <w:rPr>
          <w:lang w:bidi="fa-IR"/>
        </w:rPr>
        <w:t>residential</w:t>
      </w:r>
      <w:r w:rsidR="00BA5FA1">
        <w:rPr>
          <w:lang w:bidi="fa-IR"/>
        </w:rPr>
        <w:t xml:space="preserve"> </w:t>
      </w:r>
      <w:r>
        <w:rPr>
          <w:lang w:bidi="fa-IR"/>
        </w:rPr>
        <w:t>aged care, it is not clear:</w:t>
      </w:r>
    </w:p>
    <w:p w14:paraId="51B5A7EE" w14:textId="77777777" w:rsidR="00E91208" w:rsidRDefault="00E91208" w:rsidP="00E91208">
      <w:pPr>
        <w:pStyle w:val="ListBullet"/>
        <w:numPr>
          <w:ilvl w:val="0"/>
          <w:numId w:val="16"/>
        </w:numPr>
        <w:rPr>
          <w:lang w:bidi="fa-IR"/>
        </w:rPr>
      </w:pPr>
      <w:r>
        <w:rPr>
          <w:lang w:bidi="fa-IR"/>
        </w:rPr>
        <w:t>what their care needs would be if they remained at home (i.e. it is not clear if they would need a Home Care Package)</w:t>
      </w:r>
    </w:p>
    <w:p w14:paraId="40F8404F" w14:textId="77777777" w:rsidR="00E91208" w:rsidRDefault="00E91208" w:rsidP="00E91208">
      <w:pPr>
        <w:pStyle w:val="ListBullet"/>
        <w:numPr>
          <w:ilvl w:val="0"/>
          <w:numId w:val="16"/>
        </w:numPr>
        <w:rPr>
          <w:lang w:bidi="fa-IR"/>
        </w:rPr>
      </w:pPr>
      <w:r>
        <w:rPr>
          <w:lang w:bidi="fa-IR"/>
        </w:rPr>
        <w:t xml:space="preserve">the extent to which residential aged care costs substitute for other costs or are additional (for example, if a partner or other family members of the person inappropriately or prematurely admitted into </w:t>
      </w:r>
      <w:r w:rsidR="00BA5FA1">
        <w:rPr>
          <w:lang w:bidi="fa-IR"/>
        </w:rPr>
        <w:t>residential</w:t>
      </w:r>
      <w:r>
        <w:rPr>
          <w:lang w:bidi="fa-IR"/>
        </w:rPr>
        <w:t xml:space="preserve"> aged care remain in the family home, accommodation</w:t>
      </w:r>
      <w:r>
        <w:rPr>
          <w:lang w:bidi="fa-IR"/>
        </w:rPr>
        <w:noBreakHyphen/>
        <w:t>related costs in residential aged care are additional).</w:t>
      </w:r>
    </w:p>
    <w:p w14:paraId="0EC7F14A" w14:textId="257D482C" w:rsidR="00ED748D" w:rsidRDefault="00ED748D" w:rsidP="00ED748D">
      <w:pPr>
        <w:pStyle w:val="BodyText"/>
        <w:rPr>
          <w:lang w:bidi="fa-IR"/>
        </w:rPr>
      </w:pPr>
      <w:r>
        <w:rPr>
          <w:lang w:bidi="fa-IR"/>
        </w:rPr>
        <w:t xml:space="preserve">Estimating the additional resource costs of inappropriate or premature entry into </w:t>
      </w:r>
      <w:r w:rsidR="00462BF2">
        <w:rPr>
          <w:lang w:bidi="fa-IR"/>
        </w:rPr>
        <w:t xml:space="preserve">residential </w:t>
      </w:r>
      <w:r>
        <w:rPr>
          <w:lang w:bidi="fa-IR"/>
        </w:rPr>
        <w:t xml:space="preserve">aged care is therefore not straightforward. </w:t>
      </w:r>
      <w:r w:rsidR="00F028EE">
        <w:rPr>
          <w:lang w:bidi="fa-IR"/>
        </w:rPr>
        <w:t xml:space="preserve">It is </w:t>
      </w:r>
      <w:r>
        <w:rPr>
          <w:lang w:bidi="fa-IR"/>
        </w:rPr>
        <w:t>estimate</w:t>
      </w:r>
      <w:r w:rsidR="00F028EE">
        <w:rPr>
          <w:lang w:bidi="fa-IR"/>
        </w:rPr>
        <w:t>d that</w:t>
      </w:r>
      <w:r>
        <w:rPr>
          <w:lang w:bidi="fa-IR"/>
        </w:rPr>
        <w:t xml:space="preserve"> these costs could be around $</w:t>
      </w:r>
      <w:r w:rsidR="00C453C2">
        <w:rPr>
          <w:lang w:bidi="fa-IR"/>
        </w:rPr>
        <w:t>33 645 </w:t>
      </w:r>
      <w:r>
        <w:rPr>
          <w:lang w:bidi="fa-IR"/>
        </w:rPr>
        <w:t>per person per year (table </w:t>
      </w:r>
      <w:r w:rsidR="00362332">
        <w:rPr>
          <w:lang w:bidi="fa-IR"/>
        </w:rPr>
        <w:t>H.9</w:t>
      </w:r>
      <w:r>
        <w:rPr>
          <w:lang w:bidi="fa-IR"/>
        </w:rPr>
        <w:t>).</w:t>
      </w:r>
    </w:p>
    <w:p w14:paraId="27806E83" w14:textId="269C6400" w:rsidR="00ED748D" w:rsidRDefault="00390CDB" w:rsidP="00ED748D">
      <w:pPr>
        <w:pStyle w:val="Caption"/>
      </w:pPr>
      <w:bookmarkStart w:id="836" w:name="_Toc32321893"/>
      <w:bookmarkStart w:id="837" w:name="_Toc45654237"/>
      <w:bookmarkStart w:id="838" w:name="_Toc44598606"/>
      <w:bookmarkStart w:id="839" w:name="_Toc44695978"/>
      <w:bookmarkStart w:id="840" w:name="_Toc57643706"/>
      <w:bookmarkStart w:id="841" w:name="_Toc70505660"/>
      <w:r>
        <w:t>H.9</w:t>
      </w:r>
      <w:r>
        <w:tab/>
      </w:r>
      <w:r w:rsidR="00ED748D">
        <w:t>Estimated additional financial cost of residential aged care</w:t>
      </w:r>
      <w:bookmarkEnd w:id="836"/>
      <w:r w:rsidR="00ED748D">
        <w:t xml:space="preserve"> per person</w:t>
      </w:r>
      <w:bookmarkEnd w:id="837"/>
      <w:bookmarkEnd w:id="838"/>
      <w:bookmarkEnd w:id="839"/>
      <w:bookmarkEnd w:id="840"/>
      <w:bookmarkEnd w:id="841"/>
    </w:p>
    <w:tbl>
      <w:tblPr>
        <w:tblW w:w="0" w:type="auto"/>
        <w:tblLayout w:type="fixed"/>
        <w:tblLook w:val="0000" w:firstRow="0" w:lastRow="0" w:firstColumn="0" w:lastColumn="0" w:noHBand="0" w:noVBand="0"/>
        <w:tblCaption w:val="Table H.9: Estimated additional financial cost of residential aged care per person"/>
        <w:tblDescription w:val="Table H.9 presents the estimated additional financial cost of residential aged care per person. The estimate comes from deducting the costs that would be incurred if the person lived in a private residence from the annual cost of residential aged care. The estimated additional cost of residential aged care is $33,645 per person."/>
      </w:tblPr>
      <w:tblGrid>
        <w:gridCol w:w="5677"/>
        <w:gridCol w:w="2260"/>
      </w:tblGrid>
      <w:tr w:rsidR="00ED748D" w14:paraId="2BDF9F0E" w14:textId="77777777" w:rsidTr="002B23FD">
        <w:trPr>
          <w:trHeight w:val="461"/>
          <w:tblHeader/>
        </w:trPr>
        <w:tc>
          <w:tcPr>
            <w:tcW w:w="5677" w:type="dxa"/>
            <w:shd w:val="clear" w:color="auto" w:fill="6F6652"/>
            <w:tcMar>
              <w:left w:w="57" w:type="dxa"/>
              <w:right w:w="57" w:type="dxa"/>
            </w:tcMar>
          </w:tcPr>
          <w:p w14:paraId="051C6E23" w14:textId="77777777" w:rsidR="00ED748D" w:rsidRDefault="00ED748D" w:rsidP="002B23FD">
            <w:pPr>
              <w:pStyle w:val="TableDataColumnHeading"/>
              <w:jc w:val="left"/>
              <w:rPr>
                <w:lang w:val="en-GB"/>
              </w:rPr>
            </w:pPr>
          </w:p>
        </w:tc>
        <w:tc>
          <w:tcPr>
            <w:tcW w:w="2260" w:type="dxa"/>
            <w:shd w:val="clear" w:color="auto" w:fill="6F6652"/>
            <w:tcMar>
              <w:left w:w="57" w:type="dxa"/>
              <w:right w:w="57" w:type="dxa"/>
            </w:tcMar>
          </w:tcPr>
          <w:p w14:paraId="2EB9E053" w14:textId="77777777" w:rsidR="00ED748D" w:rsidRDefault="00ED748D" w:rsidP="002B23FD">
            <w:pPr>
              <w:pStyle w:val="TableDataColumnHeading"/>
              <w:rPr>
                <w:lang w:val="en-GB"/>
              </w:rPr>
            </w:pPr>
            <w:r>
              <w:rPr>
                <w:lang w:val="en-GB"/>
              </w:rPr>
              <w:t>Estimated additional costs</w:t>
            </w:r>
          </w:p>
        </w:tc>
      </w:tr>
      <w:tr w:rsidR="00ED748D" w14:paraId="112E3FF6" w14:textId="77777777" w:rsidTr="002B23FD">
        <w:trPr>
          <w:trHeight w:val="230"/>
          <w:tblHeader/>
        </w:trPr>
        <w:tc>
          <w:tcPr>
            <w:tcW w:w="5677" w:type="dxa"/>
            <w:tcBorders>
              <w:bottom w:val="single" w:sz="8" w:space="0" w:color="FFFFFF" w:themeColor="background1"/>
            </w:tcBorders>
            <w:shd w:val="clear" w:color="auto" w:fill="auto"/>
            <w:tcMar>
              <w:left w:w="57" w:type="dxa"/>
              <w:right w:w="57" w:type="dxa"/>
            </w:tcMar>
          </w:tcPr>
          <w:p w14:paraId="3CE599D4" w14:textId="77777777" w:rsidR="00ED748D" w:rsidRDefault="00ED748D" w:rsidP="002B23FD">
            <w:pPr>
              <w:pStyle w:val="TableUnit"/>
              <w:jc w:val="left"/>
              <w:rPr>
                <w:lang w:val="en-GB"/>
              </w:rPr>
            </w:pPr>
          </w:p>
        </w:tc>
        <w:tc>
          <w:tcPr>
            <w:tcW w:w="2260" w:type="dxa"/>
            <w:tcBorders>
              <w:bottom w:val="single" w:sz="8" w:space="0" w:color="FFFFFF" w:themeColor="background1"/>
            </w:tcBorders>
            <w:shd w:val="clear" w:color="auto" w:fill="auto"/>
            <w:tcMar>
              <w:left w:w="57" w:type="dxa"/>
              <w:right w:w="57" w:type="dxa"/>
            </w:tcMar>
          </w:tcPr>
          <w:p w14:paraId="4F4B2744" w14:textId="77777777" w:rsidR="00ED748D" w:rsidRDefault="00ED748D" w:rsidP="002B23FD">
            <w:pPr>
              <w:pStyle w:val="TableUnit"/>
              <w:rPr>
                <w:lang w:val="en-GB"/>
              </w:rPr>
            </w:pPr>
            <w:r>
              <w:rPr>
                <w:lang w:val="en-GB"/>
              </w:rPr>
              <w:t>$ per person</w:t>
            </w:r>
          </w:p>
        </w:tc>
      </w:tr>
      <w:tr w:rsidR="00ED748D" w14:paraId="35E96B80" w14:textId="77777777" w:rsidTr="002B23FD">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587531" w14:textId="77777777" w:rsidR="00ED748D" w:rsidRDefault="00ED748D" w:rsidP="002B23FD">
            <w:pPr>
              <w:pStyle w:val="TableDataEntries"/>
              <w:jc w:val="left"/>
              <w:rPr>
                <w:lang w:val="en-GB"/>
              </w:rPr>
            </w:pPr>
            <w:r>
              <w:rPr>
                <w:lang w:val="en-GB"/>
              </w:rPr>
              <w:t>Total annual cost of residential aged care per person</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94B4CF" w14:textId="77777777" w:rsidR="00ED748D" w:rsidRDefault="00ED748D" w:rsidP="002B23FD">
            <w:pPr>
              <w:pStyle w:val="TableDataEntries"/>
              <w:rPr>
                <w:lang w:val="en-GB"/>
              </w:rPr>
            </w:pPr>
            <w:r>
              <w:rPr>
                <w:lang w:val="en-GB"/>
              </w:rPr>
              <w:t>96 951</w:t>
            </w:r>
            <w:r w:rsidRPr="00257A63">
              <w:rPr>
                <w:rStyle w:val="NoteLabel"/>
              </w:rPr>
              <w:t>a</w:t>
            </w:r>
          </w:p>
        </w:tc>
      </w:tr>
      <w:tr w:rsidR="00ED748D" w14:paraId="3C98F22E" w14:textId="77777777" w:rsidTr="002B23FD">
        <w:trPr>
          <w:trHeight w:val="322"/>
        </w:trPr>
        <w:tc>
          <w:tcPr>
            <w:tcW w:w="56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CDE28B" w14:textId="77777777" w:rsidR="00ED748D" w:rsidRDefault="00ED748D" w:rsidP="002B23FD">
            <w:pPr>
              <w:pStyle w:val="TableDataEntries"/>
              <w:jc w:val="left"/>
              <w:rPr>
                <w:lang w:val="en-GB"/>
              </w:rPr>
            </w:pPr>
            <w:r>
              <w:rPr>
                <w:lang w:val="en-GB"/>
              </w:rPr>
              <w:t>Less: accommodation and daily living-related expenses</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78CE8E" w14:textId="77777777" w:rsidR="00ED748D" w:rsidRDefault="00ED748D" w:rsidP="002B23FD">
            <w:pPr>
              <w:pStyle w:val="TableDataEntries"/>
              <w:rPr>
                <w:lang w:val="en-GB"/>
              </w:rPr>
            </w:pPr>
            <w:r>
              <w:rPr>
                <w:lang w:val="en-GB"/>
              </w:rPr>
              <w:t>3</w:t>
            </w:r>
            <w:r w:rsidR="001E48A8">
              <w:rPr>
                <w:lang w:val="en-GB"/>
              </w:rPr>
              <w:t>3</w:t>
            </w:r>
            <w:r>
              <w:rPr>
                <w:lang w:val="en-GB"/>
              </w:rPr>
              <w:t xml:space="preserve"> 1</w:t>
            </w:r>
            <w:r w:rsidR="001E48A8">
              <w:rPr>
                <w:lang w:val="en-GB"/>
              </w:rPr>
              <w:t>5</w:t>
            </w:r>
            <w:r>
              <w:rPr>
                <w:lang w:val="en-GB"/>
              </w:rPr>
              <w:t xml:space="preserve">2 </w:t>
            </w:r>
            <w:r>
              <w:rPr>
                <w:rStyle w:val="NoteLabel"/>
              </w:rPr>
              <w:t>b</w:t>
            </w:r>
          </w:p>
        </w:tc>
      </w:tr>
      <w:tr w:rsidR="00ED748D" w14:paraId="2A704A89" w14:textId="77777777" w:rsidTr="002B23FD">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8FAB52" w14:textId="77777777" w:rsidR="00ED748D" w:rsidRDefault="00ED748D" w:rsidP="002B23FD">
            <w:pPr>
              <w:pStyle w:val="TableDataEntries"/>
              <w:jc w:val="left"/>
              <w:rPr>
                <w:lang w:val="en-GB"/>
              </w:rPr>
            </w:pPr>
            <w:r>
              <w:rPr>
                <w:lang w:val="en-GB"/>
              </w:rPr>
              <w:t>Less: Home care package</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AC561B" w14:textId="77777777" w:rsidR="00ED748D" w:rsidRDefault="00ED748D" w:rsidP="002B23FD">
            <w:pPr>
              <w:pStyle w:val="TableDataEntries"/>
              <w:rPr>
                <w:lang w:val="en-GB"/>
              </w:rPr>
            </w:pPr>
            <w:r>
              <w:rPr>
                <w:lang w:val="en-GB"/>
              </w:rPr>
              <w:t xml:space="preserve">23 141 </w:t>
            </w:r>
            <w:r>
              <w:rPr>
                <w:rStyle w:val="NoteLabel"/>
              </w:rPr>
              <w:t>c</w:t>
            </w:r>
          </w:p>
        </w:tc>
      </w:tr>
      <w:tr w:rsidR="00ED748D" w14:paraId="7C4D0ADB" w14:textId="77777777" w:rsidTr="002B23FD">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E84602" w14:textId="77777777" w:rsidR="00ED748D" w:rsidRDefault="00ED748D" w:rsidP="002B23FD">
            <w:pPr>
              <w:pStyle w:val="TableDataEntries"/>
              <w:jc w:val="left"/>
              <w:rPr>
                <w:lang w:val="en-GB"/>
              </w:rPr>
            </w:pPr>
            <w:r>
              <w:rPr>
                <w:lang w:val="en-GB"/>
              </w:rPr>
              <w:t>Less: Informal care</w:t>
            </w:r>
          </w:p>
        </w:tc>
        <w:tc>
          <w:tcPr>
            <w:tcW w:w="22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D28534" w14:textId="77777777" w:rsidR="00ED748D" w:rsidRDefault="00ED748D" w:rsidP="002B23FD">
            <w:pPr>
              <w:pStyle w:val="TableDataEntries"/>
              <w:rPr>
                <w:lang w:val="en-GB"/>
              </w:rPr>
            </w:pPr>
            <w:r>
              <w:rPr>
                <w:lang w:val="en-GB"/>
              </w:rPr>
              <w:t>7 013</w:t>
            </w:r>
          </w:p>
        </w:tc>
      </w:tr>
      <w:tr w:rsidR="00ED748D" w:rsidRPr="00E03E4B" w14:paraId="52D9796F" w14:textId="77777777" w:rsidTr="002B23FD">
        <w:trPr>
          <w:trHeight w:val="230"/>
        </w:trPr>
        <w:tc>
          <w:tcPr>
            <w:tcW w:w="56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2A67423" w14:textId="77777777" w:rsidR="00ED748D" w:rsidRPr="00E03E4B" w:rsidRDefault="00ED748D" w:rsidP="002B23FD">
            <w:pPr>
              <w:pStyle w:val="TableDataEntries"/>
              <w:jc w:val="left"/>
              <w:rPr>
                <w:rFonts w:ascii="Franklin Gothic Demi" w:hAnsi="Franklin Gothic Demi"/>
                <w:lang w:val="en-GB"/>
              </w:rPr>
            </w:pPr>
            <w:r w:rsidRPr="00E03E4B">
              <w:rPr>
                <w:rFonts w:ascii="Franklin Gothic Demi" w:hAnsi="Franklin Gothic Demi"/>
                <w:lang w:val="en-GB"/>
              </w:rPr>
              <w:t>Additional cost of residential aged care</w:t>
            </w:r>
          </w:p>
        </w:tc>
        <w:tc>
          <w:tcPr>
            <w:tcW w:w="226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6C230DE" w14:textId="77777777" w:rsidR="00ED748D" w:rsidRPr="00E03E4B" w:rsidRDefault="00ED748D" w:rsidP="002B23FD">
            <w:pPr>
              <w:pStyle w:val="TableDataEntries"/>
              <w:rPr>
                <w:rFonts w:ascii="Franklin Gothic Demi" w:hAnsi="Franklin Gothic Demi"/>
                <w:lang w:val="en-GB"/>
              </w:rPr>
            </w:pPr>
            <w:r>
              <w:rPr>
                <w:rFonts w:ascii="Franklin Gothic Demi" w:hAnsi="Franklin Gothic Demi"/>
                <w:lang w:val="en-GB"/>
              </w:rPr>
              <w:t>3</w:t>
            </w:r>
            <w:r w:rsidR="001E48A8">
              <w:rPr>
                <w:rFonts w:ascii="Franklin Gothic Demi" w:hAnsi="Franklin Gothic Demi"/>
                <w:lang w:val="en-GB"/>
              </w:rPr>
              <w:t>3</w:t>
            </w:r>
            <w:r>
              <w:rPr>
                <w:rFonts w:ascii="Franklin Gothic Demi" w:hAnsi="Franklin Gothic Demi"/>
                <w:lang w:val="en-GB"/>
              </w:rPr>
              <w:t xml:space="preserve"> 6</w:t>
            </w:r>
            <w:r w:rsidR="001E48A8">
              <w:rPr>
                <w:rFonts w:ascii="Franklin Gothic Demi" w:hAnsi="Franklin Gothic Demi"/>
                <w:lang w:val="en-GB"/>
              </w:rPr>
              <w:t>45</w:t>
            </w:r>
          </w:p>
        </w:tc>
      </w:tr>
    </w:tbl>
    <w:p w14:paraId="7C14676B" w14:textId="77777777" w:rsidR="00ED748D" w:rsidRPr="00E4232C" w:rsidRDefault="00ED748D" w:rsidP="00ED748D">
      <w:pPr>
        <w:pStyle w:val="Note"/>
      </w:pPr>
      <w:r w:rsidRPr="00E4232C">
        <w:rPr>
          <w:rStyle w:val="NoteLabel"/>
        </w:rPr>
        <w:t>a</w:t>
      </w:r>
      <w:r>
        <w:t xml:space="preserve"> See ACFA (2019, p. 77). </w:t>
      </w:r>
      <w:r w:rsidRPr="00376F3D">
        <w:rPr>
          <w:rStyle w:val="NoteLabel"/>
        </w:rPr>
        <w:t>b</w:t>
      </w:r>
      <w:r>
        <w:t xml:space="preserve"> See ACFA (2019, p. 78). </w:t>
      </w:r>
      <w:r w:rsidRPr="00376F3D">
        <w:rPr>
          <w:rStyle w:val="NoteLabel"/>
        </w:rPr>
        <w:t>c</w:t>
      </w:r>
      <w:r>
        <w:t xml:space="preserve"> Data published by AIHW.</w:t>
      </w:r>
    </w:p>
    <w:p w14:paraId="35D07ABE" w14:textId="77777777" w:rsidR="00ED748D" w:rsidRPr="00027945" w:rsidRDefault="00ED748D" w:rsidP="00ED748D">
      <w:pPr>
        <w:pStyle w:val="Source"/>
        <w:rPr>
          <w:iCs/>
          <w:lang w:bidi="fa-IR"/>
        </w:rPr>
      </w:pPr>
      <w:r w:rsidRPr="00027945">
        <w:rPr>
          <w:iCs/>
          <w:lang w:bidi="fa-IR"/>
        </w:rPr>
        <w:t xml:space="preserve">Source: </w:t>
      </w:r>
      <w:r w:rsidRPr="00027945">
        <w:rPr>
          <w:iCs/>
          <w:lang w:val="en-US"/>
        </w:rPr>
        <w:t>Aged Care Financing Authority, Seventh report on the Funding and Financing of the Aged Care Industry, July 2019, pp. 77</w:t>
      </w:r>
      <w:r w:rsidRPr="00027945">
        <w:rPr>
          <w:iCs/>
          <w:lang w:val="en-US"/>
        </w:rPr>
        <w:noBreakHyphen/>
        <w:t>78; AIHW, CIE.</w:t>
      </w:r>
    </w:p>
    <w:p w14:paraId="1A01A311" w14:textId="77777777" w:rsidR="001E48A8" w:rsidRDefault="001E48A8" w:rsidP="001E48A8">
      <w:pPr>
        <w:pStyle w:val="BodyText"/>
        <w:rPr>
          <w:lang w:bidi="fa-IR"/>
        </w:rPr>
      </w:pPr>
      <w:r>
        <w:rPr>
          <w:lang w:bidi="fa-IR"/>
        </w:rPr>
        <w:t>The Aged Care Funding Authority reports that in 2017</w:t>
      </w:r>
      <w:r>
        <w:rPr>
          <w:lang w:bidi="fa-IR"/>
        </w:rPr>
        <w:noBreakHyphen/>
        <w:t>18, total expenses per resident per day in residential aged care is $265.62.</w:t>
      </w:r>
      <w:r>
        <w:rPr>
          <w:rStyle w:val="FootnoteReference"/>
          <w:lang w:bidi="fa-IR"/>
        </w:rPr>
        <w:footnoteReference w:id="514"/>
      </w:r>
      <w:r>
        <w:rPr>
          <w:lang w:bidi="fa-IR"/>
        </w:rPr>
        <w:t xml:space="preserve"> This equates to $96 951 per year (based on 365 days).</w:t>
      </w:r>
    </w:p>
    <w:p w14:paraId="4BD9870F" w14:textId="77777777" w:rsidR="001E48A8" w:rsidRDefault="001E48A8" w:rsidP="001E48A8">
      <w:pPr>
        <w:pStyle w:val="BodyText"/>
        <w:rPr>
          <w:lang w:bidi="fa-IR"/>
        </w:rPr>
      </w:pPr>
      <w:r>
        <w:rPr>
          <w:lang w:bidi="fa-IR"/>
        </w:rPr>
        <w:t>Based on estimates from the University of Queensland for the Royal Commission, this is below the efficient cost of meeting the highest level of quality currently available (achieved by the top 11 per cent of facilities) for a small</w:t>
      </w:r>
      <w:r>
        <w:rPr>
          <w:lang w:bidi="fa-IR"/>
        </w:rPr>
        <w:noBreakHyphen/>
        <w:t>sized facility (less than 30 beds), but broadly consistent with meeting the current standard. It is, however, well above the efficient cost of providing the highest level of quality currently available in a large facility (table </w:t>
      </w:r>
      <w:r w:rsidR="003B2947">
        <w:rPr>
          <w:lang w:bidi="fa-IR"/>
        </w:rPr>
        <w:t>H.10</w:t>
      </w:r>
      <w:r>
        <w:rPr>
          <w:lang w:bidi="fa-IR"/>
        </w:rPr>
        <w:t>).</w:t>
      </w:r>
      <w:r>
        <w:rPr>
          <w:rStyle w:val="FootnoteReference"/>
          <w:lang w:bidi="fa-IR"/>
        </w:rPr>
        <w:footnoteReference w:id="515"/>
      </w:r>
    </w:p>
    <w:p w14:paraId="731F3A04" w14:textId="6AA2EE36" w:rsidR="001E48A8" w:rsidRDefault="00390CDB" w:rsidP="001E48A8">
      <w:pPr>
        <w:pStyle w:val="Caption"/>
      </w:pPr>
      <w:bookmarkStart w:id="842" w:name="_Toc57643707"/>
      <w:bookmarkStart w:id="843" w:name="_Toc70505661"/>
      <w:r>
        <w:t>H.10</w:t>
      </w:r>
      <w:r w:rsidR="001E48A8" w:rsidRPr="00695C93">
        <w:tab/>
      </w:r>
      <w:r w:rsidR="001E48A8">
        <w:t>Efficient costs of residential aged care by level of quality</w:t>
      </w:r>
      <w:bookmarkEnd w:id="842"/>
      <w:bookmarkEnd w:id="843"/>
    </w:p>
    <w:tbl>
      <w:tblPr>
        <w:tblW w:w="0" w:type="auto"/>
        <w:tblLayout w:type="fixed"/>
        <w:tblLook w:val="0000" w:firstRow="0" w:lastRow="0" w:firstColumn="0" w:lastColumn="0" w:noHBand="0" w:noVBand="0"/>
        <w:tblCaption w:val="Table H.10: Efficient costs of residential aged care by level of quality"/>
        <w:tblDescription w:val="Table H.10 lists the efficient costs of residential aged care by level of quality, estimated by the University of Queensland for the Royal Commission in Aged Care Quality and Safety. The cost to meet Quality level 1 (meets all accreditation standards) in a small facility is $274 per bed day, and $235 in a large facility. For Quality level 2 (low failure of meeting accreditation standards), the figures are $267 and $224. For Quality level 3 (higher failure of meeting accreditation standards), the figures are $261 and $234."/>
      </w:tblPr>
      <w:tblGrid>
        <w:gridCol w:w="4820"/>
        <w:gridCol w:w="1558"/>
        <w:gridCol w:w="1559"/>
      </w:tblGrid>
      <w:tr w:rsidR="001E48A8" w14:paraId="44CEAE1F" w14:textId="77777777" w:rsidTr="00E14F35">
        <w:trPr>
          <w:tblHeader/>
        </w:trPr>
        <w:tc>
          <w:tcPr>
            <w:tcW w:w="4820" w:type="dxa"/>
            <w:tcBorders>
              <w:bottom w:val="single" w:sz="8" w:space="0" w:color="FFFFFF" w:themeColor="background1"/>
            </w:tcBorders>
            <w:shd w:val="clear" w:color="auto" w:fill="6F6652"/>
            <w:tcMar>
              <w:left w:w="57" w:type="dxa"/>
              <w:right w:w="57" w:type="dxa"/>
            </w:tcMar>
          </w:tcPr>
          <w:p w14:paraId="1001970E" w14:textId="77777777" w:rsidR="001E48A8" w:rsidRDefault="001E48A8" w:rsidP="00E14F35">
            <w:pPr>
              <w:pStyle w:val="TableDataColumnHeading"/>
              <w:jc w:val="left"/>
              <w:rPr>
                <w:lang w:bidi="fa-IR"/>
              </w:rPr>
            </w:pPr>
            <w:r>
              <w:rPr>
                <w:lang w:bidi="fa-IR"/>
              </w:rPr>
              <w:t>Quality level</w:t>
            </w:r>
          </w:p>
        </w:tc>
        <w:tc>
          <w:tcPr>
            <w:tcW w:w="1558" w:type="dxa"/>
            <w:tcBorders>
              <w:bottom w:val="single" w:sz="8" w:space="0" w:color="FFFFFF" w:themeColor="background1"/>
            </w:tcBorders>
            <w:shd w:val="clear" w:color="auto" w:fill="6F6652"/>
            <w:tcMar>
              <w:left w:w="57" w:type="dxa"/>
              <w:right w:w="57" w:type="dxa"/>
            </w:tcMar>
          </w:tcPr>
          <w:p w14:paraId="280CA145" w14:textId="77777777" w:rsidR="001E48A8" w:rsidRDefault="001E48A8" w:rsidP="00E14F35">
            <w:pPr>
              <w:pStyle w:val="TableDataColumnHeading"/>
              <w:rPr>
                <w:lang w:bidi="fa-IR"/>
              </w:rPr>
            </w:pPr>
            <w:r>
              <w:rPr>
                <w:lang w:bidi="fa-IR"/>
              </w:rPr>
              <w:t>Small-sized facility ($ per bed day)</w:t>
            </w:r>
          </w:p>
        </w:tc>
        <w:tc>
          <w:tcPr>
            <w:tcW w:w="1559" w:type="dxa"/>
            <w:tcBorders>
              <w:bottom w:val="single" w:sz="8" w:space="0" w:color="FFFFFF" w:themeColor="background1"/>
            </w:tcBorders>
            <w:shd w:val="clear" w:color="auto" w:fill="6F6652"/>
            <w:tcMar>
              <w:left w:w="57" w:type="dxa"/>
              <w:right w:w="57" w:type="dxa"/>
            </w:tcMar>
          </w:tcPr>
          <w:p w14:paraId="07939BDA" w14:textId="77777777" w:rsidR="001E48A8" w:rsidRDefault="001E48A8" w:rsidP="00E14F35">
            <w:pPr>
              <w:pStyle w:val="TableDataColumnHeading"/>
              <w:rPr>
                <w:lang w:bidi="fa-IR"/>
              </w:rPr>
            </w:pPr>
            <w:r>
              <w:rPr>
                <w:lang w:bidi="fa-IR"/>
              </w:rPr>
              <w:t>Larger facility ($ per bed day)</w:t>
            </w:r>
          </w:p>
        </w:tc>
      </w:tr>
      <w:tr w:rsidR="001E48A8" w14:paraId="4835587C" w14:textId="77777777" w:rsidTr="00E14F35">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FAB061" w14:textId="77777777" w:rsidR="001E48A8" w:rsidRDefault="001E48A8" w:rsidP="00E14F35">
            <w:pPr>
              <w:pStyle w:val="TableDataEntries"/>
              <w:jc w:val="left"/>
              <w:rPr>
                <w:lang w:bidi="fa-IR"/>
              </w:rPr>
            </w:pPr>
            <w:r>
              <w:rPr>
                <w:lang w:bidi="fa-IR"/>
              </w:rPr>
              <w:t>Q1: Met all accreditation standards, had no issues or complaints, higher customer experience rating, and a lower utilisation of high-risk medicines (around 11 per cent of facilities)</w:t>
            </w:r>
          </w:p>
        </w:tc>
        <w:tc>
          <w:tcPr>
            <w:tcW w:w="15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4D6043" w14:textId="77777777" w:rsidR="001E48A8" w:rsidRDefault="001E48A8" w:rsidP="00E14F35">
            <w:pPr>
              <w:pStyle w:val="TableDataEntries"/>
              <w:rPr>
                <w:lang w:bidi="fa-IR"/>
              </w:rPr>
            </w:pPr>
            <w:r>
              <w:rPr>
                <w:lang w:bidi="fa-IR"/>
              </w:rPr>
              <w:t>274</w:t>
            </w:r>
          </w:p>
        </w:tc>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2E12C" w14:textId="77777777" w:rsidR="001E48A8" w:rsidRDefault="001E48A8" w:rsidP="00E14F35">
            <w:pPr>
              <w:pStyle w:val="TableDataEntries"/>
              <w:rPr>
                <w:lang w:bidi="fa-IR"/>
              </w:rPr>
            </w:pPr>
            <w:r>
              <w:rPr>
                <w:lang w:bidi="fa-IR"/>
              </w:rPr>
              <w:t>235</w:t>
            </w:r>
          </w:p>
        </w:tc>
      </w:tr>
      <w:tr w:rsidR="001E48A8" w14:paraId="6E167F52" w14:textId="77777777" w:rsidTr="00E14F35">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905E7F" w14:textId="77777777" w:rsidR="001E48A8" w:rsidRDefault="001E48A8" w:rsidP="00E14F35">
            <w:pPr>
              <w:pStyle w:val="TableDataEntries"/>
              <w:jc w:val="left"/>
              <w:rPr>
                <w:lang w:bidi="fa-IR"/>
              </w:rPr>
            </w:pPr>
            <w:r>
              <w:rPr>
                <w:lang w:bidi="fa-IR"/>
              </w:rPr>
              <w:t>Q2: Low failure of meeting accreditation standards, a moderate level of customer experience ratings, potentially suboptimal use of high-risk medicines and a low number of complaints and issues (78 per cent of facilities)</w:t>
            </w:r>
          </w:p>
        </w:tc>
        <w:tc>
          <w:tcPr>
            <w:tcW w:w="15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5F29F" w14:textId="77777777" w:rsidR="001E48A8" w:rsidRDefault="001E48A8" w:rsidP="00E14F35">
            <w:pPr>
              <w:pStyle w:val="TableDataEntries"/>
              <w:rPr>
                <w:lang w:bidi="fa-IR"/>
              </w:rPr>
            </w:pPr>
            <w:r>
              <w:rPr>
                <w:lang w:bidi="fa-IR"/>
              </w:rPr>
              <w:t>267</w:t>
            </w:r>
          </w:p>
        </w:tc>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B99859" w14:textId="77777777" w:rsidR="001E48A8" w:rsidRDefault="001E48A8" w:rsidP="00E14F35">
            <w:pPr>
              <w:pStyle w:val="TableDataEntries"/>
              <w:rPr>
                <w:lang w:bidi="fa-IR"/>
              </w:rPr>
            </w:pPr>
            <w:r>
              <w:rPr>
                <w:lang w:bidi="fa-IR"/>
              </w:rPr>
              <w:t>224</w:t>
            </w:r>
          </w:p>
        </w:tc>
      </w:tr>
      <w:tr w:rsidR="001E48A8" w14:paraId="2E764D67" w14:textId="77777777" w:rsidTr="00E14F35">
        <w:tc>
          <w:tcPr>
            <w:tcW w:w="4820" w:type="dxa"/>
            <w:tcBorders>
              <w:top w:val="single" w:sz="8" w:space="0" w:color="FFFFFF" w:themeColor="background1"/>
              <w:bottom w:val="single" w:sz="6" w:space="0" w:color="6F6652"/>
            </w:tcBorders>
            <w:shd w:val="clear" w:color="auto" w:fill="E9E8E5" w:themeFill="background2"/>
            <w:tcMar>
              <w:left w:w="57" w:type="dxa"/>
              <w:right w:w="57" w:type="dxa"/>
            </w:tcMar>
          </w:tcPr>
          <w:p w14:paraId="701F69B1" w14:textId="77777777" w:rsidR="001E48A8" w:rsidRDefault="001E48A8" w:rsidP="00E14F35">
            <w:pPr>
              <w:pStyle w:val="TableDataEntries"/>
              <w:jc w:val="left"/>
              <w:rPr>
                <w:lang w:bidi="fa-IR"/>
              </w:rPr>
            </w:pPr>
            <w:r>
              <w:rPr>
                <w:lang w:bidi="fa-IR"/>
              </w:rPr>
              <w:t xml:space="preserve">Q3: Lower customer experience </w:t>
            </w:r>
            <w:r w:rsidR="00DE55E1">
              <w:rPr>
                <w:lang w:bidi="fa-IR"/>
              </w:rPr>
              <w:t>rating</w:t>
            </w:r>
            <w:r>
              <w:rPr>
                <w:lang w:bidi="fa-IR"/>
              </w:rPr>
              <w:t>, a higher failure of meeting accreditation standards, and higher number of complaints and issues (11 per cent of facilities)</w:t>
            </w:r>
          </w:p>
        </w:tc>
        <w:tc>
          <w:tcPr>
            <w:tcW w:w="1558" w:type="dxa"/>
            <w:tcBorders>
              <w:top w:val="single" w:sz="8" w:space="0" w:color="FFFFFF" w:themeColor="background1"/>
              <w:bottom w:val="single" w:sz="6" w:space="0" w:color="6F6652"/>
            </w:tcBorders>
            <w:shd w:val="clear" w:color="auto" w:fill="E9E8E5" w:themeFill="background2"/>
            <w:tcMar>
              <w:left w:w="57" w:type="dxa"/>
              <w:right w:w="57" w:type="dxa"/>
            </w:tcMar>
          </w:tcPr>
          <w:p w14:paraId="0026A3B7" w14:textId="77777777" w:rsidR="001E48A8" w:rsidRDefault="001E48A8" w:rsidP="00E14F35">
            <w:pPr>
              <w:pStyle w:val="TableDataEntries"/>
              <w:rPr>
                <w:lang w:bidi="fa-IR"/>
              </w:rPr>
            </w:pPr>
            <w:r>
              <w:rPr>
                <w:lang w:bidi="fa-IR"/>
              </w:rPr>
              <w:t>261</w:t>
            </w:r>
          </w:p>
        </w:tc>
        <w:tc>
          <w:tcPr>
            <w:tcW w:w="1559" w:type="dxa"/>
            <w:tcBorders>
              <w:top w:val="single" w:sz="8" w:space="0" w:color="FFFFFF" w:themeColor="background1"/>
              <w:bottom w:val="single" w:sz="6" w:space="0" w:color="6F6652"/>
            </w:tcBorders>
            <w:shd w:val="clear" w:color="auto" w:fill="E9E8E5" w:themeFill="background2"/>
            <w:tcMar>
              <w:left w:w="57" w:type="dxa"/>
              <w:right w:w="57" w:type="dxa"/>
            </w:tcMar>
          </w:tcPr>
          <w:p w14:paraId="6563530F" w14:textId="77777777" w:rsidR="001E48A8" w:rsidRDefault="001E48A8" w:rsidP="00E14F35">
            <w:pPr>
              <w:pStyle w:val="TableDataEntries"/>
              <w:rPr>
                <w:lang w:bidi="fa-IR"/>
              </w:rPr>
            </w:pPr>
            <w:r>
              <w:rPr>
                <w:lang w:bidi="fa-IR"/>
              </w:rPr>
              <w:t>234</w:t>
            </w:r>
          </w:p>
        </w:tc>
      </w:tr>
    </w:tbl>
    <w:p w14:paraId="0B844050" w14:textId="77777777" w:rsidR="001E48A8" w:rsidRPr="00027945" w:rsidRDefault="001E48A8" w:rsidP="001E48A8">
      <w:pPr>
        <w:pStyle w:val="Source"/>
        <w:rPr>
          <w:iCs/>
          <w:lang w:bidi="fa-IR"/>
        </w:rPr>
      </w:pPr>
      <w:r w:rsidRPr="00027945">
        <w:rPr>
          <w:iCs/>
          <w:lang w:bidi="fa-IR"/>
        </w:rPr>
        <w:t>Source: University of Queensland, The cost of residential aged care, Royal Commission into Aged Care Quality and Safety, Research Paper 9, August 2020, pp. 3</w:t>
      </w:r>
      <w:r w:rsidRPr="00027945">
        <w:rPr>
          <w:iCs/>
          <w:lang w:bidi="fa-IR"/>
        </w:rPr>
        <w:noBreakHyphen/>
        <w:t>5.</w:t>
      </w:r>
    </w:p>
    <w:p w14:paraId="6BA3F302" w14:textId="77777777" w:rsidR="001E48A8" w:rsidRDefault="001E48A8" w:rsidP="001E48A8">
      <w:pPr>
        <w:pStyle w:val="BodyText"/>
        <w:rPr>
          <w:lang w:bidi="fa-IR"/>
        </w:rPr>
      </w:pPr>
      <w:r>
        <w:rPr>
          <w:lang w:bidi="fa-IR"/>
        </w:rPr>
        <w:t>The distribution across small and large facilities is not known, but on average, it seems likely that current costs would be sufficient to provide the highest level of quality currently available (assuming the facility operates efficiently). Nevertheless, the report notes that if the Australian community and the Royal Commission aspire to achieve a higher quality in the future than even the highest quality facilities have achieved historically, funding levels may need to be much higher.</w:t>
      </w:r>
      <w:r>
        <w:rPr>
          <w:rStyle w:val="FootnoteReference"/>
          <w:lang w:bidi="fa-IR"/>
        </w:rPr>
        <w:footnoteReference w:id="516"/>
      </w:r>
    </w:p>
    <w:p w14:paraId="0BAE8B8A" w14:textId="77777777" w:rsidR="001E48A8" w:rsidRDefault="001E48A8" w:rsidP="001E48A8">
      <w:pPr>
        <w:pStyle w:val="BodyText"/>
        <w:rPr>
          <w:lang w:bidi="fa-IR"/>
        </w:rPr>
      </w:pPr>
      <w:r>
        <w:rPr>
          <w:lang w:bidi="fa-IR"/>
        </w:rPr>
        <w:t xml:space="preserve">The above estimate includes all costs associated with care, accommodation, food and other daily living expenses. As some costs would have been incurred had the aged care resident remained in their home, not all of these costs are additional. In the Consultation RIS, </w:t>
      </w:r>
      <w:r w:rsidR="000034AD">
        <w:rPr>
          <w:lang w:bidi="fa-IR"/>
        </w:rPr>
        <w:t>it was</w:t>
      </w:r>
      <w:r>
        <w:rPr>
          <w:lang w:bidi="fa-IR"/>
        </w:rPr>
        <w:t xml:space="preserve"> assumed that accommodation and daily living expenses in residential aged care (amounting to around $32 102 per year) would be broadly the same as at home.</w:t>
      </w:r>
    </w:p>
    <w:p w14:paraId="422BF1B1" w14:textId="77777777" w:rsidR="001E48A8" w:rsidRDefault="00695A92" w:rsidP="001E48A8">
      <w:pPr>
        <w:pStyle w:val="BodyText"/>
        <w:rPr>
          <w:lang w:bidi="fa-IR"/>
        </w:rPr>
      </w:pPr>
      <w:r>
        <w:rPr>
          <w:lang w:bidi="fa-IR"/>
        </w:rPr>
        <w:t>O</w:t>
      </w:r>
      <w:r w:rsidR="001E48A8">
        <w:rPr>
          <w:lang w:bidi="fa-IR"/>
        </w:rPr>
        <w:t xml:space="preserve">ne submission </w:t>
      </w:r>
      <w:r>
        <w:rPr>
          <w:lang w:bidi="fa-IR"/>
        </w:rPr>
        <w:t>suggest</w:t>
      </w:r>
      <w:r w:rsidR="001E48A8">
        <w:rPr>
          <w:lang w:bidi="fa-IR"/>
        </w:rPr>
        <w:t xml:space="preserve">ed that this may overstate the cost of staying at home because family members may continue to live in the family home (implying that the </w:t>
      </w:r>
      <w:r w:rsidR="00707009">
        <w:rPr>
          <w:lang w:bidi="fa-IR"/>
        </w:rPr>
        <w:t xml:space="preserve">residential </w:t>
      </w:r>
      <w:r w:rsidR="001E48A8">
        <w:rPr>
          <w:lang w:bidi="fa-IR"/>
        </w:rPr>
        <w:t>aged care costs are all additional); and it is unlikely that daily living costs are broadly the same in a</w:t>
      </w:r>
      <w:r w:rsidR="00C34B83">
        <w:rPr>
          <w:lang w:bidi="fa-IR"/>
        </w:rPr>
        <w:t xml:space="preserve"> residential</w:t>
      </w:r>
      <w:r w:rsidR="001E48A8">
        <w:rPr>
          <w:lang w:bidi="fa-IR"/>
        </w:rPr>
        <w:t xml:space="preserve"> aged care facility as they are at home.</w:t>
      </w:r>
    </w:p>
    <w:p w14:paraId="2AE3F4DC" w14:textId="77777777" w:rsidR="001E48A8" w:rsidRDefault="001E48A8" w:rsidP="001E48A8">
      <w:pPr>
        <w:pStyle w:val="BodyText"/>
        <w:rPr>
          <w:lang w:bidi="fa-IR"/>
        </w:rPr>
      </w:pPr>
      <w:r>
        <w:rPr>
          <w:lang w:bidi="fa-IR"/>
        </w:rPr>
        <w:t xml:space="preserve">There is no data on the living arrangements of aged care residents prior to entering aged care. It is therefore not known whether people entering aged care left other family members living in the family home. </w:t>
      </w:r>
      <w:r w:rsidR="00695A92">
        <w:rPr>
          <w:lang w:bidi="fa-IR"/>
        </w:rPr>
        <w:t>T</w:t>
      </w:r>
      <w:r>
        <w:rPr>
          <w:lang w:bidi="fa-IR"/>
        </w:rPr>
        <w:t>he marital status of aged care residents may be a reasonable (albeit imperfect) indicator of their living arrangements prior to entering aged care.</w:t>
      </w:r>
    </w:p>
    <w:p w14:paraId="0635626F" w14:textId="77777777" w:rsidR="001E48A8" w:rsidRDefault="001E48A8" w:rsidP="001E48A8">
      <w:pPr>
        <w:pStyle w:val="ListBullet"/>
        <w:rPr>
          <w:lang w:bidi="fa-IR"/>
        </w:rPr>
      </w:pPr>
      <w:r>
        <w:rPr>
          <w:lang w:bidi="fa-IR"/>
        </w:rPr>
        <w:t>Only around 20 per cent of aged care residents are married.</w:t>
      </w:r>
      <w:r>
        <w:rPr>
          <w:rStyle w:val="FootnoteReference"/>
          <w:lang w:bidi="fa-IR"/>
        </w:rPr>
        <w:footnoteReference w:id="517"/>
      </w:r>
      <w:r>
        <w:rPr>
          <w:lang w:bidi="fa-IR"/>
        </w:rPr>
        <w:t xml:space="preserve"> This could suggest that these aged care residents left their spouse living in the family home, implying that </w:t>
      </w:r>
      <w:r w:rsidR="00295412">
        <w:rPr>
          <w:lang w:bidi="fa-IR"/>
        </w:rPr>
        <w:t>residential</w:t>
      </w:r>
      <w:r w:rsidR="00B854A0">
        <w:rPr>
          <w:lang w:bidi="fa-IR"/>
        </w:rPr>
        <w:t xml:space="preserve"> </w:t>
      </w:r>
      <w:r>
        <w:rPr>
          <w:lang w:bidi="fa-IR"/>
        </w:rPr>
        <w:t>aged care costs are all additional.</w:t>
      </w:r>
    </w:p>
    <w:p w14:paraId="490DECE1" w14:textId="77777777" w:rsidR="001E48A8" w:rsidRDefault="001E48A8" w:rsidP="001E48A8">
      <w:pPr>
        <w:pStyle w:val="ListBullet"/>
        <w:rPr>
          <w:lang w:bidi="fa-IR"/>
        </w:rPr>
      </w:pPr>
      <w:r>
        <w:rPr>
          <w:lang w:bidi="fa-IR"/>
        </w:rPr>
        <w:t>The remaining 80 per cent of aged care residents were mostly widowed (53 per cent), single (10 per cent), divorced (7 per cent), had unknown marital status (7 per cent) or were separated (2 per cent).</w:t>
      </w:r>
      <w:r>
        <w:rPr>
          <w:rStyle w:val="FootnoteReference"/>
          <w:lang w:bidi="fa-IR"/>
        </w:rPr>
        <w:footnoteReference w:id="518"/>
      </w:r>
      <w:r>
        <w:t xml:space="preserve"> This could suggest that these aged care residents came from single person households, implying reduced accommodation costs at home will offset accommodation costs in aged care and other related expenses (at least partly).</w:t>
      </w:r>
    </w:p>
    <w:p w14:paraId="36454230" w14:textId="77777777" w:rsidR="001E48A8" w:rsidRDefault="001E48A8" w:rsidP="001E48A8">
      <w:pPr>
        <w:pStyle w:val="BodyText"/>
        <w:rPr>
          <w:lang w:bidi="fa-IR"/>
        </w:rPr>
      </w:pPr>
      <w:r>
        <w:rPr>
          <w:lang w:bidi="fa-IR"/>
        </w:rPr>
        <w:t xml:space="preserve">This information suggests that it is reasonable to assume that </w:t>
      </w:r>
      <w:r w:rsidR="00B854A0">
        <w:rPr>
          <w:lang w:bidi="fa-IR"/>
        </w:rPr>
        <w:t xml:space="preserve">residential </w:t>
      </w:r>
      <w:r>
        <w:rPr>
          <w:lang w:bidi="fa-IR"/>
        </w:rPr>
        <w:t>aged care costs will be offset by reduced home</w:t>
      </w:r>
      <w:r>
        <w:rPr>
          <w:lang w:bidi="fa-IR"/>
        </w:rPr>
        <w:noBreakHyphen/>
        <w:t>based accommodation and other expenses for most aged care residents.</w:t>
      </w:r>
    </w:p>
    <w:p w14:paraId="1A090C19" w14:textId="77777777" w:rsidR="001E48A8" w:rsidRDefault="001E48A8" w:rsidP="001E48A8">
      <w:pPr>
        <w:pStyle w:val="BodyText"/>
        <w:rPr>
          <w:lang w:bidi="fa-IR"/>
        </w:rPr>
      </w:pPr>
      <w:r>
        <w:rPr>
          <w:lang w:bidi="fa-IR"/>
        </w:rPr>
        <w:t xml:space="preserve">To test the assumption that accommodation and other daily expenses are broadly similar in residential aged care and the home, </w:t>
      </w:r>
      <w:r w:rsidR="00277DB4">
        <w:rPr>
          <w:lang w:bidi="fa-IR"/>
        </w:rPr>
        <w:t xml:space="preserve">CIE </w:t>
      </w:r>
      <w:r>
        <w:rPr>
          <w:lang w:bidi="fa-IR"/>
        </w:rPr>
        <w:t xml:space="preserve">reviewed the available evidence on expenses incurred by single person households over the age of 65. Based on the information available, </w:t>
      </w:r>
      <w:r w:rsidR="00277DB4">
        <w:rPr>
          <w:lang w:bidi="fa-IR"/>
        </w:rPr>
        <w:t xml:space="preserve">it is </w:t>
      </w:r>
      <w:r>
        <w:rPr>
          <w:lang w:bidi="fa-IR"/>
        </w:rPr>
        <w:t>estimate</w:t>
      </w:r>
      <w:r w:rsidR="00277DB4">
        <w:rPr>
          <w:lang w:bidi="fa-IR"/>
        </w:rPr>
        <w:t>d</w:t>
      </w:r>
      <w:r>
        <w:rPr>
          <w:lang w:bidi="fa-IR"/>
        </w:rPr>
        <w:t xml:space="preserve"> that annual living expenses would be around $33 000 per year, broadly consistent with the cost in residential aged care (table </w:t>
      </w:r>
      <w:r w:rsidR="003B2947">
        <w:rPr>
          <w:lang w:bidi="fa-IR"/>
        </w:rPr>
        <w:t>H.11</w:t>
      </w:r>
      <w:r>
        <w:rPr>
          <w:lang w:bidi="fa-IR"/>
        </w:rPr>
        <w:t>).</w:t>
      </w:r>
    </w:p>
    <w:p w14:paraId="6821DAB2" w14:textId="77777777" w:rsidR="001E48A8" w:rsidRDefault="001E48A8" w:rsidP="001E48A8">
      <w:pPr>
        <w:pStyle w:val="ListBullet"/>
        <w:rPr>
          <w:lang w:bidi="fa-IR"/>
        </w:rPr>
      </w:pPr>
      <w:r>
        <w:rPr>
          <w:lang w:bidi="fa-IR"/>
        </w:rPr>
        <w:t xml:space="preserve">Although many older Australians own their own home outright (i.e. are not paying off a mortgage or paying rent), median rents </w:t>
      </w:r>
      <w:r w:rsidR="00554233">
        <w:rPr>
          <w:lang w:bidi="fa-IR"/>
        </w:rPr>
        <w:t xml:space="preserve">are used </w:t>
      </w:r>
      <w:r>
        <w:rPr>
          <w:lang w:bidi="fa-IR"/>
        </w:rPr>
        <w:t>as a proxy for accommodation costs. The weighted average rent for a house across capital cities is around $443 per week or around $23 052 per year.</w:t>
      </w:r>
    </w:p>
    <w:p w14:paraId="75CFC0AB" w14:textId="77777777" w:rsidR="001E48A8" w:rsidRDefault="001E48A8" w:rsidP="001E48A8">
      <w:pPr>
        <w:pStyle w:val="ListBullet"/>
      </w:pPr>
      <w:r>
        <w:t>The remaining expenses reflect only weekly living expenses that would be avoided by living in residential aged care based on the ABS Household Expenditure Survey for a single person household over the age of 65.</w:t>
      </w:r>
      <w:r>
        <w:rPr>
          <w:rStyle w:val="FootnoteReference"/>
        </w:rPr>
        <w:footnoteReference w:id="519"/>
      </w:r>
    </w:p>
    <w:p w14:paraId="3E1F5070" w14:textId="6F6BD4CB" w:rsidR="001E48A8" w:rsidRDefault="00390CDB" w:rsidP="001E48A8">
      <w:pPr>
        <w:pStyle w:val="Caption"/>
      </w:pPr>
      <w:bookmarkStart w:id="844" w:name="_Toc57643708"/>
      <w:bookmarkStart w:id="845" w:name="_Toc70505662"/>
      <w:r>
        <w:t>H.11</w:t>
      </w:r>
      <w:r w:rsidR="001E48A8" w:rsidRPr="00695C93">
        <w:tab/>
      </w:r>
      <w:r w:rsidR="001E48A8">
        <w:t>Estimated annual expenses</w:t>
      </w:r>
      <w:bookmarkEnd w:id="844"/>
      <w:bookmarkEnd w:id="845"/>
    </w:p>
    <w:tbl>
      <w:tblPr>
        <w:tblW w:w="7937" w:type="dxa"/>
        <w:tblLayout w:type="fixed"/>
        <w:tblLook w:val="0000" w:firstRow="0" w:lastRow="0" w:firstColumn="0" w:lastColumn="0" w:noHBand="0" w:noVBand="0"/>
        <w:tblCaption w:val="Table H.11: Estimated annual expenses"/>
        <w:tblDescription w:val="Table H.11 lists estimated annual expenses, based on the ABS Household Expenditure Survey 2015-16. The total weekly expenses are $638. Total annual expenses are $33,152."/>
      </w:tblPr>
      <w:tblGrid>
        <w:gridCol w:w="4129"/>
        <w:gridCol w:w="1904"/>
        <w:gridCol w:w="1904"/>
      </w:tblGrid>
      <w:tr w:rsidR="001E48A8" w14:paraId="79AD4D82" w14:textId="77777777" w:rsidTr="00E14F35">
        <w:trPr>
          <w:trHeight w:val="490"/>
          <w:tblHeader/>
        </w:trPr>
        <w:tc>
          <w:tcPr>
            <w:tcW w:w="4129" w:type="dxa"/>
            <w:tcBorders>
              <w:bottom w:val="single" w:sz="8" w:space="0" w:color="FFFFFF" w:themeColor="background1"/>
            </w:tcBorders>
            <w:shd w:val="clear" w:color="auto" w:fill="6F6652"/>
            <w:tcMar>
              <w:left w:w="57" w:type="dxa"/>
              <w:right w:w="57" w:type="dxa"/>
            </w:tcMar>
          </w:tcPr>
          <w:p w14:paraId="525DBD51" w14:textId="77777777" w:rsidR="001E48A8" w:rsidRDefault="003246EC" w:rsidP="00E14F35">
            <w:pPr>
              <w:pStyle w:val="TableDataColumnHeading"/>
              <w:jc w:val="left"/>
            </w:pPr>
            <w:r>
              <w:t>Expenses</w:t>
            </w:r>
          </w:p>
        </w:tc>
        <w:tc>
          <w:tcPr>
            <w:tcW w:w="1904" w:type="dxa"/>
            <w:tcBorders>
              <w:bottom w:val="single" w:sz="8" w:space="0" w:color="FFFFFF" w:themeColor="background1"/>
            </w:tcBorders>
            <w:shd w:val="clear" w:color="auto" w:fill="6F6652"/>
            <w:tcMar>
              <w:left w:w="57" w:type="dxa"/>
              <w:right w:w="57" w:type="dxa"/>
            </w:tcMar>
          </w:tcPr>
          <w:p w14:paraId="7134A417" w14:textId="77777777" w:rsidR="001E48A8" w:rsidRDefault="001E48A8" w:rsidP="00E14F35">
            <w:pPr>
              <w:pStyle w:val="TableDataColumnHeading"/>
            </w:pPr>
            <w:r>
              <w:t>Weekly expenses ($ per week)</w:t>
            </w:r>
          </w:p>
        </w:tc>
        <w:tc>
          <w:tcPr>
            <w:tcW w:w="1904" w:type="dxa"/>
            <w:tcBorders>
              <w:bottom w:val="single" w:sz="8" w:space="0" w:color="FFFFFF" w:themeColor="background1"/>
            </w:tcBorders>
            <w:shd w:val="clear" w:color="auto" w:fill="6F6652"/>
            <w:tcMar>
              <w:left w:w="57" w:type="dxa"/>
              <w:right w:w="57" w:type="dxa"/>
            </w:tcMar>
          </w:tcPr>
          <w:p w14:paraId="0B87F421" w14:textId="77777777" w:rsidR="001E48A8" w:rsidRDefault="001E48A8" w:rsidP="00E14F35">
            <w:pPr>
              <w:pStyle w:val="TableDataColumnHeading"/>
            </w:pPr>
            <w:r>
              <w:t>Annual expenses ($ per year)</w:t>
            </w:r>
          </w:p>
        </w:tc>
      </w:tr>
      <w:tr w:rsidR="001E48A8" w14:paraId="27A997C7"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8364EC" w14:textId="77777777" w:rsidR="001E48A8" w:rsidRDefault="001E48A8" w:rsidP="00E14F35">
            <w:pPr>
              <w:pStyle w:val="TableDataEntries"/>
              <w:jc w:val="left"/>
            </w:pPr>
            <w:r>
              <w:t>Rent</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C36C68" w14:textId="77777777" w:rsidR="001E48A8" w:rsidRDefault="001E48A8" w:rsidP="00E14F35">
            <w:pPr>
              <w:pStyle w:val="TableDataEntries"/>
            </w:pPr>
            <w:r>
              <w:t xml:space="preserve"> 443</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228DDF" w14:textId="77777777" w:rsidR="001E48A8" w:rsidRDefault="001E48A8" w:rsidP="00E14F35">
            <w:pPr>
              <w:pStyle w:val="TableDataEntries"/>
            </w:pPr>
            <w:r>
              <w:t>23 052</w:t>
            </w:r>
          </w:p>
        </w:tc>
      </w:tr>
      <w:tr w:rsidR="001E48A8" w14:paraId="4446298D"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307932" w14:textId="77777777" w:rsidR="001E48A8" w:rsidRDefault="001E48A8" w:rsidP="00E14F35">
            <w:pPr>
              <w:pStyle w:val="TableDataEntries"/>
              <w:jc w:val="left"/>
            </w:pPr>
            <w:r>
              <w:t>Food and non-alcoholic beverages</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A64D14" w14:textId="77777777" w:rsidR="001E48A8" w:rsidRDefault="001E48A8" w:rsidP="00E14F35">
            <w:pPr>
              <w:pStyle w:val="TableDataEntries"/>
            </w:pPr>
            <w:r>
              <w:t xml:space="preserve"> 87</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E7D0E8" w14:textId="77777777" w:rsidR="001E48A8" w:rsidRDefault="001E48A8" w:rsidP="00E14F35">
            <w:pPr>
              <w:pStyle w:val="TableDataEntries"/>
            </w:pPr>
            <w:r>
              <w:t>4 549</w:t>
            </w:r>
          </w:p>
        </w:tc>
      </w:tr>
      <w:tr w:rsidR="001E48A8" w14:paraId="413B1D93"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4D4D2" w14:textId="77777777" w:rsidR="001E48A8" w:rsidRDefault="001E48A8" w:rsidP="00E14F35">
            <w:pPr>
              <w:pStyle w:val="TableDataEntries"/>
              <w:jc w:val="left"/>
            </w:pPr>
            <w:r>
              <w:t>Rate payments</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556AE1" w14:textId="77777777" w:rsidR="001E48A8" w:rsidRDefault="001E48A8" w:rsidP="00E14F35">
            <w:pPr>
              <w:pStyle w:val="TableDataEntries"/>
            </w:pPr>
            <w:r>
              <w:t xml:space="preserve"> 29</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23DD7" w14:textId="77777777" w:rsidR="001E48A8" w:rsidRDefault="001E48A8" w:rsidP="00E14F35">
            <w:pPr>
              <w:pStyle w:val="TableDataEntries"/>
            </w:pPr>
            <w:r>
              <w:t>1 525</w:t>
            </w:r>
          </w:p>
        </w:tc>
      </w:tr>
      <w:tr w:rsidR="001E48A8" w14:paraId="175D03A0"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EA5A49" w14:textId="77777777" w:rsidR="001E48A8" w:rsidRDefault="001E48A8" w:rsidP="00E14F35">
            <w:pPr>
              <w:pStyle w:val="TableDataEntries"/>
              <w:jc w:val="left"/>
            </w:pPr>
            <w:r>
              <w:t>House and content insurance</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9659BE" w14:textId="77777777" w:rsidR="001E48A8" w:rsidRDefault="001E48A8" w:rsidP="00E14F35">
            <w:pPr>
              <w:pStyle w:val="TableDataEntries"/>
            </w:pPr>
            <w:r>
              <w:t xml:space="preserve"> 14</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FDA2D8" w14:textId="77777777" w:rsidR="001E48A8" w:rsidRDefault="001E48A8" w:rsidP="00E14F35">
            <w:pPr>
              <w:pStyle w:val="TableDataEntries"/>
            </w:pPr>
            <w:r>
              <w:t xml:space="preserve"> 718</w:t>
            </w:r>
          </w:p>
        </w:tc>
      </w:tr>
      <w:tr w:rsidR="001E48A8" w14:paraId="6BE925DE"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60CBB8" w14:textId="77777777" w:rsidR="001E48A8" w:rsidRDefault="001E48A8" w:rsidP="00E14F35">
            <w:pPr>
              <w:pStyle w:val="TableDataEntries"/>
              <w:jc w:val="left"/>
            </w:pPr>
            <w:r>
              <w:t>Repairs and maintenance</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742D55" w14:textId="77777777" w:rsidR="001E48A8" w:rsidRDefault="001E48A8" w:rsidP="00E14F35">
            <w:pPr>
              <w:pStyle w:val="TableDataEntries"/>
            </w:pPr>
            <w:r>
              <w:t xml:space="preserve"> 16</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FBE767" w14:textId="77777777" w:rsidR="001E48A8" w:rsidRDefault="001E48A8" w:rsidP="00E14F35">
            <w:pPr>
              <w:pStyle w:val="TableDataEntries"/>
            </w:pPr>
            <w:r>
              <w:t xml:space="preserve"> 837</w:t>
            </w:r>
          </w:p>
        </w:tc>
      </w:tr>
      <w:tr w:rsidR="001E48A8" w14:paraId="4AE9D384" w14:textId="77777777" w:rsidTr="00E14F35">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5EB27A" w14:textId="77777777" w:rsidR="001E48A8" w:rsidRDefault="001E48A8" w:rsidP="00E14F35">
            <w:pPr>
              <w:pStyle w:val="TableDataEntries"/>
              <w:jc w:val="left"/>
            </w:pPr>
            <w:r>
              <w:t>Energy</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F1E3D6" w14:textId="77777777" w:rsidR="001E48A8" w:rsidRDefault="001E48A8" w:rsidP="00E14F35">
            <w:pPr>
              <w:pStyle w:val="TableDataEntries"/>
            </w:pPr>
            <w:r>
              <w:t xml:space="preserve"> 25</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BE69B3" w14:textId="77777777" w:rsidR="001E48A8" w:rsidRDefault="001E48A8" w:rsidP="00E14F35">
            <w:pPr>
              <w:pStyle w:val="TableDataEntries"/>
            </w:pPr>
            <w:r>
              <w:t>1 323</w:t>
            </w:r>
          </w:p>
        </w:tc>
      </w:tr>
      <w:tr w:rsidR="001E48A8" w14:paraId="693B790E" w14:textId="77777777" w:rsidTr="003B2947">
        <w:trPr>
          <w:trHeight w:val="245"/>
        </w:trPr>
        <w:tc>
          <w:tcPr>
            <w:tcW w:w="41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64407B" w14:textId="77777777" w:rsidR="001E48A8" w:rsidRDefault="001E48A8" w:rsidP="00E14F35">
            <w:pPr>
              <w:pStyle w:val="TableDataEntries"/>
              <w:jc w:val="left"/>
            </w:pPr>
            <w:r>
              <w:t>Household consumables</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0A53C6" w14:textId="77777777" w:rsidR="001E48A8" w:rsidRDefault="001E48A8" w:rsidP="00E14F35">
            <w:pPr>
              <w:pStyle w:val="TableDataEntries"/>
            </w:pPr>
            <w:r>
              <w:t xml:space="preserve"> 22</w:t>
            </w:r>
          </w:p>
        </w:tc>
        <w:tc>
          <w:tcPr>
            <w:tcW w:w="19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3CA966" w14:textId="77777777" w:rsidR="001E48A8" w:rsidRDefault="001E48A8" w:rsidP="00E14F35">
            <w:pPr>
              <w:pStyle w:val="TableDataEntries"/>
            </w:pPr>
            <w:r>
              <w:t>1 148</w:t>
            </w:r>
          </w:p>
        </w:tc>
      </w:tr>
      <w:tr w:rsidR="001E48A8" w:rsidRPr="003B2947" w14:paraId="4454D0BE" w14:textId="77777777" w:rsidTr="00E14F35">
        <w:trPr>
          <w:trHeight w:val="245"/>
        </w:trPr>
        <w:tc>
          <w:tcPr>
            <w:tcW w:w="412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9A00779" w14:textId="77777777" w:rsidR="001E48A8" w:rsidRPr="003B2947" w:rsidRDefault="001E48A8" w:rsidP="00E14F35">
            <w:pPr>
              <w:pStyle w:val="TableDataEntries"/>
              <w:jc w:val="left"/>
              <w:rPr>
                <w:rFonts w:ascii="Franklin Gothic Demi" w:hAnsi="Franklin Gothic Demi"/>
              </w:rPr>
            </w:pPr>
            <w:r w:rsidRPr="003B2947">
              <w:rPr>
                <w:rFonts w:ascii="Franklin Gothic Demi" w:hAnsi="Franklin Gothic Demi"/>
              </w:rPr>
              <w:t>Total</w:t>
            </w:r>
          </w:p>
        </w:tc>
        <w:tc>
          <w:tcPr>
            <w:tcW w:w="19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B4B6A52" w14:textId="77777777" w:rsidR="001E48A8" w:rsidRPr="003B2947" w:rsidRDefault="001E48A8" w:rsidP="00E14F35">
            <w:pPr>
              <w:pStyle w:val="TableDataEntries"/>
              <w:rPr>
                <w:rFonts w:ascii="Franklin Gothic Demi" w:hAnsi="Franklin Gothic Demi"/>
              </w:rPr>
            </w:pPr>
            <w:r w:rsidRPr="003B2947">
              <w:rPr>
                <w:rFonts w:ascii="Franklin Gothic Demi" w:hAnsi="Franklin Gothic Demi"/>
              </w:rPr>
              <w:t xml:space="preserve"> 638</w:t>
            </w:r>
          </w:p>
        </w:tc>
        <w:tc>
          <w:tcPr>
            <w:tcW w:w="19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73AC2EE" w14:textId="77777777" w:rsidR="001E48A8" w:rsidRPr="003B2947" w:rsidRDefault="001E48A8" w:rsidP="00E14F35">
            <w:pPr>
              <w:pStyle w:val="TableDataEntries"/>
              <w:rPr>
                <w:rFonts w:ascii="Franklin Gothic Demi" w:hAnsi="Franklin Gothic Demi"/>
              </w:rPr>
            </w:pPr>
            <w:r w:rsidRPr="003B2947">
              <w:rPr>
                <w:rFonts w:ascii="Franklin Gothic Demi" w:hAnsi="Franklin Gothic Demi"/>
              </w:rPr>
              <w:t>33 152</w:t>
            </w:r>
          </w:p>
        </w:tc>
      </w:tr>
    </w:tbl>
    <w:p w14:paraId="04D8F047" w14:textId="77777777" w:rsidR="001E48A8" w:rsidRDefault="001E48A8" w:rsidP="001E48A8">
      <w:pPr>
        <w:pStyle w:val="Source"/>
        <w:rPr>
          <w:lang w:bidi="fa-IR"/>
        </w:rPr>
      </w:pPr>
      <w:r w:rsidRPr="00027945">
        <w:rPr>
          <w:iCs/>
          <w:lang w:bidi="fa-IR"/>
        </w:rPr>
        <w:t>Source: ABS,</w:t>
      </w:r>
      <w:r>
        <w:rPr>
          <w:lang w:bidi="fa-IR"/>
        </w:rPr>
        <w:t xml:space="preserve"> Household Expenditure Survey, 2015</w:t>
      </w:r>
      <w:r>
        <w:rPr>
          <w:lang w:bidi="fa-IR"/>
        </w:rPr>
        <w:noBreakHyphen/>
        <w:t xml:space="preserve">16, </w:t>
      </w:r>
      <w:hyperlink r:id="rId90" w:anchor="data-download" w:history="1">
        <w:r w:rsidRPr="001D102F">
          <w:rPr>
            <w:rStyle w:val="Hyperlink"/>
            <w:lang w:bidi="fa-IR"/>
          </w:rPr>
          <w:t>https://www.abs.gov.au/statistics/economy/finance/household-expenditure-survey-australia-summary-results/latest-release#data-download</w:t>
        </w:r>
      </w:hyperlink>
      <w:r>
        <w:rPr>
          <w:lang w:bidi="fa-IR"/>
        </w:rPr>
        <w:t>, accessed 13 November 2020.</w:t>
      </w:r>
    </w:p>
    <w:p w14:paraId="118692D0" w14:textId="77777777" w:rsidR="001E48A8" w:rsidRDefault="001E48A8" w:rsidP="001E48A8">
      <w:pPr>
        <w:pStyle w:val="BodyText"/>
        <w:rPr>
          <w:lang w:bidi="fa-IR"/>
        </w:rPr>
      </w:pPr>
      <w:r>
        <w:rPr>
          <w:lang w:bidi="fa-IR"/>
        </w:rPr>
        <w:t>The remaining costs were as per the Consultation RIS.</w:t>
      </w:r>
    </w:p>
    <w:p w14:paraId="72BADFD2" w14:textId="77777777" w:rsidR="001E48A8" w:rsidRDefault="00554233" w:rsidP="001E48A8">
      <w:pPr>
        <w:pStyle w:val="ListBullet"/>
        <w:numPr>
          <w:ilvl w:val="0"/>
          <w:numId w:val="16"/>
        </w:numPr>
        <w:rPr>
          <w:lang w:bidi="fa-IR"/>
        </w:rPr>
      </w:pPr>
      <w:r>
        <w:rPr>
          <w:lang w:bidi="fa-IR"/>
        </w:rPr>
        <w:t xml:space="preserve">It is </w:t>
      </w:r>
      <w:r w:rsidR="001E48A8">
        <w:rPr>
          <w:lang w:bidi="fa-IR"/>
        </w:rPr>
        <w:t>assume</w:t>
      </w:r>
      <w:r>
        <w:rPr>
          <w:lang w:bidi="fa-IR"/>
        </w:rPr>
        <w:t>d</w:t>
      </w:r>
      <w:r w:rsidR="001E48A8">
        <w:rPr>
          <w:lang w:bidi="fa-IR"/>
        </w:rPr>
        <w:t xml:space="preserve"> that someone entering residential aged care would have required home support had they remained at home and accordingly $23 141 </w:t>
      </w:r>
      <w:r w:rsidR="003246EC">
        <w:rPr>
          <w:lang w:bidi="fa-IR"/>
        </w:rPr>
        <w:t xml:space="preserve">is subtracted </w:t>
      </w:r>
      <w:r w:rsidR="001E48A8">
        <w:rPr>
          <w:lang w:bidi="fa-IR"/>
        </w:rPr>
        <w:t xml:space="preserve">based on the average cost of a Home Care Package. Data from AIHW indicates that very few people enter residential aged </w:t>
      </w:r>
      <w:r w:rsidR="00055CB0">
        <w:rPr>
          <w:lang w:bidi="fa-IR"/>
        </w:rPr>
        <w:t xml:space="preserve">care </w:t>
      </w:r>
      <w:r w:rsidR="001E48A8">
        <w:rPr>
          <w:lang w:bidi="fa-IR"/>
        </w:rPr>
        <w:t>without first using other aged care programs.</w:t>
      </w:r>
    </w:p>
    <w:p w14:paraId="06296637" w14:textId="77777777" w:rsidR="001E48A8" w:rsidRDefault="00554233" w:rsidP="001E48A8">
      <w:pPr>
        <w:pStyle w:val="ListBullet"/>
        <w:numPr>
          <w:ilvl w:val="0"/>
          <w:numId w:val="16"/>
        </w:numPr>
        <w:rPr>
          <w:lang w:bidi="fa-IR"/>
        </w:rPr>
      </w:pPr>
      <w:r>
        <w:rPr>
          <w:lang w:bidi="fa-IR"/>
        </w:rPr>
        <w:t>It is</w:t>
      </w:r>
      <w:r w:rsidR="001E48A8">
        <w:rPr>
          <w:lang w:bidi="fa-IR"/>
        </w:rPr>
        <w:t xml:space="preserve"> also assumed that people remaining in the home require some informal care. These costs were estimated at around $7</w:t>
      </w:r>
      <w:r w:rsidR="0069747E">
        <w:rPr>
          <w:lang w:bidi="fa-IR"/>
        </w:rPr>
        <w:t xml:space="preserve"> </w:t>
      </w:r>
      <w:r w:rsidR="001E48A8">
        <w:rPr>
          <w:lang w:bidi="fa-IR"/>
        </w:rPr>
        <w:t>000 per year based on:</w:t>
      </w:r>
    </w:p>
    <w:p w14:paraId="7D43073F" w14:textId="77777777" w:rsidR="001E48A8" w:rsidRDefault="001E48A8" w:rsidP="001E48A8">
      <w:pPr>
        <w:pStyle w:val="ListBullet2"/>
        <w:numPr>
          <w:ilvl w:val="1"/>
          <w:numId w:val="16"/>
        </w:numPr>
        <w:ind w:left="568" w:hanging="284"/>
        <w:rPr>
          <w:lang w:bidi="fa-IR"/>
        </w:rPr>
      </w:pPr>
      <w:r>
        <w:rPr>
          <w:lang w:bidi="fa-IR"/>
        </w:rPr>
        <w:t xml:space="preserve">an estimated 6.92 </w:t>
      </w:r>
      <w:r w:rsidRPr="001D665C">
        <w:rPr>
          <w:lang w:bidi="fa-IR"/>
        </w:rPr>
        <w:t>hours of informal care per week, based on the estimates from Carnemolla and Bridge (2019)</w:t>
      </w:r>
      <w:r w:rsidR="00493461" w:rsidRPr="001D665C">
        <w:rPr>
          <w:rStyle w:val="FootnoteReference"/>
          <w:lang w:bidi="fa-IR"/>
        </w:rPr>
        <w:footnoteReference w:id="520"/>
      </w:r>
      <w:r w:rsidR="00A518C7">
        <w:rPr>
          <w:lang w:bidi="fa-IR"/>
        </w:rPr>
        <w:t>,</w:t>
      </w:r>
      <w:r w:rsidRPr="001D665C">
        <w:rPr>
          <w:lang w:bidi="fa-IR"/>
        </w:rPr>
        <w:t xml:space="preserve"> received by people in accessible homes (although it is not clear whether these estimates are</w:t>
      </w:r>
      <w:r>
        <w:rPr>
          <w:lang w:bidi="fa-IR"/>
        </w:rPr>
        <w:t xml:space="preserve"> representative of the amount of formal care provided to people at risk of entering residential aged care)</w:t>
      </w:r>
    </w:p>
    <w:p w14:paraId="0F79EFBB" w14:textId="77777777" w:rsidR="001E48A8" w:rsidRDefault="001E48A8" w:rsidP="001E48A8">
      <w:pPr>
        <w:pStyle w:val="ListBullet2"/>
        <w:numPr>
          <w:ilvl w:val="1"/>
          <w:numId w:val="16"/>
        </w:numPr>
        <w:ind w:left="568" w:hanging="284"/>
        <w:rPr>
          <w:lang w:bidi="fa-IR"/>
        </w:rPr>
      </w:pPr>
      <w:r>
        <w:rPr>
          <w:lang w:bidi="fa-IR"/>
        </w:rPr>
        <w:t xml:space="preserve">consistent with </w:t>
      </w:r>
      <w:r w:rsidR="0067593A">
        <w:rPr>
          <w:lang w:bidi="fa-IR"/>
        </w:rPr>
        <w:t>CIE’s</w:t>
      </w:r>
      <w:r>
        <w:rPr>
          <w:lang w:bidi="fa-IR"/>
        </w:rPr>
        <w:t xml:space="preserve"> estimates of the cost of additional informal care, this is valued at the average wage rate for an aged care worker of </w:t>
      </w:r>
      <w:r w:rsidRPr="006B471C">
        <w:rPr>
          <w:lang w:bidi="fa-IR"/>
        </w:rPr>
        <w:t xml:space="preserve">around </w:t>
      </w:r>
      <w:r w:rsidRPr="00755B70">
        <w:rPr>
          <w:lang w:bidi="fa-IR"/>
        </w:rPr>
        <w:t xml:space="preserve">$22.90 per </w:t>
      </w:r>
      <w:r>
        <w:rPr>
          <w:lang w:bidi="fa-IR"/>
        </w:rPr>
        <w:t>hour.</w:t>
      </w:r>
    </w:p>
    <w:p w14:paraId="53EE8584" w14:textId="77777777" w:rsidR="004E736E" w:rsidRDefault="004E736E" w:rsidP="006C5856">
      <w:pPr>
        <w:pStyle w:val="BodyText"/>
        <w:rPr>
          <w:lang w:bidi="fa-IR"/>
        </w:rPr>
      </w:pPr>
    </w:p>
    <w:p w14:paraId="0084F5B8" w14:textId="77777777" w:rsidR="00596939" w:rsidRPr="004B79EC" w:rsidRDefault="00596939" w:rsidP="004B79EC">
      <w:pPr>
        <w:pStyle w:val="Heading1-Appendix"/>
      </w:pPr>
      <w:bookmarkStart w:id="846" w:name="_Ref55206770"/>
      <w:r w:rsidRPr="004B79EC">
        <w:t>Quality of life impacts</w:t>
      </w:r>
      <w:bookmarkEnd w:id="846"/>
    </w:p>
    <w:p w14:paraId="07D34261" w14:textId="77777777" w:rsidR="00596939" w:rsidRPr="004B79EC" w:rsidRDefault="00596939" w:rsidP="004B79EC">
      <w:pPr>
        <w:pStyle w:val="Heading2-Appendix"/>
      </w:pPr>
      <w:r w:rsidRPr="004B79EC">
        <w:t>Quantifying quality of life impacts</w:t>
      </w:r>
      <w:r w:rsidR="009E15B2" w:rsidRPr="004B79EC">
        <w:t xml:space="preserve"> through willingness to pay</w:t>
      </w:r>
    </w:p>
    <w:p w14:paraId="4EA62EFF" w14:textId="77777777" w:rsidR="00951EBC" w:rsidRPr="007E5F68" w:rsidRDefault="00695A92" w:rsidP="00951EBC">
      <w:pPr>
        <w:pStyle w:val="BodyText"/>
        <w:rPr>
          <w:lang w:bidi="fa-IR"/>
        </w:rPr>
      </w:pPr>
      <w:r>
        <w:rPr>
          <w:lang w:bidi="fa-IR"/>
        </w:rPr>
        <w:t xml:space="preserve">The </w:t>
      </w:r>
      <w:r w:rsidR="007F767F">
        <w:rPr>
          <w:lang w:bidi="fa-IR"/>
        </w:rPr>
        <w:t>stated preference</w:t>
      </w:r>
      <w:r w:rsidR="00951EBC">
        <w:rPr>
          <w:lang w:bidi="fa-IR"/>
        </w:rPr>
        <w:t xml:space="preserve"> survey conducted for the Consultation RIS was used to estimate the likely quality of life impacts, taking </w:t>
      </w:r>
      <w:r w:rsidR="00634A91">
        <w:rPr>
          <w:lang w:bidi="fa-IR"/>
        </w:rPr>
        <w:t>into</w:t>
      </w:r>
      <w:r w:rsidR="00951EBC">
        <w:rPr>
          <w:lang w:bidi="fa-IR"/>
        </w:rPr>
        <w:t xml:space="preserve"> consideration </w:t>
      </w:r>
      <w:r w:rsidR="00634A91">
        <w:rPr>
          <w:lang w:bidi="fa-IR"/>
        </w:rPr>
        <w:t>the</w:t>
      </w:r>
      <w:r w:rsidR="00951EBC">
        <w:rPr>
          <w:lang w:bidi="fa-IR"/>
        </w:rPr>
        <w:t xml:space="preserve"> double counting with other elements of the size of problem identified and quantified separately.</w:t>
      </w:r>
    </w:p>
    <w:p w14:paraId="5865D4F9" w14:textId="77777777" w:rsidR="00951EBC" w:rsidRPr="00F4477B" w:rsidRDefault="00951EBC" w:rsidP="00F4477B">
      <w:pPr>
        <w:pStyle w:val="Heading3-Appendix"/>
      </w:pPr>
      <w:r w:rsidRPr="00F4477B">
        <w:t>WTP for accessible housing</w:t>
      </w:r>
    </w:p>
    <w:p w14:paraId="55A83F01" w14:textId="551D6092" w:rsidR="00951EBC" w:rsidRDefault="00951EBC" w:rsidP="00951EBC">
      <w:pPr>
        <w:pStyle w:val="BodyText"/>
        <w:rPr>
          <w:lang w:bidi="fa-IR"/>
        </w:rPr>
      </w:pPr>
      <w:r>
        <w:rPr>
          <w:lang w:bidi="fa-IR"/>
        </w:rPr>
        <w:t xml:space="preserve">A </w:t>
      </w:r>
      <w:r w:rsidR="00634A91">
        <w:rPr>
          <w:lang w:bidi="fa-IR"/>
        </w:rPr>
        <w:t>stated reference</w:t>
      </w:r>
      <w:r>
        <w:rPr>
          <w:lang w:bidi="fa-IR"/>
        </w:rPr>
        <w:t xml:space="preserve"> survey was conducted as part of the Consultation RIS of a representative sample of 2 062 Australian households</w:t>
      </w:r>
      <w:r w:rsidRPr="00960FA0">
        <w:rPr>
          <w:lang w:bidi="fa-IR"/>
        </w:rPr>
        <w:t xml:space="preserve">. </w:t>
      </w:r>
      <w:r w:rsidRPr="005331B4">
        <w:rPr>
          <w:lang w:bidi="fa-IR"/>
        </w:rPr>
        <w:t xml:space="preserve">See appendix </w:t>
      </w:r>
      <w:r w:rsidR="00612F99" w:rsidRPr="00960FA0">
        <w:rPr>
          <w:lang w:bidi="fa-IR"/>
        </w:rPr>
        <w:fldChar w:fldCharType="begin"/>
      </w:r>
      <w:r w:rsidR="00612F99" w:rsidRPr="00391104">
        <w:rPr>
          <w:lang w:bidi="fa-IR"/>
        </w:rPr>
        <w:instrText xml:space="preserve"> REF _Ref56677480 \n \h </w:instrText>
      </w:r>
      <w:r w:rsidR="00960FA0">
        <w:rPr>
          <w:lang w:bidi="fa-IR"/>
        </w:rPr>
        <w:instrText xml:space="preserve"> \* MERGEFORMAT </w:instrText>
      </w:r>
      <w:r w:rsidR="00612F99" w:rsidRPr="00960FA0">
        <w:rPr>
          <w:lang w:bidi="fa-IR"/>
        </w:rPr>
      </w:r>
      <w:r w:rsidR="00612F99" w:rsidRPr="00960FA0">
        <w:rPr>
          <w:lang w:bidi="fa-IR"/>
        </w:rPr>
        <w:fldChar w:fldCharType="separate"/>
      </w:r>
      <w:r w:rsidR="000F445C" w:rsidRPr="000F445C">
        <w:rPr>
          <w:rFonts w:ascii="Times New Roman" w:hAnsi="Times New Roman"/>
        </w:rPr>
        <w:t>K</w:t>
      </w:r>
      <w:r w:rsidR="00612F99" w:rsidRPr="00960FA0">
        <w:rPr>
          <w:lang w:bidi="fa-IR"/>
        </w:rPr>
        <w:fldChar w:fldCharType="end"/>
      </w:r>
      <w:r w:rsidR="00612F99">
        <w:rPr>
          <w:lang w:bidi="fa-IR"/>
        </w:rPr>
        <w:t xml:space="preserve"> </w:t>
      </w:r>
      <w:r>
        <w:rPr>
          <w:lang w:bidi="fa-IR"/>
        </w:rPr>
        <w:t>for more details in the survey design and data analysis.</w:t>
      </w:r>
    </w:p>
    <w:p w14:paraId="3285EE71" w14:textId="19432275" w:rsidR="00951EBC" w:rsidRDefault="00951EBC" w:rsidP="00951EBC">
      <w:pPr>
        <w:pStyle w:val="BodyText"/>
        <w:rPr>
          <w:lang w:bidi="fa-IR"/>
        </w:rPr>
      </w:pPr>
      <w:r>
        <w:rPr>
          <w:lang w:bidi="fa-IR"/>
        </w:rPr>
        <w:t xml:space="preserve">The survey included a component designed to estimate </w:t>
      </w:r>
      <w:r w:rsidR="00F218E7">
        <w:rPr>
          <w:lang w:bidi="fa-IR"/>
        </w:rPr>
        <w:t>willingness to pay (</w:t>
      </w:r>
      <w:r>
        <w:rPr>
          <w:lang w:bidi="fa-IR"/>
        </w:rPr>
        <w:t>WTP</w:t>
      </w:r>
      <w:r w:rsidR="00F218E7">
        <w:rPr>
          <w:lang w:bidi="fa-IR"/>
        </w:rPr>
        <w:t>)</w:t>
      </w:r>
      <w:r>
        <w:rPr>
          <w:lang w:bidi="fa-IR"/>
        </w:rPr>
        <w:t xml:space="preserve"> for accessibility features at the point of purchasing or renting a new home. Statistical models were estimated using the full survey samples. Estimates of average WTP derived from these models are reported in table </w:t>
      </w:r>
      <w:r w:rsidR="00362332">
        <w:rPr>
          <w:lang w:bidi="fa-IR"/>
        </w:rPr>
        <w:t>I.1</w:t>
      </w:r>
      <w:r>
        <w:rPr>
          <w:lang w:bidi="fa-IR"/>
        </w:rPr>
        <w:t>.</w:t>
      </w:r>
    </w:p>
    <w:p w14:paraId="5719402A" w14:textId="0C4E4728" w:rsidR="00951EBC" w:rsidRDefault="00390CDB" w:rsidP="00951EBC">
      <w:pPr>
        <w:pStyle w:val="Caption"/>
      </w:pPr>
      <w:bookmarkStart w:id="847" w:name="_Toc57643709"/>
      <w:bookmarkStart w:id="848" w:name="_Toc70505663"/>
      <w:r>
        <w:t>I.1</w:t>
      </w:r>
      <w:r w:rsidR="00951EBC" w:rsidRPr="00695C93">
        <w:tab/>
      </w:r>
      <w:r w:rsidR="00951EBC">
        <w:t>Average WTP for accessibility features</w:t>
      </w:r>
      <w:bookmarkEnd w:id="847"/>
      <w:bookmarkEnd w:id="848"/>
    </w:p>
    <w:tbl>
      <w:tblPr>
        <w:tblW w:w="7936" w:type="dxa"/>
        <w:tblLook w:val="04A0" w:firstRow="1" w:lastRow="0" w:firstColumn="1" w:lastColumn="0" w:noHBand="0" w:noVBand="1"/>
        <w:tblCaption w:val="Table I.1: Average WTP for accessibility features"/>
        <w:tblDescription w:val="Table I.1 shows the average willingness to pay (WTP) for accessibility features, at Silver and Gold standards. The total for Silver standard is $1,919, and the total for Gold is $3,451."/>
      </w:tblPr>
      <w:tblGrid>
        <w:gridCol w:w="5548"/>
        <w:gridCol w:w="1194"/>
        <w:gridCol w:w="1194"/>
      </w:tblGrid>
      <w:tr w:rsidR="00951EBC" w:rsidRPr="007E5F68" w14:paraId="03726FDB" w14:textId="77777777" w:rsidTr="00951EBC">
        <w:trPr>
          <w:trHeight w:val="252"/>
        </w:trPr>
        <w:tc>
          <w:tcPr>
            <w:tcW w:w="5548" w:type="dxa"/>
            <w:shd w:val="clear" w:color="auto" w:fill="6F6652"/>
            <w:noWrap/>
            <w:tcMar>
              <w:left w:w="57" w:type="dxa"/>
              <w:right w:w="57" w:type="dxa"/>
            </w:tcMar>
            <w:hideMark/>
          </w:tcPr>
          <w:p w14:paraId="7EBF604C" w14:textId="77777777" w:rsidR="00951EBC" w:rsidRPr="007E5F68" w:rsidRDefault="008427B2" w:rsidP="00951EBC">
            <w:pPr>
              <w:pStyle w:val="TableDataColumnHeading"/>
              <w:jc w:val="left"/>
            </w:pPr>
            <w:r>
              <w:t>Accessibility feature</w:t>
            </w:r>
          </w:p>
        </w:tc>
        <w:tc>
          <w:tcPr>
            <w:tcW w:w="1194" w:type="dxa"/>
            <w:shd w:val="clear" w:color="auto" w:fill="6F6652"/>
            <w:noWrap/>
            <w:tcMar>
              <w:left w:w="57" w:type="dxa"/>
              <w:right w:w="57" w:type="dxa"/>
            </w:tcMar>
            <w:hideMark/>
          </w:tcPr>
          <w:p w14:paraId="0EDE4A09" w14:textId="77777777" w:rsidR="00951EBC" w:rsidRPr="007E5F68" w:rsidRDefault="00951EBC" w:rsidP="00951EBC">
            <w:pPr>
              <w:pStyle w:val="TableDataColumnHeading"/>
              <w:rPr>
                <w:szCs w:val="16"/>
              </w:rPr>
            </w:pPr>
            <w:r w:rsidRPr="007E5F68">
              <w:rPr>
                <w:szCs w:val="16"/>
              </w:rPr>
              <w:t>Silver</w:t>
            </w:r>
          </w:p>
        </w:tc>
        <w:tc>
          <w:tcPr>
            <w:tcW w:w="1194" w:type="dxa"/>
            <w:shd w:val="clear" w:color="auto" w:fill="6F6652"/>
            <w:noWrap/>
            <w:tcMar>
              <w:left w:w="57" w:type="dxa"/>
              <w:right w:w="57" w:type="dxa"/>
            </w:tcMar>
            <w:hideMark/>
          </w:tcPr>
          <w:p w14:paraId="00CAE9A8" w14:textId="77777777" w:rsidR="00951EBC" w:rsidRPr="007E5F68" w:rsidRDefault="00951EBC" w:rsidP="00951EBC">
            <w:pPr>
              <w:pStyle w:val="TableDataColumnHeading"/>
              <w:rPr>
                <w:szCs w:val="16"/>
              </w:rPr>
            </w:pPr>
            <w:r w:rsidRPr="007E5F68">
              <w:rPr>
                <w:szCs w:val="16"/>
              </w:rPr>
              <w:t>Gold</w:t>
            </w:r>
          </w:p>
        </w:tc>
      </w:tr>
      <w:tr w:rsidR="00951EBC" w:rsidRPr="007E5F68" w14:paraId="428C77C0" w14:textId="77777777" w:rsidTr="00951EBC">
        <w:trPr>
          <w:trHeight w:val="252"/>
        </w:trPr>
        <w:tc>
          <w:tcPr>
            <w:tcW w:w="5548" w:type="dxa"/>
            <w:tcBorders>
              <w:bottom w:val="single" w:sz="8" w:space="0" w:color="FFFFFF" w:themeColor="background1"/>
            </w:tcBorders>
            <w:shd w:val="clear" w:color="auto" w:fill="auto"/>
            <w:noWrap/>
            <w:tcMar>
              <w:left w:w="57" w:type="dxa"/>
              <w:right w:w="57" w:type="dxa"/>
            </w:tcMar>
            <w:hideMark/>
          </w:tcPr>
          <w:p w14:paraId="5839E346" w14:textId="77777777" w:rsidR="00951EBC" w:rsidRPr="007E5F68" w:rsidRDefault="00951EBC" w:rsidP="00951EBC">
            <w:pPr>
              <w:pStyle w:val="TableUnit"/>
              <w:jc w:val="left"/>
            </w:pPr>
          </w:p>
        </w:tc>
        <w:tc>
          <w:tcPr>
            <w:tcW w:w="1194" w:type="dxa"/>
            <w:tcBorders>
              <w:bottom w:val="single" w:sz="8" w:space="0" w:color="FFFFFF" w:themeColor="background1"/>
            </w:tcBorders>
            <w:shd w:val="clear" w:color="auto" w:fill="auto"/>
            <w:noWrap/>
            <w:tcMar>
              <w:left w:w="57" w:type="dxa"/>
              <w:right w:w="57" w:type="dxa"/>
            </w:tcMar>
            <w:hideMark/>
          </w:tcPr>
          <w:p w14:paraId="3FD0DB0A" w14:textId="77777777" w:rsidR="00951EBC" w:rsidRPr="007E5F68" w:rsidRDefault="00951EBC" w:rsidP="00951EBC">
            <w:pPr>
              <w:pStyle w:val="TableUnit"/>
            </w:pPr>
            <w:r w:rsidRPr="007E5F68">
              <w:t>$</w:t>
            </w:r>
          </w:p>
        </w:tc>
        <w:tc>
          <w:tcPr>
            <w:tcW w:w="1194" w:type="dxa"/>
            <w:tcBorders>
              <w:bottom w:val="single" w:sz="8" w:space="0" w:color="FFFFFF" w:themeColor="background1"/>
            </w:tcBorders>
            <w:shd w:val="clear" w:color="auto" w:fill="auto"/>
            <w:noWrap/>
            <w:tcMar>
              <w:left w:w="57" w:type="dxa"/>
              <w:right w:w="57" w:type="dxa"/>
            </w:tcMar>
            <w:hideMark/>
          </w:tcPr>
          <w:p w14:paraId="4A6FEAB8" w14:textId="77777777" w:rsidR="00951EBC" w:rsidRPr="007E5F68" w:rsidRDefault="00951EBC" w:rsidP="00951EBC">
            <w:pPr>
              <w:pStyle w:val="TableUnit"/>
            </w:pPr>
            <w:r w:rsidRPr="007E5F68">
              <w:t>$</w:t>
            </w:r>
          </w:p>
        </w:tc>
      </w:tr>
      <w:tr w:rsidR="00951EBC" w:rsidRPr="007E5F68" w14:paraId="2CE8E038" w14:textId="77777777" w:rsidTr="00951EBC">
        <w:trPr>
          <w:trHeight w:val="252"/>
        </w:trPr>
        <w:tc>
          <w:tcPr>
            <w:tcW w:w="55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DAD19A" w14:textId="77777777" w:rsidR="00951EBC" w:rsidRPr="007E5F68" w:rsidRDefault="00951EBC" w:rsidP="00951EBC">
            <w:pPr>
              <w:pStyle w:val="TableDataEntries"/>
              <w:jc w:val="left"/>
            </w:pPr>
            <w:r w:rsidRPr="007E5F68">
              <w:t>Getting in and out</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A7B40B" w14:textId="77777777" w:rsidR="00951EBC" w:rsidRPr="007E5F68" w:rsidRDefault="00951EBC" w:rsidP="00951EBC">
            <w:pPr>
              <w:pStyle w:val="TableDataEntries"/>
            </w:pPr>
            <w:r w:rsidRPr="007E5F68">
              <w:t>1,050</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B3058D" w14:textId="77777777" w:rsidR="00951EBC" w:rsidRPr="007E5F68" w:rsidRDefault="00951EBC" w:rsidP="00951EBC">
            <w:pPr>
              <w:pStyle w:val="TableDataEntries"/>
            </w:pPr>
            <w:r w:rsidRPr="007E5F68">
              <w:t>1,050</w:t>
            </w:r>
          </w:p>
        </w:tc>
      </w:tr>
      <w:tr w:rsidR="00951EBC" w:rsidRPr="007E5F68" w14:paraId="758565C2" w14:textId="77777777" w:rsidTr="00951EBC">
        <w:trPr>
          <w:trHeight w:val="252"/>
        </w:trPr>
        <w:tc>
          <w:tcPr>
            <w:tcW w:w="55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EE90B1" w14:textId="77777777" w:rsidR="00951EBC" w:rsidRPr="007E5F68" w:rsidRDefault="00951EBC" w:rsidP="00951EBC">
            <w:pPr>
              <w:pStyle w:val="TableDataEntries"/>
              <w:jc w:val="left"/>
            </w:pPr>
            <w:r w:rsidRPr="007E5F68">
              <w:t>Moving around indoors</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31DA06" w14:textId="77777777" w:rsidR="00951EBC" w:rsidRPr="007E5F68" w:rsidRDefault="00951EBC" w:rsidP="00951EBC">
            <w:pPr>
              <w:pStyle w:val="TableDataEntries"/>
            </w:pPr>
            <w:r w:rsidRPr="007E5F68">
              <w:t>813</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85FE9A" w14:textId="77777777" w:rsidR="00951EBC" w:rsidRPr="007E5F68" w:rsidRDefault="00951EBC" w:rsidP="00951EBC">
            <w:pPr>
              <w:pStyle w:val="TableDataEntries"/>
            </w:pPr>
            <w:r w:rsidRPr="007E5F68">
              <w:t>1,230</w:t>
            </w:r>
          </w:p>
        </w:tc>
      </w:tr>
      <w:tr w:rsidR="00951EBC" w:rsidRPr="007E5F68" w14:paraId="1979A237" w14:textId="77777777" w:rsidTr="00951EBC">
        <w:trPr>
          <w:trHeight w:val="252"/>
        </w:trPr>
        <w:tc>
          <w:tcPr>
            <w:tcW w:w="55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9DC195" w14:textId="77777777" w:rsidR="00951EBC" w:rsidRPr="007E5F68" w:rsidRDefault="00951EBC" w:rsidP="00951EBC">
            <w:pPr>
              <w:pStyle w:val="TableDataEntries"/>
              <w:jc w:val="left"/>
            </w:pPr>
            <w:r w:rsidRPr="007E5F68">
              <w:t>Living with limited mobility on same level as an entrance</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183F94" w14:textId="77777777" w:rsidR="00951EBC" w:rsidRPr="007E5F68" w:rsidRDefault="00951EBC" w:rsidP="00951EBC">
            <w:pPr>
              <w:pStyle w:val="TableDataEntries"/>
            </w:pPr>
            <w:r w:rsidRPr="007E5F68">
              <w:t>57</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4BF16C" w14:textId="77777777" w:rsidR="00951EBC" w:rsidRPr="007E5F68" w:rsidRDefault="00951EBC" w:rsidP="00951EBC">
            <w:pPr>
              <w:pStyle w:val="TableDataEntries"/>
            </w:pPr>
            <w:r w:rsidRPr="007E5F68">
              <w:t>297</w:t>
            </w:r>
          </w:p>
        </w:tc>
      </w:tr>
      <w:tr w:rsidR="00951EBC" w:rsidRPr="007E5F68" w14:paraId="1DA1C2FD" w14:textId="77777777" w:rsidTr="00951EBC">
        <w:trPr>
          <w:trHeight w:val="252"/>
        </w:trPr>
        <w:tc>
          <w:tcPr>
            <w:tcW w:w="55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50D39F" w14:textId="77777777" w:rsidR="00951EBC" w:rsidRPr="007E5F68" w:rsidRDefault="00951EBC" w:rsidP="00951EBC">
            <w:pPr>
              <w:pStyle w:val="TableDataEntries"/>
              <w:jc w:val="left"/>
            </w:pPr>
            <w:r w:rsidRPr="007E5F68">
              <w:t>Minimal modification required for ageing in place</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D36B14" w14:textId="77777777" w:rsidR="00951EBC" w:rsidRPr="007E5F68" w:rsidRDefault="00951EBC" w:rsidP="00951EBC">
            <w:pPr>
              <w:pStyle w:val="TableDataEntries"/>
            </w:pPr>
            <w:r w:rsidRPr="007E5F68">
              <w:t>0</w:t>
            </w:r>
          </w:p>
        </w:tc>
        <w:tc>
          <w:tcPr>
            <w:tcW w:w="11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BFC2D1" w14:textId="77777777" w:rsidR="00951EBC" w:rsidRPr="007E5F68" w:rsidRDefault="00951EBC" w:rsidP="00951EBC">
            <w:pPr>
              <w:pStyle w:val="TableDataEntries"/>
            </w:pPr>
            <w:r w:rsidRPr="007E5F68">
              <w:t>875</w:t>
            </w:r>
          </w:p>
        </w:tc>
      </w:tr>
      <w:tr w:rsidR="00951EBC" w:rsidRPr="007E5F68" w14:paraId="71D2E9E6" w14:textId="77777777" w:rsidTr="00951EBC">
        <w:trPr>
          <w:trHeight w:val="288"/>
        </w:trPr>
        <w:tc>
          <w:tcPr>
            <w:tcW w:w="55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1C22F83" w14:textId="77777777" w:rsidR="00951EBC" w:rsidRPr="007E5F68" w:rsidRDefault="00951EBC" w:rsidP="00951EBC">
            <w:pPr>
              <w:pStyle w:val="TableDataEntries"/>
              <w:jc w:val="left"/>
              <w:rPr>
                <w:rFonts w:ascii="Franklin Gothic Demi" w:hAnsi="Franklin Gothic Demi"/>
              </w:rPr>
            </w:pPr>
            <w:r w:rsidRPr="007E5F68">
              <w:rPr>
                <w:rFonts w:ascii="Franklin Gothic Demi" w:hAnsi="Franklin Gothic Demi"/>
              </w:rPr>
              <w:t>Total</w:t>
            </w:r>
          </w:p>
        </w:tc>
        <w:tc>
          <w:tcPr>
            <w:tcW w:w="119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1A598FE" w14:textId="77777777" w:rsidR="00951EBC" w:rsidRPr="007E5F68" w:rsidRDefault="00951EBC" w:rsidP="00951EBC">
            <w:pPr>
              <w:pStyle w:val="TableDataEntries"/>
              <w:rPr>
                <w:rFonts w:ascii="Franklin Gothic Demi" w:hAnsi="Franklin Gothic Demi"/>
              </w:rPr>
            </w:pPr>
            <w:r w:rsidRPr="007E5F68">
              <w:rPr>
                <w:rFonts w:ascii="Franklin Gothic Demi" w:hAnsi="Franklin Gothic Demi"/>
              </w:rPr>
              <w:t>1,919</w:t>
            </w:r>
          </w:p>
        </w:tc>
        <w:tc>
          <w:tcPr>
            <w:tcW w:w="119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8EB3165" w14:textId="77777777" w:rsidR="00951EBC" w:rsidRPr="007E5F68" w:rsidRDefault="00951EBC" w:rsidP="00951EBC">
            <w:pPr>
              <w:pStyle w:val="TableDataEntries"/>
              <w:rPr>
                <w:rFonts w:ascii="Franklin Gothic Demi" w:hAnsi="Franklin Gothic Demi"/>
              </w:rPr>
            </w:pPr>
            <w:r w:rsidRPr="007E5F68">
              <w:rPr>
                <w:rFonts w:ascii="Franklin Gothic Demi" w:hAnsi="Franklin Gothic Demi"/>
              </w:rPr>
              <w:t>3,451</w:t>
            </w:r>
          </w:p>
        </w:tc>
      </w:tr>
    </w:tbl>
    <w:p w14:paraId="43640049" w14:textId="77777777" w:rsidR="00951EBC" w:rsidRPr="00027945" w:rsidRDefault="00951EBC" w:rsidP="00951EBC">
      <w:pPr>
        <w:pStyle w:val="Source"/>
        <w:rPr>
          <w:iCs/>
          <w:lang w:bidi="fa-IR"/>
        </w:rPr>
      </w:pPr>
      <w:r w:rsidRPr="00027945">
        <w:rPr>
          <w:iCs/>
          <w:lang w:bidi="fa-IR"/>
        </w:rPr>
        <w:t>Source: CIE</w:t>
      </w:r>
      <w:r w:rsidR="00184E9F">
        <w:rPr>
          <w:iCs/>
          <w:lang w:bidi="fa-IR"/>
        </w:rPr>
        <w:t>.</w:t>
      </w:r>
    </w:p>
    <w:p w14:paraId="6E6BC15D" w14:textId="77777777" w:rsidR="00951EBC" w:rsidRPr="00F4477B" w:rsidRDefault="00951EBC" w:rsidP="00F4477B">
      <w:pPr>
        <w:pStyle w:val="Heading3-Appendix"/>
      </w:pPr>
      <w:r w:rsidRPr="00F4477B">
        <w:t>Number of people with reduced quality of life due to inaccessible housing</w:t>
      </w:r>
    </w:p>
    <w:p w14:paraId="36E60C9D" w14:textId="77777777" w:rsidR="00951EBC" w:rsidRDefault="00554233" w:rsidP="00951EBC">
      <w:pPr>
        <w:pStyle w:val="BodyText"/>
        <w:rPr>
          <w:lang w:bidi="fa-IR"/>
        </w:rPr>
      </w:pPr>
      <w:r>
        <w:rPr>
          <w:lang w:bidi="fa-IR"/>
        </w:rPr>
        <w:t>T</w:t>
      </w:r>
      <w:r w:rsidR="00951EBC">
        <w:rPr>
          <w:lang w:bidi="fa-IR"/>
        </w:rPr>
        <w:t xml:space="preserve">he number of people who may be impacted by inaccessible housing </w:t>
      </w:r>
      <w:r>
        <w:rPr>
          <w:lang w:bidi="fa-IR"/>
        </w:rPr>
        <w:t xml:space="preserve">is derived </w:t>
      </w:r>
      <w:r w:rsidR="00951EBC">
        <w:rPr>
          <w:lang w:bidi="fa-IR"/>
        </w:rPr>
        <w:t>from SDAC data.</w:t>
      </w:r>
    </w:p>
    <w:p w14:paraId="327EB861" w14:textId="77777777" w:rsidR="00951EBC" w:rsidRDefault="00554233" w:rsidP="00951EBC">
      <w:pPr>
        <w:pStyle w:val="BodyText"/>
        <w:rPr>
          <w:lang w:bidi="fa-IR"/>
        </w:rPr>
      </w:pPr>
      <w:r>
        <w:rPr>
          <w:lang w:bidi="fa-IR"/>
        </w:rPr>
        <w:t>P</w:t>
      </w:r>
      <w:r w:rsidR="00951EBC">
        <w:rPr>
          <w:lang w:bidi="fa-IR"/>
        </w:rPr>
        <w:t xml:space="preserve">eople living in dwellings that have been modified to meet their accessibility needs </w:t>
      </w:r>
      <w:r>
        <w:rPr>
          <w:lang w:bidi="fa-IR"/>
        </w:rPr>
        <w:t>are excluded</w:t>
      </w:r>
      <w:r w:rsidR="00951EBC">
        <w:rPr>
          <w:lang w:bidi="fa-IR"/>
        </w:rPr>
        <w:t xml:space="preserve"> on the basis that their inclusion would risk double</w:t>
      </w:r>
      <w:r w:rsidR="00951EBC">
        <w:rPr>
          <w:lang w:bidi="fa-IR"/>
        </w:rPr>
        <w:noBreakHyphen/>
        <w:t>counting (i.e. the cost of the modifications have been included separately, and for those people the size of the problem is about the cost of modifying their homes rather than the poor quality of life).</w:t>
      </w:r>
    </w:p>
    <w:p w14:paraId="427436CE" w14:textId="0A59C0B7" w:rsidR="00951EBC" w:rsidRDefault="00951EBC" w:rsidP="00951EBC">
      <w:pPr>
        <w:pStyle w:val="BodyText"/>
        <w:rPr>
          <w:lang w:bidi="fa-IR"/>
        </w:rPr>
      </w:pPr>
      <w:r>
        <w:rPr>
          <w:lang w:bidi="fa-IR"/>
        </w:rPr>
        <w:t xml:space="preserve">The accessibility features are helpful for people who have difficulty with one or more relevant activities (i.e. mobility around the home, showering and bathing and toileting). </w:t>
      </w:r>
      <w:r w:rsidR="00A718EB">
        <w:rPr>
          <w:lang w:bidi="fa-IR"/>
        </w:rPr>
        <w:t xml:space="preserve">CIE </w:t>
      </w:r>
      <w:r>
        <w:rPr>
          <w:lang w:bidi="fa-IR"/>
        </w:rPr>
        <w:t>therefore use</w:t>
      </w:r>
      <w:r w:rsidR="00A718EB">
        <w:rPr>
          <w:lang w:bidi="fa-IR"/>
        </w:rPr>
        <w:t>s</w:t>
      </w:r>
      <w:r>
        <w:rPr>
          <w:lang w:bidi="fa-IR"/>
        </w:rPr>
        <w:t xml:space="preserve"> TableBuilder to identify the number of people that always require assistance with the activity, sometimes needs assistance, and do not need assistance but have difficulties. Using this approach, </w:t>
      </w:r>
      <w:r w:rsidR="00A718EB">
        <w:rPr>
          <w:lang w:bidi="fa-IR"/>
        </w:rPr>
        <w:t xml:space="preserve">it is </w:t>
      </w:r>
      <w:r>
        <w:rPr>
          <w:lang w:bidi="fa-IR"/>
        </w:rPr>
        <w:t>estimate</w:t>
      </w:r>
      <w:r w:rsidR="00A718EB">
        <w:rPr>
          <w:lang w:bidi="fa-IR"/>
        </w:rPr>
        <w:t>d</w:t>
      </w:r>
      <w:r>
        <w:rPr>
          <w:lang w:bidi="fa-IR"/>
        </w:rPr>
        <w:t xml:space="preserve"> that around 554 400 people could </w:t>
      </w:r>
      <w:r w:rsidR="008A0F72">
        <w:rPr>
          <w:lang w:bidi="fa-IR"/>
        </w:rPr>
        <w:t xml:space="preserve">experience </w:t>
      </w:r>
      <w:r>
        <w:rPr>
          <w:lang w:bidi="fa-IR"/>
        </w:rPr>
        <w:t>improve</w:t>
      </w:r>
      <w:r w:rsidR="008A0F72">
        <w:rPr>
          <w:lang w:bidi="fa-IR"/>
        </w:rPr>
        <w:t>d</w:t>
      </w:r>
      <w:r>
        <w:rPr>
          <w:lang w:bidi="fa-IR"/>
        </w:rPr>
        <w:t xml:space="preserve"> quality of life from accessible housing (table </w:t>
      </w:r>
      <w:r w:rsidR="00362332">
        <w:rPr>
          <w:lang w:bidi="fa-IR"/>
        </w:rPr>
        <w:t>I.2</w:t>
      </w:r>
      <w:r>
        <w:rPr>
          <w:lang w:bidi="fa-IR"/>
        </w:rPr>
        <w:t>).</w:t>
      </w:r>
    </w:p>
    <w:p w14:paraId="7F67674E" w14:textId="412C35DD" w:rsidR="00951EBC" w:rsidRDefault="00390CDB" w:rsidP="00951EBC">
      <w:pPr>
        <w:pStyle w:val="Caption"/>
      </w:pPr>
      <w:bookmarkStart w:id="849" w:name="_Toc55217255"/>
      <w:bookmarkStart w:id="850" w:name="_Toc57643710"/>
      <w:bookmarkStart w:id="851" w:name="_Toc70505664"/>
      <w:r>
        <w:t>I.2</w:t>
      </w:r>
      <w:r>
        <w:tab/>
      </w:r>
      <w:r w:rsidR="00951EBC">
        <w:t>Estimated number of people experiencing reduced quality of life</w:t>
      </w:r>
      <w:bookmarkEnd w:id="849"/>
      <w:bookmarkEnd w:id="850"/>
      <w:bookmarkEnd w:id="851"/>
    </w:p>
    <w:tbl>
      <w:tblPr>
        <w:tblW w:w="0" w:type="auto"/>
        <w:tblLayout w:type="fixed"/>
        <w:tblLook w:val="0000" w:firstRow="0" w:lastRow="0" w:firstColumn="0" w:lastColumn="0" w:noHBand="0" w:noVBand="0"/>
        <w:tblCaption w:val="Table I.2: Estimated number of people experiencing reduced quality of life"/>
        <w:tblDescription w:val="Table I.2 presents the estimated number of people experiencing reduced quality of life, listed by the level of assistance required (always, sometimes, does not need assistance but has difficulty). The total number of people experiencing reduced quality of life due to lack of accessible housing is 554,400."/>
      </w:tblPr>
      <w:tblGrid>
        <w:gridCol w:w="5943"/>
        <w:gridCol w:w="1994"/>
      </w:tblGrid>
      <w:tr w:rsidR="00951EBC" w14:paraId="77ADA1FD" w14:textId="77777777" w:rsidTr="00951EBC">
        <w:trPr>
          <w:trHeight w:val="245"/>
          <w:tblHeader/>
        </w:trPr>
        <w:tc>
          <w:tcPr>
            <w:tcW w:w="5943" w:type="dxa"/>
            <w:tcBorders>
              <w:bottom w:val="single" w:sz="8" w:space="0" w:color="FFFFFF" w:themeColor="background1"/>
            </w:tcBorders>
            <w:shd w:val="clear" w:color="auto" w:fill="6F6652"/>
            <w:tcMar>
              <w:left w:w="57" w:type="dxa"/>
              <w:right w:w="57" w:type="dxa"/>
            </w:tcMar>
          </w:tcPr>
          <w:p w14:paraId="3CF31FCF" w14:textId="77777777" w:rsidR="00951EBC" w:rsidRDefault="00951EBC" w:rsidP="00951EBC">
            <w:pPr>
              <w:pStyle w:val="TableDataColumnHeading"/>
              <w:jc w:val="left"/>
            </w:pPr>
          </w:p>
        </w:tc>
        <w:tc>
          <w:tcPr>
            <w:tcW w:w="1994" w:type="dxa"/>
            <w:tcBorders>
              <w:bottom w:val="single" w:sz="8" w:space="0" w:color="FFFFFF" w:themeColor="background1"/>
            </w:tcBorders>
            <w:shd w:val="clear" w:color="auto" w:fill="6F6652"/>
            <w:tcMar>
              <w:left w:w="57" w:type="dxa"/>
              <w:right w:w="57" w:type="dxa"/>
            </w:tcMar>
          </w:tcPr>
          <w:p w14:paraId="5618276F" w14:textId="77777777" w:rsidR="00951EBC" w:rsidRDefault="00951EBC" w:rsidP="00951EBC">
            <w:pPr>
              <w:pStyle w:val="TableDataColumnHeading"/>
            </w:pPr>
            <w:r>
              <w:t>Number ('000)</w:t>
            </w:r>
          </w:p>
        </w:tc>
      </w:tr>
      <w:tr w:rsidR="00951EBC" w14:paraId="3339914D" w14:textId="77777777" w:rsidTr="00951EBC">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C70DA" w14:textId="77777777" w:rsidR="00951EBC" w:rsidRDefault="00951EBC" w:rsidP="00951EBC">
            <w:pPr>
              <w:pStyle w:val="TableDataEntries"/>
              <w:jc w:val="left"/>
            </w:pPr>
            <w:r>
              <w:t>Always needs assistance with mobility around dwelling</w:t>
            </w:r>
            <w:bookmarkStart w:id="852" w:name="_Hlk56004282"/>
            <w:r>
              <w:t>, showering/bathing, or toileting</w:t>
            </w:r>
            <w:bookmarkEnd w:id="852"/>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F24478" w14:textId="77777777" w:rsidR="00951EBC" w:rsidRDefault="00951EBC" w:rsidP="00951EBC">
            <w:pPr>
              <w:pStyle w:val="TableDataEntries"/>
            </w:pPr>
            <w:r>
              <w:t xml:space="preserve"> 149.9</w:t>
            </w:r>
          </w:p>
        </w:tc>
      </w:tr>
      <w:tr w:rsidR="00951EBC" w14:paraId="1E758810" w14:textId="77777777" w:rsidTr="00951EBC">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880B6B" w14:textId="77777777" w:rsidR="00951EBC" w:rsidRDefault="00951EBC" w:rsidP="00951EBC">
            <w:pPr>
              <w:pStyle w:val="TableDataEntries"/>
              <w:jc w:val="left"/>
            </w:pPr>
            <w:r>
              <w:t>Sometimes needs assistance with showering and bathing, showering/bathing, or toileting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2AD68B" w14:textId="77777777" w:rsidR="00951EBC" w:rsidRDefault="00951EBC" w:rsidP="00951EBC">
            <w:pPr>
              <w:pStyle w:val="TableDataEntries"/>
            </w:pPr>
            <w:r>
              <w:t xml:space="preserve"> 171.7</w:t>
            </w:r>
          </w:p>
        </w:tc>
      </w:tr>
      <w:tr w:rsidR="00951EBC" w14:paraId="308FDE32" w14:textId="77777777" w:rsidTr="00951EBC">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F18124" w14:textId="77777777" w:rsidR="00951EBC" w:rsidRDefault="00951EBC" w:rsidP="00951EBC">
            <w:pPr>
              <w:pStyle w:val="TableDataEntries"/>
              <w:jc w:val="left"/>
            </w:pPr>
            <w:r>
              <w:t>Do not need assistance, but has difficulty</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F405D0" w14:textId="77777777" w:rsidR="00951EBC" w:rsidRDefault="00951EBC" w:rsidP="00951EBC">
            <w:pPr>
              <w:pStyle w:val="TableDataEntries"/>
            </w:pPr>
            <w:r>
              <w:t xml:space="preserve"> 232.8</w:t>
            </w:r>
          </w:p>
        </w:tc>
      </w:tr>
      <w:tr w:rsidR="00951EBC" w:rsidRPr="002C5B39" w14:paraId="0A6278B4" w14:textId="77777777" w:rsidTr="00951EBC">
        <w:trPr>
          <w:trHeight w:val="245"/>
        </w:trPr>
        <w:tc>
          <w:tcPr>
            <w:tcW w:w="59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A4BF1A4" w14:textId="77777777" w:rsidR="00951EBC" w:rsidRPr="002C5B39" w:rsidRDefault="00951EBC" w:rsidP="00951EBC">
            <w:pPr>
              <w:pStyle w:val="TableDataEntries"/>
              <w:jc w:val="left"/>
              <w:rPr>
                <w:rFonts w:ascii="Franklin Gothic Demi" w:hAnsi="Franklin Gothic Demi"/>
              </w:rPr>
            </w:pPr>
            <w:r w:rsidRPr="002C5B39">
              <w:rPr>
                <w:rFonts w:ascii="Franklin Gothic Demi" w:hAnsi="Franklin Gothic Demi"/>
              </w:rPr>
              <w:t>Total</w:t>
            </w:r>
          </w:p>
        </w:tc>
        <w:tc>
          <w:tcPr>
            <w:tcW w:w="19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81F35F" w14:textId="77777777" w:rsidR="00951EBC" w:rsidRPr="002C5B39" w:rsidRDefault="00951EBC" w:rsidP="00951EBC">
            <w:pPr>
              <w:pStyle w:val="TableDataEntries"/>
              <w:rPr>
                <w:rFonts w:ascii="Franklin Gothic Demi" w:hAnsi="Franklin Gothic Demi"/>
              </w:rPr>
            </w:pPr>
            <w:r>
              <w:rPr>
                <w:rFonts w:ascii="Franklin Gothic Demi" w:hAnsi="Franklin Gothic Demi"/>
              </w:rPr>
              <w:t>554</w:t>
            </w:r>
            <w:r w:rsidRPr="002C5B39">
              <w:rPr>
                <w:rFonts w:ascii="Franklin Gothic Demi" w:hAnsi="Franklin Gothic Demi"/>
              </w:rPr>
              <w:t>.</w:t>
            </w:r>
            <w:r>
              <w:rPr>
                <w:rFonts w:ascii="Franklin Gothic Demi" w:hAnsi="Franklin Gothic Demi"/>
              </w:rPr>
              <w:t>4</w:t>
            </w:r>
          </w:p>
        </w:tc>
      </w:tr>
    </w:tbl>
    <w:p w14:paraId="7EBD4829" w14:textId="77777777" w:rsidR="00951EBC" w:rsidRPr="00027945" w:rsidRDefault="00951EBC" w:rsidP="00951EBC">
      <w:pPr>
        <w:pStyle w:val="Source"/>
        <w:rPr>
          <w:iCs/>
          <w:lang w:bidi="fa-IR"/>
        </w:rPr>
      </w:pPr>
      <w:r w:rsidRPr="00027945">
        <w:rPr>
          <w:iCs/>
          <w:lang w:bidi="fa-IR"/>
        </w:rPr>
        <w:t>Source: ABS, 2018 Survey of Disabilities, Ageing and Carers, TableBuilder, CIE.</w:t>
      </w:r>
    </w:p>
    <w:p w14:paraId="3E8644A1" w14:textId="77777777" w:rsidR="00951EBC" w:rsidRPr="00F4477B" w:rsidRDefault="00951EBC" w:rsidP="00F4477B">
      <w:pPr>
        <w:pStyle w:val="Heading3-Appendix"/>
      </w:pPr>
      <w:r w:rsidRPr="00F4477B">
        <w:t>Quantifying quality of life impacts</w:t>
      </w:r>
    </w:p>
    <w:p w14:paraId="4003B885" w14:textId="6FED993A" w:rsidR="00951EBC" w:rsidRDefault="00695A92" w:rsidP="00951EBC">
      <w:pPr>
        <w:pStyle w:val="BodyText"/>
        <w:rPr>
          <w:lang w:eastAsia="en-US"/>
        </w:rPr>
      </w:pPr>
      <w:r>
        <w:rPr>
          <w:lang w:eastAsia="en-US"/>
        </w:rPr>
        <w:t xml:space="preserve">The </w:t>
      </w:r>
      <w:r w:rsidR="00632023">
        <w:rPr>
          <w:lang w:eastAsia="en-US"/>
        </w:rPr>
        <w:t>stated preference</w:t>
      </w:r>
      <w:r w:rsidR="0081659D">
        <w:rPr>
          <w:lang w:eastAsia="en-US"/>
        </w:rPr>
        <w:t xml:space="preserve"> survey and analysis are household based. </w:t>
      </w:r>
      <w:r w:rsidR="00951EBC">
        <w:rPr>
          <w:lang w:eastAsia="en-US"/>
        </w:rPr>
        <w:t>Assuming that each household has only one person with difficulties in these activities, it is estimated that the total benefit of making their home accessible could be between $1.1 billion and $1.9 billion per year (table </w:t>
      </w:r>
      <w:r w:rsidR="00362332">
        <w:rPr>
          <w:lang w:eastAsia="en-US"/>
        </w:rPr>
        <w:t>I.3</w:t>
      </w:r>
      <w:r w:rsidR="00951EBC">
        <w:rPr>
          <w:lang w:eastAsia="en-US"/>
        </w:rPr>
        <w:t>).</w:t>
      </w:r>
    </w:p>
    <w:p w14:paraId="69CA8C99" w14:textId="0A51B32A" w:rsidR="00951EBC" w:rsidRDefault="00390CDB" w:rsidP="00951EBC">
      <w:pPr>
        <w:pStyle w:val="Caption"/>
      </w:pPr>
      <w:bookmarkStart w:id="853" w:name="_Toc57643711"/>
      <w:bookmarkStart w:id="854" w:name="_Toc70505665"/>
      <w:r>
        <w:t>I.3</w:t>
      </w:r>
      <w:r w:rsidR="00951EBC" w:rsidRPr="00695C93">
        <w:tab/>
      </w:r>
      <w:r w:rsidR="00951EBC">
        <w:t>W</w:t>
      </w:r>
      <w:r w:rsidR="00D97357">
        <w:t>illingness to pay for accessible</w:t>
      </w:r>
      <w:r w:rsidR="00951EBC">
        <w:t xml:space="preserve"> housing</w:t>
      </w:r>
      <w:bookmarkEnd w:id="853"/>
      <w:bookmarkEnd w:id="854"/>
    </w:p>
    <w:tbl>
      <w:tblPr>
        <w:tblW w:w="7937" w:type="dxa"/>
        <w:tblLook w:val="04A0" w:firstRow="1" w:lastRow="0" w:firstColumn="1" w:lastColumn="0" w:noHBand="0" w:noVBand="1"/>
        <w:tblCaption w:val="Table I.3: Willingness to pay for accessibly housing"/>
        <w:tblDescription w:val="Table I.3 shows the willingness to pay for accessible housing to Silver and Gold standards, and the number of households impacted. The total impact for Silver standard is estimated at $1,063,900, and $1,913,200 for Gold standard."/>
      </w:tblPr>
      <w:tblGrid>
        <w:gridCol w:w="4937"/>
        <w:gridCol w:w="1500"/>
        <w:gridCol w:w="1500"/>
      </w:tblGrid>
      <w:tr w:rsidR="00951EBC" w:rsidRPr="000D243D" w14:paraId="1C35940C" w14:textId="77777777" w:rsidTr="00951EBC">
        <w:trPr>
          <w:trHeight w:val="252"/>
        </w:trPr>
        <w:tc>
          <w:tcPr>
            <w:tcW w:w="4937" w:type="dxa"/>
            <w:tcBorders>
              <w:bottom w:val="single" w:sz="8" w:space="0" w:color="FFFFFF" w:themeColor="background1"/>
            </w:tcBorders>
            <w:shd w:val="clear" w:color="auto" w:fill="6F6652"/>
            <w:noWrap/>
            <w:tcMar>
              <w:left w:w="57" w:type="dxa"/>
              <w:right w:w="57" w:type="dxa"/>
            </w:tcMar>
            <w:hideMark/>
          </w:tcPr>
          <w:p w14:paraId="1A80B1F6" w14:textId="77777777" w:rsidR="00951EBC" w:rsidRPr="000D243D" w:rsidRDefault="00951EBC" w:rsidP="00951EBC">
            <w:pPr>
              <w:pStyle w:val="TableDataColumnHeading"/>
              <w:jc w:val="left"/>
            </w:pPr>
          </w:p>
        </w:tc>
        <w:tc>
          <w:tcPr>
            <w:tcW w:w="1500" w:type="dxa"/>
            <w:tcBorders>
              <w:bottom w:val="single" w:sz="8" w:space="0" w:color="FFFFFF" w:themeColor="background1"/>
            </w:tcBorders>
            <w:shd w:val="clear" w:color="auto" w:fill="6F6652"/>
            <w:noWrap/>
            <w:tcMar>
              <w:left w:w="57" w:type="dxa"/>
              <w:right w:w="57" w:type="dxa"/>
            </w:tcMar>
            <w:hideMark/>
          </w:tcPr>
          <w:p w14:paraId="5637DED1" w14:textId="77777777" w:rsidR="00951EBC" w:rsidRPr="000D243D" w:rsidRDefault="00951EBC" w:rsidP="00951EBC">
            <w:pPr>
              <w:pStyle w:val="TableDataColumnHeading"/>
              <w:rPr>
                <w:szCs w:val="16"/>
              </w:rPr>
            </w:pPr>
            <w:r w:rsidRPr="000D243D">
              <w:rPr>
                <w:szCs w:val="16"/>
              </w:rPr>
              <w:t>Silver</w:t>
            </w:r>
          </w:p>
        </w:tc>
        <w:tc>
          <w:tcPr>
            <w:tcW w:w="1500" w:type="dxa"/>
            <w:tcBorders>
              <w:bottom w:val="single" w:sz="8" w:space="0" w:color="FFFFFF" w:themeColor="background1"/>
            </w:tcBorders>
            <w:shd w:val="clear" w:color="auto" w:fill="6F6652"/>
            <w:noWrap/>
            <w:tcMar>
              <w:left w:w="57" w:type="dxa"/>
              <w:right w:w="57" w:type="dxa"/>
            </w:tcMar>
            <w:hideMark/>
          </w:tcPr>
          <w:p w14:paraId="386BD776" w14:textId="77777777" w:rsidR="00951EBC" w:rsidRPr="000D243D" w:rsidRDefault="00951EBC" w:rsidP="00951EBC">
            <w:pPr>
              <w:pStyle w:val="TableDataColumnHeading"/>
              <w:rPr>
                <w:szCs w:val="16"/>
              </w:rPr>
            </w:pPr>
            <w:r w:rsidRPr="000D243D">
              <w:rPr>
                <w:szCs w:val="16"/>
              </w:rPr>
              <w:t>Gold</w:t>
            </w:r>
          </w:p>
        </w:tc>
      </w:tr>
      <w:tr w:rsidR="00951EBC" w:rsidRPr="000D243D" w14:paraId="1CCCF45A" w14:textId="77777777" w:rsidTr="00951EBC">
        <w:trPr>
          <w:trHeight w:val="252"/>
        </w:trPr>
        <w:tc>
          <w:tcPr>
            <w:tcW w:w="49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7D6374" w14:textId="77777777" w:rsidR="00951EBC" w:rsidRPr="000D243D" w:rsidRDefault="00951EBC" w:rsidP="00951EBC">
            <w:pPr>
              <w:pStyle w:val="TableDataEntries"/>
              <w:jc w:val="left"/>
            </w:pPr>
            <w:r w:rsidRPr="000D243D">
              <w:t>WTP ($ per year per household)</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5D43D7" w14:textId="77777777" w:rsidR="00951EBC" w:rsidRPr="000D243D" w:rsidRDefault="00951EBC" w:rsidP="00951EBC">
            <w:pPr>
              <w:pStyle w:val="TableDataEntries"/>
            </w:pPr>
            <w:r w:rsidRPr="000D243D">
              <w:t>1,919.0</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005BC3" w14:textId="77777777" w:rsidR="00951EBC" w:rsidRPr="000D243D" w:rsidRDefault="00951EBC" w:rsidP="00951EBC">
            <w:pPr>
              <w:pStyle w:val="TableDataEntries"/>
            </w:pPr>
            <w:r w:rsidRPr="000D243D">
              <w:t>3,451.0</w:t>
            </w:r>
          </w:p>
        </w:tc>
      </w:tr>
      <w:tr w:rsidR="00951EBC" w:rsidRPr="000D243D" w14:paraId="5EFCD582" w14:textId="77777777" w:rsidTr="00951EBC">
        <w:trPr>
          <w:trHeight w:val="252"/>
        </w:trPr>
        <w:tc>
          <w:tcPr>
            <w:tcW w:w="49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C6D01F" w14:textId="77777777" w:rsidR="00951EBC" w:rsidRPr="000D243D" w:rsidRDefault="00951EBC" w:rsidP="00951EBC">
            <w:pPr>
              <w:pStyle w:val="TableDataEntries"/>
              <w:jc w:val="left"/>
            </w:pPr>
            <w:r w:rsidRPr="000D243D">
              <w:t>Number of households impacted ('000)</w:t>
            </w:r>
            <w:r w:rsidRPr="00E4232C">
              <w:rPr>
                <w:rStyle w:val="NoteLabel"/>
              </w:rPr>
              <w:t xml:space="preserve"> a</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2B34A4" w14:textId="77777777" w:rsidR="00951EBC" w:rsidRPr="000D243D" w:rsidRDefault="00951EBC" w:rsidP="00951EBC">
            <w:pPr>
              <w:pStyle w:val="TableDataEntries"/>
            </w:pPr>
            <w:r w:rsidRPr="000D243D">
              <w:t>554.4</w:t>
            </w:r>
          </w:p>
        </w:tc>
        <w:tc>
          <w:tcPr>
            <w:tcW w:w="150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8F4953" w14:textId="77777777" w:rsidR="00951EBC" w:rsidRPr="000D243D" w:rsidRDefault="00951EBC" w:rsidP="00951EBC">
            <w:pPr>
              <w:pStyle w:val="TableDataEntries"/>
            </w:pPr>
            <w:r w:rsidRPr="000D243D">
              <w:t>554.4</w:t>
            </w:r>
          </w:p>
        </w:tc>
      </w:tr>
      <w:tr w:rsidR="00951EBC" w:rsidRPr="000D243D" w14:paraId="536AAF3E" w14:textId="77777777" w:rsidTr="00951EBC">
        <w:trPr>
          <w:trHeight w:val="252"/>
        </w:trPr>
        <w:tc>
          <w:tcPr>
            <w:tcW w:w="493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497CCB2" w14:textId="77777777" w:rsidR="00951EBC" w:rsidRPr="000D243D" w:rsidRDefault="00951EBC" w:rsidP="00951EBC">
            <w:pPr>
              <w:pStyle w:val="TableDataEntries"/>
              <w:jc w:val="left"/>
              <w:rPr>
                <w:rFonts w:ascii="Franklin Gothic Demi" w:hAnsi="Franklin Gothic Demi"/>
              </w:rPr>
            </w:pPr>
            <w:r w:rsidRPr="000D243D">
              <w:rPr>
                <w:rFonts w:ascii="Franklin Gothic Demi" w:hAnsi="Franklin Gothic Demi"/>
              </w:rPr>
              <w:t>Total impact ($ million)</w:t>
            </w:r>
          </w:p>
        </w:tc>
        <w:tc>
          <w:tcPr>
            <w:tcW w:w="150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E9494CA" w14:textId="77777777" w:rsidR="00951EBC" w:rsidRPr="000D243D" w:rsidRDefault="00951EBC" w:rsidP="00951EBC">
            <w:pPr>
              <w:pStyle w:val="TableDataEntries"/>
              <w:rPr>
                <w:rFonts w:ascii="Franklin Gothic Demi" w:hAnsi="Franklin Gothic Demi"/>
              </w:rPr>
            </w:pPr>
            <w:r w:rsidRPr="000D243D">
              <w:rPr>
                <w:rFonts w:ascii="Franklin Gothic Demi" w:hAnsi="Franklin Gothic Demi"/>
              </w:rPr>
              <w:t>1,063.9</w:t>
            </w:r>
          </w:p>
        </w:tc>
        <w:tc>
          <w:tcPr>
            <w:tcW w:w="150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51CF833" w14:textId="77777777" w:rsidR="00951EBC" w:rsidRPr="000D243D" w:rsidRDefault="00951EBC" w:rsidP="00951EBC">
            <w:pPr>
              <w:pStyle w:val="TableDataEntries"/>
              <w:rPr>
                <w:rFonts w:ascii="Franklin Gothic Demi" w:hAnsi="Franklin Gothic Demi"/>
              </w:rPr>
            </w:pPr>
            <w:r w:rsidRPr="000D243D">
              <w:rPr>
                <w:rFonts w:ascii="Franklin Gothic Demi" w:hAnsi="Franklin Gothic Demi"/>
              </w:rPr>
              <w:t>1,913.2</w:t>
            </w:r>
          </w:p>
        </w:tc>
      </w:tr>
    </w:tbl>
    <w:p w14:paraId="3ED1BAE2" w14:textId="77777777" w:rsidR="00951EBC" w:rsidRPr="00E4232C" w:rsidRDefault="00951EBC" w:rsidP="00951EBC">
      <w:pPr>
        <w:pStyle w:val="Note"/>
      </w:pPr>
      <w:r w:rsidRPr="00E4232C">
        <w:rPr>
          <w:rStyle w:val="NoteLabel"/>
        </w:rPr>
        <w:t>a</w:t>
      </w:r>
      <w:r>
        <w:t xml:space="preserve"> Assuming each household has only one family member having difficulty in moving about home, toileting or showering</w:t>
      </w:r>
    </w:p>
    <w:p w14:paraId="0EFB5662" w14:textId="77777777" w:rsidR="00951EBC" w:rsidRPr="00027945" w:rsidRDefault="00951EBC" w:rsidP="00951EBC">
      <w:pPr>
        <w:pStyle w:val="Source"/>
        <w:rPr>
          <w:iCs/>
        </w:rPr>
      </w:pPr>
      <w:r w:rsidRPr="00027945">
        <w:rPr>
          <w:iCs/>
        </w:rPr>
        <w:t>Source: CIE estimates based on WTP survey and SDAC data</w:t>
      </w:r>
    </w:p>
    <w:p w14:paraId="5B2D9EC1" w14:textId="33AFD835" w:rsidR="00951EBC" w:rsidRDefault="00951EBC" w:rsidP="00951EBC">
      <w:pPr>
        <w:pStyle w:val="BodyText"/>
        <w:rPr>
          <w:lang w:eastAsia="en-US"/>
        </w:rPr>
      </w:pPr>
      <w:r>
        <w:rPr>
          <w:lang w:eastAsia="en-US"/>
        </w:rPr>
        <w:t xml:space="preserve">It should be noted that this estimate of WTP for accessible housing includes a </w:t>
      </w:r>
      <w:r w:rsidR="00694D7C">
        <w:rPr>
          <w:lang w:eastAsia="en-US"/>
        </w:rPr>
        <w:t xml:space="preserve">range </w:t>
      </w:r>
      <w:r>
        <w:rPr>
          <w:lang w:eastAsia="en-US"/>
        </w:rPr>
        <w:t xml:space="preserve">of impacts which have </w:t>
      </w:r>
      <w:r w:rsidR="00695A92">
        <w:rPr>
          <w:lang w:eastAsia="en-US"/>
        </w:rPr>
        <w:t xml:space="preserve">been </w:t>
      </w:r>
      <w:r>
        <w:rPr>
          <w:lang w:eastAsia="en-US"/>
        </w:rPr>
        <w:t>identified and quantified separately</w:t>
      </w:r>
      <w:r w:rsidR="00694D7C">
        <w:rPr>
          <w:lang w:eastAsia="en-US"/>
        </w:rPr>
        <w:t xml:space="preserve"> to avoid overlapping</w:t>
      </w:r>
      <w:r>
        <w:rPr>
          <w:lang w:eastAsia="en-US"/>
        </w:rPr>
        <w:t>. For example, as suggested by Dalton and Carter in their supplementary report, private</w:t>
      </w:r>
      <w:r w:rsidR="002E33C8">
        <w:rPr>
          <w:lang w:eastAsia="en-US"/>
        </w:rPr>
        <w:t>ly</w:t>
      </w:r>
      <w:r>
        <w:rPr>
          <w:lang w:eastAsia="en-US"/>
        </w:rPr>
        <w:t xml:space="preserve"> borne costs and inconvenience (or disutility) such as cost</w:t>
      </w:r>
      <w:r w:rsidR="00181C7C">
        <w:rPr>
          <w:lang w:eastAsia="en-US"/>
        </w:rPr>
        <w:t>s</w:t>
      </w:r>
      <w:r>
        <w:rPr>
          <w:lang w:eastAsia="en-US"/>
        </w:rPr>
        <w:t xml:space="preserve"> associated with loneliness, care related costs, home modifications and moving may overlap with the WTP estimates.</w:t>
      </w:r>
      <w:r>
        <w:rPr>
          <w:rStyle w:val="FootnoteReference"/>
          <w:lang w:eastAsia="en-US"/>
        </w:rPr>
        <w:footnoteReference w:id="521"/>
      </w:r>
      <w:r>
        <w:rPr>
          <w:lang w:eastAsia="en-US"/>
        </w:rPr>
        <w:t xml:space="preserve"> These items amount to $1.</w:t>
      </w:r>
      <w:r w:rsidR="000D446A">
        <w:rPr>
          <w:lang w:eastAsia="en-US"/>
        </w:rPr>
        <w:t>6</w:t>
      </w:r>
      <w:r>
        <w:rPr>
          <w:lang w:eastAsia="en-US"/>
        </w:rPr>
        <w:t xml:space="preserve"> billion and $1.</w:t>
      </w:r>
      <w:r w:rsidR="00E333AD">
        <w:rPr>
          <w:lang w:eastAsia="en-US"/>
        </w:rPr>
        <w:t xml:space="preserve">9 </w:t>
      </w:r>
      <w:r>
        <w:rPr>
          <w:lang w:eastAsia="en-US"/>
        </w:rPr>
        <w:t>billion per year (</w:t>
      </w:r>
      <w:r w:rsidRPr="009B700D">
        <w:rPr>
          <w:lang w:eastAsia="en-US"/>
        </w:rPr>
        <w:t>see table</w:t>
      </w:r>
      <w:r>
        <w:rPr>
          <w:lang w:eastAsia="en-US"/>
        </w:rPr>
        <w:t> </w:t>
      </w:r>
      <w:r w:rsidR="00362332">
        <w:rPr>
          <w:lang w:eastAsia="en-US"/>
        </w:rPr>
        <w:t>I.4</w:t>
      </w:r>
      <w:r>
        <w:rPr>
          <w:lang w:eastAsia="en-US"/>
        </w:rPr>
        <w:t>), implying there is no additional quality of life impact.</w:t>
      </w:r>
    </w:p>
    <w:p w14:paraId="003031F3" w14:textId="0C192678" w:rsidR="00951EBC" w:rsidRDefault="00390CDB" w:rsidP="00951EBC">
      <w:pPr>
        <w:pStyle w:val="Caption"/>
      </w:pPr>
      <w:bookmarkStart w:id="855" w:name="_Toc57643712"/>
      <w:bookmarkStart w:id="856" w:name="_Toc70505666"/>
      <w:r>
        <w:t>I.4</w:t>
      </w:r>
      <w:r w:rsidR="00951EBC" w:rsidRPr="00695C93">
        <w:tab/>
      </w:r>
      <w:r w:rsidR="00951EBC">
        <w:t>Private cost due to inaccessibility</w:t>
      </w:r>
      <w:bookmarkEnd w:id="855"/>
      <w:bookmarkEnd w:id="856"/>
    </w:p>
    <w:tbl>
      <w:tblPr>
        <w:tblW w:w="7937" w:type="dxa"/>
        <w:tblLook w:val="04A0" w:firstRow="1" w:lastRow="0" w:firstColumn="1" w:lastColumn="0" w:noHBand="0" w:noVBand="1"/>
        <w:tblCaption w:val="Table I.4: Private cost due to inaccessibility"/>
        <w:tblDescription w:val="Table I.4 presents the private cost due to inaccessibility, listing low, central and high estimates for costs associated with being unable to visit, home modification costs, informal carer related costs, and the cost of moving. The total costs range from $1,628,800,000 to $1,879,980,000."/>
      </w:tblPr>
      <w:tblGrid>
        <w:gridCol w:w="4262"/>
        <w:gridCol w:w="1225"/>
        <w:gridCol w:w="1225"/>
        <w:gridCol w:w="1225"/>
      </w:tblGrid>
      <w:tr w:rsidR="00951EBC" w:rsidRPr="00C362CE" w14:paraId="12D8296C" w14:textId="77777777" w:rsidTr="00951EBC">
        <w:trPr>
          <w:trHeight w:val="252"/>
        </w:trPr>
        <w:tc>
          <w:tcPr>
            <w:tcW w:w="4262" w:type="dxa"/>
            <w:shd w:val="clear" w:color="auto" w:fill="6F6652"/>
            <w:noWrap/>
            <w:tcMar>
              <w:left w:w="57" w:type="dxa"/>
              <w:right w:w="57" w:type="dxa"/>
            </w:tcMar>
            <w:hideMark/>
          </w:tcPr>
          <w:p w14:paraId="53F8F6F7" w14:textId="77777777" w:rsidR="00951EBC" w:rsidRPr="00C362CE" w:rsidRDefault="00951EBC" w:rsidP="00951EBC">
            <w:pPr>
              <w:pStyle w:val="TableDataColumnHeading"/>
              <w:jc w:val="left"/>
            </w:pPr>
          </w:p>
        </w:tc>
        <w:tc>
          <w:tcPr>
            <w:tcW w:w="1225" w:type="dxa"/>
            <w:shd w:val="clear" w:color="auto" w:fill="6F6652"/>
            <w:noWrap/>
            <w:tcMar>
              <w:left w:w="57" w:type="dxa"/>
              <w:right w:w="57" w:type="dxa"/>
            </w:tcMar>
            <w:hideMark/>
          </w:tcPr>
          <w:p w14:paraId="11274AB6" w14:textId="77777777" w:rsidR="00951EBC" w:rsidRPr="00C362CE" w:rsidRDefault="00951EBC" w:rsidP="00951EBC">
            <w:pPr>
              <w:pStyle w:val="TableDataColumnHeading"/>
              <w:rPr>
                <w:szCs w:val="16"/>
              </w:rPr>
            </w:pPr>
            <w:r>
              <w:rPr>
                <w:szCs w:val="16"/>
              </w:rPr>
              <w:t>L</w:t>
            </w:r>
            <w:r w:rsidRPr="00C362CE">
              <w:rPr>
                <w:szCs w:val="16"/>
              </w:rPr>
              <w:t>ow</w:t>
            </w:r>
          </w:p>
        </w:tc>
        <w:tc>
          <w:tcPr>
            <w:tcW w:w="1225" w:type="dxa"/>
            <w:shd w:val="clear" w:color="auto" w:fill="6F6652"/>
            <w:noWrap/>
            <w:tcMar>
              <w:left w:w="57" w:type="dxa"/>
              <w:right w:w="57" w:type="dxa"/>
            </w:tcMar>
            <w:hideMark/>
          </w:tcPr>
          <w:p w14:paraId="2B69D5FA" w14:textId="77777777" w:rsidR="00951EBC" w:rsidRPr="00C362CE" w:rsidRDefault="00951EBC" w:rsidP="00951EBC">
            <w:pPr>
              <w:pStyle w:val="TableDataColumnHeading"/>
              <w:rPr>
                <w:szCs w:val="16"/>
              </w:rPr>
            </w:pPr>
            <w:r>
              <w:rPr>
                <w:szCs w:val="16"/>
              </w:rPr>
              <w:t>C</w:t>
            </w:r>
            <w:r w:rsidRPr="00C362CE">
              <w:rPr>
                <w:szCs w:val="16"/>
              </w:rPr>
              <w:t>entral</w:t>
            </w:r>
          </w:p>
        </w:tc>
        <w:tc>
          <w:tcPr>
            <w:tcW w:w="1225" w:type="dxa"/>
            <w:shd w:val="clear" w:color="auto" w:fill="6F6652"/>
            <w:noWrap/>
            <w:tcMar>
              <w:left w:w="57" w:type="dxa"/>
              <w:right w:w="57" w:type="dxa"/>
            </w:tcMar>
            <w:hideMark/>
          </w:tcPr>
          <w:p w14:paraId="16429198" w14:textId="77777777" w:rsidR="00951EBC" w:rsidRPr="00C362CE" w:rsidRDefault="00951EBC" w:rsidP="00951EBC">
            <w:pPr>
              <w:pStyle w:val="TableDataColumnHeading"/>
              <w:rPr>
                <w:szCs w:val="16"/>
              </w:rPr>
            </w:pPr>
            <w:r>
              <w:rPr>
                <w:szCs w:val="16"/>
              </w:rPr>
              <w:t>H</w:t>
            </w:r>
            <w:r w:rsidRPr="00C362CE">
              <w:rPr>
                <w:szCs w:val="16"/>
              </w:rPr>
              <w:t>igh</w:t>
            </w:r>
          </w:p>
        </w:tc>
      </w:tr>
      <w:tr w:rsidR="00951EBC" w:rsidRPr="00C362CE" w14:paraId="3ACB6FCB" w14:textId="77777777" w:rsidTr="00951EBC">
        <w:trPr>
          <w:trHeight w:val="252"/>
        </w:trPr>
        <w:tc>
          <w:tcPr>
            <w:tcW w:w="4262" w:type="dxa"/>
            <w:tcBorders>
              <w:bottom w:val="single" w:sz="8" w:space="0" w:color="FFFFFF" w:themeColor="background1"/>
            </w:tcBorders>
            <w:shd w:val="clear" w:color="auto" w:fill="auto"/>
            <w:noWrap/>
            <w:tcMar>
              <w:left w:w="57" w:type="dxa"/>
              <w:right w:w="57" w:type="dxa"/>
            </w:tcMar>
            <w:hideMark/>
          </w:tcPr>
          <w:p w14:paraId="09B9C65D" w14:textId="77777777" w:rsidR="00951EBC" w:rsidRPr="00C362CE" w:rsidRDefault="00951EBC" w:rsidP="00951EBC">
            <w:pPr>
              <w:pStyle w:val="TableUnit"/>
              <w:jc w:val="left"/>
            </w:pPr>
          </w:p>
        </w:tc>
        <w:tc>
          <w:tcPr>
            <w:tcW w:w="1225" w:type="dxa"/>
            <w:tcBorders>
              <w:bottom w:val="single" w:sz="8" w:space="0" w:color="FFFFFF" w:themeColor="background1"/>
            </w:tcBorders>
            <w:shd w:val="clear" w:color="auto" w:fill="auto"/>
            <w:noWrap/>
            <w:tcMar>
              <w:left w:w="57" w:type="dxa"/>
              <w:right w:w="57" w:type="dxa"/>
            </w:tcMar>
            <w:hideMark/>
          </w:tcPr>
          <w:p w14:paraId="36FBA51E" w14:textId="77777777" w:rsidR="00951EBC" w:rsidRPr="00C362CE" w:rsidRDefault="00951EBC" w:rsidP="00951EBC">
            <w:pPr>
              <w:pStyle w:val="TableUnit"/>
            </w:pPr>
            <w:r w:rsidRPr="00C362CE">
              <w:t>$m</w:t>
            </w:r>
          </w:p>
        </w:tc>
        <w:tc>
          <w:tcPr>
            <w:tcW w:w="1225" w:type="dxa"/>
            <w:tcBorders>
              <w:bottom w:val="single" w:sz="8" w:space="0" w:color="FFFFFF" w:themeColor="background1"/>
            </w:tcBorders>
            <w:shd w:val="clear" w:color="auto" w:fill="auto"/>
            <w:noWrap/>
            <w:tcMar>
              <w:left w:w="57" w:type="dxa"/>
              <w:right w:w="57" w:type="dxa"/>
            </w:tcMar>
            <w:hideMark/>
          </w:tcPr>
          <w:p w14:paraId="6EFA46BD" w14:textId="77777777" w:rsidR="00951EBC" w:rsidRPr="00C362CE" w:rsidRDefault="00951EBC" w:rsidP="00951EBC">
            <w:pPr>
              <w:pStyle w:val="TableUnit"/>
            </w:pPr>
            <w:r w:rsidRPr="00C362CE">
              <w:t>$m</w:t>
            </w:r>
          </w:p>
        </w:tc>
        <w:tc>
          <w:tcPr>
            <w:tcW w:w="1225" w:type="dxa"/>
            <w:tcBorders>
              <w:bottom w:val="single" w:sz="8" w:space="0" w:color="FFFFFF" w:themeColor="background1"/>
            </w:tcBorders>
            <w:shd w:val="clear" w:color="auto" w:fill="auto"/>
            <w:noWrap/>
            <w:tcMar>
              <w:left w:w="57" w:type="dxa"/>
              <w:right w:w="57" w:type="dxa"/>
            </w:tcMar>
            <w:hideMark/>
          </w:tcPr>
          <w:p w14:paraId="1278AE82" w14:textId="77777777" w:rsidR="00951EBC" w:rsidRPr="00C362CE" w:rsidRDefault="00951EBC" w:rsidP="00951EBC">
            <w:pPr>
              <w:pStyle w:val="TableUnit"/>
            </w:pPr>
            <w:r w:rsidRPr="00C362CE">
              <w:t>$m</w:t>
            </w:r>
          </w:p>
        </w:tc>
      </w:tr>
      <w:tr w:rsidR="005C2D42" w:rsidRPr="00C362CE" w14:paraId="2B130DCD" w14:textId="77777777" w:rsidTr="007C147A">
        <w:trPr>
          <w:trHeight w:val="252"/>
        </w:trPr>
        <w:tc>
          <w:tcPr>
            <w:tcW w:w="42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8C8BED" w14:textId="77777777" w:rsidR="005C2D42" w:rsidRPr="00C362CE" w:rsidRDefault="005C2D42" w:rsidP="005C2D42">
            <w:pPr>
              <w:pStyle w:val="TableDataEntries"/>
              <w:jc w:val="left"/>
            </w:pPr>
            <w:r>
              <w:t>C</w:t>
            </w:r>
            <w:r w:rsidRPr="00C362CE">
              <w:t xml:space="preserve">osts associated with </w:t>
            </w:r>
            <w:r>
              <w:t>unable to visit</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E0BA06" w14:textId="77777777" w:rsidR="005C2D42" w:rsidRPr="00C362CE" w:rsidRDefault="005C2D42" w:rsidP="005C2D42">
            <w:pPr>
              <w:pStyle w:val="TableDataEntries"/>
            </w:pPr>
            <w:r>
              <w:rPr>
                <w:szCs w:val="16"/>
              </w:rPr>
              <w:t>35.7</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4D3120" w14:textId="77777777" w:rsidR="005C2D42" w:rsidRPr="00C362CE" w:rsidRDefault="005C2D42" w:rsidP="005C2D42">
            <w:pPr>
              <w:pStyle w:val="TableDataEntries"/>
            </w:pPr>
            <w:r>
              <w:rPr>
                <w:szCs w:val="16"/>
              </w:rPr>
              <w:t>80.9</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627444" w14:textId="77777777" w:rsidR="005C2D42" w:rsidRPr="00C362CE" w:rsidRDefault="005C2D42" w:rsidP="005C2D42">
            <w:pPr>
              <w:pStyle w:val="TableDataEntries"/>
            </w:pPr>
            <w:r>
              <w:rPr>
                <w:szCs w:val="16"/>
              </w:rPr>
              <w:t>126.1</w:t>
            </w:r>
          </w:p>
        </w:tc>
      </w:tr>
      <w:tr w:rsidR="00951EBC" w:rsidRPr="00C362CE" w14:paraId="2B35E993" w14:textId="77777777" w:rsidTr="00951EBC">
        <w:trPr>
          <w:trHeight w:val="252"/>
        </w:trPr>
        <w:tc>
          <w:tcPr>
            <w:tcW w:w="42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0534B0" w14:textId="77777777" w:rsidR="00951EBC" w:rsidRPr="00C362CE" w:rsidRDefault="005C2D42" w:rsidP="00951EBC">
            <w:pPr>
              <w:pStyle w:val="TableDataEntries"/>
              <w:jc w:val="left"/>
            </w:pPr>
            <w:r>
              <w:t>H</w:t>
            </w:r>
            <w:r w:rsidR="00951EBC" w:rsidRPr="00C362CE">
              <w:t>ome modification</w:t>
            </w:r>
            <w:r>
              <w:t xml:space="preserve"> cost</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C2F4CB" w14:textId="77777777" w:rsidR="00951EBC" w:rsidRPr="00C362CE" w:rsidRDefault="00951EBC" w:rsidP="00951EBC">
            <w:pPr>
              <w:pStyle w:val="TableDataEntries"/>
            </w:pPr>
            <w:r w:rsidRPr="00C362CE">
              <w:t>599.6</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35D3B4" w14:textId="77777777" w:rsidR="00951EBC" w:rsidRPr="00C362CE" w:rsidRDefault="00951EBC" w:rsidP="00951EBC">
            <w:pPr>
              <w:pStyle w:val="TableDataEntries"/>
            </w:pPr>
            <w:r w:rsidRPr="00C362CE">
              <w:t>599.6</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0796ED" w14:textId="77777777" w:rsidR="00951EBC" w:rsidRPr="00C362CE" w:rsidRDefault="00951EBC" w:rsidP="00951EBC">
            <w:pPr>
              <w:pStyle w:val="TableDataEntries"/>
            </w:pPr>
            <w:r w:rsidRPr="00C362CE">
              <w:t>599.6</w:t>
            </w:r>
          </w:p>
        </w:tc>
      </w:tr>
      <w:tr w:rsidR="005C2D42" w:rsidRPr="00C362CE" w14:paraId="5190632A" w14:textId="77777777" w:rsidTr="007C147A">
        <w:trPr>
          <w:trHeight w:val="252"/>
        </w:trPr>
        <w:tc>
          <w:tcPr>
            <w:tcW w:w="42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4E8052" w14:textId="77777777" w:rsidR="005C2D42" w:rsidRPr="00C362CE" w:rsidRDefault="005C2D42" w:rsidP="005C2D42">
            <w:pPr>
              <w:pStyle w:val="TableDataEntries"/>
              <w:jc w:val="left"/>
            </w:pPr>
            <w:r>
              <w:t>Informal</w:t>
            </w:r>
            <w:r w:rsidRPr="00C362CE">
              <w:t xml:space="preserve"> carer related costs</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9DB46A" w14:textId="77777777" w:rsidR="005C2D42" w:rsidRPr="00C362CE" w:rsidRDefault="005C2D42" w:rsidP="005C2D42">
            <w:pPr>
              <w:pStyle w:val="TableDataEntries"/>
            </w:pPr>
            <w:r>
              <w:rPr>
                <w:szCs w:val="16"/>
              </w:rPr>
              <w:t>911.9</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1F0C31" w14:textId="77777777" w:rsidR="005C2D42" w:rsidRPr="00C362CE" w:rsidRDefault="005C2D42" w:rsidP="005C2D42">
            <w:pPr>
              <w:pStyle w:val="TableDataEntries"/>
            </w:pPr>
            <w:r>
              <w:rPr>
                <w:szCs w:val="16"/>
              </w:rPr>
              <w:t>911.9</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238ACB" w14:textId="77777777" w:rsidR="005C2D42" w:rsidRPr="00C362CE" w:rsidRDefault="005C2D42" w:rsidP="005C2D42">
            <w:pPr>
              <w:pStyle w:val="TableDataEntries"/>
            </w:pPr>
            <w:r>
              <w:rPr>
                <w:szCs w:val="16"/>
              </w:rPr>
              <w:t>911.9</w:t>
            </w:r>
          </w:p>
        </w:tc>
      </w:tr>
      <w:tr w:rsidR="00951EBC" w:rsidRPr="00C362CE" w14:paraId="3A809764" w14:textId="77777777" w:rsidTr="005C2D42">
        <w:trPr>
          <w:trHeight w:val="252"/>
        </w:trPr>
        <w:tc>
          <w:tcPr>
            <w:tcW w:w="42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391ECC" w14:textId="77777777" w:rsidR="00951EBC" w:rsidRPr="00C362CE" w:rsidRDefault="005C2D42" w:rsidP="00951EBC">
            <w:pPr>
              <w:pStyle w:val="TableDataEntries"/>
              <w:jc w:val="left"/>
            </w:pPr>
            <w:r>
              <w:t>Cost</w:t>
            </w:r>
            <w:r w:rsidR="00951EBC" w:rsidRPr="00C362CE">
              <w:t xml:space="preserve"> of moving</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5F3819" w14:textId="77777777" w:rsidR="00951EBC" w:rsidRPr="00C362CE" w:rsidRDefault="00E333AD" w:rsidP="00951EBC">
            <w:pPr>
              <w:pStyle w:val="TableDataEntries"/>
            </w:pPr>
            <w:r>
              <w:t>81.5</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F7F591" w14:textId="77777777" w:rsidR="00951EBC" w:rsidRPr="00C362CE" w:rsidRDefault="00E333AD" w:rsidP="00951EBC">
            <w:pPr>
              <w:pStyle w:val="TableDataEntries"/>
            </w:pPr>
            <w:r>
              <w:t>161.9</w:t>
            </w:r>
          </w:p>
        </w:tc>
        <w:tc>
          <w:tcPr>
            <w:tcW w:w="12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949764" w14:textId="77777777" w:rsidR="00951EBC" w:rsidRPr="00C362CE" w:rsidRDefault="00E333AD" w:rsidP="00951EBC">
            <w:pPr>
              <w:pStyle w:val="TableDataEntries"/>
            </w:pPr>
            <w:r>
              <w:t>242.3</w:t>
            </w:r>
          </w:p>
        </w:tc>
      </w:tr>
      <w:tr w:rsidR="005C2D42" w:rsidRPr="00C362CE" w14:paraId="03B20FE4" w14:textId="77777777" w:rsidTr="007C147A">
        <w:trPr>
          <w:trHeight w:val="252"/>
        </w:trPr>
        <w:tc>
          <w:tcPr>
            <w:tcW w:w="426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23CBCC7" w14:textId="77777777" w:rsidR="005C2D42" w:rsidRPr="00C362CE" w:rsidRDefault="005C2D42" w:rsidP="005C2D42">
            <w:pPr>
              <w:pStyle w:val="TableDataEntries"/>
              <w:jc w:val="left"/>
              <w:rPr>
                <w:rFonts w:ascii="Franklin Gothic Demi" w:hAnsi="Franklin Gothic Demi"/>
              </w:rPr>
            </w:pPr>
            <w:r w:rsidRPr="00C362CE">
              <w:rPr>
                <w:rFonts w:ascii="Franklin Gothic Demi" w:hAnsi="Franklin Gothic Demi"/>
              </w:rPr>
              <w:t>Sub-total</w:t>
            </w:r>
          </w:p>
        </w:tc>
        <w:tc>
          <w:tcPr>
            <w:tcW w:w="122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1F231C40" w14:textId="77777777" w:rsidR="005C2D42" w:rsidRPr="005C2D42" w:rsidRDefault="005C2D42" w:rsidP="005C2D42">
            <w:pPr>
              <w:pStyle w:val="TableDataEntries"/>
              <w:rPr>
                <w:rFonts w:ascii="Franklin Gothic Demi" w:hAnsi="Franklin Gothic Demi"/>
              </w:rPr>
            </w:pPr>
            <w:r w:rsidRPr="005C2D42">
              <w:rPr>
                <w:rFonts w:ascii="Franklin Gothic Demi" w:hAnsi="Franklin Gothic Demi"/>
                <w:szCs w:val="16"/>
              </w:rPr>
              <w:t>1,6</w:t>
            </w:r>
            <w:r w:rsidR="00E333AD">
              <w:rPr>
                <w:rFonts w:ascii="Franklin Gothic Demi" w:hAnsi="Franklin Gothic Demi"/>
                <w:szCs w:val="16"/>
              </w:rPr>
              <w:t>28</w:t>
            </w:r>
            <w:r w:rsidRPr="005C2D42">
              <w:rPr>
                <w:rFonts w:ascii="Franklin Gothic Demi" w:hAnsi="Franklin Gothic Demi"/>
                <w:szCs w:val="16"/>
              </w:rPr>
              <w:t>.</w:t>
            </w:r>
            <w:r w:rsidR="00E333AD">
              <w:rPr>
                <w:rFonts w:ascii="Franklin Gothic Demi" w:hAnsi="Franklin Gothic Demi"/>
                <w:szCs w:val="16"/>
              </w:rPr>
              <w:t>8</w:t>
            </w:r>
          </w:p>
        </w:tc>
        <w:tc>
          <w:tcPr>
            <w:tcW w:w="122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20FF83C4" w14:textId="77777777" w:rsidR="005C2D42" w:rsidRPr="005C2D42" w:rsidRDefault="005C2D42" w:rsidP="005C2D42">
            <w:pPr>
              <w:pStyle w:val="TableDataEntries"/>
              <w:rPr>
                <w:rFonts w:ascii="Franklin Gothic Demi" w:hAnsi="Franklin Gothic Demi"/>
              </w:rPr>
            </w:pPr>
            <w:r w:rsidRPr="005C2D42">
              <w:rPr>
                <w:rFonts w:ascii="Franklin Gothic Demi" w:hAnsi="Franklin Gothic Demi"/>
                <w:szCs w:val="16"/>
              </w:rPr>
              <w:t>1,</w:t>
            </w:r>
            <w:r w:rsidR="00E333AD">
              <w:rPr>
                <w:rFonts w:ascii="Franklin Gothic Demi" w:hAnsi="Franklin Gothic Demi"/>
                <w:szCs w:val="16"/>
              </w:rPr>
              <w:t>754</w:t>
            </w:r>
            <w:r w:rsidRPr="005C2D42">
              <w:rPr>
                <w:rFonts w:ascii="Franklin Gothic Demi" w:hAnsi="Franklin Gothic Demi"/>
                <w:szCs w:val="16"/>
              </w:rPr>
              <w:t>.</w:t>
            </w:r>
            <w:r w:rsidR="00E333AD">
              <w:rPr>
                <w:rFonts w:ascii="Franklin Gothic Demi" w:hAnsi="Franklin Gothic Demi"/>
                <w:szCs w:val="16"/>
              </w:rPr>
              <w:t>4</w:t>
            </w:r>
          </w:p>
        </w:tc>
        <w:tc>
          <w:tcPr>
            <w:tcW w:w="122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056EB8BE" w14:textId="77777777" w:rsidR="005C2D42" w:rsidRPr="005C2D42" w:rsidRDefault="005C2D42" w:rsidP="005C2D42">
            <w:pPr>
              <w:pStyle w:val="TableDataEntries"/>
              <w:rPr>
                <w:rFonts w:ascii="Franklin Gothic Demi" w:hAnsi="Franklin Gothic Demi"/>
              </w:rPr>
            </w:pPr>
            <w:r w:rsidRPr="005C2D42">
              <w:rPr>
                <w:rFonts w:ascii="Franklin Gothic Demi" w:hAnsi="Franklin Gothic Demi"/>
                <w:szCs w:val="16"/>
              </w:rPr>
              <w:t>1,8</w:t>
            </w:r>
            <w:r w:rsidR="00E333AD">
              <w:rPr>
                <w:rFonts w:ascii="Franklin Gothic Demi" w:hAnsi="Franklin Gothic Demi"/>
                <w:szCs w:val="16"/>
              </w:rPr>
              <w:t>79</w:t>
            </w:r>
            <w:r w:rsidRPr="005C2D42">
              <w:rPr>
                <w:rFonts w:ascii="Franklin Gothic Demi" w:hAnsi="Franklin Gothic Demi"/>
                <w:szCs w:val="16"/>
              </w:rPr>
              <w:t>.</w:t>
            </w:r>
            <w:r w:rsidR="00E333AD">
              <w:rPr>
                <w:rFonts w:ascii="Franklin Gothic Demi" w:hAnsi="Franklin Gothic Demi"/>
                <w:szCs w:val="16"/>
              </w:rPr>
              <w:t>9</w:t>
            </w:r>
            <w:r w:rsidRPr="005C2D42">
              <w:rPr>
                <w:rFonts w:ascii="Franklin Gothic Demi" w:hAnsi="Franklin Gothic Demi"/>
                <w:szCs w:val="16"/>
              </w:rPr>
              <w:t>8</w:t>
            </w:r>
          </w:p>
        </w:tc>
      </w:tr>
    </w:tbl>
    <w:p w14:paraId="61186083" w14:textId="77777777" w:rsidR="00951EBC" w:rsidRPr="00027945" w:rsidRDefault="00951EBC" w:rsidP="00951EBC">
      <w:pPr>
        <w:pStyle w:val="Source"/>
        <w:rPr>
          <w:iCs/>
          <w:lang w:bidi="fa-IR"/>
        </w:rPr>
      </w:pPr>
      <w:r w:rsidRPr="00027945">
        <w:rPr>
          <w:iCs/>
          <w:lang w:bidi="fa-IR"/>
        </w:rPr>
        <w:t>Source: CIE</w:t>
      </w:r>
      <w:r w:rsidR="00184E9F">
        <w:rPr>
          <w:iCs/>
          <w:lang w:bidi="fa-IR"/>
        </w:rPr>
        <w:t>.</w:t>
      </w:r>
    </w:p>
    <w:p w14:paraId="7F3B74C0" w14:textId="77777777" w:rsidR="00951EBC" w:rsidRDefault="00951EBC" w:rsidP="00951EBC">
      <w:pPr>
        <w:pStyle w:val="BodyText"/>
        <w:rPr>
          <w:lang w:eastAsia="en-US"/>
        </w:rPr>
      </w:pPr>
      <w:r>
        <w:rPr>
          <w:lang w:eastAsia="en-US"/>
        </w:rPr>
        <w:t>Dalton and Carter (2020a, b) also argue that there is possibly no overlap between WTP and the problem reduction approach. If no overlap is assumed, the above WTP estimate could be viewed as a maximum upper bound measurement of the quality of life impact.</w:t>
      </w:r>
    </w:p>
    <w:p w14:paraId="26FAF0EC" w14:textId="77777777" w:rsidR="000178D3" w:rsidRPr="004B79EC" w:rsidRDefault="000178D3" w:rsidP="004B79EC">
      <w:pPr>
        <w:pStyle w:val="Heading2-Appendix"/>
      </w:pPr>
      <w:r w:rsidRPr="004B79EC">
        <w:t>Quantifying quality of life impacts through QALYs</w:t>
      </w:r>
    </w:p>
    <w:p w14:paraId="03F95B4A" w14:textId="77777777" w:rsidR="000178D3" w:rsidRDefault="000178D3" w:rsidP="000178D3">
      <w:pPr>
        <w:pStyle w:val="BodyText"/>
        <w:rPr>
          <w:lang w:bidi="fa-IR"/>
        </w:rPr>
      </w:pPr>
      <w:r>
        <w:rPr>
          <w:lang w:bidi="fa-IR"/>
        </w:rPr>
        <w:t>A common way that ‘quality of life’ changes are incorporated into economic analysis is through estimating changes in quality</w:t>
      </w:r>
      <w:r>
        <w:rPr>
          <w:lang w:bidi="fa-IR"/>
        </w:rPr>
        <w:noBreakHyphen/>
        <w:t>adjusted life years (QALYs). QALYs are calculated by multiplying life years by an index of utility, also referred to as health</w:t>
      </w:r>
      <w:r>
        <w:rPr>
          <w:lang w:bidi="fa-IR"/>
        </w:rPr>
        <w:noBreakHyphen/>
        <w:t>related quality of life (HRQoL) or multi</w:t>
      </w:r>
      <w:r>
        <w:rPr>
          <w:lang w:bidi="fa-IR"/>
        </w:rPr>
        <w:noBreakHyphen/>
        <w:t>attribute utility (MAU) instrument. Utility represents the strength of a person’s preference for a health state on a scale from 0 (representing death) to 1 (representing good health).</w:t>
      </w:r>
      <w:r>
        <w:rPr>
          <w:rStyle w:val="FootnoteReference"/>
          <w:lang w:bidi="fa-IR"/>
        </w:rPr>
        <w:footnoteReference w:id="522"/>
      </w:r>
      <w:r>
        <w:rPr>
          <w:lang w:bidi="fa-IR"/>
        </w:rPr>
        <w:t xml:space="preserve"> There are various MAU instruments that have been developed and validated for use with specific populations.</w:t>
      </w:r>
    </w:p>
    <w:p w14:paraId="102FD949" w14:textId="77777777" w:rsidR="000178D3" w:rsidRPr="007E7A48" w:rsidRDefault="000178D3" w:rsidP="000178D3">
      <w:pPr>
        <w:pStyle w:val="BodyText"/>
        <w:rPr>
          <w:lang w:bidi="fa-IR"/>
        </w:rPr>
      </w:pPr>
      <w:r>
        <w:rPr>
          <w:lang w:bidi="fa-IR"/>
        </w:rPr>
        <w:t>Various studies have established a qualitative link between accessible housing (mostly based on home modifications, rather than universal design) and quality of life and wellbeing. However</w:t>
      </w:r>
      <w:r w:rsidRPr="00710A10">
        <w:rPr>
          <w:lang w:bidi="fa-IR"/>
        </w:rPr>
        <w:t>, Carnemolla and Bridge (201</w:t>
      </w:r>
      <w:r w:rsidR="007E7A48">
        <w:rPr>
          <w:lang w:bidi="fa-IR"/>
        </w:rPr>
        <w:t>6</w:t>
      </w:r>
      <w:r w:rsidRPr="00710A10">
        <w:rPr>
          <w:lang w:bidi="fa-IR"/>
        </w:rPr>
        <w:t>)</w:t>
      </w:r>
      <w:r w:rsidR="00710A10" w:rsidRPr="00710A10">
        <w:rPr>
          <w:rStyle w:val="FootnoteReference"/>
          <w:lang w:bidi="fa-IR"/>
        </w:rPr>
        <w:footnoteReference w:id="523"/>
      </w:r>
      <w:r w:rsidRPr="00710A10">
        <w:rPr>
          <w:lang w:bidi="fa-IR"/>
        </w:rPr>
        <w:t xml:space="preserve"> is the</w:t>
      </w:r>
      <w:r>
        <w:rPr>
          <w:lang w:bidi="fa-IR"/>
        </w:rPr>
        <w:t xml:space="preserve"> only study identified that directly </w:t>
      </w:r>
      <w:r w:rsidRPr="007E7A48">
        <w:rPr>
          <w:lang w:bidi="fa-IR"/>
        </w:rPr>
        <w:t>measures the changes in the quality of life.</w:t>
      </w:r>
    </w:p>
    <w:p w14:paraId="16AF903A" w14:textId="77777777" w:rsidR="000178D3" w:rsidRDefault="000178D3" w:rsidP="000178D3">
      <w:pPr>
        <w:pStyle w:val="BodyText"/>
        <w:rPr>
          <w:lang w:bidi="fa-IR"/>
        </w:rPr>
      </w:pPr>
      <w:r w:rsidRPr="007E7A48">
        <w:rPr>
          <w:lang w:bidi="fa-IR"/>
        </w:rPr>
        <w:t>Carnemolla and Bridge (2016) used the same sample to estimate the change in care received (see above). As</w:t>
      </w:r>
      <w:r>
        <w:rPr>
          <w:lang w:bidi="fa-IR"/>
        </w:rPr>
        <w:t xml:space="preserve"> such, the same caveats apply in relation to:</w:t>
      </w:r>
    </w:p>
    <w:p w14:paraId="683CB837" w14:textId="77777777" w:rsidR="000178D3" w:rsidRDefault="000178D3" w:rsidP="000178D3">
      <w:pPr>
        <w:pStyle w:val="ListBullet"/>
        <w:rPr>
          <w:lang w:bidi="fa-IR"/>
        </w:rPr>
      </w:pPr>
      <w:r>
        <w:rPr>
          <w:lang w:bidi="fa-IR"/>
        </w:rPr>
        <w:t>the representativeness of the sample for people with disabilit</w:t>
      </w:r>
      <w:r w:rsidR="00695A92">
        <w:rPr>
          <w:lang w:bidi="fa-IR"/>
        </w:rPr>
        <w:t>y</w:t>
      </w:r>
      <w:r>
        <w:rPr>
          <w:lang w:bidi="fa-IR"/>
        </w:rPr>
        <w:t xml:space="preserve"> in the broader community</w:t>
      </w:r>
    </w:p>
    <w:p w14:paraId="7C740A31" w14:textId="77777777" w:rsidR="000178D3" w:rsidRDefault="000178D3" w:rsidP="000178D3">
      <w:pPr>
        <w:pStyle w:val="ListBullet"/>
        <w:rPr>
          <w:lang w:bidi="fa-IR"/>
        </w:rPr>
      </w:pPr>
      <w:r>
        <w:rPr>
          <w:lang w:bidi="fa-IR"/>
        </w:rPr>
        <w:t>the appropriateness of extrapolating the improvements in HRQoL achieved by home modifications (which were specifically targeted at meeting the individual’s needs) to universal housing design.</w:t>
      </w:r>
    </w:p>
    <w:p w14:paraId="0AB7EF71" w14:textId="77777777" w:rsidR="000178D3" w:rsidRDefault="000178D3" w:rsidP="000178D3">
      <w:pPr>
        <w:pStyle w:val="BodyText"/>
      </w:pPr>
      <w:r>
        <w:rPr>
          <w:lang w:bidi="fa-IR"/>
        </w:rPr>
        <w:t>The recipients of home modifications completed a questionnaire to assess their current HRQoL (i.e. after home modifications) and were also asked to recall their quality of life before home modification. HRQoL was measured using the AQoL</w:t>
      </w:r>
      <w:r>
        <w:rPr>
          <w:lang w:bidi="fa-IR"/>
        </w:rPr>
        <w:noBreakHyphen/>
        <w:t xml:space="preserve">4D instrument, one of several Assessment of Quality of Life (AQoL) instruments developed by the Centre for Health Economics and Monash University. </w:t>
      </w:r>
      <w:r>
        <w:t>AQoL</w:t>
      </w:r>
      <w:r>
        <w:noBreakHyphen/>
        <w:t>4D is the shortest AQoL instrument (based on 12 questions) covering the following dimensions:</w:t>
      </w:r>
      <w:r>
        <w:rPr>
          <w:rStyle w:val="FootnoteReference"/>
        </w:rPr>
        <w:footnoteReference w:id="524"/>
      </w:r>
    </w:p>
    <w:p w14:paraId="4D697C6B" w14:textId="77777777" w:rsidR="000178D3" w:rsidRDefault="000178D3" w:rsidP="000178D3">
      <w:pPr>
        <w:pStyle w:val="ListBullet"/>
      </w:pPr>
      <w:r>
        <w:t>Independent living (including: self</w:t>
      </w:r>
      <w:r>
        <w:noBreakHyphen/>
        <w:t>care, household tasks and mobility)</w:t>
      </w:r>
    </w:p>
    <w:p w14:paraId="62D701D1" w14:textId="77777777" w:rsidR="000178D3" w:rsidRDefault="000178D3" w:rsidP="000178D3">
      <w:pPr>
        <w:pStyle w:val="ListBullet"/>
      </w:pPr>
      <w:r>
        <w:t>Relationships (including: friendships, isolation and family role)</w:t>
      </w:r>
    </w:p>
    <w:p w14:paraId="6D6D8CCF" w14:textId="77777777" w:rsidR="000178D3" w:rsidRDefault="000178D3" w:rsidP="000178D3">
      <w:pPr>
        <w:pStyle w:val="ListBullet"/>
      </w:pPr>
      <w:r>
        <w:t>Mental health (including: sleeping, worrying and pain)</w:t>
      </w:r>
    </w:p>
    <w:p w14:paraId="1EBFD1E5" w14:textId="77777777" w:rsidR="000178D3" w:rsidRDefault="000178D3" w:rsidP="000178D3">
      <w:pPr>
        <w:pStyle w:val="ListBullet"/>
        <w:rPr>
          <w:lang w:bidi="fa-IR"/>
        </w:rPr>
      </w:pPr>
      <w:r>
        <w:t>Senses (including: seeing, hearing and communication).</w:t>
      </w:r>
    </w:p>
    <w:p w14:paraId="3FE3F8DC" w14:textId="77777777" w:rsidR="000178D3" w:rsidRDefault="000178D3" w:rsidP="000178D3">
      <w:pPr>
        <w:pStyle w:val="BodyText"/>
        <w:rPr>
          <w:lang w:bidi="fa-IR"/>
        </w:rPr>
      </w:pPr>
      <w:r>
        <w:rPr>
          <w:lang w:bidi="fa-IR"/>
        </w:rPr>
        <w:t>AQoL</w:t>
      </w:r>
      <w:r>
        <w:rPr>
          <w:lang w:bidi="fa-IR"/>
        </w:rPr>
        <w:noBreakHyphen/>
        <w:t>4D is based on Australian populations and has been validated for older community</w:t>
      </w:r>
      <w:r>
        <w:rPr>
          <w:lang w:bidi="fa-IR"/>
        </w:rPr>
        <w:noBreakHyphen/>
        <w:t>dwelling Australians.</w:t>
      </w:r>
      <w:r>
        <w:rPr>
          <w:rStyle w:val="FootnoteReference"/>
          <w:lang w:bidi="fa-IR"/>
        </w:rPr>
        <w:footnoteReference w:id="525"/>
      </w:r>
    </w:p>
    <w:p w14:paraId="27CEF261" w14:textId="77777777" w:rsidR="000178D3" w:rsidRDefault="000178D3" w:rsidP="000178D3">
      <w:pPr>
        <w:pStyle w:val="KeyPoint"/>
        <w:numPr>
          <w:ilvl w:val="0"/>
          <w:numId w:val="11"/>
        </w:numPr>
        <w:rPr>
          <w:lang w:bidi="fa-IR"/>
        </w:rPr>
      </w:pPr>
      <w:r>
        <w:rPr>
          <w:lang w:bidi="fa-IR"/>
        </w:rPr>
        <w:t>Carnemolla and Bridge (2016) found that on average, the home modifications improved the AQoL</w:t>
      </w:r>
      <w:r>
        <w:rPr>
          <w:lang w:bidi="fa-IR"/>
        </w:rPr>
        <w:noBreakHyphen/>
        <w:t>4D index from 0.30 to 0.42, an improvement of 0.12.</w:t>
      </w:r>
    </w:p>
    <w:p w14:paraId="493540A4" w14:textId="77777777" w:rsidR="000178D3" w:rsidRDefault="000178D3" w:rsidP="000178D3">
      <w:pPr>
        <w:pStyle w:val="BodyText"/>
        <w:rPr>
          <w:lang w:bidi="fa-IR"/>
        </w:rPr>
      </w:pPr>
      <w:r>
        <w:rPr>
          <w:lang w:bidi="fa-IR"/>
        </w:rPr>
        <w:t>Note that despite the significant improvement in the AQoL</w:t>
      </w:r>
      <w:r>
        <w:rPr>
          <w:lang w:bidi="fa-IR"/>
        </w:rPr>
        <w:noBreakHyphen/>
        <w:t>4D index, the quality of life of the sample of home modification recipients remained well below the national average and the average for the relevant age cohort.</w:t>
      </w:r>
    </w:p>
    <w:p w14:paraId="1AFD9F68" w14:textId="77777777" w:rsidR="000178D3" w:rsidRPr="00F4477B" w:rsidRDefault="000178D3" w:rsidP="00F4477B">
      <w:pPr>
        <w:pStyle w:val="Heading3-Appendix"/>
      </w:pPr>
      <w:r w:rsidRPr="00F4477B">
        <w:t>Valuing quality of life improvements</w:t>
      </w:r>
    </w:p>
    <w:p w14:paraId="0ED92BBB" w14:textId="77777777" w:rsidR="000178D3" w:rsidRDefault="000178D3" w:rsidP="000178D3">
      <w:pPr>
        <w:pStyle w:val="BodyText"/>
        <w:rPr>
          <w:lang w:bidi="fa-IR"/>
        </w:rPr>
      </w:pPr>
      <w:r>
        <w:rPr>
          <w:lang w:bidi="fa-IR"/>
        </w:rPr>
        <w:t>There are different views on whether it is appropriate to monetise changes in HRQoL based on changes in utility indexes. For example, the AQoL website argues that the approaches used to convert life years or lives into dollar benefits (typically either the ‘human capital’ or ‘willingness to pay’ approach) are problematic.</w:t>
      </w:r>
      <w:r>
        <w:rPr>
          <w:rStyle w:val="FootnoteReference"/>
          <w:lang w:bidi="fa-IR"/>
        </w:rPr>
        <w:footnoteReference w:id="526"/>
      </w:r>
    </w:p>
    <w:p w14:paraId="3C6F5B55" w14:textId="77777777" w:rsidR="000178D3" w:rsidRDefault="000178D3" w:rsidP="000178D3">
      <w:pPr>
        <w:pStyle w:val="BodyText"/>
        <w:rPr>
          <w:lang w:bidi="fa-IR"/>
        </w:rPr>
      </w:pPr>
      <w:r>
        <w:rPr>
          <w:lang w:bidi="fa-IR"/>
        </w:rPr>
        <w:t>Nevertheless, the AQoL website acknowledges that in principle, a dollar value could be attached to each QALY [derived from the AQoL instrument] for the purposes of cost</w:t>
      </w:r>
      <w:r>
        <w:rPr>
          <w:lang w:bidi="fa-IR"/>
        </w:rPr>
        <w:noBreakHyphen/>
        <w:t>benefit analysis.</w:t>
      </w:r>
      <w:r>
        <w:rPr>
          <w:rStyle w:val="FootnoteReference"/>
          <w:lang w:bidi="fa-IR"/>
        </w:rPr>
        <w:footnoteReference w:id="527"/>
      </w:r>
      <w:r>
        <w:rPr>
          <w:lang w:bidi="fa-IR"/>
        </w:rPr>
        <w:t xml:space="preserve"> Furthermore, OBPR guidance material encourages these impacts to be incorporated into cost</w:t>
      </w:r>
      <w:r>
        <w:rPr>
          <w:lang w:bidi="fa-IR"/>
        </w:rPr>
        <w:noBreakHyphen/>
        <w:t>benefit analysis in RISs by assigning a monetary value to lives lost and the impacts of injury, disease and disability.</w:t>
      </w:r>
      <w:r>
        <w:rPr>
          <w:rStyle w:val="FootnoteReference"/>
          <w:lang w:bidi="fa-IR"/>
        </w:rPr>
        <w:footnoteReference w:id="528"/>
      </w:r>
    </w:p>
    <w:p w14:paraId="170FA0C7" w14:textId="77777777" w:rsidR="000178D3" w:rsidRDefault="000178D3" w:rsidP="000178D3">
      <w:pPr>
        <w:pStyle w:val="BodyText"/>
        <w:rPr>
          <w:lang w:bidi="fa-IR"/>
        </w:rPr>
      </w:pPr>
      <w:r>
        <w:rPr>
          <w:lang w:bidi="fa-IR"/>
        </w:rPr>
        <w:t>As discussed in appendix B, the Value of a Life Year (VLY) represents the value of a year of life free of injury, disease and disability. OBPR recommends using VLY of $213 000 in 2019 dollars in RISs.</w:t>
      </w:r>
      <w:r>
        <w:rPr>
          <w:rStyle w:val="FootnoteReference"/>
          <w:lang w:bidi="fa-IR"/>
        </w:rPr>
        <w:footnoteReference w:id="529"/>
      </w:r>
    </w:p>
    <w:p w14:paraId="4D979E0D" w14:textId="77777777" w:rsidR="000178D3" w:rsidRDefault="000178D3" w:rsidP="000178D3">
      <w:pPr>
        <w:pStyle w:val="KeyPoint"/>
        <w:numPr>
          <w:ilvl w:val="0"/>
          <w:numId w:val="11"/>
        </w:numPr>
        <w:rPr>
          <w:lang w:bidi="fa-IR"/>
        </w:rPr>
      </w:pPr>
      <w:r>
        <w:rPr>
          <w:lang w:bidi="fa-IR"/>
        </w:rPr>
        <w:t>The above information implies that the quality of life impacts of living in inaccessible housing could be valued at around $25 560 per person (i.e. 0.12 x $213 000).</w:t>
      </w:r>
    </w:p>
    <w:p w14:paraId="4C97358F" w14:textId="77777777" w:rsidR="000178D3" w:rsidRDefault="000178D3" w:rsidP="000178D3">
      <w:pPr>
        <w:pStyle w:val="BodyText"/>
        <w:rPr>
          <w:lang w:bidi="fa-IR"/>
        </w:rPr>
      </w:pPr>
      <w:r>
        <w:rPr>
          <w:lang w:bidi="fa-IR"/>
        </w:rPr>
        <w:t>Using a VLY of $213 000 implies that each QALY is also valued at $213 000. It is important to note that this is significantly higher than the benchmarks often used in cost utility analysis.</w:t>
      </w:r>
    </w:p>
    <w:p w14:paraId="5FEE8ACF" w14:textId="77777777" w:rsidR="000178D3" w:rsidRPr="00F4477B" w:rsidRDefault="000178D3" w:rsidP="00F4477B">
      <w:pPr>
        <w:pStyle w:val="Heading3-Appendix"/>
      </w:pPr>
      <w:r w:rsidRPr="00F4477B">
        <w:t>Number of people with reduced quality of life due to inaccessible housing</w:t>
      </w:r>
    </w:p>
    <w:p w14:paraId="5D501B90" w14:textId="77777777" w:rsidR="000178D3" w:rsidRDefault="000178D3" w:rsidP="000178D3">
      <w:pPr>
        <w:pStyle w:val="BodyText"/>
        <w:rPr>
          <w:lang w:bidi="fa-IR"/>
        </w:rPr>
      </w:pPr>
      <w:r>
        <w:rPr>
          <w:lang w:bidi="fa-IR"/>
        </w:rPr>
        <w:t>As discussed previously, there is no definitive data on the number of people with reduced quality of life because their housing does not meet their accessibility needs. The number of people affected are therefore inferred from SDAC data.</w:t>
      </w:r>
    </w:p>
    <w:p w14:paraId="653E4085" w14:textId="77777777" w:rsidR="000178D3" w:rsidRDefault="000178D3" w:rsidP="000178D3">
      <w:pPr>
        <w:pStyle w:val="BodyText"/>
        <w:rPr>
          <w:lang w:bidi="fa-IR"/>
        </w:rPr>
      </w:pPr>
      <w:r>
        <w:rPr>
          <w:lang w:bidi="fa-IR"/>
        </w:rPr>
        <w:t>Carnemolla</w:t>
      </w:r>
      <w:r w:rsidR="007E7A48">
        <w:rPr>
          <w:lang w:bidi="fa-IR"/>
        </w:rPr>
        <w:t xml:space="preserve"> </w:t>
      </w:r>
      <w:r>
        <w:rPr>
          <w:lang w:bidi="fa-IR"/>
        </w:rPr>
        <w:t>(2015) suggest</w:t>
      </w:r>
      <w:r w:rsidR="003246EC">
        <w:rPr>
          <w:lang w:bidi="fa-IR"/>
        </w:rPr>
        <w:t>ed</w:t>
      </w:r>
      <w:r>
        <w:rPr>
          <w:lang w:bidi="fa-IR"/>
        </w:rPr>
        <w:t xml:space="preserve"> that the main improvement in the HRQoL of recipients of home modifications was related to improved independence. This is also consistent with Andrich et. al. (1998), which found that home modifications led to quality of life improvements and attributed the direct cause to a reduction in care needed.</w:t>
      </w:r>
      <w:r>
        <w:rPr>
          <w:rStyle w:val="FootnoteReference"/>
          <w:lang w:bidi="fa-IR"/>
        </w:rPr>
        <w:footnoteReference w:id="530"/>
      </w:r>
    </w:p>
    <w:p w14:paraId="203E2D06" w14:textId="77777777" w:rsidR="000178D3" w:rsidRDefault="000178D3" w:rsidP="000178D3">
      <w:pPr>
        <w:pStyle w:val="BodyText"/>
        <w:rPr>
          <w:lang w:bidi="fa-IR"/>
        </w:rPr>
      </w:pPr>
      <w:r>
        <w:rPr>
          <w:lang w:bidi="fa-IR"/>
        </w:rPr>
        <w:t>It is therefore assume</w:t>
      </w:r>
      <w:r w:rsidR="004F25F4">
        <w:rPr>
          <w:lang w:bidi="fa-IR"/>
        </w:rPr>
        <w:t>d</w:t>
      </w:r>
      <w:r>
        <w:rPr>
          <w:lang w:bidi="fa-IR"/>
        </w:rPr>
        <w:t xml:space="preserve"> that those most likely to be experiencing reduced HRQoL as a result of living in housing that does not meet their accessibility needs are those currently requiring assistance with either:</w:t>
      </w:r>
    </w:p>
    <w:p w14:paraId="0C51F894" w14:textId="77777777" w:rsidR="000178D3" w:rsidRDefault="000178D3" w:rsidP="00C706D1">
      <w:pPr>
        <w:pStyle w:val="ListBullet"/>
        <w:rPr>
          <w:lang w:bidi="fa-IR"/>
        </w:rPr>
      </w:pPr>
      <w:r>
        <w:rPr>
          <w:lang w:bidi="fa-IR"/>
        </w:rPr>
        <w:t>mobility around the home</w:t>
      </w:r>
    </w:p>
    <w:p w14:paraId="3FB9FE7D" w14:textId="77777777" w:rsidR="000178D3" w:rsidRDefault="000178D3" w:rsidP="00C706D1">
      <w:pPr>
        <w:pStyle w:val="ListBullet"/>
        <w:rPr>
          <w:lang w:bidi="fa-IR"/>
        </w:rPr>
      </w:pPr>
      <w:r>
        <w:rPr>
          <w:lang w:bidi="fa-IR"/>
        </w:rPr>
        <w:t>showering and bathing</w:t>
      </w:r>
    </w:p>
    <w:p w14:paraId="5D64C824" w14:textId="77777777" w:rsidR="000178D3" w:rsidRDefault="000178D3" w:rsidP="00C706D1">
      <w:pPr>
        <w:pStyle w:val="ListBullet"/>
        <w:rPr>
          <w:lang w:bidi="fa-IR"/>
        </w:rPr>
      </w:pPr>
      <w:r>
        <w:rPr>
          <w:lang w:bidi="fa-IR"/>
        </w:rPr>
        <w:t>toileting.</w:t>
      </w:r>
    </w:p>
    <w:p w14:paraId="7E5EF8E5" w14:textId="77777777" w:rsidR="000178D3" w:rsidRDefault="000178D3" w:rsidP="000178D3">
      <w:pPr>
        <w:pStyle w:val="BodyText"/>
        <w:rPr>
          <w:lang w:bidi="fa-IR"/>
        </w:rPr>
      </w:pPr>
      <w:r>
        <w:rPr>
          <w:lang w:bidi="fa-IR"/>
        </w:rPr>
        <w:t xml:space="preserve">It also seems likely that those most likely to be experiencing a significantly reduced HRQoL due to their home not meeting their accessibility needs are those requiring the most assistance. The focus is therefore on those </w:t>
      </w:r>
      <w:r w:rsidRPr="002C5B39">
        <w:rPr>
          <w:b/>
          <w:bCs/>
          <w:lang w:bidi="fa-IR"/>
        </w:rPr>
        <w:t>always</w:t>
      </w:r>
      <w:r>
        <w:rPr>
          <w:lang w:bidi="fa-IR"/>
        </w:rPr>
        <w:t xml:space="preserve"> requiring assistance who live in households. Those ‘sometimes requiring assistance’ and who “do not require assistance, but have difficulty’ could also potentially experience lower quality of life if their home does not meet their accessibility needs. However, the fact they do not always require assistance suggests the dwelling itself has less of an impact on their independence.</w:t>
      </w:r>
    </w:p>
    <w:p w14:paraId="1C7F7802" w14:textId="77777777" w:rsidR="000178D3" w:rsidRDefault="000178D3" w:rsidP="000178D3">
      <w:pPr>
        <w:pStyle w:val="BodyText"/>
        <w:rPr>
          <w:lang w:bidi="fa-IR"/>
        </w:rPr>
      </w:pPr>
      <w:r>
        <w:rPr>
          <w:lang w:bidi="fa-IR"/>
        </w:rPr>
        <w:t>People living in dwellings that have been modified to meet their needs have also been excluded on the basis that their inclusion would risk double</w:t>
      </w:r>
      <w:r>
        <w:rPr>
          <w:lang w:bidi="fa-IR"/>
        </w:rPr>
        <w:noBreakHyphen/>
        <w:t>counting (i.e. the cost of the modifications have been included separately).</w:t>
      </w:r>
    </w:p>
    <w:p w14:paraId="612BA04B" w14:textId="77777777" w:rsidR="000178D3" w:rsidRDefault="000178D3" w:rsidP="000178D3">
      <w:pPr>
        <w:pStyle w:val="BodyText"/>
        <w:rPr>
          <w:lang w:bidi="fa-IR"/>
        </w:rPr>
      </w:pPr>
      <w:r>
        <w:rPr>
          <w:lang w:bidi="fa-IR"/>
        </w:rPr>
        <w:t>As some people require assistance with more than one relevant activity (i.e. mobility around the home, showering and bathing and toileting), it is important to avoid double</w:t>
      </w:r>
      <w:r>
        <w:rPr>
          <w:lang w:bidi="fa-IR"/>
        </w:rPr>
        <w:noBreakHyphen/>
        <w:t>counting. TableBuilder was therefore used to identify the number of people that always require assistance with each activity. Double</w:t>
      </w:r>
      <w:r>
        <w:rPr>
          <w:lang w:bidi="fa-IR"/>
        </w:rPr>
        <w:noBreakHyphen/>
        <w:t>counting was avoided by then subtracting those that would have been counted twice (i.e. those that always require assistance with multiple relevant activities. Using this approach, there were around 147 500 always requir</w:t>
      </w:r>
      <w:r w:rsidR="004F25F4">
        <w:rPr>
          <w:lang w:bidi="fa-IR"/>
        </w:rPr>
        <w:t>ing</w:t>
      </w:r>
      <w:r>
        <w:rPr>
          <w:lang w:bidi="fa-IR"/>
        </w:rPr>
        <w:t xml:space="preserve"> assistance with either: mobility around the house, showering and bathing or toileting (table </w:t>
      </w:r>
      <w:r w:rsidR="000B1A7D">
        <w:rPr>
          <w:lang w:bidi="fa-IR"/>
        </w:rPr>
        <w:t>I.5</w:t>
      </w:r>
      <w:r>
        <w:rPr>
          <w:lang w:bidi="fa-IR"/>
        </w:rPr>
        <w:t>).</w:t>
      </w:r>
    </w:p>
    <w:p w14:paraId="61B14698" w14:textId="16CDF286" w:rsidR="000178D3" w:rsidRDefault="00390CDB" w:rsidP="000178D3">
      <w:pPr>
        <w:pStyle w:val="Caption"/>
      </w:pPr>
      <w:bookmarkStart w:id="857" w:name="_Toc70505667"/>
      <w:r>
        <w:t>I.5</w:t>
      </w:r>
      <w:r w:rsidR="000178D3" w:rsidRPr="00695C93">
        <w:tab/>
      </w:r>
      <w:r w:rsidR="000178D3">
        <w:t>Estimated number of people experiencing reduced quality of life</w:t>
      </w:r>
      <w:bookmarkEnd w:id="857"/>
    </w:p>
    <w:tbl>
      <w:tblPr>
        <w:tblW w:w="0" w:type="auto"/>
        <w:tblLayout w:type="fixed"/>
        <w:tblLook w:val="0000" w:firstRow="0" w:lastRow="0" w:firstColumn="0" w:lastColumn="0" w:noHBand="0" w:noVBand="0"/>
        <w:tblCaption w:val="Table I.5: Estimated number of people experiencing reduced quality of life"/>
        <w:tblDescription w:val="Table I.5 lists the estimated number of people experiencing reduced quality of life, by whether they always need assistance with mobilty, showering/bathing, or toileting. The total figure is estimated at 147,500."/>
      </w:tblPr>
      <w:tblGrid>
        <w:gridCol w:w="5943"/>
        <w:gridCol w:w="1994"/>
      </w:tblGrid>
      <w:tr w:rsidR="000178D3" w14:paraId="4B835901" w14:textId="77777777" w:rsidTr="007E6E80">
        <w:trPr>
          <w:trHeight w:val="245"/>
          <w:tblHeader/>
        </w:trPr>
        <w:tc>
          <w:tcPr>
            <w:tcW w:w="5943" w:type="dxa"/>
            <w:tcBorders>
              <w:bottom w:val="single" w:sz="8" w:space="0" w:color="FFFFFF" w:themeColor="background1"/>
            </w:tcBorders>
            <w:shd w:val="clear" w:color="auto" w:fill="6F6652"/>
            <w:tcMar>
              <w:left w:w="57" w:type="dxa"/>
              <w:right w:w="57" w:type="dxa"/>
            </w:tcMar>
          </w:tcPr>
          <w:p w14:paraId="68EE1DE4" w14:textId="77777777" w:rsidR="000178D3" w:rsidRDefault="000178D3" w:rsidP="007E6E80">
            <w:pPr>
              <w:pStyle w:val="TableDataColumnHeading"/>
              <w:jc w:val="left"/>
            </w:pPr>
          </w:p>
        </w:tc>
        <w:tc>
          <w:tcPr>
            <w:tcW w:w="1994" w:type="dxa"/>
            <w:tcBorders>
              <w:bottom w:val="single" w:sz="8" w:space="0" w:color="FFFFFF" w:themeColor="background1"/>
            </w:tcBorders>
            <w:shd w:val="clear" w:color="auto" w:fill="6F6652"/>
            <w:tcMar>
              <w:left w:w="57" w:type="dxa"/>
              <w:right w:w="57" w:type="dxa"/>
            </w:tcMar>
          </w:tcPr>
          <w:p w14:paraId="11FDAA85" w14:textId="77777777" w:rsidR="000178D3" w:rsidRDefault="000178D3" w:rsidP="007E6E80">
            <w:pPr>
              <w:pStyle w:val="TableDataColumnHeading"/>
            </w:pPr>
            <w:r>
              <w:t>Number ('000)</w:t>
            </w:r>
          </w:p>
        </w:tc>
      </w:tr>
      <w:tr w:rsidR="000178D3" w14:paraId="5F18A95D" w14:textId="77777777" w:rsidTr="003F341E">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FA470B" w14:textId="77777777" w:rsidR="000178D3" w:rsidRDefault="000178D3" w:rsidP="007E6E80">
            <w:pPr>
              <w:pStyle w:val="TableDataEntries"/>
              <w:jc w:val="left"/>
            </w:pPr>
            <w:r>
              <w:t>Always needs assistance with mobility around dwelling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43602" w14:textId="77777777" w:rsidR="000178D3" w:rsidRDefault="000178D3" w:rsidP="007E6E80">
            <w:pPr>
              <w:pStyle w:val="TableDataEntries"/>
            </w:pPr>
            <w:r>
              <w:t xml:space="preserve"> 40.1</w:t>
            </w:r>
          </w:p>
        </w:tc>
      </w:tr>
      <w:tr w:rsidR="000178D3" w14:paraId="2D87A0D4" w14:textId="77777777" w:rsidTr="003F341E">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264F4B" w14:textId="77777777" w:rsidR="000178D3" w:rsidRDefault="000178D3" w:rsidP="007E6E80">
            <w:pPr>
              <w:pStyle w:val="TableDataEntries"/>
              <w:jc w:val="left"/>
            </w:pPr>
            <w:r>
              <w:t>Always needs assistance with showering and bathing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BCC969" w14:textId="77777777" w:rsidR="000178D3" w:rsidRDefault="000178D3" w:rsidP="007E6E80">
            <w:pPr>
              <w:pStyle w:val="TableDataEntries"/>
            </w:pPr>
            <w:r>
              <w:t xml:space="preserve"> 51.0</w:t>
            </w:r>
          </w:p>
        </w:tc>
      </w:tr>
      <w:tr w:rsidR="000178D3" w14:paraId="39DC9257" w14:textId="77777777" w:rsidTr="003F341E">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31BD22" w14:textId="77777777" w:rsidR="000178D3" w:rsidRDefault="000178D3" w:rsidP="007E6E80">
            <w:pPr>
              <w:pStyle w:val="TableDataEntries"/>
              <w:jc w:val="left"/>
            </w:pPr>
            <w:r>
              <w:t>Always needs assistance with toileting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318C34" w14:textId="77777777" w:rsidR="000178D3" w:rsidRDefault="000178D3" w:rsidP="007E6E80">
            <w:pPr>
              <w:pStyle w:val="TableDataEntries"/>
            </w:pPr>
            <w:r>
              <w:t xml:space="preserve"> 122.5</w:t>
            </w:r>
          </w:p>
        </w:tc>
      </w:tr>
      <w:tr w:rsidR="000178D3" w:rsidRPr="003F341E" w14:paraId="213C76E8" w14:textId="77777777" w:rsidTr="003F341E">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E6D936" w14:textId="77777777" w:rsidR="000178D3" w:rsidRPr="003F341E" w:rsidRDefault="000178D3" w:rsidP="007E6E80">
            <w:pPr>
              <w:pStyle w:val="TableDataEntries"/>
              <w:jc w:val="left"/>
              <w:rPr>
                <w:rFonts w:ascii="Franklin Gothic Demi" w:hAnsi="Franklin Gothic Demi"/>
              </w:rPr>
            </w:pPr>
            <w:r w:rsidRPr="003F341E">
              <w:rPr>
                <w:rFonts w:ascii="Franklin Gothic Demi" w:hAnsi="Franklin Gothic Demi"/>
              </w:rPr>
              <w:t>Total (including double</w:t>
            </w:r>
            <w:r w:rsidRPr="003F341E">
              <w:rPr>
                <w:rFonts w:ascii="Franklin Gothic Demi" w:hAnsi="Franklin Gothic Demi"/>
              </w:rPr>
              <w:noBreakHyphen/>
              <w:t>counting)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27E300" w14:textId="77777777" w:rsidR="000178D3" w:rsidRPr="003F341E" w:rsidRDefault="000178D3" w:rsidP="007E6E80">
            <w:pPr>
              <w:pStyle w:val="TableDataEntries"/>
              <w:rPr>
                <w:rFonts w:ascii="Franklin Gothic Demi" w:hAnsi="Franklin Gothic Demi"/>
              </w:rPr>
            </w:pPr>
            <w:r w:rsidRPr="003F341E">
              <w:rPr>
                <w:rFonts w:ascii="Franklin Gothic Demi" w:hAnsi="Franklin Gothic Demi"/>
              </w:rPr>
              <w:t xml:space="preserve"> 213.6</w:t>
            </w:r>
          </w:p>
        </w:tc>
      </w:tr>
      <w:tr w:rsidR="000178D3" w14:paraId="4A6D58B2" w14:textId="77777777" w:rsidTr="003F341E">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AA5828" w14:textId="77777777" w:rsidR="000178D3" w:rsidRDefault="000178D3" w:rsidP="007E6E80">
            <w:pPr>
              <w:pStyle w:val="TableDataEntries"/>
              <w:jc w:val="left"/>
            </w:pPr>
            <w:r>
              <w:t>Less: Always needs assistance with mobility and showering</w:t>
            </w:r>
            <w:r w:rsidR="00932A47">
              <w:t>/</w:t>
            </w:r>
            <w:r>
              <w:t>bathing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04C102" w14:textId="77777777" w:rsidR="000178D3" w:rsidRDefault="000178D3" w:rsidP="007E6E80">
            <w:pPr>
              <w:pStyle w:val="TableDataEntries"/>
            </w:pPr>
            <w:r>
              <w:t xml:space="preserve"> 24.9</w:t>
            </w:r>
          </w:p>
        </w:tc>
      </w:tr>
      <w:tr w:rsidR="000178D3" w14:paraId="45AC2E9D" w14:textId="77777777" w:rsidTr="007E6E80">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F07EE0" w14:textId="77777777" w:rsidR="000178D3" w:rsidRDefault="000178D3" w:rsidP="007E6E80">
            <w:pPr>
              <w:pStyle w:val="TableDataEntries"/>
              <w:jc w:val="left"/>
            </w:pPr>
            <w:r>
              <w:t>Less: Always needs assistance with mobility and toileting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404BE4" w14:textId="77777777" w:rsidR="000178D3" w:rsidRDefault="000178D3" w:rsidP="007E6E80">
            <w:pPr>
              <w:pStyle w:val="TableDataEntries"/>
            </w:pPr>
            <w:r>
              <w:t xml:space="preserve"> 15.3</w:t>
            </w:r>
          </w:p>
        </w:tc>
      </w:tr>
      <w:tr w:rsidR="000178D3" w14:paraId="72951CF6" w14:textId="77777777" w:rsidTr="007E6E80">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850D21" w14:textId="77777777" w:rsidR="000178D3" w:rsidRDefault="000178D3" w:rsidP="007E6E80">
            <w:pPr>
              <w:pStyle w:val="TableDataEntries"/>
              <w:jc w:val="left"/>
            </w:pPr>
            <w:r>
              <w:t>Less: Always needs assistance with showering/bathing and toileting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55B1DD" w14:textId="77777777" w:rsidR="000178D3" w:rsidRDefault="000178D3" w:rsidP="007E6E80">
            <w:pPr>
              <w:pStyle w:val="TableDataEntries"/>
            </w:pPr>
            <w:r>
              <w:t xml:space="preserve"> 41.2</w:t>
            </w:r>
          </w:p>
        </w:tc>
      </w:tr>
      <w:tr w:rsidR="000178D3" w14:paraId="44D88FB6" w14:textId="77777777" w:rsidTr="007E6E80">
        <w:trPr>
          <w:trHeight w:val="245"/>
        </w:trPr>
        <w:tc>
          <w:tcPr>
            <w:tcW w:w="59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84F39E" w14:textId="77777777" w:rsidR="000178D3" w:rsidRDefault="000178D3" w:rsidP="007E6E80">
            <w:pPr>
              <w:pStyle w:val="TableDataEntries"/>
              <w:jc w:val="left"/>
            </w:pPr>
            <w:r>
              <w:t>Add: Always needs assistance with mobility, showering/bathing and toileting</w:t>
            </w:r>
          </w:p>
        </w:tc>
        <w:tc>
          <w:tcPr>
            <w:tcW w:w="19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82CBFD" w14:textId="77777777" w:rsidR="000178D3" w:rsidRDefault="000178D3" w:rsidP="007E6E80">
            <w:pPr>
              <w:pStyle w:val="TableDataEntries"/>
            </w:pPr>
            <w:r>
              <w:t xml:space="preserve"> 15.3</w:t>
            </w:r>
          </w:p>
        </w:tc>
      </w:tr>
      <w:tr w:rsidR="000178D3" w:rsidRPr="002C5B39" w14:paraId="535FFC6E" w14:textId="77777777" w:rsidTr="007E6E80">
        <w:trPr>
          <w:trHeight w:val="245"/>
        </w:trPr>
        <w:tc>
          <w:tcPr>
            <w:tcW w:w="59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30E1B0C" w14:textId="77777777" w:rsidR="000178D3" w:rsidRPr="002C5B39" w:rsidRDefault="000178D3" w:rsidP="007E6E80">
            <w:pPr>
              <w:pStyle w:val="TableDataEntries"/>
              <w:jc w:val="left"/>
              <w:rPr>
                <w:rFonts w:ascii="Franklin Gothic Demi" w:hAnsi="Franklin Gothic Demi"/>
              </w:rPr>
            </w:pPr>
            <w:r w:rsidRPr="002C5B39">
              <w:rPr>
                <w:rFonts w:ascii="Franklin Gothic Demi" w:hAnsi="Franklin Gothic Demi"/>
              </w:rPr>
              <w:t>Total</w:t>
            </w:r>
          </w:p>
        </w:tc>
        <w:tc>
          <w:tcPr>
            <w:tcW w:w="19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F3084B6" w14:textId="77777777" w:rsidR="000178D3" w:rsidRPr="002C5B39" w:rsidRDefault="000178D3" w:rsidP="007E6E80">
            <w:pPr>
              <w:pStyle w:val="TableDataEntries"/>
              <w:rPr>
                <w:rFonts w:ascii="Franklin Gothic Demi" w:hAnsi="Franklin Gothic Demi"/>
              </w:rPr>
            </w:pPr>
            <w:r w:rsidRPr="002C5B39">
              <w:rPr>
                <w:rFonts w:ascii="Franklin Gothic Demi" w:hAnsi="Franklin Gothic Demi"/>
              </w:rPr>
              <w:t xml:space="preserve"> 147.5</w:t>
            </w:r>
          </w:p>
        </w:tc>
      </w:tr>
    </w:tbl>
    <w:p w14:paraId="2463D849" w14:textId="77777777" w:rsidR="000178D3" w:rsidRDefault="000178D3" w:rsidP="000178D3">
      <w:pPr>
        <w:pStyle w:val="Source"/>
        <w:rPr>
          <w:lang w:bidi="fa-IR"/>
        </w:rPr>
      </w:pPr>
      <w:r w:rsidRPr="00027945">
        <w:rPr>
          <w:iCs/>
          <w:lang w:bidi="fa-IR"/>
        </w:rPr>
        <w:t>Source: ABS,</w:t>
      </w:r>
      <w:r>
        <w:rPr>
          <w:lang w:bidi="fa-IR"/>
        </w:rPr>
        <w:t xml:space="preserve"> 2018 Survey of Disabilities, Ageing and Carers, TableBuilder, CIE.</w:t>
      </w:r>
    </w:p>
    <w:p w14:paraId="256D3792" w14:textId="77777777" w:rsidR="00951EBC" w:rsidRPr="004B79EC" w:rsidRDefault="00951EBC" w:rsidP="004B79EC">
      <w:pPr>
        <w:pStyle w:val="Heading2-Appendix"/>
      </w:pPr>
      <w:bookmarkStart w:id="858" w:name="_Ref56613674"/>
      <w:r w:rsidRPr="004B79EC">
        <w:t>Mental health impacts</w:t>
      </w:r>
      <w:bookmarkEnd w:id="858"/>
    </w:p>
    <w:p w14:paraId="69F9A7B7" w14:textId="77777777" w:rsidR="00951EBC" w:rsidRDefault="00951EBC" w:rsidP="00951EBC">
      <w:pPr>
        <w:pStyle w:val="BodyText"/>
        <w:rPr>
          <w:lang w:bidi="fa-IR"/>
        </w:rPr>
      </w:pPr>
      <w:r>
        <w:rPr>
          <w:lang w:bidi="fa-IR"/>
        </w:rPr>
        <w:t xml:space="preserve">As a cross check for the estimates of overall quality of life impacts, a separate estimate for </w:t>
      </w:r>
      <w:r w:rsidR="00932A47">
        <w:rPr>
          <w:lang w:bidi="fa-IR"/>
        </w:rPr>
        <w:t xml:space="preserve">the </w:t>
      </w:r>
      <w:r>
        <w:rPr>
          <w:lang w:bidi="fa-IR"/>
        </w:rPr>
        <w:t>mental health impacts of inaccessible housing</w:t>
      </w:r>
      <w:r w:rsidR="000B2BF3">
        <w:rPr>
          <w:lang w:bidi="fa-IR"/>
        </w:rPr>
        <w:t>,</w:t>
      </w:r>
      <w:r>
        <w:rPr>
          <w:lang w:bidi="fa-IR"/>
        </w:rPr>
        <w:t xml:space="preserve"> which is a component of the quality of life impacts</w:t>
      </w:r>
      <w:r w:rsidR="00BE1751">
        <w:rPr>
          <w:lang w:bidi="fa-IR"/>
        </w:rPr>
        <w:t>,</w:t>
      </w:r>
      <w:r w:rsidR="004C407C">
        <w:rPr>
          <w:lang w:bidi="fa-IR"/>
        </w:rPr>
        <w:t xml:space="preserve"> is presented</w:t>
      </w:r>
      <w:r>
        <w:rPr>
          <w:lang w:bidi="fa-IR"/>
        </w:rPr>
        <w:t>.</w:t>
      </w:r>
    </w:p>
    <w:p w14:paraId="29A402DB" w14:textId="0B734067" w:rsidR="00951EBC" w:rsidRPr="005B12F9" w:rsidRDefault="00951EBC" w:rsidP="00951EBC">
      <w:pPr>
        <w:pStyle w:val="BodyText"/>
        <w:rPr>
          <w:lang w:bidi="fa-IR"/>
        </w:rPr>
      </w:pPr>
      <w:r>
        <w:rPr>
          <w:lang w:bidi="fa-IR"/>
        </w:rPr>
        <w:t>In their joint submission, the MDI and the Summer Foundation presented results from a survey of people with disability and old</w:t>
      </w:r>
      <w:r w:rsidR="00BE1751">
        <w:rPr>
          <w:lang w:bidi="fa-IR"/>
        </w:rPr>
        <w:t>er</w:t>
      </w:r>
      <w:r>
        <w:rPr>
          <w:lang w:bidi="fa-IR"/>
        </w:rPr>
        <w:t xml:space="preserve"> people. The survey found different outcomes of mental health and wellbeing between people living in accessible and inaccessible homes (</w:t>
      </w:r>
      <w:r w:rsidR="00362332">
        <w:rPr>
          <w:lang w:bidi="fa-IR"/>
        </w:rPr>
        <w:t>table I.6</w:t>
      </w:r>
      <w:r>
        <w:rPr>
          <w:lang w:bidi="fa-IR"/>
        </w:rPr>
        <w:t xml:space="preserve">). </w:t>
      </w:r>
    </w:p>
    <w:p w14:paraId="140E4A34" w14:textId="1B7D4EF9" w:rsidR="00951EBC" w:rsidRDefault="00390CDB" w:rsidP="00951EBC">
      <w:pPr>
        <w:pStyle w:val="Caption"/>
      </w:pPr>
      <w:bookmarkStart w:id="859" w:name="_Toc55217256"/>
      <w:bookmarkStart w:id="860" w:name="_Toc57643713"/>
      <w:bookmarkStart w:id="861" w:name="_Toc70505668"/>
      <w:r>
        <w:t>I.6</w:t>
      </w:r>
      <w:r w:rsidR="00951EBC" w:rsidRPr="00695C93">
        <w:tab/>
      </w:r>
      <w:r w:rsidR="00AC6CC7">
        <w:t>M</w:t>
      </w:r>
      <w:r w:rsidR="00951EBC">
        <w:t xml:space="preserve">ental health and wellbeing </w:t>
      </w:r>
      <w:r w:rsidR="00AC6CC7">
        <w:t xml:space="preserve">impacts </w:t>
      </w:r>
      <w:r w:rsidR="00951EBC">
        <w:t>of accessibility</w:t>
      </w:r>
      <w:bookmarkEnd w:id="859"/>
      <w:bookmarkEnd w:id="860"/>
      <w:bookmarkEnd w:id="861"/>
    </w:p>
    <w:tbl>
      <w:tblPr>
        <w:tblW w:w="7937" w:type="dxa"/>
        <w:tblLook w:val="04A0" w:firstRow="1" w:lastRow="0" w:firstColumn="1" w:lastColumn="0" w:noHBand="0" w:noVBand="1"/>
        <w:tblCaption w:val="Table I.6: Mental health and wellbeing impacts of accessibility"/>
        <w:tblDescription w:val="Table I.6 presents the percentages of people experiencing impacts on their mental health and wellbeing due to housing accessibility. Impacts are listed as worsened, no impact or improved. 50% of people with low support needs living in an inaccessible home reported worsened mental health and wellbeing, rising to 71.7% of people with high support needs. For all people living in accessible homes, about 60% reported improved mental health and wellbeing."/>
      </w:tblPr>
      <w:tblGrid>
        <w:gridCol w:w="2219"/>
        <w:gridCol w:w="1338"/>
        <w:gridCol w:w="1521"/>
        <w:gridCol w:w="1338"/>
        <w:gridCol w:w="1521"/>
      </w:tblGrid>
      <w:tr w:rsidR="00951EBC" w:rsidRPr="001E7069" w14:paraId="01A05394" w14:textId="77777777" w:rsidTr="00951EBC">
        <w:trPr>
          <w:trHeight w:val="989"/>
        </w:trPr>
        <w:tc>
          <w:tcPr>
            <w:tcW w:w="2219" w:type="dxa"/>
            <w:tcBorders>
              <w:bottom w:val="single" w:sz="8" w:space="0" w:color="FFFFFF" w:themeColor="background1"/>
            </w:tcBorders>
            <w:shd w:val="clear" w:color="auto" w:fill="6F6652"/>
            <w:noWrap/>
            <w:tcMar>
              <w:left w:w="57" w:type="dxa"/>
              <w:right w:w="57" w:type="dxa"/>
            </w:tcMar>
            <w:hideMark/>
          </w:tcPr>
          <w:p w14:paraId="03415AAD" w14:textId="77777777" w:rsidR="00951EBC" w:rsidRPr="001E7069" w:rsidRDefault="00951EBC" w:rsidP="00951EBC">
            <w:pPr>
              <w:pStyle w:val="TableDataColumnHeading"/>
              <w:jc w:val="left"/>
            </w:pPr>
            <w:r w:rsidRPr="001E7069">
              <w:t>Outcome</w:t>
            </w:r>
          </w:p>
        </w:tc>
        <w:tc>
          <w:tcPr>
            <w:tcW w:w="1338" w:type="dxa"/>
            <w:tcBorders>
              <w:bottom w:val="single" w:sz="8" w:space="0" w:color="FFFFFF" w:themeColor="background1"/>
            </w:tcBorders>
            <w:shd w:val="clear" w:color="auto" w:fill="6F6652"/>
            <w:tcMar>
              <w:left w:w="57" w:type="dxa"/>
              <w:right w:w="57" w:type="dxa"/>
            </w:tcMar>
            <w:hideMark/>
          </w:tcPr>
          <w:p w14:paraId="7D4051A5" w14:textId="77777777" w:rsidR="00951EBC" w:rsidRPr="001E7069" w:rsidRDefault="00951EBC" w:rsidP="00951EBC">
            <w:pPr>
              <w:pStyle w:val="TableDataColumnHeading"/>
            </w:pPr>
            <w:r w:rsidRPr="001E7069">
              <w:t>People with low support needs living in accessible home</w:t>
            </w:r>
          </w:p>
        </w:tc>
        <w:tc>
          <w:tcPr>
            <w:tcW w:w="1521" w:type="dxa"/>
            <w:tcBorders>
              <w:bottom w:val="single" w:sz="8" w:space="0" w:color="FFFFFF" w:themeColor="background1"/>
            </w:tcBorders>
            <w:shd w:val="clear" w:color="auto" w:fill="6F6652"/>
            <w:tcMar>
              <w:left w:w="57" w:type="dxa"/>
              <w:right w:w="57" w:type="dxa"/>
            </w:tcMar>
            <w:hideMark/>
          </w:tcPr>
          <w:p w14:paraId="27892CFE" w14:textId="77777777" w:rsidR="00951EBC" w:rsidRPr="001E7069" w:rsidRDefault="00951EBC" w:rsidP="00951EBC">
            <w:pPr>
              <w:pStyle w:val="TableDataColumnHeading"/>
            </w:pPr>
            <w:r w:rsidRPr="001E7069">
              <w:t>People with low support needs living in inaccessible home</w:t>
            </w:r>
          </w:p>
        </w:tc>
        <w:tc>
          <w:tcPr>
            <w:tcW w:w="1338" w:type="dxa"/>
            <w:tcBorders>
              <w:bottom w:val="single" w:sz="8" w:space="0" w:color="FFFFFF" w:themeColor="background1"/>
            </w:tcBorders>
            <w:shd w:val="clear" w:color="auto" w:fill="6F6652"/>
            <w:tcMar>
              <w:left w:w="57" w:type="dxa"/>
              <w:right w:w="57" w:type="dxa"/>
            </w:tcMar>
            <w:hideMark/>
          </w:tcPr>
          <w:p w14:paraId="548FD507" w14:textId="77777777" w:rsidR="00951EBC" w:rsidRPr="001E7069" w:rsidRDefault="00951EBC" w:rsidP="00951EBC">
            <w:pPr>
              <w:pStyle w:val="TableDataColumnHeading"/>
            </w:pPr>
            <w:r w:rsidRPr="001E7069">
              <w:t>People with high support needs living in accessible home</w:t>
            </w:r>
          </w:p>
        </w:tc>
        <w:tc>
          <w:tcPr>
            <w:tcW w:w="1521" w:type="dxa"/>
            <w:tcBorders>
              <w:bottom w:val="single" w:sz="8" w:space="0" w:color="FFFFFF" w:themeColor="background1"/>
            </w:tcBorders>
            <w:shd w:val="clear" w:color="auto" w:fill="6F6652"/>
            <w:tcMar>
              <w:left w:w="57" w:type="dxa"/>
              <w:right w:w="57" w:type="dxa"/>
            </w:tcMar>
            <w:hideMark/>
          </w:tcPr>
          <w:p w14:paraId="2CEC55B2" w14:textId="77777777" w:rsidR="00951EBC" w:rsidRPr="001E7069" w:rsidRDefault="00951EBC" w:rsidP="00951EBC">
            <w:pPr>
              <w:pStyle w:val="TableDataColumnHeading"/>
            </w:pPr>
            <w:r w:rsidRPr="001E7069">
              <w:t>People with high support needs living in inaccessible home</w:t>
            </w:r>
          </w:p>
        </w:tc>
      </w:tr>
      <w:tr w:rsidR="00951EBC" w:rsidRPr="001E7069" w14:paraId="563FDA2F" w14:textId="77777777" w:rsidTr="00951EBC">
        <w:trPr>
          <w:trHeight w:val="252"/>
        </w:trPr>
        <w:tc>
          <w:tcPr>
            <w:tcW w:w="22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B2F3EF" w14:textId="77777777" w:rsidR="00951EBC" w:rsidRPr="001E7069" w:rsidRDefault="00951EBC" w:rsidP="00951EBC">
            <w:pPr>
              <w:pStyle w:val="TableDataEntries"/>
              <w:jc w:val="left"/>
            </w:pPr>
            <w:r w:rsidRPr="001E7069">
              <w:t>Worsened (%)</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45073F" w14:textId="77777777" w:rsidR="00951EBC" w:rsidRPr="001E7069" w:rsidRDefault="00951EBC" w:rsidP="00951EBC">
            <w:pPr>
              <w:pStyle w:val="TableDataEntries"/>
            </w:pPr>
            <w:r w:rsidRPr="001E7069">
              <w:t>15.6</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33BECD" w14:textId="77777777" w:rsidR="00951EBC" w:rsidRPr="001E7069" w:rsidRDefault="00951EBC" w:rsidP="00951EBC">
            <w:pPr>
              <w:pStyle w:val="TableDataEntries"/>
            </w:pPr>
            <w:r w:rsidRPr="001E7069">
              <w:t>50.0</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2B79D0" w14:textId="77777777" w:rsidR="00951EBC" w:rsidRPr="001E7069" w:rsidRDefault="00951EBC" w:rsidP="00951EBC">
            <w:pPr>
              <w:pStyle w:val="TableDataEntries"/>
            </w:pPr>
            <w:r w:rsidRPr="001E7069">
              <w:t>16.6</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ED1B5F" w14:textId="77777777" w:rsidR="00951EBC" w:rsidRPr="001E7069" w:rsidRDefault="00951EBC" w:rsidP="00951EBC">
            <w:pPr>
              <w:pStyle w:val="TableDataEntries"/>
            </w:pPr>
            <w:r w:rsidRPr="001E7069">
              <w:t>71.7</w:t>
            </w:r>
          </w:p>
        </w:tc>
      </w:tr>
      <w:tr w:rsidR="00951EBC" w:rsidRPr="001E7069" w14:paraId="2D5E20EA" w14:textId="77777777" w:rsidTr="00951EBC">
        <w:trPr>
          <w:trHeight w:val="252"/>
        </w:trPr>
        <w:tc>
          <w:tcPr>
            <w:tcW w:w="22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232A2" w14:textId="77777777" w:rsidR="00951EBC" w:rsidRPr="001E7069" w:rsidRDefault="00951EBC" w:rsidP="00951EBC">
            <w:pPr>
              <w:pStyle w:val="TableDataEntries"/>
              <w:jc w:val="left"/>
            </w:pPr>
            <w:r w:rsidRPr="001E7069">
              <w:t>No impact (%)</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7D70D4" w14:textId="77777777" w:rsidR="00951EBC" w:rsidRPr="001E7069" w:rsidRDefault="00951EBC" w:rsidP="00951EBC">
            <w:pPr>
              <w:pStyle w:val="TableDataEntries"/>
            </w:pPr>
            <w:r w:rsidRPr="001E7069">
              <w:t>24.4</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5E5825" w14:textId="77777777" w:rsidR="00951EBC" w:rsidRPr="001E7069" w:rsidRDefault="00951EBC" w:rsidP="00951EBC">
            <w:pPr>
              <w:pStyle w:val="TableDataEntries"/>
            </w:pPr>
            <w:r w:rsidRPr="001E7069">
              <w:t>34.7</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686945" w14:textId="77777777" w:rsidR="00951EBC" w:rsidRPr="001E7069" w:rsidRDefault="00951EBC" w:rsidP="00951EBC">
            <w:pPr>
              <w:pStyle w:val="TableDataEntries"/>
            </w:pPr>
            <w:r w:rsidRPr="001E7069">
              <w:t>23.3</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9B5023" w14:textId="77777777" w:rsidR="00951EBC" w:rsidRPr="001E7069" w:rsidRDefault="00951EBC" w:rsidP="00951EBC">
            <w:pPr>
              <w:pStyle w:val="TableDataEntries"/>
            </w:pPr>
            <w:r w:rsidRPr="001E7069">
              <w:t>16.2</w:t>
            </w:r>
          </w:p>
        </w:tc>
      </w:tr>
      <w:tr w:rsidR="00951EBC" w:rsidRPr="001E7069" w14:paraId="4A79CE5C" w14:textId="77777777" w:rsidTr="00951EBC">
        <w:trPr>
          <w:trHeight w:val="252"/>
        </w:trPr>
        <w:tc>
          <w:tcPr>
            <w:tcW w:w="22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216E74" w14:textId="77777777" w:rsidR="00951EBC" w:rsidRPr="001E7069" w:rsidRDefault="00951EBC" w:rsidP="00951EBC">
            <w:pPr>
              <w:pStyle w:val="TableDataEntries"/>
              <w:jc w:val="left"/>
            </w:pPr>
            <w:r w:rsidRPr="001E7069">
              <w:t>Improved (%)</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970986" w14:textId="77777777" w:rsidR="00951EBC" w:rsidRPr="001E7069" w:rsidRDefault="00951EBC" w:rsidP="00951EBC">
            <w:pPr>
              <w:pStyle w:val="TableDataEntries"/>
            </w:pPr>
            <w:r w:rsidRPr="001E7069">
              <w:t>60.0</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5501B2" w14:textId="77777777" w:rsidR="00951EBC" w:rsidRPr="001E7069" w:rsidRDefault="00951EBC" w:rsidP="00951EBC">
            <w:pPr>
              <w:pStyle w:val="TableDataEntries"/>
            </w:pPr>
            <w:r w:rsidRPr="001E7069">
              <w:t>15.3</w:t>
            </w:r>
          </w:p>
        </w:tc>
        <w:tc>
          <w:tcPr>
            <w:tcW w:w="13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2EBCFE" w14:textId="77777777" w:rsidR="00951EBC" w:rsidRPr="001E7069" w:rsidRDefault="00951EBC" w:rsidP="00951EBC">
            <w:pPr>
              <w:pStyle w:val="TableDataEntries"/>
            </w:pPr>
            <w:r w:rsidRPr="001E7069">
              <w:t>60.1</w:t>
            </w:r>
          </w:p>
        </w:tc>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52002" w14:textId="77777777" w:rsidR="00951EBC" w:rsidRPr="001E7069" w:rsidRDefault="00951EBC" w:rsidP="00951EBC">
            <w:pPr>
              <w:pStyle w:val="TableDataEntries"/>
            </w:pPr>
            <w:r w:rsidRPr="001E7069">
              <w:t>12.1</w:t>
            </w:r>
          </w:p>
        </w:tc>
      </w:tr>
      <w:tr w:rsidR="00951EBC" w:rsidRPr="001E7069" w14:paraId="18D04C79" w14:textId="77777777" w:rsidTr="00951EBC">
        <w:trPr>
          <w:trHeight w:val="252"/>
        </w:trPr>
        <w:tc>
          <w:tcPr>
            <w:tcW w:w="221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DEE6CE6" w14:textId="77777777" w:rsidR="00951EBC" w:rsidRPr="001E7069" w:rsidRDefault="00951EBC" w:rsidP="00951EBC">
            <w:pPr>
              <w:pStyle w:val="TableDataEntries"/>
              <w:jc w:val="left"/>
              <w:rPr>
                <w:rFonts w:ascii="Franklin Gothic Demi" w:hAnsi="Franklin Gothic Demi"/>
              </w:rPr>
            </w:pPr>
            <w:r w:rsidRPr="001E7069">
              <w:rPr>
                <w:rFonts w:ascii="Franklin Gothic Demi" w:hAnsi="Franklin Gothic Demi"/>
              </w:rPr>
              <w:t>Total (%)</w:t>
            </w:r>
          </w:p>
        </w:tc>
        <w:tc>
          <w:tcPr>
            <w:tcW w:w="13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ED48659" w14:textId="77777777" w:rsidR="00951EBC" w:rsidRPr="001E7069" w:rsidRDefault="00951EBC" w:rsidP="00951EBC">
            <w:pPr>
              <w:pStyle w:val="TableDataEntries"/>
              <w:rPr>
                <w:rFonts w:ascii="Franklin Gothic Demi" w:hAnsi="Franklin Gothic Demi"/>
              </w:rPr>
            </w:pPr>
            <w:r w:rsidRPr="001E7069">
              <w:rPr>
                <w:rFonts w:ascii="Franklin Gothic Demi" w:hAnsi="Franklin Gothic Demi"/>
              </w:rPr>
              <w:t>100.0</w:t>
            </w:r>
          </w:p>
        </w:tc>
        <w:tc>
          <w:tcPr>
            <w:tcW w:w="152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A32F985" w14:textId="77777777" w:rsidR="00951EBC" w:rsidRPr="001E7069" w:rsidRDefault="00951EBC" w:rsidP="00951EBC">
            <w:pPr>
              <w:pStyle w:val="TableDataEntries"/>
              <w:rPr>
                <w:rFonts w:ascii="Franklin Gothic Demi" w:hAnsi="Franklin Gothic Demi"/>
              </w:rPr>
            </w:pPr>
            <w:r w:rsidRPr="001E7069">
              <w:rPr>
                <w:rFonts w:ascii="Franklin Gothic Demi" w:hAnsi="Franklin Gothic Demi"/>
              </w:rPr>
              <w:t>100.0</w:t>
            </w:r>
          </w:p>
        </w:tc>
        <w:tc>
          <w:tcPr>
            <w:tcW w:w="13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09B4074" w14:textId="77777777" w:rsidR="00951EBC" w:rsidRPr="001E7069" w:rsidRDefault="00951EBC" w:rsidP="00951EBC">
            <w:pPr>
              <w:pStyle w:val="TableDataEntries"/>
              <w:rPr>
                <w:rFonts w:ascii="Franklin Gothic Demi" w:hAnsi="Franklin Gothic Demi"/>
              </w:rPr>
            </w:pPr>
            <w:r w:rsidRPr="001E7069">
              <w:rPr>
                <w:rFonts w:ascii="Franklin Gothic Demi" w:hAnsi="Franklin Gothic Demi"/>
              </w:rPr>
              <w:t>100.0</w:t>
            </w:r>
          </w:p>
        </w:tc>
        <w:tc>
          <w:tcPr>
            <w:tcW w:w="152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F047383" w14:textId="77777777" w:rsidR="00951EBC" w:rsidRPr="001E7069" w:rsidRDefault="00951EBC" w:rsidP="00951EBC">
            <w:pPr>
              <w:pStyle w:val="TableDataEntries"/>
              <w:rPr>
                <w:rFonts w:ascii="Franklin Gothic Demi" w:hAnsi="Franklin Gothic Demi"/>
              </w:rPr>
            </w:pPr>
            <w:r w:rsidRPr="001E7069">
              <w:rPr>
                <w:rFonts w:ascii="Franklin Gothic Demi" w:hAnsi="Franklin Gothic Demi"/>
              </w:rPr>
              <w:t>100.0</w:t>
            </w:r>
          </w:p>
        </w:tc>
      </w:tr>
      <w:tr w:rsidR="00951EBC" w:rsidRPr="00B968EA" w14:paraId="3044F8DB" w14:textId="77777777" w:rsidTr="00951EBC">
        <w:trPr>
          <w:trHeight w:val="252"/>
        </w:trPr>
        <w:tc>
          <w:tcPr>
            <w:tcW w:w="221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A127662" w14:textId="77777777" w:rsidR="00951EBC" w:rsidRPr="00B968EA" w:rsidRDefault="00951EBC" w:rsidP="00951EBC">
            <w:pPr>
              <w:pStyle w:val="TableDataEntries"/>
              <w:jc w:val="left"/>
              <w:rPr>
                <w:rFonts w:ascii="Franklin Gothic Demi" w:hAnsi="Franklin Gothic Demi"/>
              </w:rPr>
            </w:pPr>
            <w:r w:rsidRPr="00B968EA">
              <w:rPr>
                <w:rFonts w:ascii="Franklin Gothic Demi" w:hAnsi="Franklin Gothic Demi"/>
              </w:rPr>
              <w:t>Count (person)</w:t>
            </w:r>
          </w:p>
        </w:tc>
        <w:tc>
          <w:tcPr>
            <w:tcW w:w="133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1543877" w14:textId="77777777" w:rsidR="00951EBC" w:rsidRPr="00B968EA" w:rsidRDefault="00951EBC" w:rsidP="00951EBC">
            <w:pPr>
              <w:pStyle w:val="TableDataEntries"/>
              <w:rPr>
                <w:rFonts w:ascii="Franklin Gothic Demi" w:hAnsi="Franklin Gothic Demi"/>
              </w:rPr>
            </w:pPr>
            <w:r w:rsidRPr="00B968EA">
              <w:rPr>
                <w:rFonts w:ascii="Franklin Gothic Demi" w:hAnsi="Franklin Gothic Demi"/>
              </w:rPr>
              <w:t>45</w:t>
            </w:r>
          </w:p>
        </w:tc>
        <w:tc>
          <w:tcPr>
            <w:tcW w:w="152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706DCD0" w14:textId="77777777" w:rsidR="00951EBC" w:rsidRPr="00B968EA" w:rsidRDefault="00951EBC" w:rsidP="00951EBC">
            <w:pPr>
              <w:pStyle w:val="TableDataEntries"/>
              <w:rPr>
                <w:rFonts w:ascii="Franklin Gothic Demi" w:hAnsi="Franklin Gothic Demi"/>
              </w:rPr>
            </w:pPr>
            <w:r w:rsidRPr="00B968EA">
              <w:rPr>
                <w:rFonts w:ascii="Franklin Gothic Demi" w:hAnsi="Franklin Gothic Demi"/>
              </w:rPr>
              <w:t>176</w:t>
            </w:r>
          </w:p>
        </w:tc>
        <w:tc>
          <w:tcPr>
            <w:tcW w:w="133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D51D826" w14:textId="77777777" w:rsidR="00951EBC" w:rsidRPr="00B968EA" w:rsidRDefault="00951EBC" w:rsidP="00951EBC">
            <w:pPr>
              <w:pStyle w:val="TableDataEntries"/>
              <w:rPr>
                <w:rFonts w:ascii="Franklin Gothic Demi" w:hAnsi="Franklin Gothic Demi"/>
              </w:rPr>
            </w:pPr>
            <w:r w:rsidRPr="00B968EA">
              <w:rPr>
                <w:rFonts w:ascii="Franklin Gothic Demi" w:hAnsi="Franklin Gothic Demi"/>
              </w:rPr>
              <w:t>163</w:t>
            </w:r>
          </w:p>
        </w:tc>
        <w:tc>
          <w:tcPr>
            <w:tcW w:w="152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7DE252D" w14:textId="77777777" w:rsidR="00951EBC" w:rsidRPr="00B968EA" w:rsidRDefault="00951EBC" w:rsidP="00951EBC">
            <w:pPr>
              <w:pStyle w:val="TableDataEntries"/>
              <w:rPr>
                <w:rFonts w:ascii="Franklin Gothic Demi" w:hAnsi="Franklin Gothic Demi"/>
              </w:rPr>
            </w:pPr>
            <w:r w:rsidRPr="00B968EA">
              <w:rPr>
                <w:rFonts w:ascii="Franklin Gothic Demi" w:hAnsi="Franklin Gothic Demi"/>
              </w:rPr>
              <w:t>414</w:t>
            </w:r>
          </w:p>
        </w:tc>
      </w:tr>
    </w:tbl>
    <w:p w14:paraId="610BA44D" w14:textId="77777777" w:rsidR="00951EBC" w:rsidRDefault="00951EBC" w:rsidP="00951EBC">
      <w:pPr>
        <w:pStyle w:val="Source"/>
        <w:rPr>
          <w:lang w:bidi="fa-IR"/>
        </w:rPr>
      </w:pPr>
      <w:r w:rsidRPr="00027945">
        <w:rPr>
          <w:iCs/>
          <w:lang w:bidi="fa-IR"/>
        </w:rPr>
        <w:t>Source: MDI and Summer</w:t>
      </w:r>
      <w:r>
        <w:rPr>
          <w:lang w:bidi="fa-IR"/>
        </w:rPr>
        <w:t xml:space="preserve"> Foundation submission, </w:t>
      </w:r>
      <w:r w:rsidR="00D1100E">
        <w:rPr>
          <w:lang w:bidi="fa-IR"/>
        </w:rPr>
        <w:t>a</w:t>
      </w:r>
      <w:r>
        <w:rPr>
          <w:lang w:bidi="fa-IR"/>
        </w:rPr>
        <w:t>ppendix 2, Table 19</w:t>
      </w:r>
    </w:p>
    <w:p w14:paraId="16AB0766" w14:textId="77777777" w:rsidR="00951EBC" w:rsidRDefault="00951EBC" w:rsidP="00951EBC">
      <w:pPr>
        <w:pStyle w:val="BodyText"/>
        <w:rPr>
          <w:lang w:bidi="fa-IR"/>
        </w:rPr>
      </w:pPr>
      <w:r>
        <w:rPr>
          <w:lang w:bidi="fa-IR"/>
        </w:rPr>
        <w:t>The survey suggests that on average accessible housing could avoid worsening mental health conditions for about 49 per cent of people with accessibility needs living in inaccessible homes, or improve conditions for about 47 per cent of people.</w:t>
      </w:r>
    </w:p>
    <w:p w14:paraId="3A479D56" w14:textId="77777777" w:rsidR="00951EBC" w:rsidRDefault="00951EBC" w:rsidP="00951EBC">
      <w:pPr>
        <w:pStyle w:val="BodyText"/>
        <w:rPr>
          <w:lang w:bidi="fa-IR"/>
        </w:rPr>
      </w:pPr>
      <w:r>
        <w:rPr>
          <w:lang w:bidi="fa-IR"/>
        </w:rPr>
        <w:t>It should be noted that the survey was not conducted based on random sampling and thus the statistical inference (that is the representativeness and statistical significance) could not be established. Moreover, the mental health outcome was a subjective, qualitative assessment (that is worsening or improving) rather than a quantified measurement.</w:t>
      </w:r>
    </w:p>
    <w:p w14:paraId="686BB871" w14:textId="77777777" w:rsidR="00951EBC" w:rsidRDefault="00951EBC" w:rsidP="00951EBC">
      <w:pPr>
        <w:pStyle w:val="BodyText"/>
        <w:rPr>
          <w:lang w:bidi="fa-IR"/>
        </w:rPr>
      </w:pPr>
      <w:r>
        <w:rPr>
          <w:lang w:bidi="fa-IR"/>
        </w:rPr>
        <w:t xml:space="preserve">With these limitations in mind, the survey results </w:t>
      </w:r>
      <w:r w:rsidR="0076173C">
        <w:rPr>
          <w:lang w:bidi="fa-IR"/>
        </w:rPr>
        <w:t>may be used</w:t>
      </w:r>
      <w:r>
        <w:rPr>
          <w:lang w:bidi="fa-IR"/>
        </w:rPr>
        <w:t xml:space="preserve"> to calculate some indicative impacts on mental health of inaccessible housing, with additional information drawn from other sources.</w:t>
      </w:r>
    </w:p>
    <w:p w14:paraId="078FBCD8" w14:textId="77777777" w:rsidR="00951EBC" w:rsidRDefault="003006C6" w:rsidP="00951EBC">
      <w:pPr>
        <w:pStyle w:val="BodyText"/>
        <w:rPr>
          <w:lang w:bidi="fa-IR"/>
        </w:rPr>
      </w:pPr>
      <w:r>
        <w:rPr>
          <w:lang w:bidi="fa-IR"/>
        </w:rPr>
        <w:t>To support this</w:t>
      </w:r>
      <w:r w:rsidR="00951EBC">
        <w:rPr>
          <w:lang w:bidi="fa-IR"/>
        </w:rPr>
        <w:t xml:space="preserve"> qualitative assessment of mental health situation</w:t>
      </w:r>
      <w:r>
        <w:rPr>
          <w:lang w:bidi="fa-IR"/>
        </w:rPr>
        <w:t>,</w:t>
      </w:r>
      <w:r w:rsidR="00951EBC">
        <w:rPr>
          <w:lang w:bidi="fa-IR"/>
        </w:rPr>
        <w:t xml:space="preserve"> findings from Carnemolla and Bridge (2016) </w:t>
      </w:r>
      <w:r>
        <w:rPr>
          <w:lang w:bidi="fa-IR"/>
        </w:rPr>
        <w:t>is</w:t>
      </w:r>
      <w:r w:rsidR="00951EBC">
        <w:rPr>
          <w:lang w:bidi="fa-IR"/>
        </w:rPr>
        <w:t xml:space="preserve"> used. Carnemolla and Bridge (2016) found that the mental health dimension of Assessment of Quality of Life (AQoL) index changed from 0.82 pre-home modification to 0.87 post-modification.</w:t>
      </w:r>
      <w:r w:rsidR="00951EBC">
        <w:rPr>
          <w:rStyle w:val="FootnoteReference"/>
          <w:lang w:bidi="fa-IR"/>
        </w:rPr>
        <w:footnoteReference w:id="531"/>
      </w:r>
    </w:p>
    <w:p w14:paraId="304C4C43" w14:textId="77777777" w:rsidR="00951EBC" w:rsidRDefault="00951EBC" w:rsidP="00951EBC">
      <w:pPr>
        <w:pStyle w:val="BodyText"/>
        <w:rPr>
          <w:lang w:bidi="fa-IR"/>
        </w:rPr>
      </w:pPr>
      <w:r>
        <w:rPr>
          <w:lang w:bidi="fa-IR"/>
        </w:rPr>
        <w:t>Several studies suggest that the average mental health cost in Australia is around $4</w:t>
      </w:r>
      <w:r w:rsidR="00355C62">
        <w:rPr>
          <w:lang w:bidi="fa-IR"/>
        </w:rPr>
        <w:t xml:space="preserve"> </w:t>
      </w:r>
      <w:r>
        <w:rPr>
          <w:lang w:bidi="fa-IR"/>
        </w:rPr>
        <w:t>000 per capita per year, for example:</w:t>
      </w:r>
    </w:p>
    <w:p w14:paraId="7A167D1B" w14:textId="77777777" w:rsidR="00951EBC" w:rsidRDefault="00951EBC" w:rsidP="00951EBC">
      <w:pPr>
        <w:pStyle w:val="ListBullet"/>
        <w:rPr>
          <w:lang w:bidi="fa-IR"/>
        </w:rPr>
      </w:pPr>
      <w:r>
        <w:rPr>
          <w:lang w:bidi="fa-IR"/>
        </w:rPr>
        <w:t xml:space="preserve">A report commissioned by the </w:t>
      </w:r>
      <w:hyperlink r:id="rId91" w:history="1">
        <w:r w:rsidRPr="00ED4963">
          <w:rPr>
            <w:lang w:bidi="fa-IR"/>
          </w:rPr>
          <w:t>Royal Australian &amp; New Zealand College of Psychiatrists</w:t>
        </w:r>
      </w:hyperlink>
      <w:r>
        <w:rPr>
          <w:lang w:bidi="fa-IR"/>
        </w:rPr>
        <w:t xml:space="preserve"> (RANZCP) and the Australian Health Policy Collaboration estimated in 2014 that the cost of severe mental illness in Australia was $56.7 billion per year, including the direct economic costs of severe mental illness arising from the use of health and other services, as well as indirect costs due to lost productivity because people are unable to work.</w:t>
      </w:r>
      <w:r>
        <w:rPr>
          <w:rStyle w:val="FootnoteReference"/>
          <w:lang w:bidi="fa-IR"/>
        </w:rPr>
        <w:footnoteReference w:id="532"/>
      </w:r>
    </w:p>
    <w:p w14:paraId="4BCA5BAF" w14:textId="77777777" w:rsidR="00951EBC" w:rsidRDefault="00951EBC" w:rsidP="00951EBC">
      <w:pPr>
        <w:pStyle w:val="ListBullet"/>
        <w:rPr>
          <w:lang w:bidi="fa-IR"/>
        </w:rPr>
      </w:pPr>
      <w:r>
        <w:rPr>
          <w:lang w:bidi="fa-IR"/>
        </w:rPr>
        <w:t xml:space="preserve">In December 2016, the National Mental Health Commission </w:t>
      </w:r>
      <w:hyperlink r:id="rId92" w:history="1">
        <w:r w:rsidRPr="00ED4963">
          <w:rPr>
            <w:lang w:bidi="fa-IR"/>
          </w:rPr>
          <w:t>stated</w:t>
        </w:r>
      </w:hyperlink>
      <w:r>
        <w:rPr>
          <w:lang w:bidi="fa-IR"/>
        </w:rPr>
        <w:t xml:space="preserve"> that the cost of mental ill-health in Australia each year was around $4</w:t>
      </w:r>
      <w:r w:rsidR="009B700D">
        <w:rPr>
          <w:lang w:bidi="fa-IR"/>
        </w:rPr>
        <w:t> </w:t>
      </w:r>
      <w:r>
        <w:rPr>
          <w:lang w:bidi="fa-IR"/>
        </w:rPr>
        <w:t>000 per person, or $60 billion in total.</w:t>
      </w:r>
      <w:r>
        <w:rPr>
          <w:rStyle w:val="FootnoteReference"/>
          <w:lang w:bidi="fa-IR"/>
        </w:rPr>
        <w:footnoteReference w:id="533"/>
      </w:r>
    </w:p>
    <w:p w14:paraId="2D2C318D" w14:textId="77777777" w:rsidR="00951EBC" w:rsidRDefault="00951EBC" w:rsidP="00951EBC">
      <w:pPr>
        <w:pStyle w:val="ListBullet"/>
        <w:rPr>
          <w:lang w:bidi="fa-IR"/>
        </w:rPr>
      </w:pPr>
      <w:r>
        <w:rPr>
          <w:lang w:bidi="fa-IR"/>
        </w:rPr>
        <w:t xml:space="preserve">The 2018 KPMG and Mental Health Australia report, </w:t>
      </w:r>
      <w:hyperlink r:id="rId93" w:history="1">
        <w:r w:rsidRPr="00ED4963">
          <w:rPr>
            <w:i/>
            <w:iCs/>
            <w:lang w:bidi="fa-IR"/>
          </w:rPr>
          <w:t>Investing to Save</w:t>
        </w:r>
      </w:hyperlink>
      <w:r>
        <w:rPr>
          <w:lang w:bidi="fa-IR"/>
        </w:rPr>
        <w:t>, estimated that mental ill-health in the workplace costs an average of $3</w:t>
      </w:r>
      <w:r w:rsidR="009B700D">
        <w:rPr>
          <w:lang w:bidi="fa-IR"/>
        </w:rPr>
        <w:t> </w:t>
      </w:r>
      <w:r>
        <w:rPr>
          <w:lang w:bidi="fa-IR"/>
        </w:rPr>
        <w:t>200 per employee with mental illness, and up to $5</w:t>
      </w:r>
      <w:r w:rsidR="009B700D">
        <w:rPr>
          <w:lang w:bidi="fa-IR"/>
        </w:rPr>
        <w:t> </w:t>
      </w:r>
      <w:r>
        <w:rPr>
          <w:lang w:bidi="fa-IR"/>
        </w:rPr>
        <w:t>600 for employees with severe mental illness. Overall, it was estimated that the cost of workplace mental ill-health in Australia was $12.8 billion in 2015–16.</w:t>
      </w:r>
      <w:r>
        <w:rPr>
          <w:rStyle w:val="FootnoteReference"/>
          <w:lang w:bidi="fa-IR"/>
        </w:rPr>
        <w:footnoteReference w:id="534"/>
      </w:r>
    </w:p>
    <w:p w14:paraId="1375B40F" w14:textId="77777777" w:rsidR="00951EBC" w:rsidRDefault="00951EBC" w:rsidP="00951EBC">
      <w:pPr>
        <w:pStyle w:val="BodyText"/>
        <w:rPr>
          <w:lang w:bidi="fa-IR"/>
        </w:rPr>
      </w:pPr>
      <w:r>
        <w:rPr>
          <w:lang w:bidi="fa-IR"/>
        </w:rPr>
        <w:t>It is noted that some studies measure severe mental illness, implying that the average mental health cost might be overstated for the general population. With this in mind, the average mental health cost of $4</w:t>
      </w:r>
      <w:r w:rsidR="009B700D">
        <w:rPr>
          <w:lang w:bidi="fa-IR"/>
        </w:rPr>
        <w:t> </w:t>
      </w:r>
      <w:r>
        <w:rPr>
          <w:lang w:bidi="fa-IR"/>
        </w:rPr>
        <w:t>000 per person per year suggest</w:t>
      </w:r>
      <w:r w:rsidR="00AC6CC7">
        <w:rPr>
          <w:lang w:bidi="fa-IR"/>
        </w:rPr>
        <w:t>s</w:t>
      </w:r>
      <w:r>
        <w:rPr>
          <w:lang w:bidi="fa-IR"/>
        </w:rPr>
        <w:t xml:space="preserve"> the </w:t>
      </w:r>
      <w:r w:rsidR="00A159EA">
        <w:rPr>
          <w:lang w:bidi="fa-IR"/>
        </w:rPr>
        <w:t>accessible housing</w:t>
      </w:r>
      <w:r>
        <w:rPr>
          <w:lang w:bidi="fa-IR"/>
        </w:rPr>
        <w:t xml:space="preserve"> could avoid mental health costs of around $1</w:t>
      </w:r>
      <w:r w:rsidR="009B700D">
        <w:rPr>
          <w:lang w:bidi="fa-IR"/>
        </w:rPr>
        <w:t> </w:t>
      </w:r>
      <w:r>
        <w:rPr>
          <w:lang w:bidi="fa-IR"/>
        </w:rPr>
        <w:t>111 per person.</w:t>
      </w:r>
      <w:r>
        <w:rPr>
          <w:rStyle w:val="FootnoteReference"/>
          <w:lang w:bidi="fa-IR"/>
        </w:rPr>
        <w:footnoteReference w:id="535"/>
      </w:r>
    </w:p>
    <w:p w14:paraId="25896204" w14:textId="77777777" w:rsidR="00951EBC" w:rsidRDefault="00951EBC" w:rsidP="00951EBC">
      <w:pPr>
        <w:pStyle w:val="BodyText"/>
        <w:rPr>
          <w:lang w:bidi="fa-IR"/>
        </w:rPr>
      </w:pPr>
      <w:r>
        <w:rPr>
          <w:lang w:bidi="fa-IR"/>
        </w:rPr>
        <w:t>It could be argued that people with disability and older Australians have worse mental health conditions than the general Australian population, implying that the average mental health cost for these people may be higher than $4</w:t>
      </w:r>
      <w:r w:rsidR="009B700D">
        <w:rPr>
          <w:lang w:bidi="fa-IR"/>
        </w:rPr>
        <w:t> </w:t>
      </w:r>
      <w:r>
        <w:rPr>
          <w:lang w:bidi="fa-IR"/>
        </w:rPr>
        <w:t>000 per year.</w:t>
      </w:r>
    </w:p>
    <w:p w14:paraId="228200A2" w14:textId="77777777" w:rsidR="00951EBC" w:rsidRDefault="00951EBC" w:rsidP="00951EBC">
      <w:pPr>
        <w:pStyle w:val="BodyText"/>
        <w:rPr>
          <w:lang w:bidi="fa-IR"/>
        </w:rPr>
      </w:pPr>
      <w:r>
        <w:rPr>
          <w:lang w:bidi="fa-IR"/>
        </w:rPr>
        <w:t xml:space="preserve">Compared to Australian norms, the AQoL for people with mobility disability and older people in </w:t>
      </w:r>
      <w:r w:rsidR="00F2670E">
        <w:rPr>
          <w:lang w:bidi="fa-IR"/>
        </w:rPr>
        <w:t xml:space="preserve">the </w:t>
      </w:r>
      <w:r>
        <w:rPr>
          <w:lang w:bidi="fa-IR"/>
        </w:rPr>
        <w:t>Carnemolla and Bridge (2016) study is 0.30 and 0.42, respectively, before and after home modification, which is significantly lower than the Australian population norm (0.81) and other categories of people, for example:</w:t>
      </w:r>
      <w:r>
        <w:rPr>
          <w:rStyle w:val="FootnoteReference"/>
          <w:lang w:bidi="fa-IR"/>
        </w:rPr>
        <w:footnoteReference w:id="536"/>
      </w:r>
    </w:p>
    <w:p w14:paraId="705EFDC5" w14:textId="77777777" w:rsidR="00951EBC" w:rsidRDefault="00951EBC" w:rsidP="00951EBC">
      <w:pPr>
        <w:pStyle w:val="ListBullet"/>
        <w:rPr>
          <w:lang w:bidi="fa-IR"/>
        </w:rPr>
      </w:pPr>
      <w:r>
        <w:rPr>
          <w:lang w:bidi="fa-IR"/>
        </w:rPr>
        <w:t>Australian population norm for age 70</w:t>
      </w:r>
      <w:r w:rsidR="00EF506D">
        <w:rPr>
          <w:lang w:bidi="fa-IR"/>
        </w:rPr>
        <w:t xml:space="preserve"> to </w:t>
      </w:r>
      <w:r>
        <w:rPr>
          <w:lang w:bidi="fa-IR"/>
        </w:rPr>
        <w:t>79 (0.78)</w:t>
      </w:r>
    </w:p>
    <w:p w14:paraId="073A743E" w14:textId="77777777" w:rsidR="00951EBC" w:rsidRDefault="00951EBC" w:rsidP="00951EBC">
      <w:pPr>
        <w:pStyle w:val="ListBullet"/>
        <w:rPr>
          <w:lang w:bidi="fa-IR"/>
        </w:rPr>
      </w:pPr>
      <w:r>
        <w:rPr>
          <w:lang w:bidi="fa-IR"/>
        </w:rPr>
        <w:t>Australian population with ‘Poor’ general mental health condition (0.35) and people with 3 or more current mental health conditions (0.47)</w:t>
      </w:r>
      <w:r w:rsidR="00184E9F">
        <w:rPr>
          <w:lang w:bidi="fa-IR"/>
        </w:rPr>
        <w:t>,</w:t>
      </w:r>
      <w:r>
        <w:rPr>
          <w:lang w:bidi="fa-IR"/>
        </w:rPr>
        <w:t xml:space="preserve"> and</w:t>
      </w:r>
    </w:p>
    <w:p w14:paraId="688A23CC" w14:textId="77777777" w:rsidR="00951EBC" w:rsidRDefault="00951EBC" w:rsidP="00951EBC">
      <w:pPr>
        <w:pStyle w:val="ListBullet"/>
        <w:rPr>
          <w:lang w:bidi="fa-IR"/>
        </w:rPr>
      </w:pPr>
      <w:r>
        <w:rPr>
          <w:lang w:bidi="fa-IR"/>
        </w:rPr>
        <w:t>Australian population with ‘Poor’ general physical health condition (0.41) and people with 3 or more current health conditions (0.59).</w:t>
      </w:r>
    </w:p>
    <w:p w14:paraId="168C2892" w14:textId="77777777" w:rsidR="00951EBC" w:rsidRDefault="00951EBC" w:rsidP="00951EBC">
      <w:pPr>
        <w:pStyle w:val="BodyText"/>
        <w:rPr>
          <w:lang w:bidi="fa-IR"/>
        </w:rPr>
      </w:pPr>
      <w:r>
        <w:rPr>
          <w:lang w:bidi="fa-IR"/>
        </w:rPr>
        <w:t xml:space="preserve">However, there is no data on the average mental health cost for people with mobility disability and older Australians. One way is to scale the average mental </w:t>
      </w:r>
      <w:r w:rsidR="00D1798E">
        <w:rPr>
          <w:lang w:bidi="fa-IR"/>
        </w:rPr>
        <w:t xml:space="preserve">health </w:t>
      </w:r>
      <w:r>
        <w:rPr>
          <w:lang w:bidi="fa-IR"/>
        </w:rPr>
        <w:t>cost using the mental health dimension of the AQoL score (uD</w:t>
      </w:r>
      <w:r>
        <w:rPr>
          <w:vertAlign w:val="subscript"/>
          <w:lang w:bidi="fa-IR"/>
        </w:rPr>
        <w:t>mental health</w:t>
      </w:r>
      <w:r>
        <w:rPr>
          <w:lang w:bidi="fa-IR"/>
        </w:rPr>
        <w:t>) for people with mobility disability and older Australians and for the Australian population. The former could be provided by the Carnemolla and Bridge (2016) study, but the latter is not available from the Australian population norms study.</w:t>
      </w:r>
    </w:p>
    <w:p w14:paraId="19FD2C41" w14:textId="77777777" w:rsidR="00951EBC" w:rsidRPr="009934FE" w:rsidRDefault="00951EBC" w:rsidP="00951EBC">
      <w:pPr>
        <w:pStyle w:val="BodyText"/>
        <w:rPr>
          <w:lang w:bidi="fa-IR"/>
        </w:rPr>
      </w:pPr>
      <w:r w:rsidRPr="009934FE">
        <w:rPr>
          <w:lang w:bidi="fa-IR"/>
        </w:rPr>
        <w:t xml:space="preserve">Another scaling could be to use the overall AQoL score for people with mobility disability and </w:t>
      </w:r>
      <w:r>
        <w:rPr>
          <w:lang w:bidi="fa-IR"/>
        </w:rPr>
        <w:t xml:space="preserve">older Australians </w:t>
      </w:r>
      <w:r w:rsidRPr="009934FE">
        <w:rPr>
          <w:lang w:bidi="fa-IR"/>
        </w:rPr>
        <w:t xml:space="preserve">and for the Australian population. </w:t>
      </w:r>
    </w:p>
    <w:p w14:paraId="20976A78" w14:textId="77777777" w:rsidR="00951EBC" w:rsidRPr="009934FE" w:rsidRDefault="00951EBC" w:rsidP="00951EBC">
      <w:pPr>
        <w:pStyle w:val="BodyText"/>
        <w:rPr>
          <w:lang w:bidi="fa-IR"/>
        </w:rPr>
      </w:pPr>
      <w:r w:rsidRPr="009934FE">
        <w:rPr>
          <w:lang w:bidi="fa-IR"/>
        </w:rPr>
        <w:t xml:space="preserve">As mentioned above, </w:t>
      </w:r>
      <w:r>
        <w:rPr>
          <w:lang w:bidi="fa-IR"/>
        </w:rPr>
        <w:t xml:space="preserve">the </w:t>
      </w:r>
      <w:r w:rsidRPr="009934FE">
        <w:rPr>
          <w:lang w:bidi="fa-IR"/>
        </w:rPr>
        <w:t xml:space="preserve">Australian population norm AQoL score is 0.81 and the AQoL score for people with mobility disability and </w:t>
      </w:r>
      <w:r>
        <w:rPr>
          <w:lang w:bidi="fa-IR"/>
        </w:rPr>
        <w:t>older Australians</w:t>
      </w:r>
      <w:r w:rsidRPr="009934FE" w:rsidDel="0024445D">
        <w:rPr>
          <w:lang w:bidi="fa-IR"/>
        </w:rPr>
        <w:t xml:space="preserve"> </w:t>
      </w:r>
      <w:r w:rsidRPr="009934FE">
        <w:rPr>
          <w:lang w:bidi="fa-IR"/>
        </w:rPr>
        <w:t>before home modification is 0.30. The difference suggests that the average mental health cost could be as high as $14</w:t>
      </w:r>
      <w:r w:rsidR="0098223D">
        <w:rPr>
          <w:lang w:bidi="fa-IR"/>
        </w:rPr>
        <w:t> </w:t>
      </w:r>
      <w:r w:rsidRPr="009934FE">
        <w:rPr>
          <w:lang w:bidi="fa-IR"/>
        </w:rPr>
        <w:t>736.8 per year on average.</w:t>
      </w:r>
      <w:r w:rsidRPr="009934FE">
        <w:rPr>
          <w:rStyle w:val="FootnoteReference"/>
          <w:lang w:bidi="fa-IR"/>
        </w:rPr>
        <w:footnoteReference w:id="537"/>
      </w:r>
      <w:r>
        <w:rPr>
          <w:lang w:bidi="fa-IR"/>
        </w:rPr>
        <w:t xml:space="preserve"> </w:t>
      </w:r>
    </w:p>
    <w:p w14:paraId="6BDC418D" w14:textId="7CEDEF22" w:rsidR="00951EBC" w:rsidRDefault="00951EBC" w:rsidP="00951EBC">
      <w:pPr>
        <w:pStyle w:val="BodyText"/>
        <w:rPr>
          <w:lang w:bidi="fa-IR"/>
        </w:rPr>
      </w:pPr>
      <w:r w:rsidRPr="009934FE">
        <w:rPr>
          <w:lang w:bidi="fa-IR"/>
        </w:rPr>
        <w:t xml:space="preserve">This average mental health cost is certainly an overestimate for people with mobility disability and </w:t>
      </w:r>
      <w:r>
        <w:rPr>
          <w:lang w:bidi="fa-IR"/>
        </w:rPr>
        <w:t>older Australians</w:t>
      </w:r>
      <w:r w:rsidRPr="009934FE" w:rsidDel="0024445D">
        <w:rPr>
          <w:lang w:bidi="fa-IR"/>
        </w:rPr>
        <w:t xml:space="preserve"> </w:t>
      </w:r>
      <w:r w:rsidR="003006C6">
        <w:rPr>
          <w:lang w:bidi="fa-IR"/>
        </w:rPr>
        <w:t>as</w:t>
      </w:r>
      <w:r w:rsidRPr="009934FE">
        <w:rPr>
          <w:lang w:bidi="fa-IR"/>
        </w:rPr>
        <w:t xml:space="preserve"> it is higher than the annual cost for most categories of</w:t>
      </w:r>
      <w:r>
        <w:rPr>
          <w:lang w:bidi="fa-IR"/>
        </w:rPr>
        <w:t xml:space="preserve"> mental disorder except two – major depressive disorder ($15 700) and suicide attempt ($14 950).</w:t>
      </w:r>
      <w:r>
        <w:rPr>
          <w:rStyle w:val="FootnoteReference"/>
          <w:lang w:bidi="fa-IR"/>
        </w:rPr>
        <w:footnoteReference w:id="538"/>
      </w:r>
      <w:r>
        <w:rPr>
          <w:lang w:bidi="fa-IR"/>
        </w:rPr>
        <w:t xml:space="preserve"> As shown in chart</w:t>
      </w:r>
      <w:r w:rsidR="00362332">
        <w:rPr>
          <w:lang w:bidi="fa-IR"/>
        </w:rPr>
        <w:t xml:space="preserve"> I.7</w:t>
      </w:r>
      <w:r>
        <w:rPr>
          <w:lang w:bidi="fa-IR"/>
        </w:rPr>
        <w:t>, it is also higher than the average cost for people with any mental disorder ($10 805).</w:t>
      </w:r>
    </w:p>
    <w:p w14:paraId="7BCBB4C2" w14:textId="77777777" w:rsidR="00951EBC" w:rsidRDefault="00951EBC" w:rsidP="00951EBC">
      <w:pPr>
        <w:pStyle w:val="BodyText"/>
        <w:rPr>
          <w:lang w:bidi="fa-IR"/>
        </w:rPr>
      </w:pPr>
      <w:r w:rsidRPr="009934FE">
        <w:rPr>
          <w:lang w:bidi="fa-IR"/>
        </w:rPr>
        <w:t>It is therefore</w:t>
      </w:r>
      <w:r>
        <w:rPr>
          <w:lang w:bidi="fa-IR"/>
        </w:rPr>
        <w:t xml:space="preserve"> more reasonable </w:t>
      </w:r>
      <w:r w:rsidRPr="009934FE">
        <w:rPr>
          <w:lang w:bidi="fa-IR"/>
        </w:rPr>
        <w:t>to assume the average cost for people with mental health disorders as the upper bound estimate of mental health cost for people with access</w:t>
      </w:r>
      <w:r>
        <w:rPr>
          <w:lang w:bidi="fa-IR"/>
        </w:rPr>
        <w:t>i</w:t>
      </w:r>
      <w:r w:rsidRPr="009934FE">
        <w:rPr>
          <w:lang w:bidi="fa-IR"/>
        </w:rPr>
        <w:t>b</w:t>
      </w:r>
      <w:r>
        <w:rPr>
          <w:lang w:bidi="fa-IR"/>
        </w:rPr>
        <w:t>ility</w:t>
      </w:r>
      <w:r w:rsidRPr="009934FE">
        <w:rPr>
          <w:lang w:bidi="fa-IR"/>
        </w:rPr>
        <w:t xml:space="preserve"> needs. This suggests that the upper bound mental health impact of accessible housing is $3</w:t>
      </w:r>
      <w:r>
        <w:rPr>
          <w:lang w:bidi="fa-IR"/>
        </w:rPr>
        <w:t xml:space="preserve"> </w:t>
      </w:r>
      <w:r w:rsidRPr="009934FE">
        <w:rPr>
          <w:lang w:bidi="fa-IR"/>
        </w:rPr>
        <w:t>014 per</w:t>
      </w:r>
      <w:r>
        <w:rPr>
          <w:lang w:bidi="fa-IR"/>
        </w:rPr>
        <w:t xml:space="preserve"> year.</w:t>
      </w:r>
    </w:p>
    <w:p w14:paraId="50E25E1A" w14:textId="4F227149" w:rsidR="00951EBC" w:rsidRDefault="00390CDB" w:rsidP="00951EBC">
      <w:pPr>
        <w:pStyle w:val="Caption"/>
      </w:pPr>
      <w:bookmarkStart w:id="862" w:name="_Toc55217257"/>
      <w:bookmarkStart w:id="863" w:name="_Toc57643714"/>
      <w:bookmarkStart w:id="864" w:name="_Toc70505669"/>
      <w:r>
        <w:t>1.7</w:t>
      </w:r>
      <w:r w:rsidR="00951EBC" w:rsidRPr="00695C93">
        <w:tab/>
      </w:r>
      <w:r w:rsidR="00951EBC">
        <w:t>Annual mental health cost for different conditions</w:t>
      </w:r>
      <w:bookmarkEnd w:id="862"/>
      <w:bookmarkEnd w:id="863"/>
      <w:bookmarkEnd w:id="864"/>
    </w:p>
    <w:p w14:paraId="1740ED61" w14:textId="77777777" w:rsidR="003F341E" w:rsidRPr="003F341E" w:rsidRDefault="003F341E" w:rsidP="003F341E">
      <w:pPr>
        <w:pStyle w:val="Subtitlebox"/>
      </w:pPr>
      <w:r w:rsidRPr="001C44FD">
        <w:rPr>
          <w:noProof/>
        </w:rPr>
        <w:drawing>
          <wp:inline distT="0" distB="0" distL="0" distR="0" wp14:anchorId="514EAEF3" wp14:editId="529A88F4">
            <wp:extent cx="5022215" cy="3512185"/>
            <wp:effectExtent l="57150" t="57150" r="64135" b="50165"/>
            <wp:docPr id="34" name="Picture 34" descr="This graph shows the annual mental health cost for different mental health conditions. The average cost is almost $11,000 per year." title="Chart I.7: Annual mental health cost for differen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2215" cy="3512185"/>
                    </a:xfrm>
                    <a:prstGeom prst="rect">
                      <a:avLst/>
                    </a:prstGeom>
                    <a:noFill/>
                    <a:ln w="57150">
                      <a:solidFill>
                        <a:schemeClr val="bg2"/>
                      </a:solidFill>
                    </a:ln>
                  </pic:spPr>
                </pic:pic>
              </a:graphicData>
            </a:graphic>
          </wp:inline>
        </w:drawing>
      </w:r>
    </w:p>
    <w:p w14:paraId="30DF653A" w14:textId="77777777" w:rsidR="00951EBC" w:rsidRPr="00027945" w:rsidRDefault="00951EBC" w:rsidP="00951EBC">
      <w:pPr>
        <w:pStyle w:val="Note"/>
        <w:rPr>
          <w:iCs/>
        </w:rPr>
      </w:pPr>
      <w:r w:rsidRPr="00027945">
        <w:rPr>
          <w:iCs/>
        </w:rPr>
        <w:t>Note: AUD – alcohol use disorder; SUD – substance use disorder; PD – panic disorder; OCD – obsessive-compulsive disorder; ADHD – attention deficit hyperactivity disorder; GAD – generalised anxiety disorder; SAD – social anxiety disorder; PTSD – post-traumatic stress disorder; MDD – major depressive disorder; PwD – people with disability and OP – older people</w:t>
      </w:r>
      <w:r w:rsidR="00184E9F">
        <w:rPr>
          <w:iCs/>
        </w:rPr>
        <w:t>.</w:t>
      </w:r>
    </w:p>
    <w:p w14:paraId="053B2463" w14:textId="77777777" w:rsidR="00951EBC" w:rsidRPr="00027945" w:rsidRDefault="00951EBC" w:rsidP="00951EBC">
      <w:pPr>
        <w:pStyle w:val="Source"/>
        <w:rPr>
          <w:iCs/>
        </w:rPr>
      </w:pPr>
      <w:r w:rsidRPr="00027945">
        <w:rPr>
          <w:iCs/>
        </w:rPr>
        <w:t>Data source: McCallum et al (2019), Table 3</w:t>
      </w:r>
      <w:r w:rsidR="00184E9F">
        <w:rPr>
          <w:iCs/>
        </w:rPr>
        <w:t>.</w:t>
      </w:r>
    </w:p>
    <w:p w14:paraId="48EF93ED" w14:textId="77777777" w:rsidR="00951EBC" w:rsidRDefault="00951EBC" w:rsidP="00951EBC">
      <w:pPr>
        <w:pStyle w:val="BodyText"/>
        <w:rPr>
          <w:lang w:bidi="fa-IR"/>
        </w:rPr>
      </w:pPr>
      <w:r>
        <w:rPr>
          <w:lang w:bidi="fa-IR"/>
        </w:rPr>
        <w:t xml:space="preserve">As discussed previously, there is no definitive data on the number of people with reduced mental health and wellbeing because their housing does not meet their accessibility needs. </w:t>
      </w:r>
      <w:r w:rsidR="0076173C">
        <w:rPr>
          <w:lang w:bidi="fa-IR"/>
        </w:rPr>
        <w:t xml:space="preserve">CIE </w:t>
      </w:r>
      <w:r>
        <w:rPr>
          <w:lang w:bidi="fa-IR"/>
        </w:rPr>
        <w:t>therefore infer</w:t>
      </w:r>
      <w:r w:rsidR="0076173C">
        <w:rPr>
          <w:lang w:bidi="fa-IR"/>
        </w:rPr>
        <w:t>s</w:t>
      </w:r>
      <w:r w:rsidR="003006C6">
        <w:rPr>
          <w:lang w:bidi="fa-IR"/>
        </w:rPr>
        <w:t xml:space="preserve"> </w:t>
      </w:r>
      <w:r>
        <w:rPr>
          <w:lang w:bidi="fa-IR"/>
        </w:rPr>
        <w:t>the number of people affected from SDAC data.</w:t>
      </w:r>
    </w:p>
    <w:p w14:paraId="2A0ABA26" w14:textId="77777777" w:rsidR="00951EBC" w:rsidRDefault="00951EBC" w:rsidP="00951EBC">
      <w:pPr>
        <w:pStyle w:val="BodyText"/>
        <w:rPr>
          <w:lang w:bidi="fa-IR"/>
        </w:rPr>
      </w:pPr>
      <w:r>
        <w:rPr>
          <w:lang w:bidi="fa-IR"/>
        </w:rPr>
        <w:t>Carnemolla (2015) suggests that the main improvement in the HRQoL of recipients of home modifications was related to improved independence. This is also consistent with Andrich et. al. (1998), which found that home modifications led to quality of life improvements and attributed the direct cause to a reduction in care needed.</w:t>
      </w:r>
      <w:r>
        <w:rPr>
          <w:rStyle w:val="FootnoteReference"/>
          <w:lang w:bidi="fa-IR"/>
        </w:rPr>
        <w:footnoteReference w:id="539"/>
      </w:r>
    </w:p>
    <w:p w14:paraId="78940F7B" w14:textId="77777777" w:rsidR="00951EBC" w:rsidRDefault="004A20FC" w:rsidP="00951EBC">
      <w:pPr>
        <w:pStyle w:val="BodyText"/>
        <w:rPr>
          <w:lang w:bidi="fa-IR"/>
        </w:rPr>
      </w:pPr>
      <w:r>
        <w:rPr>
          <w:lang w:bidi="fa-IR"/>
        </w:rPr>
        <w:t xml:space="preserve">It is </w:t>
      </w:r>
      <w:r w:rsidR="00951EBC">
        <w:rPr>
          <w:lang w:bidi="fa-IR"/>
        </w:rPr>
        <w:t>therefore assume</w:t>
      </w:r>
      <w:r>
        <w:rPr>
          <w:lang w:bidi="fa-IR"/>
        </w:rPr>
        <w:t>d</w:t>
      </w:r>
      <w:r w:rsidR="00951EBC">
        <w:rPr>
          <w:lang w:bidi="fa-IR"/>
        </w:rPr>
        <w:t xml:space="preserve"> that those most likely to be experiencing poorer mental health and wellbeing as a result of living in housing that does not meet their accessibility needs are those currently requiring assistance with either:</w:t>
      </w:r>
    </w:p>
    <w:p w14:paraId="6322CD0E" w14:textId="77777777" w:rsidR="00951EBC" w:rsidRDefault="00951EBC" w:rsidP="00951EBC">
      <w:pPr>
        <w:pStyle w:val="ListBullet"/>
        <w:rPr>
          <w:lang w:bidi="fa-IR"/>
        </w:rPr>
      </w:pPr>
      <w:r>
        <w:rPr>
          <w:lang w:bidi="fa-IR"/>
        </w:rPr>
        <w:t>mobility around the home</w:t>
      </w:r>
    </w:p>
    <w:p w14:paraId="4921772A" w14:textId="77777777" w:rsidR="00951EBC" w:rsidRDefault="00951EBC" w:rsidP="00951EBC">
      <w:pPr>
        <w:pStyle w:val="ListBullet"/>
        <w:rPr>
          <w:lang w:bidi="fa-IR"/>
        </w:rPr>
      </w:pPr>
      <w:r>
        <w:rPr>
          <w:lang w:bidi="fa-IR"/>
        </w:rPr>
        <w:t>showering and bathing</w:t>
      </w:r>
    </w:p>
    <w:p w14:paraId="23E5615F" w14:textId="77777777" w:rsidR="00951EBC" w:rsidRDefault="00951EBC" w:rsidP="00951EBC">
      <w:pPr>
        <w:pStyle w:val="ListBullet"/>
        <w:rPr>
          <w:lang w:bidi="fa-IR"/>
        </w:rPr>
      </w:pPr>
      <w:r>
        <w:rPr>
          <w:lang w:bidi="fa-IR"/>
        </w:rPr>
        <w:t>toileting.</w:t>
      </w:r>
    </w:p>
    <w:p w14:paraId="31D54E8E" w14:textId="3B6BA539" w:rsidR="00951EBC" w:rsidRDefault="00951EBC" w:rsidP="00951EBC">
      <w:pPr>
        <w:pStyle w:val="BodyText"/>
        <w:rPr>
          <w:lang w:bidi="fa-IR"/>
        </w:rPr>
      </w:pPr>
      <w:r>
        <w:rPr>
          <w:lang w:bidi="fa-IR"/>
        </w:rPr>
        <w:t xml:space="preserve">Specifically, it is assumed that those </w:t>
      </w:r>
      <w:r w:rsidRPr="002C5B39">
        <w:rPr>
          <w:b/>
          <w:bCs/>
          <w:lang w:bidi="fa-IR"/>
        </w:rPr>
        <w:t>always</w:t>
      </w:r>
      <w:r>
        <w:rPr>
          <w:lang w:bidi="fa-IR"/>
        </w:rPr>
        <w:t xml:space="preserve"> requiring assistance in table </w:t>
      </w:r>
      <w:r w:rsidR="00362332">
        <w:rPr>
          <w:lang w:bidi="fa-IR"/>
        </w:rPr>
        <w:t xml:space="preserve">I.2 </w:t>
      </w:r>
      <w:r>
        <w:rPr>
          <w:lang w:bidi="fa-IR"/>
        </w:rPr>
        <w:t xml:space="preserve">have a higher average mental health cost equivalent to the average of people with mental health conditions, while others (i.e. those ‘sometimes requiring assistance’ and ‘do not require assistance, but have difficulty’) have a lower average mental health cost </w:t>
      </w:r>
      <w:r w:rsidR="00AC6CC7">
        <w:rPr>
          <w:lang w:bidi="fa-IR"/>
        </w:rPr>
        <w:t>than</w:t>
      </w:r>
      <w:r>
        <w:rPr>
          <w:lang w:bidi="fa-IR"/>
        </w:rPr>
        <w:t xml:space="preserve"> the general public.</w:t>
      </w:r>
    </w:p>
    <w:p w14:paraId="5F337DA4" w14:textId="6B80E7EB" w:rsidR="00951EBC" w:rsidRDefault="00951EBC" w:rsidP="00951EBC">
      <w:pPr>
        <w:pStyle w:val="BodyText"/>
        <w:rPr>
          <w:lang w:bidi="fa-IR"/>
        </w:rPr>
      </w:pPr>
      <w:r>
        <w:rPr>
          <w:lang w:bidi="fa-IR"/>
        </w:rPr>
        <w:t>With these assumptions, it is then estimated that the total mental health impact of accessible housing is between $423.7 million and $440.9 million per year (table</w:t>
      </w:r>
      <w:r w:rsidR="00362332">
        <w:rPr>
          <w:lang w:bidi="fa-IR"/>
        </w:rPr>
        <w:t xml:space="preserve"> I.8</w:t>
      </w:r>
      <w:r>
        <w:rPr>
          <w:lang w:bidi="fa-IR"/>
        </w:rPr>
        <w:t>).</w:t>
      </w:r>
    </w:p>
    <w:p w14:paraId="5567F789" w14:textId="01913382" w:rsidR="00951EBC" w:rsidRDefault="00390CDB" w:rsidP="00951EBC">
      <w:pPr>
        <w:pStyle w:val="Caption"/>
      </w:pPr>
      <w:bookmarkStart w:id="865" w:name="_Toc55217258"/>
      <w:bookmarkStart w:id="866" w:name="_Toc57643715"/>
      <w:bookmarkStart w:id="867" w:name="_Toc70505670"/>
      <w:r>
        <w:t>I.8</w:t>
      </w:r>
      <w:r w:rsidR="00951EBC" w:rsidRPr="00695C93">
        <w:tab/>
      </w:r>
      <w:r w:rsidR="00951EBC">
        <w:t>Estimated mental health impact of accessible housing</w:t>
      </w:r>
      <w:bookmarkEnd w:id="865"/>
      <w:bookmarkEnd w:id="866"/>
      <w:bookmarkEnd w:id="867"/>
    </w:p>
    <w:tbl>
      <w:tblPr>
        <w:tblW w:w="7937" w:type="dxa"/>
        <w:tblLook w:val="04A0" w:firstRow="1" w:lastRow="0" w:firstColumn="1" w:lastColumn="0" w:noHBand="0" w:noVBand="1"/>
        <w:tblCaption w:val="Table I.8: Estimated mental health impact of accessible housing"/>
        <w:tblDescription w:val="Table I.8 presents the estimated mental health impact of accessible housing, listed by people who sometimes need assistance or have difficulty and those who always need assistance. The total mental health impact for both groups is estimated at between $423,700,000 and $440,900,000."/>
      </w:tblPr>
      <w:tblGrid>
        <w:gridCol w:w="3952"/>
        <w:gridCol w:w="1165"/>
        <w:gridCol w:w="1263"/>
        <w:gridCol w:w="1557"/>
      </w:tblGrid>
      <w:tr w:rsidR="00951EBC" w:rsidRPr="002E26B9" w14:paraId="183D8EB6" w14:textId="77777777" w:rsidTr="00D5593A">
        <w:trPr>
          <w:trHeight w:val="609"/>
          <w:tblHeader/>
        </w:trPr>
        <w:tc>
          <w:tcPr>
            <w:tcW w:w="3952" w:type="dxa"/>
            <w:tcBorders>
              <w:bottom w:val="single" w:sz="8" w:space="0" w:color="FFFFFF" w:themeColor="background1"/>
            </w:tcBorders>
            <w:shd w:val="clear" w:color="auto" w:fill="6F6652"/>
            <w:noWrap/>
            <w:tcMar>
              <w:left w:w="57" w:type="dxa"/>
              <w:right w:w="57" w:type="dxa"/>
            </w:tcMar>
            <w:hideMark/>
          </w:tcPr>
          <w:p w14:paraId="10901F62" w14:textId="77777777" w:rsidR="00951EBC" w:rsidRPr="002E26B9" w:rsidRDefault="00AC6CC7" w:rsidP="00951EBC">
            <w:pPr>
              <w:pStyle w:val="TableDataColumnHeading"/>
              <w:jc w:val="left"/>
            </w:pPr>
            <w:r>
              <w:t>Outcome</w:t>
            </w:r>
          </w:p>
        </w:tc>
        <w:tc>
          <w:tcPr>
            <w:tcW w:w="1165" w:type="dxa"/>
            <w:tcBorders>
              <w:bottom w:val="single" w:sz="8" w:space="0" w:color="FFFFFF" w:themeColor="background1"/>
            </w:tcBorders>
            <w:shd w:val="clear" w:color="auto" w:fill="6F6652"/>
            <w:tcMar>
              <w:left w:w="57" w:type="dxa"/>
              <w:right w:w="57" w:type="dxa"/>
            </w:tcMar>
            <w:hideMark/>
          </w:tcPr>
          <w:p w14:paraId="0410B990" w14:textId="77777777" w:rsidR="00951EBC" w:rsidRPr="002E26B9" w:rsidRDefault="00951EBC" w:rsidP="00951EBC">
            <w:pPr>
              <w:pStyle w:val="TableDataColumnHeading"/>
              <w:rPr>
                <w:szCs w:val="16"/>
              </w:rPr>
            </w:pPr>
            <w:r>
              <w:rPr>
                <w:szCs w:val="16"/>
              </w:rPr>
              <w:t xml:space="preserve">Number of </w:t>
            </w:r>
            <w:r w:rsidRPr="002E26B9">
              <w:rPr>
                <w:szCs w:val="16"/>
              </w:rPr>
              <w:t>People with needs</w:t>
            </w:r>
          </w:p>
        </w:tc>
        <w:tc>
          <w:tcPr>
            <w:tcW w:w="1263" w:type="dxa"/>
            <w:tcBorders>
              <w:bottom w:val="single" w:sz="8" w:space="0" w:color="FFFFFF" w:themeColor="background1"/>
            </w:tcBorders>
            <w:shd w:val="clear" w:color="auto" w:fill="6F6652"/>
            <w:tcMar>
              <w:left w:w="57" w:type="dxa"/>
              <w:right w:w="57" w:type="dxa"/>
            </w:tcMar>
            <w:hideMark/>
          </w:tcPr>
          <w:p w14:paraId="10AB7D51" w14:textId="77777777" w:rsidR="00951EBC" w:rsidRPr="002E26B9" w:rsidRDefault="00951EBC" w:rsidP="00951EBC">
            <w:pPr>
              <w:pStyle w:val="TableDataColumnHeading"/>
              <w:rPr>
                <w:szCs w:val="16"/>
              </w:rPr>
            </w:pPr>
            <w:r w:rsidRPr="002E26B9">
              <w:rPr>
                <w:szCs w:val="16"/>
              </w:rPr>
              <w:t>Avoided worsening</w:t>
            </w:r>
          </w:p>
        </w:tc>
        <w:tc>
          <w:tcPr>
            <w:tcW w:w="1557" w:type="dxa"/>
            <w:tcBorders>
              <w:bottom w:val="single" w:sz="8" w:space="0" w:color="FFFFFF" w:themeColor="background1"/>
            </w:tcBorders>
            <w:shd w:val="clear" w:color="auto" w:fill="6F6652"/>
            <w:tcMar>
              <w:left w:w="57" w:type="dxa"/>
              <w:right w:w="57" w:type="dxa"/>
            </w:tcMar>
            <w:hideMark/>
          </w:tcPr>
          <w:p w14:paraId="1DF34227" w14:textId="77777777" w:rsidR="00951EBC" w:rsidRPr="002E26B9" w:rsidRDefault="00951EBC" w:rsidP="00951EBC">
            <w:pPr>
              <w:pStyle w:val="TableDataColumnHeading"/>
              <w:rPr>
                <w:szCs w:val="16"/>
              </w:rPr>
            </w:pPr>
            <w:r w:rsidRPr="002E26B9">
              <w:rPr>
                <w:szCs w:val="16"/>
              </w:rPr>
              <w:t>Gained improvement</w:t>
            </w:r>
          </w:p>
        </w:tc>
      </w:tr>
      <w:tr w:rsidR="00951EBC" w:rsidRPr="002E26B9" w14:paraId="6FF17A6F" w14:textId="77777777" w:rsidTr="00D5593A">
        <w:trPr>
          <w:trHeight w:val="252"/>
        </w:trPr>
        <w:tc>
          <w:tcPr>
            <w:tcW w:w="3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98ACF8" w14:textId="77777777" w:rsidR="00951EBC" w:rsidRPr="002E26B9" w:rsidRDefault="00951EBC" w:rsidP="00951EBC">
            <w:pPr>
              <w:pStyle w:val="TableDataEntries"/>
              <w:jc w:val="left"/>
            </w:pPr>
            <w:r>
              <w:t>Difference in people with/without accessible housing</w:t>
            </w:r>
            <w:r>
              <w:br/>
              <w:t xml:space="preserve"> </w:t>
            </w:r>
            <w:r w:rsidRPr="002E26B9">
              <w:t>(%</w:t>
            </w:r>
            <w:r>
              <w:t>, %</w:t>
            </w:r>
            <w:r w:rsidRPr="002E26B9">
              <w:t>)</w:t>
            </w:r>
          </w:p>
        </w:tc>
        <w:tc>
          <w:tcPr>
            <w:tcW w:w="1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305932" w14:textId="77777777" w:rsidR="00951EBC" w:rsidRPr="00EA4D12" w:rsidRDefault="00951EBC" w:rsidP="00951EBC">
            <w:pPr>
              <w:pStyle w:val="TableDataEntries"/>
              <w:rPr>
                <w:szCs w:val="16"/>
              </w:rPr>
            </w:pPr>
          </w:p>
        </w:tc>
        <w:tc>
          <w:tcPr>
            <w:tcW w:w="12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DAA85B" w14:textId="77777777" w:rsidR="00951EBC" w:rsidRPr="002F4794" w:rsidRDefault="00951EBC" w:rsidP="00951EBC">
            <w:pPr>
              <w:pStyle w:val="TableDataEntries"/>
              <w:rPr>
                <w:szCs w:val="16"/>
              </w:rPr>
            </w:pPr>
            <w:r>
              <w:t>48.93</w:t>
            </w:r>
          </w:p>
        </w:tc>
        <w:tc>
          <w:tcPr>
            <w:tcW w:w="15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79990E" w14:textId="77777777" w:rsidR="00951EBC" w:rsidRPr="002F4794" w:rsidRDefault="00951EBC" w:rsidP="00951EBC">
            <w:pPr>
              <w:pStyle w:val="TableDataEntries"/>
              <w:rPr>
                <w:szCs w:val="16"/>
              </w:rPr>
            </w:pPr>
            <w:r>
              <w:t>47.02</w:t>
            </w:r>
          </w:p>
        </w:tc>
      </w:tr>
      <w:tr w:rsidR="00951EBC" w:rsidRPr="002E26B9" w14:paraId="0E906CAA" w14:textId="77777777" w:rsidTr="00D5593A">
        <w:trPr>
          <w:trHeight w:val="252"/>
        </w:trPr>
        <w:tc>
          <w:tcPr>
            <w:tcW w:w="3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F2F80D" w14:textId="77777777" w:rsidR="00951EBC" w:rsidRPr="002E26B9" w:rsidRDefault="00951EBC" w:rsidP="00951EBC">
            <w:pPr>
              <w:pStyle w:val="TableDataEntries"/>
              <w:jc w:val="left"/>
            </w:pPr>
            <w:r>
              <w:t xml:space="preserve">People sometimes need assistance or have difficulty </w:t>
            </w:r>
            <w:r w:rsidRPr="002E26B9">
              <w:t>(</w:t>
            </w:r>
            <w:r>
              <w:t xml:space="preserve">person, </w:t>
            </w:r>
            <w:r w:rsidRPr="002E26B9">
              <w:t>$/person</w:t>
            </w:r>
            <w:r>
              <w:t xml:space="preserve">, </w:t>
            </w:r>
            <w:r w:rsidRPr="002E26B9">
              <w:t>$/person)</w:t>
            </w:r>
          </w:p>
        </w:tc>
        <w:tc>
          <w:tcPr>
            <w:tcW w:w="1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22CACA" w14:textId="77777777" w:rsidR="00951EBC" w:rsidRPr="002E26B9" w:rsidRDefault="00951EBC" w:rsidP="00951EBC">
            <w:pPr>
              <w:pStyle w:val="TableDataEntries"/>
            </w:pPr>
            <w:r>
              <w:t>404,500</w:t>
            </w:r>
          </w:p>
        </w:tc>
        <w:tc>
          <w:tcPr>
            <w:tcW w:w="12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CA667A" w14:textId="77777777" w:rsidR="00951EBC" w:rsidRPr="002E26B9" w:rsidRDefault="00951EBC" w:rsidP="00951EBC">
            <w:pPr>
              <w:pStyle w:val="TableDataEntries"/>
            </w:pPr>
            <w:r w:rsidRPr="002E26B9">
              <w:t>1,111</w:t>
            </w:r>
          </w:p>
        </w:tc>
        <w:tc>
          <w:tcPr>
            <w:tcW w:w="15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A078D" w14:textId="77777777" w:rsidR="00951EBC" w:rsidRPr="002E26B9" w:rsidRDefault="00951EBC" w:rsidP="00951EBC">
            <w:pPr>
              <w:pStyle w:val="TableDataEntries"/>
            </w:pPr>
            <w:r w:rsidRPr="002E26B9">
              <w:t>1,111</w:t>
            </w:r>
          </w:p>
        </w:tc>
      </w:tr>
      <w:tr w:rsidR="00951EBC" w:rsidRPr="002F4794" w14:paraId="4B113889" w14:textId="77777777" w:rsidTr="00D5593A">
        <w:trPr>
          <w:trHeight w:val="252"/>
        </w:trPr>
        <w:tc>
          <w:tcPr>
            <w:tcW w:w="3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A57153" w14:textId="77777777" w:rsidR="00951EBC" w:rsidRPr="002F4794" w:rsidRDefault="00951EBC" w:rsidP="00951EBC">
            <w:pPr>
              <w:pStyle w:val="TableDataEntries"/>
              <w:jc w:val="left"/>
              <w:rPr>
                <w:rFonts w:ascii="Franklin Gothic Demi" w:hAnsi="Franklin Gothic Demi"/>
              </w:rPr>
            </w:pPr>
            <w:r>
              <w:rPr>
                <w:rFonts w:ascii="Franklin Gothic Demi" w:hAnsi="Franklin Gothic Demi"/>
              </w:rPr>
              <w:t>Subtotal of</w:t>
            </w:r>
            <w:r w:rsidRPr="002F4794">
              <w:rPr>
                <w:rFonts w:ascii="Franklin Gothic Demi" w:hAnsi="Franklin Gothic Demi"/>
              </w:rPr>
              <w:t xml:space="preserve"> mental health impact </w:t>
            </w:r>
            <w:r>
              <w:rPr>
                <w:rFonts w:ascii="Franklin Gothic Demi" w:hAnsi="Franklin Gothic Demi"/>
              </w:rPr>
              <w:t xml:space="preserve">for people sometimes need assistance or have difficulty </w:t>
            </w:r>
            <w:r w:rsidRPr="002F4794">
              <w:rPr>
                <w:rFonts w:ascii="Franklin Gothic Demi" w:hAnsi="Franklin Gothic Demi"/>
              </w:rPr>
              <w:t>($ million)</w:t>
            </w:r>
          </w:p>
        </w:tc>
        <w:tc>
          <w:tcPr>
            <w:tcW w:w="1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F96680" w14:textId="77777777" w:rsidR="00951EBC" w:rsidRPr="002F4794" w:rsidRDefault="00951EBC" w:rsidP="00951EBC">
            <w:pPr>
              <w:pStyle w:val="TableDataEntries"/>
              <w:rPr>
                <w:rFonts w:ascii="Franklin Gothic Demi" w:hAnsi="Franklin Gothic Demi"/>
              </w:rPr>
            </w:pPr>
          </w:p>
        </w:tc>
        <w:tc>
          <w:tcPr>
            <w:tcW w:w="12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DE252C"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219.9</w:t>
            </w:r>
          </w:p>
        </w:tc>
        <w:tc>
          <w:tcPr>
            <w:tcW w:w="15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44FFAC"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211.3</w:t>
            </w:r>
          </w:p>
        </w:tc>
      </w:tr>
      <w:tr w:rsidR="00951EBC" w:rsidRPr="002E26B9" w14:paraId="13F30436" w14:textId="77777777" w:rsidTr="00D5593A">
        <w:trPr>
          <w:trHeight w:val="252"/>
        </w:trPr>
        <w:tc>
          <w:tcPr>
            <w:tcW w:w="3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EB2AB72" w14:textId="77777777" w:rsidR="00951EBC" w:rsidRPr="002E26B9" w:rsidRDefault="00951EBC" w:rsidP="00951EBC">
            <w:pPr>
              <w:pStyle w:val="TableDataEntries"/>
              <w:jc w:val="left"/>
              <w:rPr>
                <w:rFonts w:ascii="Franklin Gothic Demi" w:hAnsi="Franklin Gothic Demi"/>
              </w:rPr>
            </w:pPr>
            <w:r>
              <w:t xml:space="preserve">People always need assistance </w:t>
            </w:r>
            <w:r w:rsidRPr="002E26B9">
              <w:t>(</w:t>
            </w:r>
            <w:r>
              <w:t xml:space="preserve">person, </w:t>
            </w:r>
            <w:r w:rsidRPr="002E26B9">
              <w:t>$/person</w:t>
            </w:r>
            <w:r>
              <w:t xml:space="preserve">, </w:t>
            </w:r>
            <w:r w:rsidRPr="002E26B9">
              <w:t>$/person</w:t>
            </w:r>
          </w:p>
        </w:tc>
        <w:tc>
          <w:tcPr>
            <w:tcW w:w="1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7681FC9" w14:textId="77777777" w:rsidR="00951EBC" w:rsidRPr="008C13FF" w:rsidRDefault="00951EBC" w:rsidP="00951EBC">
            <w:pPr>
              <w:pStyle w:val="TableDataEntries"/>
              <w:rPr>
                <w:szCs w:val="16"/>
              </w:rPr>
            </w:pPr>
            <w:r w:rsidRPr="008C13FF">
              <w:rPr>
                <w:szCs w:val="16"/>
              </w:rPr>
              <w:t>149,000</w:t>
            </w:r>
          </w:p>
        </w:tc>
        <w:tc>
          <w:tcPr>
            <w:tcW w:w="12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0984719" w14:textId="77777777" w:rsidR="00951EBC" w:rsidRPr="003A00B0" w:rsidRDefault="00951EBC" w:rsidP="00951EBC">
            <w:pPr>
              <w:pStyle w:val="TableDataEntries"/>
              <w:rPr>
                <w:szCs w:val="16"/>
              </w:rPr>
            </w:pPr>
            <w:r>
              <w:t>3</w:t>
            </w:r>
            <w:r w:rsidRPr="002E26B9">
              <w:t>,</w:t>
            </w:r>
            <w:r>
              <w:t>0</w:t>
            </w:r>
            <w:r w:rsidRPr="002E26B9">
              <w:t>1</w:t>
            </w:r>
            <w:r>
              <w:t>4</w:t>
            </w:r>
          </w:p>
        </w:tc>
        <w:tc>
          <w:tcPr>
            <w:tcW w:w="15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CEC6531" w14:textId="77777777" w:rsidR="00951EBC" w:rsidRPr="002E26B9" w:rsidRDefault="00951EBC" w:rsidP="00951EBC">
            <w:pPr>
              <w:pStyle w:val="TableDataEntries"/>
              <w:rPr>
                <w:rFonts w:ascii="Franklin Gothic Demi" w:hAnsi="Franklin Gothic Demi"/>
              </w:rPr>
            </w:pPr>
            <w:r>
              <w:t>3</w:t>
            </w:r>
            <w:r w:rsidRPr="002E26B9">
              <w:t>,</w:t>
            </w:r>
            <w:r>
              <w:t>0</w:t>
            </w:r>
            <w:r w:rsidRPr="002E26B9">
              <w:t>1</w:t>
            </w:r>
            <w:r>
              <w:t>4</w:t>
            </w:r>
          </w:p>
        </w:tc>
      </w:tr>
      <w:tr w:rsidR="00951EBC" w:rsidRPr="002F4794" w14:paraId="7942F811" w14:textId="77777777" w:rsidTr="00D5593A">
        <w:trPr>
          <w:trHeight w:val="252"/>
        </w:trPr>
        <w:tc>
          <w:tcPr>
            <w:tcW w:w="3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F54562" w14:textId="77777777" w:rsidR="00951EBC" w:rsidRPr="002F4794" w:rsidRDefault="00951EBC" w:rsidP="00951EBC">
            <w:pPr>
              <w:pStyle w:val="TableDataEntries"/>
              <w:jc w:val="left"/>
              <w:rPr>
                <w:rFonts w:ascii="Franklin Gothic Demi" w:hAnsi="Franklin Gothic Demi"/>
              </w:rPr>
            </w:pPr>
            <w:r>
              <w:rPr>
                <w:rFonts w:ascii="Franklin Gothic Demi" w:hAnsi="Franklin Gothic Demi"/>
              </w:rPr>
              <w:t>Subt</w:t>
            </w:r>
            <w:r w:rsidRPr="002F4794">
              <w:rPr>
                <w:rFonts w:ascii="Franklin Gothic Demi" w:hAnsi="Franklin Gothic Demi"/>
              </w:rPr>
              <w:t>otal</w:t>
            </w:r>
            <w:r>
              <w:rPr>
                <w:rFonts w:ascii="Franklin Gothic Demi" w:hAnsi="Franklin Gothic Demi"/>
              </w:rPr>
              <w:t xml:space="preserve"> of</w:t>
            </w:r>
            <w:r w:rsidRPr="002F4794">
              <w:rPr>
                <w:rFonts w:ascii="Franklin Gothic Demi" w:hAnsi="Franklin Gothic Demi"/>
              </w:rPr>
              <w:t xml:space="preserve"> mental health impact </w:t>
            </w:r>
            <w:r>
              <w:rPr>
                <w:rFonts w:ascii="Franklin Gothic Demi" w:hAnsi="Franklin Gothic Demi"/>
              </w:rPr>
              <w:t xml:space="preserve">for people always need assistance </w:t>
            </w:r>
            <w:r w:rsidRPr="002F4794">
              <w:rPr>
                <w:rFonts w:ascii="Franklin Gothic Demi" w:hAnsi="Franklin Gothic Demi"/>
              </w:rPr>
              <w:t>($ million)</w:t>
            </w:r>
          </w:p>
        </w:tc>
        <w:tc>
          <w:tcPr>
            <w:tcW w:w="1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73C288" w14:textId="77777777" w:rsidR="00951EBC" w:rsidRPr="002F4794" w:rsidRDefault="00951EBC" w:rsidP="00951EBC">
            <w:pPr>
              <w:pStyle w:val="TableDataEntries"/>
              <w:rPr>
                <w:rFonts w:ascii="Franklin Gothic Demi" w:hAnsi="Franklin Gothic Demi"/>
              </w:rPr>
            </w:pPr>
          </w:p>
        </w:tc>
        <w:tc>
          <w:tcPr>
            <w:tcW w:w="12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FA8DAF"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221.0</w:t>
            </w:r>
          </w:p>
        </w:tc>
        <w:tc>
          <w:tcPr>
            <w:tcW w:w="15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1A47D8"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212.4</w:t>
            </w:r>
          </w:p>
        </w:tc>
      </w:tr>
      <w:tr w:rsidR="00951EBC" w:rsidRPr="002F4794" w14:paraId="399AD52D" w14:textId="77777777" w:rsidTr="00951EBC">
        <w:trPr>
          <w:trHeight w:val="252"/>
        </w:trPr>
        <w:tc>
          <w:tcPr>
            <w:tcW w:w="3952" w:type="dxa"/>
            <w:tcBorders>
              <w:bottom w:val="single" w:sz="6" w:space="0" w:color="6F6652"/>
            </w:tcBorders>
            <w:shd w:val="clear" w:color="auto" w:fill="C2DADB" w:themeFill="accent6" w:themeFillTint="99"/>
            <w:noWrap/>
            <w:tcMar>
              <w:left w:w="57" w:type="dxa"/>
              <w:right w:w="57" w:type="dxa"/>
            </w:tcMar>
          </w:tcPr>
          <w:p w14:paraId="193392C6" w14:textId="77777777" w:rsidR="00951EBC" w:rsidRPr="002F4794" w:rsidRDefault="00951EBC" w:rsidP="00951EBC">
            <w:pPr>
              <w:pStyle w:val="TableDataEntries"/>
              <w:jc w:val="left"/>
              <w:rPr>
                <w:rFonts w:ascii="Franklin Gothic Demi" w:hAnsi="Franklin Gothic Demi"/>
              </w:rPr>
            </w:pPr>
            <w:r w:rsidRPr="002F4794">
              <w:rPr>
                <w:rFonts w:ascii="Franklin Gothic Demi" w:hAnsi="Franklin Gothic Demi"/>
              </w:rPr>
              <w:t>Total mental health impact ($ million)</w:t>
            </w:r>
          </w:p>
        </w:tc>
        <w:tc>
          <w:tcPr>
            <w:tcW w:w="1165" w:type="dxa"/>
            <w:tcBorders>
              <w:bottom w:val="single" w:sz="6" w:space="0" w:color="6F6652"/>
            </w:tcBorders>
            <w:shd w:val="clear" w:color="auto" w:fill="C2DADB" w:themeFill="accent6" w:themeFillTint="99"/>
            <w:noWrap/>
            <w:tcMar>
              <w:left w:w="57" w:type="dxa"/>
              <w:right w:w="57" w:type="dxa"/>
            </w:tcMar>
          </w:tcPr>
          <w:p w14:paraId="6A926D4D" w14:textId="77777777" w:rsidR="00951EBC" w:rsidRPr="002F4794" w:rsidRDefault="00951EBC" w:rsidP="00951EBC">
            <w:pPr>
              <w:pStyle w:val="TableDataEntries"/>
              <w:rPr>
                <w:rFonts w:ascii="Franklin Gothic Demi" w:hAnsi="Franklin Gothic Demi"/>
              </w:rPr>
            </w:pPr>
          </w:p>
        </w:tc>
        <w:tc>
          <w:tcPr>
            <w:tcW w:w="1263" w:type="dxa"/>
            <w:tcBorders>
              <w:bottom w:val="single" w:sz="6" w:space="0" w:color="6F6652"/>
            </w:tcBorders>
            <w:shd w:val="clear" w:color="auto" w:fill="C2DADB" w:themeFill="accent6" w:themeFillTint="99"/>
            <w:noWrap/>
            <w:tcMar>
              <w:left w:w="57" w:type="dxa"/>
              <w:right w:w="57" w:type="dxa"/>
            </w:tcMar>
            <w:vAlign w:val="bottom"/>
          </w:tcPr>
          <w:p w14:paraId="0E7805BB"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440.9</w:t>
            </w:r>
          </w:p>
        </w:tc>
        <w:tc>
          <w:tcPr>
            <w:tcW w:w="1557" w:type="dxa"/>
            <w:tcBorders>
              <w:bottom w:val="single" w:sz="6" w:space="0" w:color="6F6652"/>
            </w:tcBorders>
            <w:shd w:val="clear" w:color="auto" w:fill="C2DADB" w:themeFill="accent6" w:themeFillTint="99"/>
            <w:noWrap/>
            <w:tcMar>
              <w:left w:w="57" w:type="dxa"/>
              <w:right w:w="57" w:type="dxa"/>
            </w:tcMar>
            <w:vAlign w:val="bottom"/>
          </w:tcPr>
          <w:p w14:paraId="2D8099D9" w14:textId="77777777" w:rsidR="00951EBC" w:rsidRPr="002F4794" w:rsidRDefault="00951EBC" w:rsidP="00951EBC">
            <w:pPr>
              <w:pStyle w:val="TableDataEntries"/>
              <w:rPr>
                <w:rFonts w:ascii="Franklin Gothic Demi" w:hAnsi="Franklin Gothic Demi"/>
              </w:rPr>
            </w:pPr>
            <w:r>
              <w:rPr>
                <w:rFonts w:ascii="Franklin Gothic Demi" w:hAnsi="Franklin Gothic Demi"/>
                <w:szCs w:val="16"/>
              </w:rPr>
              <w:t>423.7</w:t>
            </w:r>
          </w:p>
        </w:tc>
      </w:tr>
    </w:tbl>
    <w:p w14:paraId="03F0F3CC" w14:textId="77777777" w:rsidR="00951EBC" w:rsidRPr="00DA0EE7" w:rsidRDefault="00951EBC" w:rsidP="00951EBC">
      <w:pPr>
        <w:pStyle w:val="Source"/>
        <w:rPr>
          <w:iCs/>
          <w:lang w:bidi="fa-IR"/>
        </w:rPr>
      </w:pPr>
      <w:r w:rsidRPr="00DA0EE7">
        <w:rPr>
          <w:iCs/>
          <w:lang w:bidi="fa-IR"/>
        </w:rPr>
        <w:t>Source: CIE estimate</w:t>
      </w:r>
      <w:r w:rsidR="00184E9F">
        <w:rPr>
          <w:iCs/>
          <w:lang w:bidi="fa-IR"/>
        </w:rPr>
        <w:t>.</w:t>
      </w:r>
    </w:p>
    <w:p w14:paraId="4DC5816C" w14:textId="77777777" w:rsidR="00951EBC" w:rsidRDefault="003006C6" w:rsidP="00951EBC">
      <w:pPr>
        <w:pStyle w:val="BodyText"/>
        <w:rPr>
          <w:lang w:bidi="fa-IR"/>
        </w:rPr>
      </w:pPr>
      <w:r>
        <w:rPr>
          <w:lang w:bidi="fa-IR"/>
        </w:rPr>
        <w:t>The following</w:t>
      </w:r>
      <w:r w:rsidR="00951EBC">
        <w:rPr>
          <w:lang w:bidi="fa-IR"/>
        </w:rPr>
        <w:t xml:space="preserve"> qualification for these estimates should be </w:t>
      </w:r>
      <w:r>
        <w:rPr>
          <w:lang w:bidi="fa-IR"/>
        </w:rPr>
        <w:t>noted</w:t>
      </w:r>
      <w:r w:rsidR="00951EBC">
        <w:rPr>
          <w:lang w:bidi="fa-IR"/>
        </w:rPr>
        <w:t>:</w:t>
      </w:r>
    </w:p>
    <w:p w14:paraId="2D02DB6F" w14:textId="77777777" w:rsidR="00951EBC" w:rsidRDefault="00951EBC" w:rsidP="00951EBC">
      <w:pPr>
        <w:pStyle w:val="ListBullet"/>
        <w:rPr>
          <w:lang w:bidi="fa-IR"/>
        </w:rPr>
      </w:pPr>
      <w:r>
        <w:rPr>
          <w:lang w:bidi="fa-IR"/>
        </w:rPr>
        <w:t xml:space="preserve">These estimates are indicative as the data </w:t>
      </w:r>
      <w:r w:rsidR="004B2CFB">
        <w:rPr>
          <w:lang w:bidi="fa-IR"/>
        </w:rPr>
        <w:t>on which they are based</w:t>
      </w:r>
      <w:r>
        <w:rPr>
          <w:lang w:bidi="fa-IR"/>
        </w:rPr>
        <w:t xml:space="preserve"> are indirect and subject to statistical scrutiny and the calculations are made through scaling and adjustment</w:t>
      </w:r>
      <w:r w:rsidR="00184E9F">
        <w:rPr>
          <w:lang w:bidi="fa-IR"/>
        </w:rPr>
        <w:t>,</w:t>
      </w:r>
      <w:r>
        <w:rPr>
          <w:lang w:bidi="fa-IR"/>
        </w:rPr>
        <w:t xml:space="preserve"> and</w:t>
      </w:r>
    </w:p>
    <w:p w14:paraId="61A90AF0" w14:textId="77777777" w:rsidR="004E736E" w:rsidRDefault="00951EBC" w:rsidP="006C5856">
      <w:pPr>
        <w:pStyle w:val="ListBullet"/>
        <w:rPr>
          <w:lang w:bidi="fa-IR"/>
        </w:rPr>
      </w:pPr>
      <w:r>
        <w:rPr>
          <w:lang w:bidi="fa-IR"/>
        </w:rPr>
        <w:t xml:space="preserve">They tend to overestimate the impact because the average mental health cost for people who always need assistance is assumed </w:t>
      </w:r>
      <w:r w:rsidR="00554685">
        <w:rPr>
          <w:lang w:bidi="fa-IR"/>
        </w:rPr>
        <w:t xml:space="preserve">to be </w:t>
      </w:r>
      <w:r>
        <w:rPr>
          <w:lang w:bidi="fa-IR"/>
        </w:rPr>
        <w:t>the same for people with mental health conditions.</w:t>
      </w:r>
    </w:p>
    <w:p w14:paraId="2D157C52" w14:textId="77777777" w:rsidR="004E736E" w:rsidRPr="004B79EC" w:rsidRDefault="004E736E" w:rsidP="004B79EC">
      <w:pPr>
        <w:pStyle w:val="Heading1-Appendix"/>
      </w:pPr>
      <w:bookmarkStart w:id="868" w:name="_Ref56268185"/>
      <w:bookmarkStart w:id="869" w:name="_Ref56269686"/>
      <w:bookmarkStart w:id="870" w:name="_Ref56277003"/>
      <w:bookmarkStart w:id="871" w:name="_Toc44598470"/>
      <w:bookmarkStart w:id="872" w:name="_Toc45654101"/>
      <w:r w:rsidRPr="004B79EC">
        <w:t>The impacts of accessible housing on employment outcomes</w:t>
      </w:r>
      <w:bookmarkEnd w:id="868"/>
      <w:bookmarkEnd w:id="869"/>
      <w:bookmarkEnd w:id="870"/>
      <w:bookmarkEnd w:id="871"/>
      <w:bookmarkEnd w:id="872"/>
    </w:p>
    <w:p w14:paraId="2C4F152E" w14:textId="43A043AC" w:rsidR="00FD2131" w:rsidRPr="00FD2131" w:rsidRDefault="00FD2131" w:rsidP="00060136">
      <w:pPr>
        <w:pStyle w:val="BodyText"/>
      </w:pPr>
      <w:r>
        <w:t>This appendix focuses on the employment and productivity impacts of inaccessible housing on people with mobility-related disabilit</w:t>
      </w:r>
      <w:r w:rsidR="00C7723A">
        <w:t>y</w:t>
      </w:r>
      <w:r>
        <w:t xml:space="preserve">. The assessment of employment and productivity impact on carers has been discussed in </w:t>
      </w:r>
      <w:r w:rsidR="00C7723A">
        <w:t>a</w:t>
      </w:r>
      <w:r>
        <w:t xml:space="preserve">ppendix </w:t>
      </w:r>
      <w:r>
        <w:fldChar w:fldCharType="begin"/>
      </w:r>
      <w:r>
        <w:instrText xml:space="preserve"> REF _Ref55130688 \n \h </w:instrText>
      </w:r>
      <w:r>
        <w:fldChar w:fldCharType="separate"/>
      </w:r>
      <w:r w:rsidR="000F445C">
        <w:t>C</w:t>
      </w:r>
      <w:r>
        <w:fldChar w:fldCharType="end"/>
      </w:r>
      <w:r>
        <w:t>.</w:t>
      </w:r>
    </w:p>
    <w:p w14:paraId="70EC52CF" w14:textId="77777777" w:rsidR="00C46537" w:rsidRPr="004B79EC" w:rsidRDefault="00C46537" w:rsidP="004B79EC">
      <w:pPr>
        <w:pStyle w:val="Heading2-Appendix"/>
      </w:pPr>
      <w:r w:rsidRPr="004B79EC">
        <w:t>Employment outcomes for people with mobility-related disabilit</w:t>
      </w:r>
      <w:r w:rsidR="00C7723A" w:rsidRPr="004B79EC">
        <w:t>y</w:t>
      </w:r>
    </w:p>
    <w:p w14:paraId="3531CBE2" w14:textId="54212A8E" w:rsidR="00284C52" w:rsidRDefault="00C46537" w:rsidP="00C46537">
      <w:pPr>
        <w:pStyle w:val="BodyText"/>
      </w:pPr>
      <w:r>
        <w:t>If people with mobility</w:t>
      </w:r>
      <w:r>
        <w:noBreakHyphen/>
        <w:t>related disability had the same employment outcomes as the broader economy, there would have been around an additional 3</w:t>
      </w:r>
      <w:r w:rsidR="00696E6C">
        <w:t>00</w:t>
      </w:r>
      <w:r>
        <w:t> </w:t>
      </w:r>
      <w:r w:rsidR="00696E6C">
        <w:t>0</w:t>
      </w:r>
      <w:r>
        <w:t>00</w:t>
      </w:r>
      <w:r w:rsidR="00696E6C">
        <w:t xml:space="preserve"> people</w:t>
      </w:r>
      <w:r>
        <w:t xml:space="preserve"> employed </w:t>
      </w:r>
      <w:r w:rsidR="00696E6C">
        <w:t xml:space="preserve">full-time and an additional 18 000 people employed part-time </w:t>
      </w:r>
      <w:r>
        <w:t>in 2018</w:t>
      </w:r>
      <w:r w:rsidR="00284C52">
        <w:t xml:space="preserve"> (table </w:t>
      </w:r>
      <w:r w:rsidR="00362332">
        <w:t>J.1</w:t>
      </w:r>
      <w:r w:rsidR="00284C52">
        <w:t>)</w:t>
      </w:r>
      <w:r>
        <w:t>.</w:t>
      </w:r>
      <w:r w:rsidR="00284C52">
        <w:t xml:space="preserve"> The lower employment rate for those with mobility limitation is mostly </w:t>
      </w:r>
      <w:r w:rsidR="00491771">
        <w:t xml:space="preserve">(around 95 per cent of the total) </w:t>
      </w:r>
      <w:r w:rsidR="00284C52">
        <w:t xml:space="preserve">related </w:t>
      </w:r>
      <w:r w:rsidR="00491771">
        <w:t>to lower participation rates, rather than the higher unemployment rate.</w:t>
      </w:r>
    </w:p>
    <w:p w14:paraId="52675A2B" w14:textId="60B1C2DA" w:rsidR="00284C52" w:rsidRDefault="00390CDB" w:rsidP="00284C52">
      <w:pPr>
        <w:pStyle w:val="Caption"/>
      </w:pPr>
      <w:bookmarkStart w:id="873" w:name="_Toc57643716"/>
      <w:bookmarkStart w:id="874" w:name="_Toc70505671"/>
      <w:r>
        <w:t>J.1</w:t>
      </w:r>
      <w:r w:rsidR="00284C52" w:rsidRPr="00695C93">
        <w:tab/>
      </w:r>
      <w:r w:rsidR="00284C52">
        <w:t>Potential increase in employment</w:t>
      </w:r>
      <w:bookmarkEnd w:id="873"/>
      <w:bookmarkEnd w:id="874"/>
    </w:p>
    <w:tbl>
      <w:tblPr>
        <w:tblW w:w="0" w:type="auto"/>
        <w:tblLayout w:type="fixed"/>
        <w:tblLook w:val="0000" w:firstRow="0" w:lastRow="0" w:firstColumn="0" w:lastColumn="0" w:noHBand="0" w:noVBand="0"/>
        <w:tblCaption w:val="Table J.1: Potential increase in employment"/>
        <w:tblDescription w:val="Table J.1 presents the potential increase in employment if people with a mobility-related disability had the same employment outcomes as the broader economy. This would result in an extra 299,300 people in full-time employment, and 17,700 people in part-time employment."/>
      </w:tblPr>
      <w:tblGrid>
        <w:gridCol w:w="4283"/>
        <w:gridCol w:w="1217"/>
        <w:gridCol w:w="1218"/>
        <w:gridCol w:w="1218"/>
      </w:tblGrid>
      <w:tr w:rsidR="00284C52" w14:paraId="11E7B20C" w14:textId="77777777" w:rsidTr="00284C52">
        <w:trPr>
          <w:trHeight w:val="1788"/>
        </w:trPr>
        <w:tc>
          <w:tcPr>
            <w:tcW w:w="4283" w:type="dxa"/>
            <w:tcBorders>
              <w:bottom w:val="single" w:sz="8" w:space="0" w:color="FFFFFF" w:themeColor="background1"/>
            </w:tcBorders>
            <w:shd w:val="clear" w:color="auto" w:fill="6F6652"/>
            <w:tcMar>
              <w:left w:w="57" w:type="dxa"/>
              <w:right w:w="57" w:type="dxa"/>
            </w:tcMar>
          </w:tcPr>
          <w:p w14:paraId="61FAFEE2" w14:textId="77777777" w:rsidR="00284C52" w:rsidRDefault="00AC6CC7" w:rsidP="00284C52">
            <w:pPr>
              <w:pStyle w:val="TableDataColumnHeading"/>
              <w:jc w:val="left"/>
            </w:pPr>
            <w:r>
              <w:t>Level of employment</w:t>
            </w:r>
          </w:p>
        </w:tc>
        <w:tc>
          <w:tcPr>
            <w:tcW w:w="1217" w:type="dxa"/>
            <w:tcBorders>
              <w:bottom w:val="single" w:sz="8" w:space="0" w:color="FFFFFF" w:themeColor="background1"/>
            </w:tcBorders>
            <w:shd w:val="clear" w:color="auto" w:fill="6F6652"/>
            <w:tcMar>
              <w:left w:w="57" w:type="dxa"/>
              <w:right w:w="57" w:type="dxa"/>
            </w:tcMar>
          </w:tcPr>
          <w:p w14:paraId="75110714" w14:textId="77777777" w:rsidR="00284C52" w:rsidRDefault="00284C52" w:rsidP="00284C52">
            <w:pPr>
              <w:pStyle w:val="TableDataColumnHeading"/>
            </w:pPr>
            <w:r>
              <w:t>Actual employment outcomes for people with mobility limitations ('000)</w:t>
            </w:r>
          </w:p>
        </w:tc>
        <w:tc>
          <w:tcPr>
            <w:tcW w:w="1218" w:type="dxa"/>
            <w:tcBorders>
              <w:bottom w:val="single" w:sz="8" w:space="0" w:color="FFFFFF" w:themeColor="background1"/>
            </w:tcBorders>
            <w:shd w:val="clear" w:color="auto" w:fill="6F6652"/>
            <w:tcMar>
              <w:left w:w="57" w:type="dxa"/>
              <w:right w:w="57" w:type="dxa"/>
            </w:tcMar>
          </w:tcPr>
          <w:p w14:paraId="29498872" w14:textId="77777777" w:rsidR="00284C52" w:rsidRDefault="00284C52" w:rsidP="00284C52">
            <w:pPr>
              <w:pStyle w:val="TableDataColumnHeading"/>
            </w:pPr>
            <w:r>
              <w:t>Hypothetical scenario based on same labour market outcomes as the broader community ('000)</w:t>
            </w:r>
          </w:p>
        </w:tc>
        <w:tc>
          <w:tcPr>
            <w:tcW w:w="1218" w:type="dxa"/>
            <w:tcBorders>
              <w:bottom w:val="single" w:sz="8" w:space="0" w:color="FFFFFF" w:themeColor="background1"/>
            </w:tcBorders>
            <w:shd w:val="clear" w:color="auto" w:fill="6F6652"/>
            <w:tcMar>
              <w:left w:w="57" w:type="dxa"/>
              <w:right w:w="57" w:type="dxa"/>
            </w:tcMar>
          </w:tcPr>
          <w:p w14:paraId="050452C3" w14:textId="77777777" w:rsidR="00284C52" w:rsidRDefault="00284C52" w:rsidP="00284C52">
            <w:pPr>
              <w:pStyle w:val="TableDataColumnHeading"/>
            </w:pPr>
            <w:r>
              <w:t>Difference ('000)</w:t>
            </w:r>
          </w:p>
        </w:tc>
      </w:tr>
      <w:tr w:rsidR="00696E6C" w14:paraId="79C5627C" w14:textId="77777777" w:rsidTr="00032409">
        <w:trPr>
          <w:trHeight w:val="245"/>
        </w:trPr>
        <w:tc>
          <w:tcPr>
            <w:tcW w:w="42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A63A79" w14:textId="77777777" w:rsidR="00696E6C" w:rsidRDefault="00696E6C" w:rsidP="00696E6C">
            <w:pPr>
              <w:pStyle w:val="TableUnit"/>
              <w:jc w:val="left"/>
            </w:pPr>
            <w:r>
              <w:t>Employed full-time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1DEBB5" w14:textId="77777777" w:rsidR="00696E6C" w:rsidRPr="00696E6C" w:rsidRDefault="00696E6C" w:rsidP="00696E6C">
            <w:pPr>
              <w:pStyle w:val="TableUnit"/>
              <w:rPr>
                <w:szCs w:val="16"/>
              </w:rPr>
            </w:pPr>
            <w:r w:rsidRPr="00696E6C">
              <w:rPr>
                <w:szCs w:val="16"/>
              </w:rPr>
              <w:t xml:space="preserve"> 267.0</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E837A1" w14:textId="77777777" w:rsidR="00696E6C" w:rsidRPr="00696E6C" w:rsidRDefault="00696E6C" w:rsidP="00696E6C">
            <w:pPr>
              <w:pStyle w:val="TableUnit"/>
              <w:rPr>
                <w:szCs w:val="16"/>
              </w:rPr>
            </w:pPr>
            <w:r w:rsidRPr="00696E6C">
              <w:rPr>
                <w:szCs w:val="16"/>
              </w:rPr>
              <w:t xml:space="preserve"> 566.3</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AAD54B" w14:textId="77777777" w:rsidR="00696E6C" w:rsidRPr="00696E6C" w:rsidRDefault="00696E6C" w:rsidP="00696E6C">
            <w:pPr>
              <w:pStyle w:val="TableUnit"/>
              <w:rPr>
                <w:szCs w:val="16"/>
              </w:rPr>
            </w:pPr>
            <w:r w:rsidRPr="00696E6C">
              <w:rPr>
                <w:szCs w:val="16"/>
              </w:rPr>
              <w:t xml:space="preserve"> 299.3</w:t>
            </w:r>
          </w:p>
        </w:tc>
      </w:tr>
      <w:tr w:rsidR="00696E6C" w14:paraId="2DFE87A4" w14:textId="77777777" w:rsidTr="00032409">
        <w:trPr>
          <w:trHeight w:val="245"/>
        </w:trPr>
        <w:tc>
          <w:tcPr>
            <w:tcW w:w="42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6022F2" w14:textId="77777777" w:rsidR="00696E6C" w:rsidRDefault="00696E6C" w:rsidP="00696E6C">
            <w:pPr>
              <w:pStyle w:val="TableDataEntries"/>
              <w:jc w:val="left"/>
            </w:pPr>
            <w:r>
              <w:t>Employed part-time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29592F" w14:textId="77777777" w:rsidR="00696E6C" w:rsidRPr="00696E6C" w:rsidRDefault="00696E6C" w:rsidP="00696E6C">
            <w:pPr>
              <w:pStyle w:val="TableDataEntries"/>
              <w:rPr>
                <w:szCs w:val="16"/>
              </w:rPr>
            </w:pPr>
            <w:r w:rsidRPr="00696E6C">
              <w:rPr>
                <w:szCs w:val="16"/>
              </w:rPr>
              <w:t xml:space="preserve"> 232.8</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4F2D8D" w14:textId="77777777" w:rsidR="00696E6C" w:rsidRPr="00696E6C" w:rsidRDefault="00696E6C" w:rsidP="00696E6C">
            <w:pPr>
              <w:pStyle w:val="TableDataEntries"/>
              <w:rPr>
                <w:szCs w:val="16"/>
              </w:rPr>
            </w:pPr>
            <w:r w:rsidRPr="00696E6C">
              <w:rPr>
                <w:szCs w:val="16"/>
              </w:rPr>
              <w:t xml:space="preserve"> 250.5</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934D06" w14:textId="77777777" w:rsidR="00696E6C" w:rsidRPr="00696E6C" w:rsidRDefault="00696E6C" w:rsidP="00696E6C">
            <w:pPr>
              <w:pStyle w:val="TableDataEntries"/>
              <w:rPr>
                <w:szCs w:val="16"/>
              </w:rPr>
            </w:pPr>
            <w:r w:rsidRPr="00696E6C">
              <w:rPr>
                <w:szCs w:val="16"/>
              </w:rPr>
              <w:t xml:space="preserve"> 17.7</w:t>
            </w:r>
          </w:p>
        </w:tc>
      </w:tr>
      <w:tr w:rsidR="00284C52" w14:paraId="6378367F" w14:textId="77777777" w:rsidTr="00284C52">
        <w:trPr>
          <w:trHeight w:val="245"/>
        </w:trPr>
        <w:tc>
          <w:tcPr>
            <w:tcW w:w="42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67BB8" w14:textId="77777777" w:rsidR="00284C52" w:rsidRDefault="00284C52" w:rsidP="00284C52">
            <w:pPr>
              <w:pStyle w:val="TableDataEntries"/>
              <w:jc w:val="left"/>
            </w:pPr>
            <w:r>
              <w:t>Unemployed</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4F85B" w14:textId="77777777" w:rsidR="00284C52" w:rsidRDefault="00284C52" w:rsidP="00284C52">
            <w:pPr>
              <w:pStyle w:val="TableDataEntries"/>
            </w:pPr>
            <w:r>
              <w:t xml:space="preserve"> 63.5</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88738" w14:textId="77777777" w:rsidR="00284C52" w:rsidRDefault="00284C52" w:rsidP="00284C52">
            <w:pPr>
              <w:pStyle w:val="TableDataEntries"/>
            </w:pPr>
            <w:r>
              <w:t xml:space="preserve"> 4</w:t>
            </w:r>
            <w:r w:rsidR="00696E6C">
              <w:t>7</w:t>
            </w:r>
            <w:r>
              <w:t>.</w:t>
            </w:r>
            <w:r w:rsidR="00696E6C">
              <w:t>1</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0874DD" w14:textId="77777777" w:rsidR="00284C52" w:rsidRDefault="00284C52" w:rsidP="00284C52">
            <w:pPr>
              <w:pStyle w:val="TableDataEntries"/>
            </w:pPr>
            <w:r>
              <w:t>- 1</w:t>
            </w:r>
            <w:r w:rsidR="00696E6C">
              <w:t>6</w:t>
            </w:r>
            <w:r>
              <w:t>.</w:t>
            </w:r>
            <w:r w:rsidR="00696E6C">
              <w:t>4</w:t>
            </w:r>
          </w:p>
        </w:tc>
      </w:tr>
      <w:tr w:rsidR="00284C52" w14:paraId="72917DB2" w14:textId="77777777" w:rsidTr="00284C52">
        <w:trPr>
          <w:trHeight w:val="245"/>
        </w:trPr>
        <w:tc>
          <w:tcPr>
            <w:tcW w:w="42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CF9BC7" w14:textId="77777777" w:rsidR="00284C52" w:rsidRDefault="00284C52" w:rsidP="00284C52">
            <w:pPr>
              <w:pStyle w:val="TableDataEntries"/>
              <w:jc w:val="left"/>
            </w:pPr>
            <w:r>
              <w:t>Not in labour force</w:t>
            </w:r>
          </w:p>
        </w:tc>
        <w:tc>
          <w:tcPr>
            <w:tcW w:w="12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97DB83" w14:textId="77777777" w:rsidR="00284C52" w:rsidRDefault="00284C52" w:rsidP="00284C52">
            <w:pPr>
              <w:pStyle w:val="TableDataEntries"/>
            </w:pPr>
            <w:r>
              <w:t xml:space="preserve"> 765.9</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CD0F99" w14:textId="77777777" w:rsidR="00284C52" w:rsidRDefault="00284C52" w:rsidP="00284C52">
            <w:pPr>
              <w:pStyle w:val="TableDataEntries"/>
            </w:pPr>
            <w:r>
              <w:t xml:space="preserve"> 4</w:t>
            </w:r>
            <w:r w:rsidR="00696E6C">
              <w:t>65</w:t>
            </w:r>
            <w:r>
              <w:t>.2</w:t>
            </w:r>
          </w:p>
        </w:tc>
        <w:tc>
          <w:tcPr>
            <w:tcW w:w="12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DC46B5" w14:textId="77777777" w:rsidR="00284C52" w:rsidRDefault="00284C52" w:rsidP="00284C52">
            <w:pPr>
              <w:pStyle w:val="TableDataEntries"/>
            </w:pPr>
            <w:r>
              <w:t>- 30</w:t>
            </w:r>
            <w:r w:rsidR="00696E6C">
              <w:t>0</w:t>
            </w:r>
            <w:r>
              <w:t>.7</w:t>
            </w:r>
          </w:p>
        </w:tc>
      </w:tr>
      <w:tr w:rsidR="00284C52" w:rsidRPr="00284C52" w14:paraId="287FE667" w14:textId="77777777" w:rsidTr="00284C52">
        <w:trPr>
          <w:trHeight w:val="245"/>
        </w:trPr>
        <w:tc>
          <w:tcPr>
            <w:tcW w:w="428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28FFDBD" w14:textId="77777777" w:rsidR="00284C52" w:rsidRPr="00284C52" w:rsidRDefault="00284C52" w:rsidP="00284C52">
            <w:pPr>
              <w:pStyle w:val="TableDataEntries"/>
              <w:jc w:val="left"/>
              <w:rPr>
                <w:rFonts w:ascii="Franklin Gothic Demi" w:hAnsi="Franklin Gothic Demi"/>
              </w:rPr>
            </w:pPr>
            <w:r w:rsidRPr="00284C52">
              <w:rPr>
                <w:rFonts w:ascii="Franklin Gothic Demi" w:hAnsi="Franklin Gothic Demi"/>
              </w:rPr>
              <w:t>Total</w:t>
            </w:r>
          </w:p>
        </w:tc>
        <w:tc>
          <w:tcPr>
            <w:tcW w:w="121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9062109" w14:textId="77777777" w:rsidR="00284C52" w:rsidRPr="00284C52" w:rsidRDefault="00284C52" w:rsidP="00284C52">
            <w:pPr>
              <w:pStyle w:val="TableDataEntries"/>
              <w:rPr>
                <w:rFonts w:ascii="Franklin Gothic Demi" w:hAnsi="Franklin Gothic Demi"/>
              </w:rPr>
            </w:pPr>
            <w:r w:rsidRPr="00284C52">
              <w:rPr>
                <w:rFonts w:ascii="Franklin Gothic Demi" w:hAnsi="Franklin Gothic Demi"/>
              </w:rPr>
              <w:t>1 329.2</w:t>
            </w:r>
          </w:p>
        </w:tc>
        <w:tc>
          <w:tcPr>
            <w:tcW w:w="12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B2E4D41" w14:textId="77777777" w:rsidR="00284C52" w:rsidRPr="00284C52" w:rsidRDefault="00284C52" w:rsidP="00284C52">
            <w:pPr>
              <w:pStyle w:val="TableDataEntries"/>
              <w:rPr>
                <w:rFonts w:ascii="Franklin Gothic Demi" w:hAnsi="Franklin Gothic Demi"/>
              </w:rPr>
            </w:pPr>
            <w:r w:rsidRPr="00284C52">
              <w:rPr>
                <w:rFonts w:ascii="Franklin Gothic Demi" w:hAnsi="Franklin Gothic Demi"/>
              </w:rPr>
              <w:t>1 329.2</w:t>
            </w:r>
          </w:p>
        </w:tc>
        <w:tc>
          <w:tcPr>
            <w:tcW w:w="12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A56A189" w14:textId="77777777" w:rsidR="00284C52" w:rsidRPr="00284C52" w:rsidRDefault="00284C52" w:rsidP="00284C52">
            <w:pPr>
              <w:pStyle w:val="TableDataEntries"/>
              <w:rPr>
                <w:rFonts w:ascii="Franklin Gothic Demi" w:hAnsi="Franklin Gothic Demi"/>
              </w:rPr>
            </w:pPr>
            <w:r w:rsidRPr="00284C52">
              <w:rPr>
                <w:rFonts w:ascii="Franklin Gothic Demi" w:hAnsi="Franklin Gothic Demi"/>
              </w:rPr>
              <w:t xml:space="preserve"> 0.0</w:t>
            </w:r>
          </w:p>
        </w:tc>
      </w:tr>
    </w:tbl>
    <w:p w14:paraId="4DB6CAE5" w14:textId="77777777" w:rsidR="00284C52" w:rsidRPr="00DA0EE7" w:rsidRDefault="00284C52" w:rsidP="00284C52">
      <w:pPr>
        <w:pStyle w:val="Source"/>
        <w:rPr>
          <w:iCs/>
        </w:rPr>
      </w:pPr>
      <w:r w:rsidRPr="00DA0EE7">
        <w:rPr>
          <w:iCs/>
        </w:rPr>
        <w:t>Source: CIE estimates.</w:t>
      </w:r>
    </w:p>
    <w:p w14:paraId="789285FC" w14:textId="77777777" w:rsidR="00032409" w:rsidRDefault="00032409" w:rsidP="00032409">
      <w:pPr>
        <w:pStyle w:val="BodyText"/>
        <w:rPr>
          <w:lang w:eastAsia="en-US"/>
        </w:rPr>
      </w:pPr>
      <w:r>
        <w:rPr>
          <w:lang w:eastAsia="en-US"/>
        </w:rPr>
        <w:t>From a CBA perspective, the net benefits of additional employment would reflect the value</w:t>
      </w:r>
      <w:r>
        <w:rPr>
          <w:lang w:eastAsia="en-US"/>
        </w:rPr>
        <w:noBreakHyphen/>
        <w:t>added by the additional labour resources, less the opportunity cost of that additional labour.</w:t>
      </w:r>
    </w:p>
    <w:p w14:paraId="282B09BD" w14:textId="77777777" w:rsidR="00032409" w:rsidRDefault="00032409" w:rsidP="00032409">
      <w:pPr>
        <w:pStyle w:val="ListBullet"/>
        <w:rPr>
          <w:lang w:eastAsia="en-US"/>
        </w:rPr>
      </w:pPr>
      <w:r>
        <w:rPr>
          <w:lang w:eastAsia="en-US"/>
        </w:rPr>
        <w:t>The value</w:t>
      </w:r>
      <w:r>
        <w:rPr>
          <w:lang w:eastAsia="en-US"/>
        </w:rPr>
        <w:noBreakHyphen/>
        <w:t xml:space="preserve">added from the additional labour is likely to be reflected in wages. </w:t>
      </w:r>
      <w:r w:rsidR="00053E01">
        <w:rPr>
          <w:lang w:eastAsia="en-US"/>
        </w:rPr>
        <w:t>A</w:t>
      </w:r>
      <w:r>
        <w:rPr>
          <w:lang w:eastAsia="en-US"/>
        </w:rPr>
        <w:t>verage weekly total cash earnings for all employees reported in the May 2018 release of the ABS Employee Earnings and Hours publication converted to an annual rate</w:t>
      </w:r>
      <w:r w:rsidR="00053E01">
        <w:rPr>
          <w:lang w:eastAsia="en-US"/>
        </w:rPr>
        <w:t xml:space="preserve"> is used as an indicative estimate of wages</w:t>
      </w:r>
      <w:r>
        <w:rPr>
          <w:lang w:eastAsia="en-US"/>
        </w:rPr>
        <w:t>.</w:t>
      </w:r>
      <w:r>
        <w:rPr>
          <w:rStyle w:val="FootnoteReference"/>
          <w:lang w:eastAsia="en-US"/>
        </w:rPr>
        <w:footnoteReference w:id="540"/>
      </w:r>
    </w:p>
    <w:p w14:paraId="16214E70" w14:textId="77777777" w:rsidR="00032409" w:rsidRDefault="00032409" w:rsidP="00032409">
      <w:pPr>
        <w:pStyle w:val="ListBullet2"/>
        <w:rPr>
          <w:lang w:eastAsia="en-US"/>
        </w:rPr>
      </w:pPr>
      <w:r>
        <w:rPr>
          <w:lang w:eastAsia="en-US"/>
        </w:rPr>
        <w:t>Average weekly cash earnings for full</w:t>
      </w:r>
      <w:r>
        <w:rPr>
          <w:lang w:eastAsia="en-US"/>
        </w:rPr>
        <w:noBreakHyphen/>
        <w:t>time employees was around $1</w:t>
      </w:r>
      <w:r w:rsidR="00020147">
        <w:rPr>
          <w:lang w:eastAsia="en-US"/>
        </w:rPr>
        <w:t xml:space="preserve"> </w:t>
      </w:r>
      <w:r>
        <w:rPr>
          <w:lang w:eastAsia="en-US"/>
        </w:rPr>
        <w:t>699 per week, or around $88 358 per year.</w:t>
      </w:r>
    </w:p>
    <w:p w14:paraId="16CAC9B3" w14:textId="77777777" w:rsidR="00032409" w:rsidRDefault="00032409" w:rsidP="00032409">
      <w:pPr>
        <w:pStyle w:val="ListBullet2"/>
        <w:rPr>
          <w:lang w:eastAsia="en-US"/>
        </w:rPr>
      </w:pPr>
      <w:r>
        <w:rPr>
          <w:lang w:eastAsia="en-US"/>
        </w:rPr>
        <w:t>Average weekly cash earnings for part</w:t>
      </w:r>
      <w:r>
        <w:rPr>
          <w:lang w:eastAsia="en-US"/>
        </w:rPr>
        <w:noBreakHyphen/>
        <w:t>time employees was around $668 per week, or around $34 752 per year.</w:t>
      </w:r>
    </w:p>
    <w:p w14:paraId="7CA8958A" w14:textId="77777777" w:rsidR="00032409" w:rsidRDefault="00032409" w:rsidP="00032409">
      <w:pPr>
        <w:pStyle w:val="ListBullet"/>
        <w:rPr>
          <w:lang w:eastAsia="en-US"/>
        </w:rPr>
      </w:pPr>
      <w:r>
        <w:rPr>
          <w:lang w:eastAsia="en-US"/>
        </w:rPr>
        <w:t>Even though the additional labour is not currently employed, it still has an opportunity cost (i.e. people would presumably not work for free). The reservation wage reflects the minimum amount required to encourage people to work and is a measure of the opportunity cost of labour.</w:t>
      </w:r>
      <w:r>
        <w:rPr>
          <w:rStyle w:val="FootnoteReference"/>
          <w:lang w:eastAsia="en-US"/>
        </w:rPr>
        <w:footnoteReference w:id="541"/>
      </w:r>
      <w:r>
        <w:rPr>
          <w:lang w:eastAsia="en-US"/>
        </w:rPr>
        <w:t xml:space="preserve"> The reservation wage would vary across individuals and is not observable. However, for the purposes of these calculations a reservation wage equivalent to the </w:t>
      </w:r>
      <w:r w:rsidR="00557D11">
        <w:rPr>
          <w:lang w:eastAsia="en-US"/>
        </w:rPr>
        <w:t>minimum wage of $19.84 per hour, or $753.40 per week</w:t>
      </w:r>
      <w:r w:rsidR="0052177E">
        <w:rPr>
          <w:lang w:eastAsia="en-US"/>
        </w:rPr>
        <w:t xml:space="preserve"> is used</w:t>
      </w:r>
      <w:r>
        <w:rPr>
          <w:lang w:eastAsia="en-US"/>
        </w:rPr>
        <w:t>.</w:t>
      </w:r>
    </w:p>
    <w:p w14:paraId="6A7DD434" w14:textId="77777777" w:rsidR="00032409" w:rsidRDefault="00032409" w:rsidP="00032409">
      <w:pPr>
        <w:pStyle w:val="BodyText"/>
        <w:rPr>
          <w:lang w:eastAsia="en-US"/>
        </w:rPr>
      </w:pPr>
      <w:r>
        <w:rPr>
          <w:lang w:eastAsia="en-US"/>
        </w:rPr>
        <w:t>Based on this approach, the net cost of lost employment opportunities could be around (table J.2):</w:t>
      </w:r>
    </w:p>
    <w:p w14:paraId="7842BF81" w14:textId="77777777" w:rsidR="00032409" w:rsidRDefault="00032409" w:rsidP="00032409">
      <w:pPr>
        <w:pStyle w:val="ListBullet"/>
        <w:rPr>
          <w:lang w:eastAsia="en-US"/>
        </w:rPr>
      </w:pPr>
      <w:r>
        <w:rPr>
          <w:lang w:eastAsia="en-US"/>
        </w:rPr>
        <w:t>$</w:t>
      </w:r>
      <w:r w:rsidR="005F7CD6">
        <w:rPr>
          <w:lang w:eastAsia="en-US"/>
        </w:rPr>
        <w:t xml:space="preserve">49 161 </w:t>
      </w:r>
      <w:r>
        <w:rPr>
          <w:lang w:eastAsia="en-US"/>
        </w:rPr>
        <w:t>per year for additional full</w:t>
      </w:r>
      <w:r>
        <w:rPr>
          <w:lang w:eastAsia="en-US"/>
        </w:rPr>
        <w:noBreakHyphen/>
        <w:t>time employment</w:t>
      </w:r>
    </w:p>
    <w:p w14:paraId="33B9B84B" w14:textId="77777777" w:rsidR="00032409" w:rsidRDefault="00032409" w:rsidP="00032409">
      <w:pPr>
        <w:pStyle w:val="ListBullet"/>
        <w:rPr>
          <w:lang w:eastAsia="en-US"/>
        </w:rPr>
      </w:pPr>
      <w:r>
        <w:rPr>
          <w:lang w:eastAsia="en-US"/>
        </w:rPr>
        <w:t>$</w:t>
      </w:r>
      <w:r w:rsidR="005F7CD6">
        <w:rPr>
          <w:lang w:eastAsia="en-US"/>
        </w:rPr>
        <w:t>19 </w:t>
      </w:r>
      <w:r>
        <w:rPr>
          <w:lang w:eastAsia="en-US"/>
        </w:rPr>
        <w:t>33</w:t>
      </w:r>
      <w:r w:rsidR="005F7CD6">
        <w:rPr>
          <w:lang w:eastAsia="en-US"/>
        </w:rPr>
        <w:t>5</w:t>
      </w:r>
      <w:r>
        <w:rPr>
          <w:lang w:eastAsia="en-US"/>
        </w:rPr>
        <w:t xml:space="preserve"> per year for additional part</w:t>
      </w:r>
      <w:r>
        <w:rPr>
          <w:lang w:eastAsia="en-US"/>
        </w:rPr>
        <w:noBreakHyphen/>
        <w:t>time employment.</w:t>
      </w:r>
    </w:p>
    <w:p w14:paraId="76DFD59B" w14:textId="2483CC9F" w:rsidR="00032409" w:rsidRDefault="00390CDB" w:rsidP="00032409">
      <w:pPr>
        <w:pStyle w:val="Caption"/>
      </w:pPr>
      <w:bookmarkStart w:id="875" w:name="_Toc57643717"/>
      <w:bookmarkStart w:id="876" w:name="_Toc70505672"/>
      <w:r>
        <w:t>J.2</w:t>
      </w:r>
      <w:r w:rsidR="00032409" w:rsidRPr="00695C93">
        <w:tab/>
      </w:r>
      <w:r w:rsidR="00032409">
        <w:t>Net cost of lost employment opportunities for people with mobility limitations</w:t>
      </w:r>
      <w:bookmarkEnd w:id="875"/>
      <w:bookmarkEnd w:id="876"/>
    </w:p>
    <w:tbl>
      <w:tblPr>
        <w:tblW w:w="0" w:type="auto"/>
        <w:tblLayout w:type="fixed"/>
        <w:tblLook w:val="0000" w:firstRow="0" w:lastRow="0" w:firstColumn="0" w:lastColumn="0" w:noHBand="0" w:noVBand="0"/>
        <w:tblCaption w:val="Table J.2: Net cost of lost employment opportunities for people with mobility limitations"/>
        <w:tblDescription w:val="Table J.2 lists the net cost of lost employment opportunities for people with mobility limitations by full-time and part-time employment. The annual surplus for full-time is $49,161, and $19,335 for part-time."/>
      </w:tblPr>
      <w:tblGrid>
        <w:gridCol w:w="1421"/>
        <w:gridCol w:w="1770"/>
        <w:gridCol w:w="1771"/>
        <w:gridCol w:w="1769"/>
        <w:gridCol w:w="1206"/>
      </w:tblGrid>
      <w:tr w:rsidR="00032409" w14:paraId="0E13BB9F" w14:textId="77777777" w:rsidTr="00362332">
        <w:trPr>
          <w:trHeight w:val="734"/>
        </w:trPr>
        <w:tc>
          <w:tcPr>
            <w:tcW w:w="1421" w:type="dxa"/>
            <w:tcBorders>
              <w:bottom w:val="single" w:sz="8" w:space="0" w:color="FFFFFF" w:themeColor="background1"/>
            </w:tcBorders>
            <w:shd w:val="clear" w:color="auto" w:fill="6F6652"/>
            <w:tcMar>
              <w:left w:w="57" w:type="dxa"/>
              <w:right w:w="57" w:type="dxa"/>
            </w:tcMar>
          </w:tcPr>
          <w:p w14:paraId="04129CA4" w14:textId="77777777" w:rsidR="00032409" w:rsidRDefault="00AC6CC7" w:rsidP="00032409">
            <w:pPr>
              <w:pStyle w:val="TableDataColumnHeading"/>
              <w:jc w:val="left"/>
            </w:pPr>
            <w:r>
              <w:t>Employment</w:t>
            </w:r>
          </w:p>
        </w:tc>
        <w:tc>
          <w:tcPr>
            <w:tcW w:w="1770" w:type="dxa"/>
            <w:tcBorders>
              <w:bottom w:val="single" w:sz="8" w:space="0" w:color="FFFFFF" w:themeColor="background1"/>
            </w:tcBorders>
            <w:shd w:val="clear" w:color="auto" w:fill="6F6652"/>
            <w:tcMar>
              <w:left w:w="57" w:type="dxa"/>
              <w:right w:w="57" w:type="dxa"/>
            </w:tcMar>
          </w:tcPr>
          <w:p w14:paraId="590FE078" w14:textId="77777777" w:rsidR="00032409" w:rsidRDefault="00032409" w:rsidP="00032409">
            <w:pPr>
              <w:pStyle w:val="TableDataColumnHeading"/>
            </w:pPr>
            <w:r>
              <w:t xml:space="preserve">Weekly wages </w:t>
            </w:r>
            <w:r w:rsidR="00AC6CC7">
              <w:br/>
            </w:r>
            <w:r>
              <w:t>($ per week)</w:t>
            </w:r>
          </w:p>
        </w:tc>
        <w:tc>
          <w:tcPr>
            <w:tcW w:w="1771" w:type="dxa"/>
            <w:tcBorders>
              <w:bottom w:val="single" w:sz="8" w:space="0" w:color="FFFFFF" w:themeColor="background1"/>
            </w:tcBorders>
            <w:shd w:val="clear" w:color="auto" w:fill="6F6652"/>
            <w:tcMar>
              <w:left w:w="57" w:type="dxa"/>
              <w:right w:w="57" w:type="dxa"/>
            </w:tcMar>
          </w:tcPr>
          <w:p w14:paraId="512351D4" w14:textId="77777777" w:rsidR="00032409" w:rsidRDefault="00032409" w:rsidP="00032409">
            <w:pPr>
              <w:pStyle w:val="TableDataColumnHeading"/>
            </w:pPr>
            <w:r>
              <w:t>Less: reservation wage ($ per week)</w:t>
            </w:r>
          </w:p>
        </w:tc>
        <w:tc>
          <w:tcPr>
            <w:tcW w:w="1769" w:type="dxa"/>
            <w:tcBorders>
              <w:bottom w:val="single" w:sz="8" w:space="0" w:color="FFFFFF" w:themeColor="background1"/>
            </w:tcBorders>
            <w:shd w:val="clear" w:color="auto" w:fill="6F6652"/>
            <w:tcMar>
              <w:left w:w="57" w:type="dxa"/>
              <w:right w:w="57" w:type="dxa"/>
            </w:tcMar>
          </w:tcPr>
          <w:p w14:paraId="530723FB" w14:textId="77777777" w:rsidR="00032409" w:rsidRDefault="00032409" w:rsidP="00032409">
            <w:pPr>
              <w:pStyle w:val="TableDataColumnHeading"/>
            </w:pPr>
            <w:r>
              <w:t xml:space="preserve">Weekly surplus </w:t>
            </w:r>
            <w:r w:rsidR="00AC6CC7">
              <w:br/>
            </w:r>
            <w:r>
              <w:t>($ per week)</w:t>
            </w:r>
          </w:p>
        </w:tc>
        <w:tc>
          <w:tcPr>
            <w:tcW w:w="1206" w:type="dxa"/>
            <w:tcBorders>
              <w:bottom w:val="single" w:sz="8" w:space="0" w:color="FFFFFF" w:themeColor="background1"/>
            </w:tcBorders>
            <w:shd w:val="clear" w:color="auto" w:fill="6F6652"/>
            <w:tcMar>
              <w:left w:w="57" w:type="dxa"/>
              <w:right w:w="57" w:type="dxa"/>
            </w:tcMar>
          </w:tcPr>
          <w:p w14:paraId="53FC3896" w14:textId="77777777" w:rsidR="00032409" w:rsidRDefault="00032409" w:rsidP="00032409">
            <w:pPr>
              <w:pStyle w:val="TableDataColumnHeading"/>
            </w:pPr>
            <w:r>
              <w:t>Annual surplus ($ per year)</w:t>
            </w:r>
          </w:p>
        </w:tc>
      </w:tr>
      <w:tr w:rsidR="00032409" w14:paraId="60760C34" w14:textId="77777777" w:rsidTr="00362332">
        <w:trPr>
          <w:trHeight w:val="245"/>
        </w:trPr>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11702C" w14:textId="77777777" w:rsidR="00032409" w:rsidRDefault="00032409" w:rsidP="00032409">
            <w:pPr>
              <w:pStyle w:val="TableUnit"/>
              <w:jc w:val="left"/>
            </w:pPr>
            <w:r>
              <w:t>Full-time</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08FE50" w14:textId="77777777" w:rsidR="00032409" w:rsidRDefault="00032409" w:rsidP="00032409">
            <w:pPr>
              <w:pStyle w:val="TableUnit"/>
            </w:pPr>
            <w:r>
              <w:t>1 699</w:t>
            </w:r>
          </w:p>
        </w:tc>
        <w:tc>
          <w:tcPr>
            <w:tcW w:w="17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10EAA0" w14:textId="77777777" w:rsidR="00032409" w:rsidRDefault="00032409" w:rsidP="00032409">
            <w:pPr>
              <w:pStyle w:val="TableUnit"/>
            </w:pPr>
            <w:r>
              <w:t xml:space="preserve"> </w:t>
            </w:r>
            <w:r w:rsidR="005F7CD6">
              <w:t>754</w:t>
            </w:r>
          </w:p>
        </w:tc>
        <w:tc>
          <w:tcPr>
            <w:tcW w:w="17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05D25D" w14:textId="77777777" w:rsidR="00032409" w:rsidRDefault="005F7CD6" w:rsidP="00032409">
            <w:pPr>
              <w:pStyle w:val="TableUnit"/>
            </w:pPr>
            <w:r>
              <w:t>945</w:t>
            </w:r>
          </w:p>
        </w:tc>
        <w:tc>
          <w:tcPr>
            <w:tcW w:w="12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643C9C" w14:textId="77777777" w:rsidR="00032409" w:rsidRDefault="005F7CD6" w:rsidP="00032409">
            <w:pPr>
              <w:pStyle w:val="TableUnit"/>
            </w:pPr>
            <w:r>
              <w:t>49 161</w:t>
            </w:r>
          </w:p>
        </w:tc>
      </w:tr>
      <w:tr w:rsidR="00032409" w14:paraId="4CDC26C7" w14:textId="77777777" w:rsidTr="00362332">
        <w:trPr>
          <w:trHeight w:val="245"/>
        </w:trPr>
        <w:tc>
          <w:tcPr>
            <w:tcW w:w="1421" w:type="dxa"/>
            <w:tcBorders>
              <w:top w:val="single" w:sz="8" w:space="0" w:color="FFFFFF" w:themeColor="background1"/>
              <w:bottom w:val="single" w:sz="6" w:space="0" w:color="6F6652"/>
            </w:tcBorders>
            <w:shd w:val="clear" w:color="auto" w:fill="E9E8E5" w:themeFill="background2"/>
            <w:tcMar>
              <w:left w:w="57" w:type="dxa"/>
              <w:right w:w="57" w:type="dxa"/>
            </w:tcMar>
          </w:tcPr>
          <w:p w14:paraId="2BBF176F" w14:textId="77777777" w:rsidR="00032409" w:rsidRDefault="00032409" w:rsidP="00032409">
            <w:pPr>
              <w:pStyle w:val="TableDataEntries"/>
              <w:jc w:val="left"/>
            </w:pPr>
            <w:r>
              <w:t>Part-time</w:t>
            </w:r>
          </w:p>
        </w:tc>
        <w:tc>
          <w:tcPr>
            <w:tcW w:w="1770" w:type="dxa"/>
            <w:tcBorders>
              <w:top w:val="single" w:sz="8" w:space="0" w:color="FFFFFF" w:themeColor="background1"/>
              <w:bottom w:val="single" w:sz="6" w:space="0" w:color="6F6652"/>
            </w:tcBorders>
            <w:shd w:val="clear" w:color="auto" w:fill="E9E8E5" w:themeFill="background2"/>
            <w:tcMar>
              <w:left w:w="57" w:type="dxa"/>
              <w:right w:w="57" w:type="dxa"/>
            </w:tcMar>
          </w:tcPr>
          <w:p w14:paraId="5CF2D06B" w14:textId="77777777" w:rsidR="00032409" w:rsidRDefault="00032409" w:rsidP="00032409">
            <w:pPr>
              <w:pStyle w:val="TableDataEntries"/>
            </w:pPr>
            <w:r>
              <w:t xml:space="preserve"> 668</w:t>
            </w:r>
          </w:p>
        </w:tc>
        <w:tc>
          <w:tcPr>
            <w:tcW w:w="1771" w:type="dxa"/>
            <w:tcBorders>
              <w:top w:val="single" w:sz="8" w:space="0" w:color="FFFFFF" w:themeColor="background1"/>
              <w:bottom w:val="single" w:sz="6" w:space="0" w:color="6F6652"/>
            </w:tcBorders>
            <w:shd w:val="clear" w:color="auto" w:fill="E9E8E5" w:themeFill="background2"/>
            <w:tcMar>
              <w:left w:w="57" w:type="dxa"/>
              <w:right w:w="57" w:type="dxa"/>
            </w:tcMar>
          </w:tcPr>
          <w:p w14:paraId="6A328391" w14:textId="77777777" w:rsidR="00032409" w:rsidRDefault="00032409" w:rsidP="00032409">
            <w:pPr>
              <w:pStyle w:val="TableDataEntries"/>
            </w:pPr>
            <w:r>
              <w:t xml:space="preserve"> </w:t>
            </w:r>
            <w:r w:rsidR="005F7CD6">
              <w:t>296</w:t>
            </w:r>
          </w:p>
        </w:tc>
        <w:tc>
          <w:tcPr>
            <w:tcW w:w="1769" w:type="dxa"/>
            <w:tcBorders>
              <w:top w:val="single" w:sz="8" w:space="0" w:color="FFFFFF" w:themeColor="background1"/>
              <w:bottom w:val="single" w:sz="6" w:space="0" w:color="6F6652"/>
            </w:tcBorders>
            <w:shd w:val="clear" w:color="auto" w:fill="E9E8E5" w:themeFill="background2"/>
            <w:tcMar>
              <w:left w:w="57" w:type="dxa"/>
              <w:right w:w="57" w:type="dxa"/>
            </w:tcMar>
          </w:tcPr>
          <w:p w14:paraId="2EEE44B1" w14:textId="77777777" w:rsidR="00032409" w:rsidRDefault="005F7CD6" w:rsidP="00032409">
            <w:pPr>
              <w:pStyle w:val="TableDataEntries"/>
            </w:pPr>
            <w:r>
              <w:t>372</w:t>
            </w:r>
          </w:p>
        </w:tc>
        <w:tc>
          <w:tcPr>
            <w:tcW w:w="1206" w:type="dxa"/>
            <w:tcBorders>
              <w:top w:val="single" w:sz="8" w:space="0" w:color="FFFFFF" w:themeColor="background1"/>
              <w:bottom w:val="single" w:sz="6" w:space="0" w:color="6F6652"/>
            </w:tcBorders>
            <w:shd w:val="clear" w:color="auto" w:fill="E9E8E5" w:themeFill="background2"/>
            <w:tcMar>
              <w:left w:w="57" w:type="dxa"/>
              <w:right w:w="57" w:type="dxa"/>
            </w:tcMar>
          </w:tcPr>
          <w:p w14:paraId="05CE0D2D" w14:textId="77777777" w:rsidR="00032409" w:rsidRDefault="005F7CD6" w:rsidP="00032409">
            <w:pPr>
              <w:pStyle w:val="TableDataEntries"/>
            </w:pPr>
            <w:r>
              <w:t>19 335</w:t>
            </w:r>
          </w:p>
        </w:tc>
      </w:tr>
    </w:tbl>
    <w:p w14:paraId="34C8794F" w14:textId="77777777" w:rsidR="00032409" w:rsidRDefault="00032409" w:rsidP="00032409">
      <w:pPr>
        <w:pStyle w:val="Source"/>
      </w:pPr>
      <w:r w:rsidRPr="00DA0EE7">
        <w:rPr>
          <w:iCs/>
        </w:rPr>
        <w:t>Source: ABS</w:t>
      </w:r>
      <w:r>
        <w:t xml:space="preserve">, Employee Hours and Earnings, May 2018, Department of Social Services website, </w:t>
      </w:r>
      <w:hyperlink r:id="rId95" w:tooltip="More information can be found at the following link" w:history="1">
        <w:r w:rsidRPr="001D5302">
          <w:rPr>
            <w:rStyle w:val="Hyperlink"/>
            <w:lang w:val="en-US"/>
          </w:rPr>
          <w:t>https://www.dss.gov.au/sites/default/files/documents/08_2018/online_rates_-_20_september_-_pdf_version.pdf</w:t>
        </w:r>
      </w:hyperlink>
      <w:r>
        <w:rPr>
          <w:lang w:val="en-US"/>
        </w:rPr>
        <w:t>, accessed 11 November 2020; CIE.</w:t>
      </w:r>
    </w:p>
    <w:p w14:paraId="09E29D73" w14:textId="77777777" w:rsidR="00032409" w:rsidRDefault="00032409" w:rsidP="00032409">
      <w:pPr>
        <w:pStyle w:val="BodyText"/>
        <w:rPr>
          <w:lang w:eastAsia="en-US"/>
        </w:rPr>
      </w:pPr>
      <w:r>
        <w:rPr>
          <w:lang w:eastAsia="en-US"/>
        </w:rPr>
        <w:t>Bringing this information together suggests that the total cost of lost employment opportunities for people with mobility limitations could be in the order of $</w:t>
      </w:r>
      <w:r w:rsidR="005F7CD6">
        <w:rPr>
          <w:lang w:eastAsia="en-US"/>
        </w:rPr>
        <w:t>15</w:t>
      </w:r>
      <w:r>
        <w:rPr>
          <w:lang w:eastAsia="en-US"/>
        </w:rPr>
        <w:t>.</w:t>
      </w:r>
      <w:r w:rsidR="005F7CD6">
        <w:rPr>
          <w:lang w:eastAsia="en-US"/>
        </w:rPr>
        <w:t>1 </w:t>
      </w:r>
      <w:r>
        <w:rPr>
          <w:lang w:eastAsia="en-US"/>
        </w:rPr>
        <w:t xml:space="preserve">billion per year (table J.3). </w:t>
      </w:r>
    </w:p>
    <w:p w14:paraId="55BEFEC5" w14:textId="4164C590" w:rsidR="00032409" w:rsidRDefault="00390CDB" w:rsidP="00032409">
      <w:pPr>
        <w:pStyle w:val="Caption"/>
      </w:pPr>
      <w:bookmarkStart w:id="877" w:name="_Toc57643718"/>
      <w:bookmarkStart w:id="878" w:name="_Toc70505673"/>
      <w:r>
        <w:t>J.3</w:t>
      </w:r>
      <w:r w:rsidR="00032409" w:rsidRPr="00695C93">
        <w:tab/>
      </w:r>
      <w:r w:rsidR="00032409">
        <w:t>Indicative benefits</w:t>
      </w:r>
      <w:bookmarkEnd w:id="877"/>
      <w:bookmarkEnd w:id="878"/>
      <w:r w:rsidR="00032409">
        <w:t xml:space="preserve"> </w:t>
      </w:r>
    </w:p>
    <w:tbl>
      <w:tblPr>
        <w:tblW w:w="0" w:type="auto"/>
        <w:tblLayout w:type="fixed"/>
        <w:tblLook w:val="0000" w:firstRow="0" w:lastRow="0" w:firstColumn="0" w:lastColumn="0" w:noHBand="0" w:noVBand="0"/>
        <w:tblCaption w:val="Table J.3: Indicative benefits"/>
        <w:tblDescription w:val="Table J.3 reports indicative benefits of additional employment opportunities for people with mobility limitations. The annual impact of additional full-time employment is $14.7 billion, and for all employment $15.1 billion."/>
      </w:tblPr>
      <w:tblGrid>
        <w:gridCol w:w="1676"/>
        <w:gridCol w:w="2087"/>
        <w:gridCol w:w="2087"/>
        <w:gridCol w:w="2087"/>
      </w:tblGrid>
      <w:tr w:rsidR="00032409" w14:paraId="55664231" w14:textId="77777777" w:rsidTr="00032409">
        <w:trPr>
          <w:trHeight w:val="490"/>
          <w:tblHeader/>
        </w:trPr>
        <w:tc>
          <w:tcPr>
            <w:tcW w:w="1676" w:type="dxa"/>
            <w:shd w:val="clear" w:color="auto" w:fill="6F6652"/>
            <w:tcMar>
              <w:left w:w="57" w:type="dxa"/>
              <w:right w:w="57" w:type="dxa"/>
            </w:tcMar>
          </w:tcPr>
          <w:p w14:paraId="1B40BC09" w14:textId="77777777" w:rsidR="00032409" w:rsidRDefault="00032409" w:rsidP="00032409">
            <w:pPr>
              <w:pStyle w:val="TableDataColumnHeading"/>
              <w:jc w:val="left"/>
            </w:pPr>
          </w:p>
        </w:tc>
        <w:tc>
          <w:tcPr>
            <w:tcW w:w="2087" w:type="dxa"/>
            <w:shd w:val="clear" w:color="auto" w:fill="6F6652"/>
            <w:tcMar>
              <w:left w:w="57" w:type="dxa"/>
              <w:right w:w="57" w:type="dxa"/>
            </w:tcMar>
          </w:tcPr>
          <w:p w14:paraId="1D7A7166" w14:textId="77777777" w:rsidR="00032409" w:rsidRDefault="00032409" w:rsidP="00032409">
            <w:pPr>
              <w:pStyle w:val="TableDataColumnHeading"/>
            </w:pPr>
            <w:r>
              <w:t>Additional employment</w:t>
            </w:r>
          </w:p>
        </w:tc>
        <w:tc>
          <w:tcPr>
            <w:tcW w:w="2087" w:type="dxa"/>
            <w:shd w:val="clear" w:color="auto" w:fill="6F6652"/>
            <w:tcMar>
              <w:left w:w="57" w:type="dxa"/>
              <w:right w:w="57" w:type="dxa"/>
            </w:tcMar>
          </w:tcPr>
          <w:p w14:paraId="7D5D1E82" w14:textId="77777777" w:rsidR="00032409" w:rsidRDefault="00032409" w:rsidP="00032409">
            <w:pPr>
              <w:pStyle w:val="TableDataColumnHeading"/>
            </w:pPr>
            <w:r>
              <w:t>Annual increase</w:t>
            </w:r>
          </w:p>
        </w:tc>
        <w:tc>
          <w:tcPr>
            <w:tcW w:w="2087" w:type="dxa"/>
            <w:shd w:val="clear" w:color="auto" w:fill="6F6652"/>
            <w:tcMar>
              <w:left w:w="57" w:type="dxa"/>
              <w:right w:w="57" w:type="dxa"/>
            </w:tcMar>
          </w:tcPr>
          <w:p w14:paraId="786853DD" w14:textId="77777777" w:rsidR="00032409" w:rsidRDefault="00032409" w:rsidP="00032409">
            <w:pPr>
              <w:pStyle w:val="TableDataColumnHeading"/>
            </w:pPr>
            <w:r>
              <w:t>Annual impact</w:t>
            </w:r>
          </w:p>
        </w:tc>
      </w:tr>
      <w:tr w:rsidR="00032409" w14:paraId="15156D37" w14:textId="77777777" w:rsidTr="00032409">
        <w:trPr>
          <w:trHeight w:val="245"/>
          <w:tblHeader/>
        </w:trPr>
        <w:tc>
          <w:tcPr>
            <w:tcW w:w="1676" w:type="dxa"/>
            <w:tcBorders>
              <w:bottom w:val="single" w:sz="8" w:space="0" w:color="FFFFFF" w:themeColor="background1"/>
            </w:tcBorders>
            <w:shd w:val="clear" w:color="auto" w:fill="auto"/>
            <w:tcMar>
              <w:left w:w="57" w:type="dxa"/>
              <w:right w:w="57" w:type="dxa"/>
            </w:tcMar>
          </w:tcPr>
          <w:p w14:paraId="4F0623D9" w14:textId="77777777" w:rsidR="00032409" w:rsidRDefault="00032409" w:rsidP="00032409">
            <w:pPr>
              <w:pStyle w:val="TableUnit"/>
              <w:jc w:val="left"/>
            </w:pPr>
          </w:p>
        </w:tc>
        <w:tc>
          <w:tcPr>
            <w:tcW w:w="2087" w:type="dxa"/>
            <w:tcBorders>
              <w:bottom w:val="single" w:sz="8" w:space="0" w:color="FFFFFF" w:themeColor="background1"/>
            </w:tcBorders>
            <w:shd w:val="clear" w:color="auto" w:fill="auto"/>
            <w:tcMar>
              <w:left w:w="57" w:type="dxa"/>
              <w:right w:w="57" w:type="dxa"/>
            </w:tcMar>
          </w:tcPr>
          <w:p w14:paraId="399A11B3" w14:textId="77777777" w:rsidR="00032409" w:rsidRDefault="00032409" w:rsidP="00032409">
            <w:pPr>
              <w:pStyle w:val="TableUnit"/>
            </w:pPr>
            <w:r>
              <w:t>'000</w:t>
            </w:r>
          </w:p>
        </w:tc>
        <w:tc>
          <w:tcPr>
            <w:tcW w:w="2087" w:type="dxa"/>
            <w:tcBorders>
              <w:bottom w:val="single" w:sz="8" w:space="0" w:color="FFFFFF" w:themeColor="background1"/>
            </w:tcBorders>
            <w:shd w:val="clear" w:color="auto" w:fill="auto"/>
            <w:tcMar>
              <w:left w:w="57" w:type="dxa"/>
              <w:right w:w="57" w:type="dxa"/>
            </w:tcMar>
          </w:tcPr>
          <w:p w14:paraId="66A5E002" w14:textId="77777777" w:rsidR="00032409" w:rsidRDefault="00032409" w:rsidP="00032409">
            <w:pPr>
              <w:pStyle w:val="TableUnit"/>
            </w:pPr>
            <w:r>
              <w:t>$ per year</w:t>
            </w:r>
          </w:p>
        </w:tc>
        <w:tc>
          <w:tcPr>
            <w:tcW w:w="2087" w:type="dxa"/>
            <w:tcBorders>
              <w:bottom w:val="single" w:sz="8" w:space="0" w:color="FFFFFF" w:themeColor="background1"/>
            </w:tcBorders>
            <w:shd w:val="clear" w:color="auto" w:fill="auto"/>
            <w:tcMar>
              <w:left w:w="57" w:type="dxa"/>
              <w:right w:w="57" w:type="dxa"/>
            </w:tcMar>
          </w:tcPr>
          <w:p w14:paraId="048FA0B8" w14:textId="77777777" w:rsidR="00032409" w:rsidRDefault="00032409" w:rsidP="00032409">
            <w:pPr>
              <w:pStyle w:val="TableUnit"/>
            </w:pPr>
            <w:r>
              <w:t>$ billion</w:t>
            </w:r>
          </w:p>
        </w:tc>
      </w:tr>
      <w:tr w:rsidR="005F7CD6" w14:paraId="6A125C33" w14:textId="77777777" w:rsidTr="005331B4">
        <w:trPr>
          <w:trHeight w:val="245"/>
        </w:trPr>
        <w:tc>
          <w:tcPr>
            <w:tcW w:w="1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0B9D8F" w14:textId="77777777" w:rsidR="005F7CD6" w:rsidRDefault="005F7CD6" w:rsidP="005F7CD6">
            <w:pPr>
              <w:pStyle w:val="TableDataEntries"/>
              <w:jc w:val="left"/>
            </w:pPr>
            <w:r>
              <w:t>Full-time</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A87B33" w14:textId="77777777" w:rsidR="005F7CD6" w:rsidRPr="00C34B29" w:rsidRDefault="005F7CD6" w:rsidP="005F7CD6">
            <w:pPr>
              <w:pStyle w:val="TableDataEntries"/>
            </w:pPr>
            <w:r w:rsidRPr="009806BA">
              <w:t xml:space="preserve"> 299.3</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8B1DEE" w14:textId="77777777" w:rsidR="005F7CD6" w:rsidRPr="00C34B29" w:rsidRDefault="005F7CD6" w:rsidP="005F7CD6">
            <w:pPr>
              <w:pStyle w:val="TableDataEntries"/>
            </w:pPr>
            <w:r>
              <w:t>49 161</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081B75" w14:textId="77777777" w:rsidR="005F7CD6" w:rsidRPr="00C34B29" w:rsidRDefault="005F7CD6" w:rsidP="005F7CD6">
            <w:pPr>
              <w:pStyle w:val="TableDataEntries"/>
            </w:pPr>
            <w:r w:rsidRPr="009806BA">
              <w:t xml:space="preserve"> </w:t>
            </w:r>
            <w:r>
              <w:t>14.7</w:t>
            </w:r>
          </w:p>
        </w:tc>
      </w:tr>
      <w:tr w:rsidR="005F7CD6" w14:paraId="19617933" w14:textId="77777777" w:rsidTr="005331B4">
        <w:trPr>
          <w:trHeight w:val="245"/>
        </w:trPr>
        <w:tc>
          <w:tcPr>
            <w:tcW w:w="16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6804BD" w14:textId="77777777" w:rsidR="005F7CD6" w:rsidRDefault="005F7CD6" w:rsidP="005F7CD6">
            <w:pPr>
              <w:pStyle w:val="TableDataEntries"/>
              <w:jc w:val="left"/>
            </w:pPr>
            <w:r>
              <w:t>Part-time</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8ABC4B" w14:textId="77777777" w:rsidR="005F7CD6" w:rsidRPr="00C34B29" w:rsidRDefault="005F7CD6" w:rsidP="005F7CD6">
            <w:pPr>
              <w:pStyle w:val="TableDataEntries"/>
            </w:pPr>
            <w:r w:rsidRPr="009806BA">
              <w:t xml:space="preserve"> 17.7</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669031" w14:textId="77777777" w:rsidR="005F7CD6" w:rsidRPr="00C34B29" w:rsidRDefault="005F7CD6" w:rsidP="005F7CD6">
            <w:pPr>
              <w:pStyle w:val="TableDataEntries"/>
            </w:pPr>
            <w:r>
              <w:t>19 335</w:t>
            </w:r>
          </w:p>
        </w:tc>
        <w:tc>
          <w:tcPr>
            <w:tcW w:w="20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B686E2" w14:textId="77777777" w:rsidR="005F7CD6" w:rsidRPr="00C34B29" w:rsidRDefault="005F7CD6" w:rsidP="005F7CD6">
            <w:pPr>
              <w:pStyle w:val="TableDataEntries"/>
            </w:pPr>
            <w:r w:rsidRPr="009806BA">
              <w:t xml:space="preserve"> 0.</w:t>
            </w:r>
            <w:r>
              <w:t>3</w:t>
            </w:r>
          </w:p>
        </w:tc>
      </w:tr>
      <w:tr w:rsidR="00032409" w:rsidRPr="00B838F6" w14:paraId="0CDB7C14" w14:textId="77777777" w:rsidTr="00032409">
        <w:trPr>
          <w:trHeight w:val="245"/>
        </w:trPr>
        <w:tc>
          <w:tcPr>
            <w:tcW w:w="167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B735EFC" w14:textId="77777777" w:rsidR="00032409" w:rsidRPr="00B838F6" w:rsidRDefault="00032409" w:rsidP="00032409">
            <w:pPr>
              <w:pStyle w:val="TableDataEntries"/>
              <w:jc w:val="left"/>
              <w:rPr>
                <w:rFonts w:ascii="Franklin Gothic Demi" w:hAnsi="Franklin Gothic Demi"/>
              </w:rPr>
            </w:pPr>
            <w:r w:rsidRPr="00B838F6">
              <w:rPr>
                <w:rFonts w:ascii="Franklin Gothic Demi" w:hAnsi="Franklin Gothic Demi"/>
              </w:rPr>
              <w:t>Total</w:t>
            </w:r>
          </w:p>
        </w:tc>
        <w:tc>
          <w:tcPr>
            <w:tcW w:w="208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40FD200" w14:textId="77777777" w:rsidR="00032409" w:rsidRPr="00B838F6" w:rsidRDefault="00032409" w:rsidP="00032409">
            <w:pPr>
              <w:pStyle w:val="TableDataEntries"/>
              <w:rPr>
                <w:rFonts w:ascii="Franklin Gothic Demi" w:hAnsi="Franklin Gothic Demi"/>
              </w:rPr>
            </w:pPr>
            <w:r w:rsidRPr="00B838F6">
              <w:rPr>
                <w:rFonts w:ascii="Franklin Gothic Demi" w:hAnsi="Franklin Gothic Demi"/>
              </w:rPr>
              <w:t xml:space="preserve"> 317.0</w:t>
            </w:r>
          </w:p>
        </w:tc>
        <w:tc>
          <w:tcPr>
            <w:tcW w:w="208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DF8056C" w14:textId="77777777" w:rsidR="00032409" w:rsidRPr="00B838F6" w:rsidRDefault="00032409" w:rsidP="00032409">
            <w:pPr>
              <w:pStyle w:val="TableDataEntries"/>
              <w:rPr>
                <w:rFonts w:ascii="Franklin Gothic Demi" w:hAnsi="Franklin Gothic Demi"/>
              </w:rPr>
            </w:pPr>
          </w:p>
        </w:tc>
        <w:tc>
          <w:tcPr>
            <w:tcW w:w="208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EF4B548" w14:textId="77777777" w:rsidR="00032409" w:rsidRPr="00B838F6" w:rsidRDefault="00032409" w:rsidP="00032409">
            <w:pPr>
              <w:pStyle w:val="TableDataEntries"/>
              <w:rPr>
                <w:rFonts w:ascii="Franklin Gothic Demi" w:hAnsi="Franklin Gothic Demi"/>
              </w:rPr>
            </w:pPr>
            <w:r w:rsidRPr="00B838F6">
              <w:rPr>
                <w:rFonts w:ascii="Franklin Gothic Demi" w:hAnsi="Franklin Gothic Demi"/>
              </w:rPr>
              <w:t xml:space="preserve"> </w:t>
            </w:r>
            <w:r w:rsidR="005F7CD6">
              <w:rPr>
                <w:rFonts w:ascii="Franklin Gothic Demi" w:hAnsi="Franklin Gothic Demi"/>
              </w:rPr>
              <w:t>15</w:t>
            </w:r>
            <w:r w:rsidRPr="00B838F6">
              <w:rPr>
                <w:rFonts w:ascii="Franklin Gothic Demi" w:hAnsi="Franklin Gothic Demi"/>
              </w:rPr>
              <w:t>.</w:t>
            </w:r>
            <w:r w:rsidR="005F7CD6">
              <w:rPr>
                <w:rFonts w:ascii="Franklin Gothic Demi" w:hAnsi="Franklin Gothic Demi"/>
              </w:rPr>
              <w:t>1</w:t>
            </w:r>
          </w:p>
        </w:tc>
      </w:tr>
    </w:tbl>
    <w:p w14:paraId="5B33B48D" w14:textId="77777777" w:rsidR="00032409" w:rsidRDefault="00032409" w:rsidP="00032409">
      <w:pPr>
        <w:pStyle w:val="Source"/>
      </w:pPr>
      <w:r w:rsidRPr="00DA0EE7">
        <w:rPr>
          <w:iCs/>
        </w:rPr>
        <w:t>Source: CIE</w:t>
      </w:r>
      <w:r>
        <w:t xml:space="preserve"> estimates.</w:t>
      </w:r>
    </w:p>
    <w:p w14:paraId="69A26248" w14:textId="77777777" w:rsidR="00032409" w:rsidRDefault="00032409" w:rsidP="00032409">
      <w:pPr>
        <w:pStyle w:val="BodyText"/>
        <w:rPr>
          <w:lang w:eastAsia="en-US"/>
        </w:rPr>
      </w:pPr>
      <w:r>
        <w:rPr>
          <w:lang w:eastAsia="en-US"/>
        </w:rPr>
        <w:t xml:space="preserve">However, </w:t>
      </w:r>
      <w:r w:rsidR="0037381B">
        <w:rPr>
          <w:lang w:eastAsia="en-US"/>
        </w:rPr>
        <w:t>not all of these impacts would be due to</w:t>
      </w:r>
      <w:r>
        <w:rPr>
          <w:lang w:eastAsia="en-US"/>
        </w:rPr>
        <w:t xml:space="preserve"> inaccessible housing</w:t>
      </w:r>
      <w:r w:rsidR="0037381B">
        <w:rPr>
          <w:lang w:eastAsia="en-US"/>
        </w:rPr>
        <w:t>.</w:t>
      </w:r>
      <w:r>
        <w:rPr>
          <w:lang w:eastAsia="en-US"/>
        </w:rPr>
        <w:t xml:space="preserve"> </w:t>
      </w:r>
      <w:r w:rsidR="0037381B">
        <w:rPr>
          <w:lang w:eastAsia="en-US"/>
        </w:rPr>
        <w:t xml:space="preserve">Based on the available evidence inaccessible housing </w:t>
      </w:r>
      <w:r>
        <w:rPr>
          <w:lang w:eastAsia="en-US"/>
        </w:rPr>
        <w:t xml:space="preserve">makes a relatively small contribution to lower levels of employment observed for people with limited mobility. </w:t>
      </w:r>
    </w:p>
    <w:p w14:paraId="15A154ED" w14:textId="77777777" w:rsidR="00C46537" w:rsidRPr="004B79EC" w:rsidRDefault="00032409" w:rsidP="004B79EC">
      <w:pPr>
        <w:pStyle w:val="Heading2-Appendix"/>
      </w:pPr>
      <w:r w:rsidRPr="004B79EC">
        <w:t>L</w:t>
      </w:r>
      <w:r w:rsidR="00C46537" w:rsidRPr="004B79EC">
        <w:t>inkages between accessible housing and employment outcomes</w:t>
      </w:r>
    </w:p>
    <w:p w14:paraId="6943C9BC" w14:textId="77777777" w:rsidR="00C46537" w:rsidRDefault="009472FE" w:rsidP="00C46537">
      <w:pPr>
        <w:pStyle w:val="BodyText"/>
      </w:pPr>
      <w:r>
        <w:t>A</w:t>
      </w:r>
      <w:r w:rsidR="004317AD">
        <w:t>s</w:t>
      </w:r>
      <w:r>
        <w:t xml:space="preserve"> discussed in the Consultation RIS, t</w:t>
      </w:r>
      <w:r w:rsidR="00C46537">
        <w:t>here is limited evidence on the impacts of accessible housing on employment outcomes. Several government reports note the importance of housing to support employment and wellbeing and assist people on their path to self</w:t>
      </w:r>
      <w:r w:rsidR="00C46537">
        <w:noBreakHyphen/>
        <w:t>reliance.</w:t>
      </w:r>
      <w:r w:rsidR="00C46537">
        <w:rPr>
          <w:rStyle w:val="FootnoteReference"/>
        </w:rPr>
        <w:footnoteReference w:id="542"/>
      </w:r>
      <w:r w:rsidR="00C46537">
        <w:t xml:space="preserve"> These comments have been generally made in relation to housing assistance more generally, rather than specifically to accessible housing for people with </w:t>
      </w:r>
      <w:r w:rsidR="00D870C0">
        <w:t>disability</w:t>
      </w:r>
      <w:r w:rsidR="00C46537">
        <w:t xml:space="preserve">, </w:t>
      </w:r>
      <w:r w:rsidR="003006C6">
        <w:t xml:space="preserve">although </w:t>
      </w:r>
      <w:r w:rsidR="00C46537">
        <w:t xml:space="preserve">the observation is clearly as relevant to people with </w:t>
      </w:r>
      <w:r w:rsidR="00D870C0">
        <w:t xml:space="preserve">disability </w:t>
      </w:r>
      <w:r w:rsidR="00C46537">
        <w:t>as it is to recipients of housing assistance.</w:t>
      </w:r>
    </w:p>
    <w:p w14:paraId="689F0FA1" w14:textId="77777777" w:rsidR="004317AD" w:rsidRDefault="00D55C08" w:rsidP="00C46537">
      <w:pPr>
        <w:pStyle w:val="BodyText"/>
      </w:pPr>
      <w:r>
        <w:t xml:space="preserve">A </w:t>
      </w:r>
      <w:r w:rsidR="004317AD">
        <w:t>submission</w:t>
      </w:r>
      <w:r>
        <w:rPr>
          <w:rStyle w:val="FootnoteReference"/>
        </w:rPr>
        <w:footnoteReference w:id="543"/>
      </w:r>
      <w:r w:rsidR="004317AD">
        <w:t xml:space="preserve"> referred to a paper by the London School of Economics, which reported that “people with unmet need for accessible housing are estimated to be four times more likely to be unemployed or not seeking work due to sickness/disability than disabled people without needs or whose needs are being met”.</w:t>
      </w:r>
      <w:r w:rsidR="004317AD">
        <w:rPr>
          <w:rStyle w:val="FootnoteReference"/>
        </w:rPr>
        <w:footnoteReference w:id="544"/>
      </w:r>
      <w:r w:rsidR="0082762B">
        <w:t xml:space="preserve"> This finding was based on analysis of data from the English Housing Survey taking into account the following characteristics: age, gender, type of impairment, household composition, educational qualifications, savings and geographical region</w:t>
      </w:r>
      <w:r w:rsidR="00122B1F">
        <w:t>.</w:t>
      </w:r>
    </w:p>
    <w:p w14:paraId="392787A1" w14:textId="77777777" w:rsidR="00382735" w:rsidRDefault="00382735" w:rsidP="00C46537">
      <w:pPr>
        <w:pStyle w:val="BodyText"/>
      </w:pPr>
      <w:r>
        <w:t xml:space="preserve">This finding suggests an association between accessible housing and employment outcomes. However, this study does not establish whether unmet accessibility needs </w:t>
      </w:r>
      <w:r w:rsidRPr="00382735">
        <w:rPr>
          <w:b/>
          <w:bCs/>
        </w:rPr>
        <w:t>causes</w:t>
      </w:r>
      <w:r>
        <w:t xml:space="preserve"> poor employment outcomes (i.e. correlation is not causation). While it is possible that a causative relationship does exist, there are also other plausible explanations</w:t>
      </w:r>
      <w:r w:rsidR="00032409">
        <w:t xml:space="preserve"> as follows</w:t>
      </w:r>
      <w:r>
        <w:t>.</w:t>
      </w:r>
    </w:p>
    <w:p w14:paraId="3C8AF3CB" w14:textId="77777777" w:rsidR="00382735" w:rsidRDefault="001128EF" w:rsidP="00382735">
      <w:pPr>
        <w:pStyle w:val="ListBullet"/>
      </w:pPr>
      <w:r>
        <w:t>T</w:t>
      </w:r>
      <w:r w:rsidR="00382735">
        <w:t xml:space="preserve">he authors report </w:t>
      </w:r>
      <w:r w:rsidR="0003335D">
        <w:t>that they held constant the</w:t>
      </w:r>
      <w:r w:rsidR="00382735">
        <w:t xml:space="preserve"> </w:t>
      </w:r>
      <w:r w:rsidR="00382735" w:rsidRPr="0003335D">
        <w:rPr>
          <w:b/>
          <w:bCs/>
        </w:rPr>
        <w:t>type</w:t>
      </w:r>
      <w:r w:rsidR="00382735">
        <w:t xml:space="preserve"> of impairment, household composition, educational qualifications, savings and geographical region)</w:t>
      </w:r>
      <w:r w:rsidR="0003335D">
        <w:t>. However</w:t>
      </w:r>
      <w:r w:rsidR="00382735">
        <w:t>, it is not clear whether the</w:t>
      </w:r>
      <w:r w:rsidR="0003335D">
        <w:t xml:space="preserve">y have been able to hold constant the </w:t>
      </w:r>
      <w:r w:rsidR="0003335D" w:rsidRPr="0003335D">
        <w:rPr>
          <w:b/>
          <w:bCs/>
        </w:rPr>
        <w:t>severity</w:t>
      </w:r>
      <w:r w:rsidR="0003335D">
        <w:t xml:space="preserve"> of the impairment with the data available. </w:t>
      </w:r>
      <w:r w:rsidR="007118EE">
        <w:t>S</w:t>
      </w:r>
      <w:r w:rsidR="0003335D">
        <w:t xml:space="preserve">omeone with a more severe impairment </w:t>
      </w:r>
      <w:r w:rsidR="007118EE">
        <w:t>may have greater accessibility needs and therefore more likely to have unmet needs and also may be less likely to be employed (i.e</w:t>
      </w:r>
      <w:r>
        <w:t>. more severe impairments</w:t>
      </w:r>
      <w:r w:rsidDel="00DB6617">
        <w:t xml:space="preserve"> </w:t>
      </w:r>
      <w:r>
        <w:t>may cause both poor employment outcomes and unmet accessibility, rather than unmet accessibility needs causing poor employment outcomes</w:t>
      </w:r>
      <w:r w:rsidR="007118EE">
        <w:t>).</w:t>
      </w:r>
    </w:p>
    <w:p w14:paraId="39B79773" w14:textId="77777777" w:rsidR="007118EE" w:rsidRDefault="00362BE3" w:rsidP="00382735">
      <w:pPr>
        <w:pStyle w:val="ListBullet"/>
      </w:pPr>
      <w:r>
        <w:t>Alternatively, the causation may run the other way; people that are employed may be better able to afford to meet their own accessibility needs (such as through modifications) and therefore may be less likely to have unmet needs.</w:t>
      </w:r>
    </w:p>
    <w:p w14:paraId="5339F569" w14:textId="7DBE3D92" w:rsidR="00093D7A" w:rsidRDefault="00093D7A" w:rsidP="00C46537">
      <w:pPr>
        <w:pStyle w:val="BodyText"/>
      </w:pPr>
      <w:r>
        <w:t xml:space="preserve">A submission </w:t>
      </w:r>
      <w:r w:rsidR="00707F5D">
        <w:t xml:space="preserve">from the </w:t>
      </w:r>
      <w:r w:rsidR="00996F49">
        <w:t xml:space="preserve">MDI and </w:t>
      </w:r>
      <w:r w:rsidR="00707F5D">
        <w:t xml:space="preserve">Summer Foundation included a survey by </w:t>
      </w:r>
      <w:r w:rsidR="00F571AB">
        <w:t xml:space="preserve">Dr </w:t>
      </w:r>
      <w:r w:rsidR="00A15D8A">
        <w:t>Wiesel</w:t>
      </w:r>
      <w:r w:rsidR="00707F5D">
        <w:t>. A significantly higher proportion of respondents living in inaccessible housin</w:t>
      </w:r>
      <w:r w:rsidR="00486A43">
        <w:t>g</w:t>
      </w:r>
      <w:r w:rsidR="00707F5D">
        <w:t xml:space="preserve"> indicated that housing design limited their ability to work</w:t>
      </w:r>
      <w:r w:rsidR="00032409">
        <w:t>,</w:t>
      </w:r>
      <w:r w:rsidR="00707F5D">
        <w:t xml:space="preserve"> study and volunteer, compared with respondents living in accessible housing (chart </w:t>
      </w:r>
      <w:r w:rsidR="00362332">
        <w:t>J.4</w:t>
      </w:r>
      <w:r w:rsidR="00707F5D">
        <w:t>).</w:t>
      </w:r>
    </w:p>
    <w:p w14:paraId="7188A6CA" w14:textId="677B2F53" w:rsidR="00093D7A" w:rsidRDefault="00390CDB" w:rsidP="005039E5">
      <w:pPr>
        <w:pStyle w:val="Caption"/>
      </w:pPr>
      <w:bookmarkStart w:id="879" w:name="_Toc57643719"/>
      <w:bookmarkStart w:id="880" w:name="_Toc70505674"/>
      <w:r>
        <w:t>J.4</w:t>
      </w:r>
      <w:r w:rsidR="00093D7A" w:rsidRPr="00695C93">
        <w:tab/>
      </w:r>
      <w:r w:rsidR="00707F5D">
        <w:t>Share of respondents indicating design of home limits ability to study and work</w:t>
      </w:r>
      <w:bookmarkEnd w:id="879"/>
      <w:bookmarkEnd w:id="880"/>
      <w:r w:rsidR="00707F5D">
        <w:t xml:space="preserve"> </w:t>
      </w:r>
    </w:p>
    <w:p w14:paraId="227397EF" w14:textId="77777777" w:rsidR="00093D7A" w:rsidRDefault="00D5593A" w:rsidP="005039E5">
      <w:pPr>
        <w:pStyle w:val="Source"/>
      </w:pPr>
      <w:r w:rsidRPr="00707F5D">
        <w:rPr>
          <w:noProof/>
          <w:lang w:eastAsia="en-AU"/>
        </w:rPr>
        <w:drawing>
          <wp:inline distT="0" distB="0" distL="0" distR="0" wp14:anchorId="0D84C8F8" wp14:editId="3A1E7AC8">
            <wp:extent cx="5035550" cy="2432050"/>
            <wp:effectExtent l="57150" t="57150" r="50800" b="63500"/>
            <wp:docPr id="3" name="Picture 3" descr="This graph illustrates how inaccessible housing limits respondents ability to study and work. The highest impact is on paid employment for people with high support needs. Between about 40% and 65% of people with both low and high support needs in inaccessible housing reported that their housing limited their ability to work or study, compared to less than 15% of people in accessible housing." title="Chart J.4: Share of respondents indicating design of home limits ability to study and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57150">
                      <a:solidFill>
                        <a:schemeClr val="bg2"/>
                      </a:solidFill>
                    </a:ln>
                  </pic:spPr>
                </pic:pic>
              </a:graphicData>
            </a:graphic>
          </wp:inline>
        </w:drawing>
      </w:r>
      <w:r w:rsidR="00B3197F" w:rsidRPr="00B3197F">
        <w:rPr>
          <w:i/>
        </w:rPr>
        <w:t xml:space="preserve"> </w:t>
      </w:r>
      <w:r w:rsidR="00B3197F">
        <w:rPr>
          <w:i/>
        </w:rPr>
        <w:t>Data source</w:t>
      </w:r>
      <w:r w:rsidR="00B3197F" w:rsidRPr="00A67576">
        <w:rPr>
          <w:i/>
        </w:rPr>
        <w:t>:</w:t>
      </w:r>
      <w:r w:rsidR="00B3197F">
        <w:t xml:space="preserve"> Wiesel, I. </w:t>
      </w:r>
      <w:r w:rsidR="00B3197F" w:rsidRPr="00B3197F">
        <w:rPr>
          <w:i/>
          <w:iCs/>
        </w:rPr>
        <w:t>Lived experience and social, health and economic impacts of inaccessible housing</w:t>
      </w:r>
      <w:r w:rsidR="00B3197F">
        <w:t>, prepared for the Melbourne Disability Institute, University of Melbourne and the Summer Foundation, 18 August 2020, as Appendix 2 of the submission by Melbourne Disability Institute (MDI) and Summer Foundation</w:t>
      </w:r>
      <w:r w:rsidR="00B3197F" w:rsidRPr="00B3197F">
        <w:t>. p.</w:t>
      </w:r>
      <w:r w:rsidR="00BD0CAF" w:rsidRPr="00B3197F">
        <w:t xml:space="preserve"> </w:t>
      </w:r>
      <w:r w:rsidR="00707F5D" w:rsidRPr="00B3197F">
        <w:t>21.</w:t>
      </w:r>
    </w:p>
    <w:p w14:paraId="47986BBD" w14:textId="3DC6B885" w:rsidR="005039E5" w:rsidRDefault="005039E5" w:rsidP="005039E5">
      <w:pPr>
        <w:pStyle w:val="BodyText"/>
      </w:pPr>
      <w:r>
        <w:t xml:space="preserve">More </w:t>
      </w:r>
      <w:r w:rsidR="00CF69BF">
        <w:t xml:space="preserve">than </w:t>
      </w:r>
      <w:r>
        <w:t>one</w:t>
      </w:r>
      <w:r>
        <w:noBreakHyphen/>
        <w:t>third of respondents indicated that a lack of accessible housing had: prevented them f</w:t>
      </w:r>
      <w:r w:rsidR="00CF69BF">
        <w:t>rom</w:t>
      </w:r>
      <w:r>
        <w:t xml:space="preserve"> taking a job; reduced their hours of work; reduced their productivity at work; or led to losing or giving up a job (table </w:t>
      </w:r>
      <w:r w:rsidR="00362332">
        <w:t>J.5</w:t>
      </w:r>
      <w:r>
        <w:t>).</w:t>
      </w:r>
    </w:p>
    <w:p w14:paraId="3D6A092D" w14:textId="562C6AD4" w:rsidR="005039E5" w:rsidRDefault="00390CDB" w:rsidP="005039E5">
      <w:pPr>
        <w:pStyle w:val="Caption"/>
      </w:pPr>
      <w:bookmarkStart w:id="881" w:name="_Toc57643720"/>
      <w:bookmarkStart w:id="882" w:name="_Toc70505675"/>
      <w:r>
        <w:t>J.5</w:t>
      </w:r>
      <w:r w:rsidR="005039E5" w:rsidRPr="00695C93">
        <w:tab/>
      </w:r>
      <w:r w:rsidR="005039E5">
        <w:t>Accessible housing and employment outcomes</w:t>
      </w:r>
      <w:bookmarkEnd w:id="881"/>
      <w:bookmarkEnd w:id="882"/>
    </w:p>
    <w:tbl>
      <w:tblPr>
        <w:tblW w:w="7938" w:type="dxa"/>
        <w:tblLayout w:type="fixed"/>
        <w:tblLook w:val="0000" w:firstRow="0" w:lastRow="0" w:firstColumn="0" w:lastColumn="0" w:noHBand="0" w:noVBand="0"/>
        <w:tblCaption w:val="Table J.5: Accessible housing and employment outcomes"/>
        <w:tblDescription w:val="Table J.5 presents the answers to a question about whether a lack of accessible housing has ever prevented you from taking a job, reduced your hours of work, reduced you productivity at work or led to your losing or giving up a job. 34.5% of the 948 respondents reported being impacted in these ways."/>
      </w:tblPr>
      <w:tblGrid>
        <w:gridCol w:w="4844"/>
        <w:gridCol w:w="1547"/>
        <w:gridCol w:w="1547"/>
      </w:tblGrid>
      <w:tr w:rsidR="005039E5" w14:paraId="510E1DC2" w14:textId="77777777" w:rsidTr="00491771">
        <w:trPr>
          <w:trHeight w:val="490"/>
          <w:tblHeader/>
        </w:trPr>
        <w:tc>
          <w:tcPr>
            <w:tcW w:w="4844" w:type="dxa"/>
            <w:tcBorders>
              <w:bottom w:val="single" w:sz="8" w:space="0" w:color="FFFFFF" w:themeColor="background1"/>
            </w:tcBorders>
            <w:shd w:val="clear" w:color="auto" w:fill="6F6652"/>
            <w:tcMar>
              <w:left w:w="57" w:type="dxa"/>
              <w:right w:w="57" w:type="dxa"/>
            </w:tcMar>
          </w:tcPr>
          <w:p w14:paraId="27EEE32F" w14:textId="77777777" w:rsidR="005039E5" w:rsidRDefault="005039E5" w:rsidP="005039E5">
            <w:pPr>
              <w:pStyle w:val="TableDataColumnHeading"/>
              <w:jc w:val="left"/>
            </w:pPr>
            <w:r>
              <w:t>Has a lack of accessible housing ever:</w:t>
            </w:r>
          </w:p>
        </w:tc>
        <w:tc>
          <w:tcPr>
            <w:tcW w:w="1547" w:type="dxa"/>
            <w:tcBorders>
              <w:bottom w:val="single" w:sz="8" w:space="0" w:color="FFFFFF" w:themeColor="background1"/>
            </w:tcBorders>
            <w:shd w:val="clear" w:color="auto" w:fill="6F6652"/>
            <w:tcMar>
              <w:left w:w="57" w:type="dxa"/>
              <w:right w:w="57" w:type="dxa"/>
            </w:tcMar>
          </w:tcPr>
          <w:p w14:paraId="128E41C4" w14:textId="77777777" w:rsidR="005039E5" w:rsidRDefault="005039E5" w:rsidP="005039E5">
            <w:pPr>
              <w:pStyle w:val="TableDataColumnHeading"/>
            </w:pPr>
            <w:r>
              <w:t>Count</w:t>
            </w:r>
          </w:p>
        </w:tc>
        <w:tc>
          <w:tcPr>
            <w:tcW w:w="1547" w:type="dxa"/>
            <w:tcBorders>
              <w:bottom w:val="single" w:sz="8" w:space="0" w:color="FFFFFF" w:themeColor="background1"/>
            </w:tcBorders>
            <w:shd w:val="clear" w:color="auto" w:fill="6F6652"/>
            <w:tcMar>
              <w:left w:w="57" w:type="dxa"/>
              <w:right w:w="57" w:type="dxa"/>
            </w:tcMar>
          </w:tcPr>
          <w:p w14:paraId="767DBED0" w14:textId="77777777" w:rsidR="005039E5" w:rsidRDefault="005039E5" w:rsidP="005039E5">
            <w:pPr>
              <w:pStyle w:val="TableDataColumnHeading"/>
            </w:pPr>
            <w:r>
              <w:t>Share of sample (%)</w:t>
            </w:r>
            <w:r w:rsidRPr="004E27F8">
              <w:rPr>
                <w:rStyle w:val="NoteLabel"/>
              </w:rPr>
              <w:t>a</w:t>
            </w:r>
          </w:p>
        </w:tc>
      </w:tr>
      <w:tr w:rsidR="005039E5" w14:paraId="13B02C32" w14:textId="77777777" w:rsidTr="005039E5">
        <w:trPr>
          <w:trHeight w:val="245"/>
        </w:trPr>
        <w:tc>
          <w:tcPr>
            <w:tcW w:w="48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988068" w14:textId="77777777" w:rsidR="005039E5" w:rsidRDefault="005039E5" w:rsidP="005039E5">
            <w:pPr>
              <w:pStyle w:val="TableDataEntries"/>
              <w:jc w:val="left"/>
            </w:pPr>
            <w:r>
              <w:t>Prevented you from taking a job</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2E2F5" w14:textId="77777777" w:rsidR="005039E5" w:rsidRDefault="005039E5" w:rsidP="005039E5">
            <w:pPr>
              <w:pStyle w:val="TableDataEntries"/>
            </w:pPr>
            <w:r>
              <w:t xml:space="preserve"> 160</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49AE4A" w14:textId="77777777" w:rsidR="005039E5" w:rsidRDefault="005039E5" w:rsidP="005039E5">
            <w:pPr>
              <w:pStyle w:val="TableDataEntries"/>
            </w:pPr>
            <w:r>
              <w:t xml:space="preserve"> 16.9</w:t>
            </w:r>
          </w:p>
        </w:tc>
      </w:tr>
      <w:tr w:rsidR="005039E5" w14:paraId="0235C4AC" w14:textId="77777777" w:rsidTr="005039E5">
        <w:trPr>
          <w:trHeight w:val="245"/>
        </w:trPr>
        <w:tc>
          <w:tcPr>
            <w:tcW w:w="48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9C2F70" w14:textId="77777777" w:rsidR="005039E5" w:rsidRDefault="005039E5" w:rsidP="00ED2854">
            <w:pPr>
              <w:pStyle w:val="TableDataEntries"/>
              <w:tabs>
                <w:tab w:val="right" w:pos="4730"/>
              </w:tabs>
              <w:jc w:val="left"/>
            </w:pPr>
            <w:r>
              <w:t>Reduced your hours of work</w:t>
            </w:r>
            <w:r w:rsidR="00ED2854">
              <w:tab/>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D4BB25" w14:textId="77777777" w:rsidR="005039E5" w:rsidRDefault="005039E5" w:rsidP="005039E5">
            <w:pPr>
              <w:pStyle w:val="TableDataEntries"/>
            </w:pPr>
            <w:r>
              <w:t xml:space="preserve"> 168</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1C6404" w14:textId="77777777" w:rsidR="005039E5" w:rsidRDefault="005039E5" w:rsidP="005039E5">
            <w:pPr>
              <w:pStyle w:val="TableDataEntries"/>
            </w:pPr>
            <w:r>
              <w:t xml:space="preserve"> 17.7</w:t>
            </w:r>
          </w:p>
        </w:tc>
      </w:tr>
      <w:tr w:rsidR="005039E5" w14:paraId="43C0364F" w14:textId="77777777" w:rsidTr="005039E5">
        <w:trPr>
          <w:trHeight w:val="245"/>
        </w:trPr>
        <w:tc>
          <w:tcPr>
            <w:tcW w:w="48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C6BE71" w14:textId="77777777" w:rsidR="005039E5" w:rsidRDefault="005039E5" w:rsidP="005039E5">
            <w:pPr>
              <w:pStyle w:val="TableDataEntries"/>
              <w:jc w:val="left"/>
            </w:pPr>
            <w:r>
              <w:t>Reduced your productivity at work</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4EB97" w14:textId="77777777" w:rsidR="005039E5" w:rsidRDefault="005039E5" w:rsidP="005039E5">
            <w:pPr>
              <w:pStyle w:val="TableDataEntries"/>
            </w:pPr>
            <w:r>
              <w:t xml:space="preserve"> 194</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ED7F9" w14:textId="77777777" w:rsidR="005039E5" w:rsidRDefault="005039E5" w:rsidP="005039E5">
            <w:pPr>
              <w:pStyle w:val="TableDataEntries"/>
            </w:pPr>
            <w:r>
              <w:t xml:space="preserve"> 20.5</w:t>
            </w:r>
          </w:p>
        </w:tc>
      </w:tr>
      <w:tr w:rsidR="005039E5" w14:paraId="0E0633F3" w14:textId="77777777" w:rsidTr="005039E5">
        <w:trPr>
          <w:trHeight w:val="245"/>
        </w:trPr>
        <w:tc>
          <w:tcPr>
            <w:tcW w:w="48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F06026" w14:textId="77777777" w:rsidR="005039E5" w:rsidRDefault="005039E5" w:rsidP="005039E5">
            <w:pPr>
              <w:pStyle w:val="TableDataEntries"/>
              <w:jc w:val="left"/>
            </w:pPr>
            <w:r>
              <w:t>Led to losing or giving up a job</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5576B" w14:textId="77777777" w:rsidR="005039E5" w:rsidRDefault="005039E5" w:rsidP="005039E5">
            <w:pPr>
              <w:pStyle w:val="TableDataEntries"/>
            </w:pPr>
            <w:r>
              <w:t xml:space="preserve"> 120</w:t>
            </w:r>
          </w:p>
        </w:tc>
        <w:tc>
          <w:tcPr>
            <w:tcW w:w="154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174D87" w14:textId="77777777" w:rsidR="005039E5" w:rsidRDefault="005039E5" w:rsidP="005039E5">
            <w:pPr>
              <w:pStyle w:val="TableDataEntries"/>
            </w:pPr>
            <w:r>
              <w:t xml:space="preserve"> 12.7</w:t>
            </w:r>
          </w:p>
        </w:tc>
      </w:tr>
      <w:tr w:rsidR="005039E5" w:rsidRPr="00B838F6" w14:paraId="0A9341DD" w14:textId="77777777" w:rsidTr="005039E5">
        <w:trPr>
          <w:trHeight w:val="245"/>
        </w:trPr>
        <w:tc>
          <w:tcPr>
            <w:tcW w:w="484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F03A727" w14:textId="77777777" w:rsidR="005039E5" w:rsidRPr="00B838F6" w:rsidRDefault="005039E5" w:rsidP="005039E5">
            <w:pPr>
              <w:pStyle w:val="TableDataEntries"/>
              <w:jc w:val="left"/>
              <w:rPr>
                <w:rFonts w:ascii="Franklin Gothic Demi" w:hAnsi="Franklin Gothic Demi"/>
              </w:rPr>
            </w:pPr>
            <w:r w:rsidRPr="00B838F6">
              <w:rPr>
                <w:rFonts w:ascii="Franklin Gothic Demi" w:hAnsi="Franklin Gothic Demi"/>
              </w:rPr>
              <w:t>Total</w:t>
            </w:r>
          </w:p>
        </w:tc>
        <w:tc>
          <w:tcPr>
            <w:tcW w:w="154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A304DA5" w14:textId="77777777" w:rsidR="005039E5" w:rsidRPr="00B838F6" w:rsidRDefault="005039E5" w:rsidP="005039E5">
            <w:pPr>
              <w:pStyle w:val="TableDataEntries"/>
              <w:rPr>
                <w:rFonts w:ascii="Franklin Gothic Demi" w:hAnsi="Franklin Gothic Demi"/>
              </w:rPr>
            </w:pPr>
            <w:r w:rsidRPr="00B838F6">
              <w:rPr>
                <w:rFonts w:ascii="Franklin Gothic Demi" w:hAnsi="Franklin Gothic Demi"/>
              </w:rPr>
              <w:t xml:space="preserve"> 327</w:t>
            </w:r>
          </w:p>
        </w:tc>
        <w:tc>
          <w:tcPr>
            <w:tcW w:w="154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A1FA1E9" w14:textId="77777777" w:rsidR="005039E5" w:rsidRPr="00B838F6" w:rsidRDefault="005039E5" w:rsidP="005039E5">
            <w:pPr>
              <w:pStyle w:val="TableDataEntries"/>
              <w:rPr>
                <w:rFonts w:ascii="Franklin Gothic Demi" w:hAnsi="Franklin Gothic Demi"/>
              </w:rPr>
            </w:pPr>
            <w:r w:rsidRPr="00B838F6">
              <w:rPr>
                <w:rFonts w:ascii="Franklin Gothic Demi" w:hAnsi="Franklin Gothic Demi"/>
              </w:rPr>
              <w:t xml:space="preserve"> 34.5</w:t>
            </w:r>
          </w:p>
        </w:tc>
      </w:tr>
    </w:tbl>
    <w:p w14:paraId="4E526312" w14:textId="77777777" w:rsidR="005039E5" w:rsidRPr="00E4232C" w:rsidRDefault="005039E5" w:rsidP="005039E5">
      <w:pPr>
        <w:pStyle w:val="Note"/>
      </w:pPr>
      <w:r w:rsidRPr="00E4232C">
        <w:rPr>
          <w:rStyle w:val="NoteLabel"/>
        </w:rPr>
        <w:t>a</w:t>
      </w:r>
      <w:r>
        <w:t xml:space="preserve"> Presented as a share of the </w:t>
      </w:r>
      <w:r w:rsidR="00491771">
        <w:t xml:space="preserve">total </w:t>
      </w:r>
      <w:r>
        <w:t>sample, rather than the share of the subset of respondents that indicated a positive response to one of the four questions</w:t>
      </w:r>
      <w:r w:rsidR="003220DF">
        <w:t xml:space="preserve"> as in the report</w:t>
      </w:r>
      <w:r>
        <w:t>.</w:t>
      </w:r>
    </w:p>
    <w:p w14:paraId="49AF94B0" w14:textId="77777777" w:rsidR="005039E5" w:rsidRDefault="005039E5" w:rsidP="005039E5">
      <w:pPr>
        <w:pStyle w:val="Note"/>
      </w:pPr>
      <w:r w:rsidRPr="007D1B4F">
        <w:rPr>
          <w:i/>
        </w:rPr>
        <w:t>Note:</w:t>
      </w:r>
      <w:r w:rsidRPr="00E879B8">
        <w:t xml:space="preserve"> </w:t>
      </w:r>
      <w:r>
        <w:t>Based on a sample of 948 respondents with sufficient data.</w:t>
      </w:r>
    </w:p>
    <w:p w14:paraId="6FE7F409" w14:textId="77777777" w:rsidR="005039E5" w:rsidRDefault="00B3197F" w:rsidP="005039E5">
      <w:pPr>
        <w:pStyle w:val="Source"/>
      </w:pPr>
      <w:r>
        <w:rPr>
          <w:i/>
        </w:rPr>
        <w:t>Data source</w:t>
      </w:r>
      <w:r w:rsidRPr="00A67576">
        <w:rPr>
          <w:i/>
        </w:rPr>
        <w:t>:</w:t>
      </w:r>
      <w:r>
        <w:t xml:space="preserve"> Wiesel, I. </w:t>
      </w:r>
      <w:r w:rsidRPr="00B3197F">
        <w:rPr>
          <w:i/>
          <w:iCs/>
        </w:rPr>
        <w:t>Lived experience and social, health and economic impacts of inaccessible housing</w:t>
      </w:r>
      <w:r>
        <w:t>, prepared for the Melbourne Disability Institute, University of Melbourne and the Summer Foundation, 18 August 2020, as Appendix 2 of the submission by Melbourne Disability Institute (MDI) and Summer Foundation. p.</w:t>
      </w:r>
      <w:r w:rsidR="005039E5">
        <w:t>21.</w:t>
      </w:r>
    </w:p>
    <w:p w14:paraId="3089DDC7" w14:textId="77777777" w:rsidR="00093D7A" w:rsidRDefault="003220DF" w:rsidP="00C46537">
      <w:pPr>
        <w:pStyle w:val="BodyText"/>
      </w:pPr>
      <w:r>
        <w:t xml:space="preserve">Although the survey evidence suggests a link between </w:t>
      </w:r>
      <w:r w:rsidR="009472FE">
        <w:t>accessible housing and employment outcomes</w:t>
      </w:r>
      <w:r w:rsidR="005039E5">
        <w:t xml:space="preserve">, it is not clear what inferences on the broader population of people with </w:t>
      </w:r>
      <w:r>
        <w:t>accessibility</w:t>
      </w:r>
      <w:r w:rsidR="005039E5">
        <w:t xml:space="preserve"> needs can be drawn from this survey evidence (see </w:t>
      </w:r>
      <w:r w:rsidR="000F16E3">
        <w:t>discussion in chapter </w:t>
      </w:r>
      <w:r w:rsidR="00EF24E9">
        <w:t>two</w:t>
      </w:r>
      <w:r w:rsidR="005039E5">
        <w:t>).</w:t>
      </w:r>
    </w:p>
    <w:p w14:paraId="340DF356" w14:textId="77777777" w:rsidR="00C46537" w:rsidRDefault="005039E5" w:rsidP="00C46537">
      <w:pPr>
        <w:pStyle w:val="BodyText"/>
      </w:pPr>
      <w:r>
        <w:t>The</w:t>
      </w:r>
      <w:r w:rsidR="00C46537">
        <w:t xml:space="preserve"> </w:t>
      </w:r>
      <w:r w:rsidR="00247203">
        <w:t>MDI</w:t>
      </w:r>
      <w:r w:rsidR="00016AFB">
        <w:t xml:space="preserve"> and</w:t>
      </w:r>
      <w:r w:rsidR="00C46537">
        <w:t xml:space="preserve"> Summer Foundation </w:t>
      </w:r>
      <w:r>
        <w:t xml:space="preserve">submission </w:t>
      </w:r>
      <w:r w:rsidR="00C46537">
        <w:t>identified four primary ways through which housing design features can reduce productivity and work opportunities for people with mobility restrictions.</w:t>
      </w:r>
    </w:p>
    <w:p w14:paraId="163CEE21" w14:textId="77777777" w:rsidR="00C46537" w:rsidRDefault="00C46537" w:rsidP="00C46537">
      <w:pPr>
        <w:pStyle w:val="ListBullet"/>
      </w:pPr>
      <w:r>
        <w:t>Housing design features can limit the ability of some people with disability to work from home.</w:t>
      </w:r>
    </w:p>
    <w:p w14:paraId="3A883132" w14:textId="77777777" w:rsidR="00C46537" w:rsidRDefault="00C46537" w:rsidP="00C46537">
      <w:pPr>
        <w:pStyle w:val="ListBullet"/>
      </w:pPr>
      <w:r>
        <w:t>A lack of accessible housing limited the ability of some people with disability to move closer to employment opportunities.</w:t>
      </w:r>
    </w:p>
    <w:p w14:paraId="15D41067" w14:textId="77777777" w:rsidR="00C46537" w:rsidRDefault="00C46537" w:rsidP="00C46537">
      <w:pPr>
        <w:pStyle w:val="ListBullet"/>
      </w:pPr>
      <w:r>
        <w:t>Fatigue from living in an inaccessible home and the additional time and energy spent on self</w:t>
      </w:r>
      <w:r>
        <w:noBreakHyphen/>
        <w:t>care and homecare reduces productivity, motivation, self</w:t>
      </w:r>
      <w:r>
        <w:noBreakHyphen/>
        <w:t>confidence and capacity to work, study and volunteer.</w:t>
      </w:r>
    </w:p>
    <w:p w14:paraId="0385EC9B" w14:textId="77777777" w:rsidR="00C46537" w:rsidRDefault="00C46537" w:rsidP="00C46537">
      <w:pPr>
        <w:pStyle w:val="ListBullet"/>
      </w:pPr>
      <w:r>
        <w:t>Inaccessible housing increases reliance on paid and unpaid support with personal and domestic activities, limiting ability to take on employment.</w:t>
      </w:r>
    </w:p>
    <w:p w14:paraId="43D297BA" w14:textId="77777777" w:rsidR="008067E6" w:rsidRDefault="008067E6" w:rsidP="008067E6">
      <w:pPr>
        <w:pStyle w:val="BodyText"/>
      </w:pPr>
      <w:r>
        <w:t>These mechanisms broadly aligned with the qualitative evidence presented in the LSE paper mentioned above.</w:t>
      </w:r>
    </w:p>
    <w:p w14:paraId="011394DD" w14:textId="77777777" w:rsidR="00C46537" w:rsidRPr="00F4477B" w:rsidRDefault="00C46537" w:rsidP="00F4477B">
      <w:pPr>
        <w:pStyle w:val="Heading3-Appendix"/>
      </w:pPr>
      <w:r w:rsidRPr="00F4477B">
        <w:t>Ability to work from home</w:t>
      </w:r>
    </w:p>
    <w:p w14:paraId="6742910A" w14:textId="77777777" w:rsidR="00C46537" w:rsidRDefault="000D5000" w:rsidP="00C46537">
      <w:pPr>
        <w:pStyle w:val="BodyText"/>
      </w:pPr>
      <w:r>
        <w:t>With a greater proportion of the workforce working from home due to the COVID</w:t>
      </w:r>
      <w:r>
        <w:noBreakHyphen/>
        <w:t>19 pandemic, t</w:t>
      </w:r>
      <w:r w:rsidR="00C46537">
        <w:t>he ability to work from home has recently become a more important consideration</w:t>
      </w:r>
      <w:r>
        <w:t xml:space="preserve"> for many people</w:t>
      </w:r>
      <w:r w:rsidR="00C46537">
        <w:t>.</w:t>
      </w:r>
    </w:p>
    <w:p w14:paraId="7FC313A8" w14:textId="6679A6F1" w:rsidR="00C46537" w:rsidRDefault="00677B81" w:rsidP="00C46537">
      <w:pPr>
        <w:pStyle w:val="BodyText"/>
      </w:pPr>
      <w:r>
        <w:t>The</w:t>
      </w:r>
      <w:r w:rsidR="00C46537">
        <w:t xml:space="preserve"> survey by </w:t>
      </w:r>
      <w:r w:rsidR="00016AFB">
        <w:t>Dr Wiesel</w:t>
      </w:r>
      <w:r w:rsidR="00C46537">
        <w:t xml:space="preserve"> suggested a link between accessible housing design and an ability to work from home.</w:t>
      </w:r>
      <w:r w:rsidR="001019EA">
        <w:t xml:space="preserve"> </w:t>
      </w:r>
      <w:r w:rsidR="00C46537">
        <w:t>In particular, a significantly higher share of people living in inaccessible housing indicated that the design of their home limited their ability to work from home, compared with people living in accessible housing</w:t>
      </w:r>
      <w:r w:rsidR="001019EA">
        <w:t xml:space="preserve"> (chart </w:t>
      </w:r>
      <w:r w:rsidR="00362332">
        <w:t>J.6</w:t>
      </w:r>
      <w:r w:rsidR="001019EA">
        <w:t>)</w:t>
      </w:r>
      <w:r w:rsidR="00C46537">
        <w:t>.</w:t>
      </w:r>
    </w:p>
    <w:p w14:paraId="79D61654" w14:textId="75E35BBA" w:rsidR="001019EA" w:rsidRDefault="00390CDB" w:rsidP="0082762B">
      <w:pPr>
        <w:pStyle w:val="Caption"/>
      </w:pPr>
      <w:bookmarkStart w:id="883" w:name="_Toc57643723"/>
      <w:bookmarkStart w:id="884" w:name="_Toc70505676"/>
      <w:r>
        <w:t>J.6</w:t>
      </w:r>
      <w:r w:rsidR="001019EA" w:rsidRPr="00695C93">
        <w:tab/>
      </w:r>
      <w:r w:rsidR="001019EA">
        <w:t>Extent to which housing design limits ability to work from home</w:t>
      </w:r>
      <w:bookmarkEnd w:id="883"/>
      <w:bookmarkEnd w:id="884"/>
    </w:p>
    <w:p w14:paraId="25238FED" w14:textId="77777777" w:rsidR="008342FB" w:rsidRPr="008342FB" w:rsidRDefault="008342FB" w:rsidP="008342FB">
      <w:pPr>
        <w:pStyle w:val="Subtitlebox"/>
      </w:pPr>
      <w:r w:rsidRPr="001019EA">
        <w:rPr>
          <w:noProof/>
        </w:rPr>
        <w:drawing>
          <wp:inline distT="0" distB="0" distL="0" distR="0" wp14:anchorId="3E591656" wp14:editId="7ABAA63F">
            <wp:extent cx="5035550" cy="2432050"/>
            <wp:effectExtent l="57150" t="57150" r="50800" b="63500"/>
            <wp:docPr id="5" name="Picture 5" descr="This graph presents the extent to which housing design limits respondents ability to work from home. About 40% of people with low support needs reported limits to working from home due to inaccessible housing, compared to about 8% of those in accessible housing. For people with high support needs, over 50% of those in inaccessible housing reported limits, compared with less than 15% in accessible homes." title="Chart J.6: Extent to which housing design limits ability to work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57150">
                      <a:solidFill>
                        <a:schemeClr val="bg2"/>
                      </a:solidFill>
                    </a:ln>
                  </pic:spPr>
                </pic:pic>
              </a:graphicData>
            </a:graphic>
          </wp:inline>
        </w:drawing>
      </w:r>
    </w:p>
    <w:p w14:paraId="605530DE" w14:textId="77777777" w:rsidR="001019EA" w:rsidRPr="00DA0EE7" w:rsidRDefault="00B3197F" w:rsidP="0082762B">
      <w:pPr>
        <w:pStyle w:val="Source"/>
        <w:rPr>
          <w:iCs/>
        </w:rPr>
      </w:pPr>
      <w:r w:rsidRPr="00DA0EE7">
        <w:rPr>
          <w:iCs/>
        </w:rPr>
        <w:t xml:space="preserve">Data source: Wiesel, I. Lived experience and social, health and economic impacts of inaccessible housing, prepared for the Melbourne Disability Institute, University of Melbourne and the Summer Foundation, 18 August 2020, as Appendix 2 of the submission by Melbourne Disability Institute (MDI) and Summer Foundation. </w:t>
      </w:r>
    </w:p>
    <w:p w14:paraId="3F409036" w14:textId="77777777" w:rsidR="00CF69BF" w:rsidRDefault="00CF69BF" w:rsidP="00184E9F">
      <w:pPr>
        <w:pStyle w:val="BodyText"/>
        <w:spacing w:after="240"/>
      </w:pPr>
      <w:r>
        <w:rPr>
          <w:lang w:bidi="fa-IR"/>
        </w:rPr>
        <w:t xml:space="preserve">A number of submissions provided insights into the lived experience of the challenges that people with </w:t>
      </w:r>
      <w:r w:rsidR="00D870C0">
        <w:rPr>
          <w:lang w:bidi="fa-IR"/>
        </w:rPr>
        <w:t xml:space="preserve">disability </w:t>
      </w:r>
      <w:r>
        <w:rPr>
          <w:lang w:bidi="fa-IR"/>
        </w:rPr>
        <w:t>face in working from home (see box J.</w:t>
      </w:r>
      <w:r w:rsidR="00F97981">
        <w:rPr>
          <w:lang w:bidi="fa-IR"/>
        </w:rPr>
        <w:t>7</w:t>
      </w:r>
      <w:r>
        <w:rPr>
          <w:lang w:bidi="fa-IR"/>
        </w:rPr>
        <w:t xml:space="preserve">). This evidence suggests that some people with </w:t>
      </w:r>
      <w:r w:rsidR="00D870C0">
        <w:rPr>
          <w:lang w:bidi="fa-IR"/>
        </w:rPr>
        <w:t xml:space="preserve">disability </w:t>
      </w:r>
      <w:r>
        <w:rPr>
          <w:lang w:bidi="fa-IR"/>
        </w:rPr>
        <w:t>require additional space to enable them to work from home. Having insufficient space appears to have been a key barrier that has prevented some people from working productively at home.</w:t>
      </w: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J.7: Lived experiences — ability to work from home"/>
        <w:tblDescription w:val="Examples of experiences of the challenges that people with disability face in working from home because of inaccessible housing."/>
      </w:tblPr>
      <w:tblGrid>
        <w:gridCol w:w="7938"/>
      </w:tblGrid>
      <w:tr w:rsidR="00CF69BF" w:rsidRPr="00E05C8C" w14:paraId="514D3981" w14:textId="77777777" w:rsidTr="00B838F6">
        <w:trPr>
          <w:cantSplit/>
        </w:trPr>
        <w:tc>
          <w:tcPr>
            <w:tcW w:w="7938" w:type="dxa"/>
            <w:tcBorders>
              <w:top w:val="nil"/>
              <w:left w:val="nil"/>
              <w:bottom w:val="nil"/>
              <w:right w:val="nil"/>
            </w:tcBorders>
            <w:shd w:val="clear" w:color="auto" w:fill="C6BFAB" w:themeFill="accent3"/>
          </w:tcPr>
          <w:p w14:paraId="2AE9401C" w14:textId="5050FF17" w:rsidR="00CF69BF" w:rsidRPr="00E05C8C" w:rsidRDefault="00390CDB" w:rsidP="00CF69BF">
            <w:pPr>
              <w:pStyle w:val="Caption"/>
              <w:numPr>
                <w:ilvl w:val="0"/>
                <w:numId w:val="13"/>
              </w:numPr>
              <w:spacing w:before="120" w:after="100"/>
            </w:pPr>
            <w:bookmarkStart w:id="885" w:name="_Toc57643724"/>
            <w:bookmarkStart w:id="886" w:name="_Toc70505677"/>
            <w:r>
              <w:t>J.7</w:t>
            </w:r>
            <w:r w:rsidR="00CF69BF" w:rsidRPr="00E05C8C">
              <w:tab/>
            </w:r>
            <w:r w:rsidR="00CF69BF">
              <w:t>Lived experiences — ability to work from home</w:t>
            </w:r>
            <w:bookmarkEnd w:id="885"/>
            <w:bookmarkEnd w:id="886"/>
          </w:p>
        </w:tc>
      </w:tr>
      <w:tr w:rsidR="00CF69BF" w14:paraId="1BF0473D" w14:textId="77777777" w:rsidTr="008342FB">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1AA3E0B5" w14:textId="77777777" w:rsidR="00CF69BF" w:rsidRDefault="00CF69BF" w:rsidP="00CF69BF">
            <w:pPr>
              <w:pStyle w:val="ListBullet"/>
              <w:rPr>
                <w:lang w:bidi="fa-IR"/>
              </w:rPr>
            </w:pPr>
            <w:r>
              <w:rPr>
                <w:lang w:bidi="fa-IR"/>
              </w:rPr>
              <w:t>A case study from the Summer Foundation and Melbourne Disability Institute — Jack’s story — provides evidence of housing features restricting the ability to work from home. Jack lives in a group home that has been purpose built for people with spinal injuries and is therefore fully accessible. Jack needs a high, adjustable table, multiple computer screens, a microphone for dictation and adequate space for his wheelchair to enable him to work from home. As his bedroom is too small, this is set up in a shared space. Jack worries about the impact on his flatmates and is looking at options to live on his own. However, he has not been able to find a SDA home close to his workplace.</w:t>
            </w:r>
            <w:r>
              <w:rPr>
                <w:rStyle w:val="FootnoteReference"/>
                <w:lang w:bidi="fa-IR"/>
              </w:rPr>
              <w:footnoteReference w:id="545"/>
            </w:r>
          </w:p>
        </w:tc>
      </w:tr>
      <w:tr w:rsidR="00CF69BF" w14:paraId="7E7CAC01" w14:textId="77777777" w:rsidTr="008342FB">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8" w:space="0" w:color="9B917E" w:themeColor="accent4"/>
            </w:tcBorders>
            <w:shd w:val="clear" w:color="auto" w:fill="E9E8E5" w:themeFill="background2"/>
          </w:tcPr>
          <w:p w14:paraId="6BE9AD93" w14:textId="77777777" w:rsidR="00CF69BF" w:rsidRDefault="00CF69BF" w:rsidP="00B838F6">
            <w:pPr>
              <w:pStyle w:val="ListBullet"/>
              <w:rPr>
                <w:lang w:bidi="fa-IR"/>
              </w:rPr>
            </w:pPr>
            <w:r>
              <w:rPr>
                <w:lang w:bidi="fa-IR"/>
              </w:rPr>
              <w:t>Other comments on housing accessibility impacts o</w:t>
            </w:r>
            <w:r w:rsidR="00667DFB">
              <w:rPr>
                <w:lang w:bidi="fa-IR"/>
              </w:rPr>
              <w:t>n</w:t>
            </w:r>
            <w:r>
              <w:rPr>
                <w:lang w:bidi="fa-IR"/>
              </w:rPr>
              <w:t xml:space="preserve"> work and study include the following.</w:t>
            </w:r>
            <w:r>
              <w:rPr>
                <w:rStyle w:val="FootnoteReference"/>
                <w:lang w:bidi="fa-IR"/>
              </w:rPr>
              <w:footnoteReference w:id="546"/>
            </w:r>
          </w:p>
          <w:p w14:paraId="7EB4C600" w14:textId="77777777" w:rsidR="00CF69BF" w:rsidRDefault="00CF69BF" w:rsidP="00CF69BF">
            <w:pPr>
              <w:pStyle w:val="ListBullet2"/>
              <w:rPr>
                <w:lang w:bidi="fa-IR"/>
              </w:rPr>
            </w:pPr>
            <w:r>
              <w:rPr>
                <w:lang w:bidi="fa-IR"/>
              </w:rPr>
              <w:t>Limited facilities to provide room for study materials, laptop etc.</w:t>
            </w:r>
          </w:p>
          <w:p w14:paraId="781CF9E3" w14:textId="77777777" w:rsidR="00CF69BF" w:rsidRDefault="00CF69BF" w:rsidP="00CF69BF">
            <w:pPr>
              <w:pStyle w:val="ListBullet2"/>
              <w:rPr>
                <w:lang w:bidi="fa-IR"/>
              </w:rPr>
            </w:pPr>
            <w:r>
              <w:rPr>
                <w:lang w:bidi="fa-IR"/>
              </w:rPr>
              <w:t>Study rooms not modified in any way.</w:t>
            </w:r>
          </w:p>
          <w:p w14:paraId="0AAB7E77" w14:textId="77777777" w:rsidR="00CF69BF" w:rsidRDefault="00CF69BF" w:rsidP="00CF69BF">
            <w:pPr>
              <w:pStyle w:val="ListBullet2"/>
              <w:rPr>
                <w:lang w:bidi="fa-IR"/>
              </w:rPr>
            </w:pPr>
            <w:r>
              <w:rPr>
                <w:lang w:bidi="fa-IR"/>
              </w:rPr>
              <w:t>Lack of desk and physical space limits ability to work.</w:t>
            </w:r>
          </w:p>
          <w:p w14:paraId="701F5E97" w14:textId="77777777" w:rsidR="00CF69BF" w:rsidRPr="00BF2F67" w:rsidRDefault="00CF69BF" w:rsidP="008342FB">
            <w:pPr>
              <w:pStyle w:val="ListBullet2"/>
              <w:spacing w:after="120"/>
            </w:pPr>
            <w:r>
              <w:t>Lack of space for ergonomic accessible work desk.</w:t>
            </w:r>
          </w:p>
        </w:tc>
      </w:tr>
    </w:tbl>
    <w:p w14:paraId="0FDFAAF6" w14:textId="77777777" w:rsidR="00AE6412" w:rsidRDefault="00AE6412" w:rsidP="00AE6412">
      <w:pPr>
        <w:pStyle w:val="BodyText"/>
        <w:rPr>
          <w:lang w:bidi="fa-IR"/>
        </w:rPr>
      </w:pPr>
      <w:r>
        <w:rPr>
          <w:lang w:bidi="fa-IR"/>
        </w:rPr>
        <w:t xml:space="preserve">Although people with </w:t>
      </w:r>
      <w:r w:rsidR="00D870C0">
        <w:rPr>
          <w:lang w:bidi="fa-IR"/>
        </w:rPr>
        <w:t xml:space="preserve">disability </w:t>
      </w:r>
      <w:r>
        <w:rPr>
          <w:lang w:bidi="fa-IR"/>
        </w:rPr>
        <w:t>have faced challenges working from home, it</w:t>
      </w:r>
      <w:r w:rsidR="001019EA">
        <w:rPr>
          <w:lang w:bidi="fa-IR"/>
        </w:rPr>
        <w:t xml:space="preserve"> is unclear to what extent the design features covered by the NCC proposal would </w:t>
      </w:r>
      <w:r>
        <w:rPr>
          <w:lang w:bidi="fa-IR"/>
        </w:rPr>
        <w:t xml:space="preserve">directly </w:t>
      </w:r>
      <w:r w:rsidR="001A46EB">
        <w:rPr>
          <w:lang w:bidi="fa-IR"/>
        </w:rPr>
        <w:t>improve</w:t>
      </w:r>
      <w:r w:rsidR="001019EA">
        <w:rPr>
          <w:lang w:bidi="fa-IR"/>
        </w:rPr>
        <w:t xml:space="preserve"> the capacity to work </w:t>
      </w:r>
      <w:r w:rsidR="00CE650A">
        <w:rPr>
          <w:lang w:bidi="fa-IR"/>
        </w:rPr>
        <w:t>from</w:t>
      </w:r>
      <w:r w:rsidR="001019EA">
        <w:rPr>
          <w:lang w:bidi="fa-IR"/>
        </w:rPr>
        <w:t xml:space="preserve"> home. </w:t>
      </w:r>
      <w:r>
        <w:rPr>
          <w:lang w:bidi="fa-IR"/>
        </w:rPr>
        <w:t xml:space="preserve">As discussed above, a lack of sufficient space appears to have been a key barrier. </w:t>
      </w:r>
    </w:p>
    <w:p w14:paraId="12AE57F1" w14:textId="77777777" w:rsidR="00AE6412" w:rsidRDefault="00AE6412" w:rsidP="00AE6412">
      <w:pPr>
        <w:pStyle w:val="ListBullet"/>
        <w:rPr>
          <w:lang w:bidi="fa-IR"/>
        </w:rPr>
      </w:pPr>
      <w:r>
        <w:rPr>
          <w:lang w:bidi="fa-IR"/>
        </w:rPr>
        <w:t>The NCC proposal does not explicitly provide for workspaces.</w:t>
      </w:r>
    </w:p>
    <w:p w14:paraId="45707159" w14:textId="77777777" w:rsidR="00AE6412" w:rsidRDefault="00AE6412" w:rsidP="00AE6412">
      <w:pPr>
        <w:pStyle w:val="ListBullet"/>
        <w:rPr>
          <w:lang w:bidi="fa-IR"/>
        </w:rPr>
      </w:pPr>
      <w:r>
        <w:rPr>
          <w:lang w:bidi="fa-IR"/>
        </w:rPr>
        <w:t>The NCC proposal requires additional space in some areas of a home, but generally not the areas where people are working from home. In some cases, additional space requirements in ‘functional areas’ of the house (such as bathrooms, hallways, kitchens and laundries) could reduce the space available in the sorts of areas where people work (such as living spaces and bedrooms), where the constraints of the lot (and potentially planning restrictions) prevent the footprint of the dwelling expanding to comply with the proposed NCC requirements.</w:t>
      </w:r>
    </w:p>
    <w:p w14:paraId="05B93109" w14:textId="77777777" w:rsidR="00C46537" w:rsidRPr="00F4477B" w:rsidRDefault="002E0533" w:rsidP="00F4477B">
      <w:pPr>
        <w:pStyle w:val="Heading3-Appendix"/>
      </w:pPr>
      <w:r w:rsidRPr="00F4477B">
        <w:t>Mobility constraints and l</w:t>
      </w:r>
      <w:r w:rsidR="00C46537" w:rsidRPr="00F4477B">
        <w:t>ocation effects</w:t>
      </w:r>
    </w:p>
    <w:p w14:paraId="2C9AE79C" w14:textId="77777777" w:rsidR="00AE6412" w:rsidRDefault="008067E6" w:rsidP="00C46537">
      <w:pPr>
        <w:pStyle w:val="BodyText"/>
      </w:pPr>
      <w:r>
        <w:t xml:space="preserve">The </w:t>
      </w:r>
      <w:r w:rsidR="00CE650A">
        <w:t>MDI and</w:t>
      </w:r>
      <w:r>
        <w:t xml:space="preserve"> Summer </w:t>
      </w:r>
      <w:r w:rsidRPr="007D44E4">
        <w:t>Foundation identified the</w:t>
      </w:r>
      <w:r>
        <w:t xml:space="preserve"> inability of people with limited mobility to move closer to employment opportunities as one of the ways that a lack of accessible housing contributes to poor employment outcomes.</w:t>
      </w:r>
      <w:r w:rsidR="002E0533">
        <w:t xml:space="preserve"> </w:t>
      </w:r>
    </w:p>
    <w:p w14:paraId="4DB40E22" w14:textId="77777777" w:rsidR="00AE6412" w:rsidRDefault="00AE6412" w:rsidP="00AE6412">
      <w:pPr>
        <w:pStyle w:val="BodyText"/>
      </w:pPr>
      <w:r>
        <w:t>There is qualitative evidence from submissions that a lack of accessible housing close to work has restricted some people’s ability to work or the hours they have been able to work. Box J.</w:t>
      </w:r>
      <w:r w:rsidR="00323291">
        <w:t>8</w:t>
      </w:r>
      <w:r>
        <w:t xml:space="preserve"> reports the lived experiences of people with </w:t>
      </w:r>
      <w:r w:rsidR="00D870C0">
        <w:t xml:space="preserve">disability </w:t>
      </w:r>
      <w:r>
        <w:t>associated with finding accessible housing close to work.</w:t>
      </w:r>
    </w:p>
    <w:p w14:paraId="0F8F0C9D" w14:textId="77777777" w:rsidR="00AE6412" w:rsidRDefault="00AE6412" w:rsidP="00AE641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J.8: Lived experiences — accessible housing close to work"/>
        <w:tblDescription w:val="Examples from submissions about the impacts and difficulty of finding accessible housing close to work."/>
      </w:tblPr>
      <w:tblGrid>
        <w:gridCol w:w="7938"/>
      </w:tblGrid>
      <w:tr w:rsidR="00AE6412" w:rsidRPr="00E05C8C" w14:paraId="21F78FE6" w14:textId="77777777" w:rsidTr="008342FB">
        <w:trPr>
          <w:cantSplit/>
          <w:tblHeader/>
        </w:trPr>
        <w:tc>
          <w:tcPr>
            <w:tcW w:w="7938" w:type="dxa"/>
            <w:tcBorders>
              <w:top w:val="nil"/>
              <w:left w:val="nil"/>
              <w:bottom w:val="nil"/>
              <w:right w:val="nil"/>
            </w:tcBorders>
            <w:shd w:val="clear" w:color="auto" w:fill="C6BFAB" w:themeFill="accent3"/>
          </w:tcPr>
          <w:p w14:paraId="7DE3A9D7" w14:textId="09603B08" w:rsidR="00AE6412" w:rsidRPr="00E05C8C" w:rsidRDefault="00390CDB" w:rsidP="00AE6412">
            <w:pPr>
              <w:pStyle w:val="Caption"/>
              <w:numPr>
                <w:ilvl w:val="0"/>
                <w:numId w:val="13"/>
              </w:numPr>
              <w:spacing w:before="120" w:after="100"/>
            </w:pPr>
            <w:bookmarkStart w:id="887" w:name="_Toc57643725"/>
            <w:bookmarkStart w:id="888" w:name="_Toc70505678"/>
            <w:r>
              <w:t>J.8</w:t>
            </w:r>
            <w:r w:rsidR="00AE6412" w:rsidRPr="00E05C8C">
              <w:tab/>
            </w:r>
            <w:r w:rsidR="00AE6412">
              <w:t>Lived experiences — accessible housing close to work</w:t>
            </w:r>
            <w:bookmarkEnd w:id="887"/>
            <w:bookmarkEnd w:id="888"/>
          </w:p>
        </w:tc>
      </w:tr>
      <w:tr w:rsidR="00AE6412" w14:paraId="4D447BC5" w14:textId="77777777" w:rsidTr="008342FB">
        <w:tblPrEx>
          <w:tblBorders>
            <w:top w:val="none" w:sz="0" w:space="0" w:color="auto"/>
            <w:left w:val="none" w:sz="0" w:space="0" w:color="auto"/>
            <w:bottom w:val="none" w:sz="0" w:space="0" w:color="auto"/>
            <w:right w:val="none" w:sz="0" w:space="0" w:color="auto"/>
          </w:tblBorders>
          <w:shd w:val="clear" w:color="6F6652" w:fill="F1EFEA"/>
        </w:tblPrEx>
        <w:trPr>
          <w:trHeight w:val="7659"/>
        </w:trPr>
        <w:tc>
          <w:tcPr>
            <w:tcW w:w="7938" w:type="dxa"/>
            <w:tcBorders>
              <w:bottom w:val="single" w:sz="8" w:space="0" w:color="9B917E" w:themeColor="accent4"/>
            </w:tcBorders>
            <w:shd w:val="clear" w:color="auto" w:fill="E9E8E5" w:themeFill="background2"/>
          </w:tcPr>
          <w:p w14:paraId="31582886" w14:textId="77777777" w:rsidR="00AE6412" w:rsidRDefault="00AE6412" w:rsidP="00AE6412">
            <w:pPr>
              <w:pStyle w:val="ListBullet"/>
            </w:pPr>
            <w:r>
              <w:t>One submission noted that living in a home with proper access reduces the time to get ready and gives her more employment options further from home.</w:t>
            </w:r>
            <w:r>
              <w:rPr>
                <w:rStyle w:val="FootnoteReference"/>
              </w:rPr>
              <w:footnoteReference w:id="547"/>
            </w:r>
          </w:p>
          <w:p w14:paraId="1E17587A" w14:textId="77777777" w:rsidR="00AE6412" w:rsidRDefault="00AE6412" w:rsidP="00B838F6">
            <w:pPr>
              <w:pStyle w:val="ListBullet"/>
            </w:pPr>
            <w:r>
              <w:rPr>
                <w:lang w:bidi="fa-IR"/>
              </w:rPr>
              <w:t>One of the case studies from the Summer Foundation and Melbourne Disability Institute — Andrea’s story — provides evidence of the location of housing that met her accessibility needs restricting her ability to study or work. Andrea’s family was forced to move home to meet her accessibility needs. However, their new home was further away from public transport, which will restrict her ability to travel independently to study or work.</w:t>
            </w:r>
            <w:r>
              <w:rPr>
                <w:rStyle w:val="FootnoteReference"/>
                <w:lang w:bidi="fa-IR"/>
              </w:rPr>
              <w:footnoteReference w:id="548"/>
            </w:r>
          </w:p>
          <w:p w14:paraId="00A9F1DA" w14:textId="77777777" w:rsidR="00AE6412" w:rsidRDefault="00AE6412" w:rsidP="00AE6412">
            <w:pPr>
              <w:pStyle w:val="ListBullet"/>
            </w:pPr>
            <w:r>
              <w:t>Respondents to the Melbourne Disability Institute survey identified a lack of accessible housing close to employment opportunities as an issue affecting some people with a disability. Reported comments included the following.</w:t>
            </w:r>
            <w:r>
              <w:rPr>
                <w:rStyle w:val="FootnoteReference"/>
              </w:rPr>
              <w:footnoteReference w:id="549"/>
            </w:r>
          </w:p>
          <w:p w14:paraId="12AFEE26" w14:textId="77777777" w:rsidR="00AE6412" w:rsidRDefault="00AE6412" w:rsidP="00AE6412">
            <w:pPr>
              <w:pStyle w:val="Quote"/>
            </w:pPr>
            <w:r>
              <w:t>“I chose a house that was accessible but when work relocated the drive was quite far. Expensive by taxi but to find another accessible housing precluded a desire to move closer to work”</w:t>
            </w:r>
          </w:p>
          <w:p w14:paraId="024FD2E5" w14:textId="77777777" w:rsidR="00AE6412" w:rsidRDefault="00AE6412" w:rsidP="00AE6412">
            <w:pPr>
              <w:pStyle w:val="Quote"/>
            </w:pPr>
            <w:r>
              <w:t>“Due to a lack of even minimal accessible housing I have to spend all my disposable income travelling to work in a taxi because no accommodation was closer”</w:t>
            </w:r>
          </w:p>
          <w:p w14:paraId="4B5A44D0" w14:textId="77777777" w:rsidR="00AE6412" w:rsidRDefault="00AE6412" w:rsidP="00AE6412">
            <w:pPr>
              <w:pStyle w:val="Quote"/>
            </w:pPr>
            <w:r>
              <w:t>“Location of houses a long distance away from my work, 1 hour for travel so I need to live closer to the city where my work is. Not enough property close to work.”</w:t>
            </w:r>
          </w:p>
          <w:p w14:paraId="610EC8CD" w14:textId="77777777" w:rsidR="00AE6412" w:rsidRDefault="00AE6412" w:rsidP="00AE6412">
            <w:pPr>
              <w:pStyle w:val="Quote"/>
            </w:pPr>
            <w:r>
              <w:t>“Having limited accessible housing available means it is not easy to find a suitable living arrangement that is close to work, which causes me to have to travel long distances to my parent’s home, limiting the number of hours I can work each week.”</w:t>
            </w:r>
          </w:p>
          <w:p w14:paraId="0F3A427B" w14:textId="77777777" w:rsidR="00AE6412" w:rsidRDefault="00AE6412" w:rsidP="00AE6412">
            <w:pPr>
              <w:pStyle w:val="Quote"/>
            </w:pPr>
            <w:r>
              <w:t>“I found it hard to find housing without stairs very limited, as I have had a few falls from being unsteady on my feet. Spent over two months not being able to work while looking for accommodation.”</w:t>
            </w:r>
          </w:p>
          <w:p w14:paraId="491532A3" w14:textId="77777777" w:rsidR="00AE6412" w:rsidRPr="00BF2F67" w:rsidRDefault="00AE6412" w:rsidP="008342FB">
            <w:pPr>
              <w:pStyle w:val="Quote"/>
            </w:pPr>
            <w:r>
              <w:t>“I couldn’t take internships that would have been excellent because all rental housing was either luxury or inaccessible.”</w:t>
            </w:r>
          </w:p>
        </w:tc>
      </w:tr>
    </w:tbl>
    <w:p w14:paraId="574D0543" w14:textId="77777777" w:rsidR="00AE6412" w:rsidRDefault="002E0533" w:rsidP="00AE6412">
      <w:pPr>
        <w:pStyle w:val="BodyText"/>
      </w:pPr>
      <w:r>
        <w:t>The Productivity Commission refer</w:t>
      </w:r>
      <w:r w:rsidR="00AE6412">
        <w:t>s</w:t>
      </w:r>
      <w:r>
        <w:t xml:space="preserve"> to </w:t>
      </w:r>
      <w:r w:rsidR="00AE6412">
        <w:t xml:space="preserve">the ability to move closer to employment </w:t>
      </w:r>
      <w:r>
        <w:t>as a ‘mobility constraint’ (albeit in the context of social housing).</w:t>
      </w:r>
      <w:r>
        <w:rPr>
          <w:rStyle w:val="FootnoteReference"/>
        </w:rPr>
        <w:footnoteReference w:id="550"/>
      </w:r>
      <w:r w:rsidR="00AE6412">
        <w:t xml:space="preserve"> As illustrated in some of the examples in </w:t>
      </w:r>
      <w:r w:rsidR="00E466EB">
        <w:t>b</w:t>
      </w:r>
      <w:r w:rsidR="00AE6412">
        <w:t>ox J.</w:t>
      </w:r>
      <w:r w:rsidR="00BF601F">
        <w:t>8</w:t>
      </w:r>
      <w:r w:rsidR="00AE6412">
        <w:t>, a corollary of the ‘mobility constraint’ is a ‘location effect’, where some people with mobility impairments may not be located close to employment opportunities. This also limits the ability of some people to work.</w:t>
      </w:r>
    </w:p>
    <w:p w14:paraId="40CFCD3B" w14:textId="77777777" w:rsidR="00C74BEA" w:rsidRPr="004B79EC" w:rsidRDefault="00C74BEA" w:rsidP="004B79EC">
      <w:pPr>
        <w:pStyle w:val="Heading4-Appendix"/>
      </w:pPr>
      <w:r w:rsidRPr="004B79EC">
        <w:t>Mobility constraints</w:t>
      </w:r>
    </w:p>
    <w:p w14:paraId="7F012DDE" w14:textId="77777777" w:rsidR="00C74BEA" w:rsidRDefault="00C74BEA" w:rsidP="00C74BEA">
      <w:pPr>
        <w:pStyle w:val="BodyText"/>
      </w:pPr>
      <w:r>
        <w:t xml:space="preserve">There is evidence to suggest that people with </w:t>
      </w:r>
      <w:r w:rsidR="00D870C0">
        <w:t xml:space="preserve">disability </w:t>
      </w:r>
      <w:r>
        <w:t>move less frequently than other members of the community</w:t>
      </w:r>
      <w:r w:rsidR="00B01BA7">
        <w:t>.</w:t>
      </w:r>
      <w:r>
        <w:t xml:space="preserve"> 2016 Census data suggests that 62 per cent of people with a need for assistance with core activities (not specifically mobility) were living at the same address as they were 5 years ago, compared with 51 per cent of people without a need for assistance with core activities. It is plausible that this is at least partly related to a lack of accessible housing.</w:t>
      </w:r>
    </w:p>
    <w:p w14:paraId="6B498AE4" w14:textId="77777777" w:rsidR="006976E9" w:rsidRDefault="006976E9" w:rsidP="006976E9">
      <w:pPr>
        <w:pStyle w:val="BodyText"/>
      </w:pPr>
      <w:r>
        <w:t xml:space="preserve">According to the </w:t>
      </w:r>
      <w:r w:rsidR="00B01BA7">
        <w:t>Wiesel</w:t>
      </w:r>
      <w:r>
        <w:t xml:space="preserve"> survey (see above):</w:t>
      </w:r>
      <w:r>
        <w:rPr>
          <w:rStyle w:val="FootnoteReference"/>
        </w:rPr>
        <w:footnoteReference w:id="551"/>
      </w:r>
    </w:p>
    <w:p w14:paraId="7F6246BC" w14:textId="77777777" w:rsidR="006976E9" w:rsidRDefault="006976E9" w:rsidP="006976E9">
      <w:pPr>
        <w:pStyle w:val="ListBullet"/>
      </w:pPr>
      <w:r>
        <w:t>17 per cent of respondents to the MDI survey indicated that a lack of accessible housing had prevented them from taking a job</w:t>
      </w:r>
    </w:p>
    <w:p w14:paraId="78408883" w14:textId="77777777" w:rsidR="006976E9" w:rsidRDefault="006976E9" w:rsidP="006976E9">
      <w:pPr>
        <w:pStyle w:val="ListBullet"/>
      </w:pPr>
      <w:r>
        <w:t>13 per cent of respondents indicated that a lack of accessible housing had led to losing or giving up a job</w:t>
      </w:r>
    </w:p>
    <w:p w14:paraId="5EC21149" w14:textId="77777777" w:rsidR="006976E9" w:rsidRDefault="006976E9" w:rsidP="006976E9">
      <w:pPr>
        <w:pStyle w:val="ListBullet"/>
      </w:pPr>
      <w:r>
        <w:t>18 per cent of respondents indicated that a lack of accessible housing had reduced their hours of work.</w:t>
      </w:r>
    </w:p>
    <w:p w14:paraId="561DF58F" w14:textId="77777777" w:rsidR="006976E9" w:rsidRDefault="006976E9" w:rsidP="006976E9">
      <w:pPr>
        <w:pStyle w:val="BodyText"/>
      </w:pPr>
      <w:r>
        <w:t xml:space="preserve">Note that the survey results do not necessarily imply that these respondents are </w:t>
      </w:r>
      <w:r w:rsidRPr="006976E9">
        <w:rPr>
          <w:b/>
          <w:bCs/>
        </w:rPr>
        <w:t>currently</w:t>
      </w:r>
      <w:r>
        <w:t xml:space="preserve"> not employed or are working fewer hours as a result of inaccessible housing as the question was phrased as “has a lack of accessible housing ever….”.</w:t>
      </w:r>
      <w:r>
        <w:rPr>
          <w:rStyle w:val="FootnoteReference"/>
        </w:rPr>
        <w:footnoteReference w:id="552"/>
      </w:r>
    </w:p>
    <w:p w14:paraId="56625932" w14:textId="3C8ECAD5" w:rsidR="00B07D6A" w:rsidRDefault="006976E9" w:rsidP="006976E9">
      <w:pPr>
        <w:pStyle w:val="BodyText"/>
      </w:pPr>
      <w:r>
        <w:t xml:space="preserve">While results from the UK cannot necessarily be extrapolated to the Australian context, a </w:t>
      </w:r>
      <w:r w:rsidR="00B07D6A">
        <w:t xml:space="preserve">UK survey found that a </w:t>
      </w:r>
      <w:r>
        <w:t>significantly</w:t>
      </w:r>
      <w:r w:rsidR="00B07D6A">
        <w:t xml:space="preserve"> small</w:t>
      </w:r>
      <w:r>
        <w:t>er</w:t>
      </w:r>
      <w:r w:rsidR="00B07D6A">
        <w:t xml:space="preserve"> proportion of people with unmet housing needs reported that a lack of accessible housing had prevented them from undertaking employment</w:t>
      </w:r>
      <w:r w:rsidR="00B07D6A">
        <w:noBreakHyphen/>
        <w:t>related activities (table </w:t>
      </w:r>
      <w:r w:rsidR="00362332">
        <w:t>J.9</w:t>
      </w:r>
      <w:r w:rsidR="00B07D6A">
        <w:t>).</w:t>
      </w:r>
    </w:p>
    <w:p w14:paraId="1604C2BC" w14:textId="74EE1F11" w:rsidR="00B07D6A" w:rsidRDefault="00390CDB" w:rsidP="00B07D6A">
      <w:pPr>
        <w:pStyle w:val="Caption"/>
      </w:pPr>
      <w:bookmarkStart w:id="889" w:name="_Toc57643726"/>
      <w:bookmarkStart w:id="890" w:name="_Toc70505679"/>
      <w:r>
        <w:t>J.9</w:t>
      </w:r>
      <w:r w:rsidR="00B07D6A" w:rsidRPr="00695C93">
        <w:tab/>
      </w:r>
      <w:r w:rsidR="00B07D6A">
        <w:t>Impact of unmet needs</w:t>
      </w:r>
      <w:bookmarkEnd w:id="889"/>
      <w:bookmarkEnd w:id="890"/>
    </w:p>
    <w:tbl>
      <w:tblPr>
        <w:tblW w:w="0" w:type="auto"/>
        <w:tblLayout w:type="fixed"/>
        <w:tblLook w:val="0000" w:firstRow="0" w:lastRow="0" w:firstColumn="0" w:lastColumn="0" w:noHBand="0" w:noVBand="0"/>
        <w:tblCaption w:val="Table J.9: Impact of unmet needs"/>
        <w:tblDescription w:val="Table J.9 reports the reponses to a question in a UK survey about the impact of unmet housing needs on employment and study opportunities, and choice of housing location."/>
      </w:tblPr>
      <w:tblGrid>
        <w:gridCol w:w="5470"/>
        <w:gridCol w:w="2467"/>
      </w:tblGrid>
      <w:tr w:rsidR="00B07D6A" w14:paraId="4BB33F6C" w14:textId="77777777" w:rsidTr="00B07D6A">
        <w:trPr>
          <w:trHeight w:val="245"/>
          <w:tblHeader/>
        </w:trPr>
        <w:tc>
          <w:tcPr>
            <w:tcW w:w="5470" w:type="dxa"/>
            <w:tcBorders>
              <w:bottom w:val="single" w:sz="8" w:space="0" w:color="FFFFFF" w:themeColor="background1"/>
            </w:tcBorders>
            <w:shd w:val="clear" w:color="auto" w:fill="6F6652"/>
            <w:tcMar>
              <w:left w:w="57" w:type="dxa"/>
              <w:right w:w="57" w:type="dxa"/>
            </w:tcMar>
          </w:tcPr>
          <w:p w14:paraId="4FAF6B88" w14:textId="77777777" w:rsidR="00B07D6A" w:rsidRDefault="00B07D6A" w:rsidP="004A4C27">
            <w:pPr>
              <w:pStyle w:val="TableDataColumnHeading"/>
              <w:jc w:val="left"/>
            </w:pPr>
            <w:r>
              <w:t>As a result of an unmet need have you:</w:t>
            </w:r>
          </w:p>
        </w:tc>
        <w:tc>
          <w:tcPr>
            <w:tcW w:w="2467" w:type="dxa"/>
            <w:tcBorders>
              <w:bottom w:val="single" w:sz="8" w:space="0" w:color="FFFFFF" w:themeColor="background1"/>
            </w:tcBorders>
            <w:shd w:val="clear" w:color="auto" w:fill="6F6652"/>
            <w:tcMar>
              <w:left w:w="57" w:type="dxa"/>
              <w:right w:w="57" w:type="dxa"/>
            </w:tcMar>
          </w:tcPr>
          <w:p w14:paraId="17BD13F4" w14:textId="77777777" w:rsidR="00B07D6A" w:rsidRDefault="00B07D6A" w:rsidP="004A4C27">
            <w:pPr>
              <w:pStyle w:val="TableDataColumnHeading"/>
            </w:pPr>
            <w:r>
              <w:t>Share of responses (%)</w:t>
            </w:r>
          </w:p>
        </w:tc>
      </w:tr>
      <w:tr w:rsidR="00B07D6A" w14:paraId="39DF6A23" w14:textId="77777777" w:rsidTr="004A4C27">
        <w:trPr>
          <w:trHeight w:val="623"/>
        </w:trPr>
        <w:tc>
          <w:tcPr>
            <w:tcW w:w="54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94EC86" w14:textId="77777777" w:rsidR="00B07D6A" w:rsidRDefault="00B07D6A" w:rsidP="004A4C27">
            <w:pPr>
              <w:pStyle w:val="TableDataEntries"/>
              <w:jc w:val="left"/>
            </w:pPr>
            <w:r>
              <w:t>Avoided applying for a job, training or higher education opportunity because of concern around finding housing that met access needs in the area</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42A5CD" w14:textId="77777777" w:rsidR="00B07D6A" w:rsidRDefault="00B07D6A" w:rsidP="004A4C27">
            <w:pPr>
              <w:pStyle w:val="TableDataEntries"/>
            </w:pPr>
            <w:r>
              <w:t>7</w:t>
            </w:r>
          </w:p>
        </w:tc>
      </w:tr>
      <w:tr w:rsidR="00B07D6A" w14:paraId="3CE80809" w14:textId="77777777" w:rsidTr="004A4C27">
        <w:trPr>
          <w:trHeight w:val="561"/>
        </w:trPr>
        <w:tc>
          <w:tcPr>
            <w:tcW w:w="54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F79130" w14:textId="77777777" w:rsidR="00B07D6A" w:rsidRDefault="00B07D6A" w:rsidP="004A4C27">
            <w:pPr>
              <w:pStyle w:val="TableDataEntries"/>
              <w:jc w:val="left"/>
            </w:pPr>
            <w:r>
              <w:t>Not been able to live in an area you/they want to live in because of an inability to find housing that met access needs in the area</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9BB6D" w14:textId="77777777" w:rsidR="00B07D6A" w:rsidRDefault="00B07D6A" w:rsidP="004A4C27">
            <w:pPr>
              <w:pStyle w:val="TableDataEntries"/>
            </w:pPr>
            <w:r>
              <w:t>5</w:t>
            </w:r>
          </w:p>
        </w:tc>
      </w:tr>
      <w:tr w:rsidR="00B07D6A" w14:paraId="5AABA729" w14:textId="77777777" w:rsidTr="004A4C27">
        <w:trPr>
          <w:trHeight w:val="531"/>
        </w:trPr>
        <w:tc>
          <w:tcPr>
            <w:tcW w:w="54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890707" w14:textId="77777777" w:rsidR="00B07D6A" w:rsidRDefault="00B07D6A" w:rsidP="004A4C27">
            <w:pPr>
              <w:pStyle w:val="TableDataEntries"/>
              <w:jc w:val="left"/>
            </w:pPr>
            <w:r>
              <w:t>Turned down a job offer, training or higher education opportunity because of an inability to find housing that met access needs in the area</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DF7581" w14:textId="77777777" w:rsidR="00B07D6A" w:rsidRDefault="00B07D6A" w:rsidP="004A4C27">
            <w:pPr>
              <w:pStyle w:val="TableDataEntries"/>
            </w:pPr>
            <w:r>
              <w:t>4</w:t>
            </w:r>
          </w:p>
        </w:tc>
      </w:tr>
      <w:tr w:rsidR="00B07D6A" w14:paraId="062C9301" w14:textId="77777777" w:rsidTr="004A4C27">
        <w:trPr>
          <w:trHeight w:val="549"/>
        </w:trPr>
        <w:tc>
          <w:tcPr>
            <w:tcW w:w="54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38ACCF" w14:textId="77777777" w:rsidR="00B07D6A" w:rsidRDefault="00B07D6A" w:rsidP="004A4C27">
            <w:pPr>
              <w:pStyle w:val="TableDataEntries"/>
              <w:jc w:val="left"/>
            </w:pPr>
            <w:r>
              <w:t>Applied to a job offer, training or higher education opportunity primarily because of housing that met mine/their access needs in the area</w:t>
            </w:r>
          </w:p>
        </w:tc>
        <w:tc>
          <w:tcPr>
            <w:tcW w:w="24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A3DAB" w14:textId="77777777" w:rsidR="00B07D6A" w:rsidRDefault="00B07D6A" w:rsidP="004A4C27">
            <w:pPr>
              <w:pStyle w:val="TableDataEntries"/>
            </w:pPr>
            <w:r>
              <w:t>4</w:t>
            </w:r>
          </w:p>
        </w:tc>
      </w:tr>
      <w:tr w:rsidR="00B07D6A" w14:paraId="6E9FDF37" w14:textId="77777777" w:rsidTr="004A4C27">
        <w:trPr>
          <w:trHeight w:val="245"/>
        </w:trPr>
        <w:tc>
          <w:tcPr>
            <w:tcW w:w="5470" w:type="dxa"/>
            <w:tcBorders>
              <w:top w:val="single" w:sz="8" w:space="0" w:color="FFFFFF" w:themeColor="background1"/>
              <w:bottom w:val="single" w:sz="6" w:space="0" w:color="6F6652"/>
            </w:tcBorders>
            <w:shd w:val="clear" w:color="auto" w:fill="E9E8E5" w:themeFill="background2"/>
            <w:tcMar>
              <w:left w:w="57" w:type="dxa"/>
              <w:right w:w="57" w:type="dxa"/>
            </w:tcMar>
          </w:tcPr>
          <w:p w14:paraId="77104495" w14:textId="77777777" w:rsidR="00B07D6A" w:rsidRDefault="00B07D6A" w:rsidP="004A4C27">
            <w:pPr>
              <w:pStyle w:val="TableDataEntries"/>
              <w:jc w:val="left"/>
            </w:pPr>
            <w:r>
              <w:t>None of the above</w:t>
            </w:r>
          </w:p>
        </w:tc>
        <w:tc>
          <w:tcPr>
            <w:tcW w:w="2467" w:type="dxa"/>
            <w:tcBorders>
              <w:top w:val="single" w:sz="8" w:space="0" w:color="FFFFFF" w:themeColor="background1"/>
              <w:bottom w:val="single" w:sz="6" w:space="0" w:color="6F6652"/>
            </w:tcBorders>
            <w:shd w:val="clear" w:color="auto" w:fill="E9E8E5" w:themeFill="background2"/>
            <w:tcMar>
              <w:left w:w="57" w:type="dxa"/>
              <w:right w:w="57" w:type="dxa"/>
            </w:tcMar>
          </w:tcPr>
          <w:p w14:paraId="46240350" w14:textId="77777777" w:rsidR="00B07D6A" w:rsidRDefault="00B07D6A" w:rsidP="004A4C27">
            <w:pPr>
              <w:pStyle w:val="TableDataEntries"/>
            </w:pPr>
            <w:r>
              <w:t>83</w:t>
            </w:r>
          </w:p>
        </w:tc>
      </w:tr>
    </w:tbl>
    <w:p w14:paraId="064321F1" w14:textId="77777777" w:rsidR="00B07D6A" w:rsidRPr="00DA0EE7" w:rsidRDefault="00B07D6A" w:rsidP="00B07D6A">
      <w:pPr>
        <w:pStyle w:val="Source"/>
        <w:rPr>
          <w:iCs/>
        </w:rPr>
      </w:pPr>
      <w:r w:rsidRPr="00DA0EE7">
        <w:rPr>
          <w:iCs/>
        </w:rPr>
        <w:t>Source: Provan, B. Burchardt, T. and Suh, E. No Place Like Home, Quality of life and opportunity for disabled people with accessible housing needs, London School of Economics and Political Science and Centre for Analysis of Social Exclusion, CASE Report 109, p. 45.</w:t>
      </w:r>
    </w:p>
    <w:p w14:paraId="5879CFD3" w14:textId="77777777" w:rsidR="00C74BEA" w:rsidRDefault="006976E9" w:rsidP="00C74BEA">
      <w:pPr>
        <w:pStyle w:val="BodyText"/>
      </w:pPr>
      <w:r>
        <w:t>E</w:t>
      </w:r>
      <w:r w:rsidR="00C74BEA">
        <w:t xml:space="preserve">mpirical evidence from Australia suggests that moving can improve employment outcomes for unemployed people, although the impact may be relatively small. For example, descriptive analysis </w:t>
      </w:r>
      <w:r w:rsidR="00C74BEA" w:rsidRPr="00E76D41">
        <w:t>of HILDA</w:t>
      </w:r>
      <w:r w:rsidR="00E76D41">
        <w:t xml:space="preserve"> (</w:t>
      </w:r>
      <w:r w:rsidR="00E76D41" w:rsidRPr="00CE7C64">
        <w:t>Household, Income and Labour Dynamics</w:t>
      </w:r>
      <w:r w:rsidR="00E76D41">
        <w:t>)</w:t>
      </w:r>
      <w:r w:rsidR="00CE7C64">
        <w:t xml:space="preserve"> </w:t>
      </w:r>
      <w:r w:rsidR="00C74BEA">
        <w:t>data (2006) showed that unemployed people who move are more likely to find employment tha</w:t>
      </w:r>
      <w:r>
        <w:t>n</w:t>
      </w:r>
      <w:r w:rsidR="00C74BEA">
        <w:t xml:space="preserve"> unemployed persons who do not move (54.5 per cent of unemployed people who moved found employment, compared with 48.7 per cent of unemployed people who did not move).</w:t>
      </w:r>
      <w:r w:rsidR="00C74BEA">
        <w:rPr>
          <w:rStyle w:val="FootnoteReference"/>
        </w:rPr>
        <w:footnoteReference w:id="553"/>
      </w:r>
      <w:r w:rsidR="00C74BEA">
        <w:t xml:space="preserve"> Bill and Mitchell (2006) found that moving is not especially beneficial for the unemployed.</w:t>
      </w:r>
      <w:r w:rsidR="00C74BEA">
        <w:rPr>
          <w:rStyle w:val="FootnoteReference"/>
        </w:rPr>
        <w:footnoteReference w:id="554"/>
      </w:r>
    </w:p>
    <w:p w14:paraId="5426B11C" w14:textId="77777777" w:rsidR="00C74BEA" w:rsidRDefault="00C74BEA" w:rsidP="00C74BEA">
      <w:pPr>
        <w:pStyle w:val="BodyText"/>
      </w:pPr>
      <w:r>
        <w:t>It should also be noted that people looking for work (i.e. the unemployed) make up a relatively small share of those with mobility</w:t>
      </w:r>
      <w:r>
        <w:noBreakHyphen/>
        <w:t>related disability that are not employed (around 7.6 per cent). A much larger share does not participate in the labour market at all.</w:t>
      </w:r>
    </w:p>
    <w:p w14:paraId="6B6568BE" w14:textId="77777777" w:rsidR="00C74BEA" w:rsidRDefault="00C74BEA" w:rsidP="00C74BEA">
      <w:pPr>
        <w:pStyle w:val="BodyText"/>
      </w:pPr>
      <w:r>
        <w:t>Overall, it is plausible that a lack of accessible housing is making some contribution to poorer employment among people with mobility limitation through the ‘mobility constraint’. However, there is limited supporting evidence and the impacts are unlikely to be large.</w:t>
      </w:r>
    </w:p>
    <w:p w14:paraId="2C703E9B" w14:textId="77777777" w:rsidR="00C74BEA" w:rsidRPr="004B79EC" w:rsidRDefault="00C74BEA" w:rsidP="004B79EC">
      <w:pPr>
        <w:pStyle w:val="Heading4-Appendix"/>
      </w:pPr>
      <w:r w:rsidRPr="004B79EC">
        <w:t>Location effects</w:t>
      </w:r>
    </w:p>
    <w:p w14:paraId="691E8444" w14:textId="77777777" w:rsidR="00DE5C2F" w:rsidRPr="00DE5C2F" w:rsidRDefault="00DE5C2F" w:rsidP="00DE5C2F">
      <w:pPr>
        <w:pStyle w:val="BodyText"/>
      </w:pPr>
      <w:r>
        <w:t xml:space="preserve">Although there is </w:t>
      </w:r>
      <w:r w:rsidR="00C92205">
        <w:t>qualitative</w:t>
      </w:r>
      <w:r>
        <w:t xml:space="preserve"> evidence of people with mobility limitations having trouble finding accessible housing close to employment </w:t>
      </w:r>
      <w:r w:rsidR="00C92205">
        <w:t xml:space="preserve">opportunities (see </w:t>
      </w:r>
      <w:r w:rsidR="00863779">
        <w:t>b</w:t>
      </w:r>
      <w:r w:rsidR="00C92205">
        <w:t>ox J.10 above),</w:t>
      </w:r>
      <w:r>
        <w:t xml:space="preserve"> there</w:t>
      </w:r>
      <w:r w:rsidR="00903172">
        <w:t xml:space="preserve"> is little quantitative evidence. Furthermore, the evidence that is available suggests these impacts are likely to be small.</w:t>
      </w:r>
    </w:p>
    <w:p w14:paraId="52C51B3D" w14:textId="77777777" w:rsidR="00AE0320" w:rsidRDefault="00903172" w:rsidP="00AE0320">
      <w:pPr>
        <w:pStyle w:val="BodyText"/>
      </w:pPr>
      <w:r>
        <w:t xml:space="preserve">Previous Productivity Commission research found </w:t>
      </w:r>
      <w:r w:rsidR="00AE0320">
        <w:t>little evidence of links between location and employment, although this was a general finding, not specifically related to people with mobility</w:t>
      </w:r>
      <w:r w:rsidR="00AE0320">
        <w:noBreakHyphen/>
        <w:t>related disability.</w:t>
      </w:r>
      <w:r>
        <w:rPr>
          <w:rStyle w:val="FootnoteReference"/>
        </w:rPr>
        <w:footnoteReference w:id="555"/>
      </w:r>
      <w:r w:rsidR="00AE0320">
        <w:t xml:space="preserve"> It is possible that location effects have a more significant impact on employment for people with mobility</w:t>
      </w:r>
      <w:r w:rsidR="00AE0320">
        <w:noBreakHyphen/>
        <w:t xml:space="preserve">related disability than for the general community given the need for accessible transport. </w:t>
      </w:r>
    </w:p>
    <w:p w14:paraId="6EB2DAA2" w14:textId="77777777" w:rsidR="00C74BEA" w:rsidRDefault="00903172" w:rsidP="00C74BEA">
      <w:pPr>
        <w:pStyle w:val="BodyText"/>
      </w:pPr>
      <w:r>
        <w:t xml:space="preserve">The evidence </w:t>
      </w:r>
      <w:r w:rsidR="00B07D6A">
        <w:t xml:space="preserve">from SDAC also suggests that location effects are unlikely to be significant. </w:t>
      </w:r>
      <w:r w:rsidR="00C74BEA">
        <w:t xml:space="preserve">According to </w:t>
      </w:r>
      <w:r w:rsidR="00B07D6A">
        <w:t xml:space="preserve">2018 </w:t>
      </w:r>
      <w:r w:rsidR="00C74BEA">
        <w:t>data:</w:t>
      </w:r>
    </w:p>
    <w:p w14:paraId="5E7A7322" w14:textId="77777777" w:rsidR="00C74BEA" w:rsidRDefault="00C74BEA" w:rsidP="00C74BEA">
      <w:pPr>
        <w:pStyle w:val="ListBullet"/>
        <w:numPr>
          <w:ilvl w:val="0"/>
          <w:numId w:val="16"/>
        </w:numPr>
      </w:pPr>
      <w:r>
        <w:t>there were around 7</w:t>
      </w:r>
      <w:r w:rsidR="00524E1B">
        <w:t> </w:t>
      </w:r>
      <w:r>
        <w:t>200 working age people with a mobility</w:t>
      </w:r>
      <w:r>
        <w:noBreakHyphen/>
        <w:t>related disability for whom transport problems (or too far to travel) is given as a reason why they have difficulty finding work (around 0.9 per cent of the working age people with mobility-related disability who were not employed), and</w:t>
      </w:r>
    </w:p>
    <w:p w14:paraId="1A9FC9FA" w14:textId="77777777" w:rsidR="00C74BEA" w:rsidRDefault="00C74BEA" w:rsidP="00C74BEA">
      <w:pPr>
        <w:pStyle w:val="ListBullet"/>
        <w:numPr>
          <w:ilvl w:val="0"/>
          <w:numId w:val="16"/>
        </w:numPr>
      </w:pPr>
      <w:r>
        <w:t xml:space="preserve">transport problems (or too far to travel) was the </w:t>
      </w:r>
      <w:r w:rsidRPr="00F36A14">
        <w:rPr>
          <w:b/>
          <w:bCs/>
        </w:rPr>
        <w:t>main</w:t>
      </w:r>
      <w:r>
        <w:t xml:space="preserve"> reason for having difficulty finding work for around 1</w:t>
      </w:r>
      <w:r w:rsidR="00E040FE">
        <w:t xml:space="preserve"> </w:t>
      </w:r>
      <w:r>
        <w:t>500 people (0.2 per cent of the total number of working age people with a mobility-related disability who were not employed).</w:t>
      </w:r>
    </w:p>
    <w:p w14:paraId="7F144180" w14:textId="77777777" w:rsidR="00415440" w:rsidRDefault="00524E1B" w:rsidP="00B07D6A">
      <w:pPr>
        <w:pStyle w:val="BodyText"/>
      </w:pPr>
      <w:r>
        <w:t>If</w:t>
      </w:r>
      <w:r w:rsidR="00C74BEA">
        <w:t xml:space="preserve"> transport problems (or </w:t>
      </w:r>
      <w:r>
        <w:t xml:space="preserve">distance, e.g. </w:t>
      </w:r>
      <w:r w:rsidR="00C74BEA">
        <w:t xml:space="preserve">too far to travel) </w:t>
      </w:r>
      <w:r w:rsidR="005F7CD6">
        <w:t xml:space="preserve">are </w:t>
      </w:r>
      <w:r w:rsidR="00C74BEA">
        <w:t xml:space="preserve">identified as the main reason for having difficulty finding work, </w:t>
      </w:r>
      <w:r>
        <w:t>then t</w:t>
      </w:r>
      <w:r w:rsidR="00B07D6A">
        <w:t xml:space="preserve">he extent to which the NCC proposal would address any location effects is also unclear. </w:t>
      </w:r>
      <w:r w:rsidR="00243FCF">
        <w:t xml:space="preserve">During consultations, multiple stakeholders stressed the need for housing that is </w:t>
      </w:r>
      <w:r w:rsidR="00243FCF" w:rsidRPr="00B07D6A">
        <w:rPr>
          <w:b/>
          <w:bCs/>
        </w:rPr>
        <w:t>affordable</w:t>
      </w:r>
      <w:r w:rsidR="00243FCF">
        <w:t xml:space="preserve"> and well</w:t>
      </w:r>
      <w:r w:rsidR="00243FCF">
        <w:noBreakHyphen/>
        <w:t>located, as well as accessible.</w:t>
      </w:r>
      <w:r w:rsidR="00CB75FE">
        <w:t xml:space="preserve"> Accessible housing is no good to them if they can</w:t>
      </w:r>
      <w:r w:rsidR="00EE0E79">
        <w:t>no</w:t>
      </w:r>
      <w:r w:rsidR="00CB75FE">
        <w:t>t afford it.</w:t>
      </w:r>
    </w:p>
    <w:p w14:paraId="4721C8DB" w14:textId="77777777" w:rsidR="00415440" w:rsidRDefault="00415440" w:rsidP="00415440">
      <w:pPr>
        <w:pStyle w:val="ListBullet"/>
      </w:pPr>
      <w:r>
        <w:t>Greenfield housing tends to be located on urban fringes and may not be located close to employment opportunities. On the other hand, it is more likely that new infill housing would be located close to employment opportunities.</w:t>
      </w:r>
    </w:p>
    <w:p w14:paraId="76234F0C" w14:textId="77777777" w:rsidR="00B07D6A" w:rsidRDefault="00415440" w:rsidP="00415440">
      <w:pPr>
        <w:pStyle w:val="ListBullet"/>
      </w:pPr>
      <w:r>
        <w:t xml:space="preserve">It is not clear that new housing that is built close to employment opportunities would necessarily be affordable. </w:t>
      </w:r>
      <w:r w:rsidR="00B07D6A">
        <w:t xml:space="preserve">Access to jobs and </w:t>
      </w:r>
      <w:r>
        <w:t>services is a key driver of house prices</w:t>
      </w:r>
      <w:r w:rsidR="00CB75FE">
        <w:t xml:space="preserve"> and</w:t>
      </w:r>
      <w:r>
        <w:t xml:space="preserve"> is likely to attract a significant premium. As noted previously many households containing members with disability have below</w:t>
      </w:r>
      <w:r>
        <w:noBreakHyphen/>
        <w:t>average incomes.</w:t>
      </w:r>
    </w:p>
    <w:p w14:paraId="439C893A" w14:textId="77777777" w:rsidR="00CB75FE" w:rsidRDefault="00CB75FE" w:rsidP="00CB75FE">
      <w:pPr>
        <w:pStyle w:val="BodyText"/>
      </w:pPr>
      <w:r>
        <w:t>Nevertheless, based on SDAC estimates of the number of people with mobility</w:t>
      </w:r>
      <w:r>
        <w:noBreakHyphen/>
        <w:t>related disabilit</w:t>
      </w:r>
      <w:r w:rsidR="00E02F82">
        <w:t>y</w:t>
      </w:r>
      <w:r>
        <w:t xml:space="preserve"> for whom transport problems (or distance of travel) is a reason (or the main reason) for having trouble finding employment, the value of the lost employment opportunities due to a lack of accessible housing near employment opportunities could be in the order of $72 million to $345 million per year, most likely at the lower end of that range (table J.1</w:t>
      </w:r>
      <w:r w:rsidR="003413B2">
        <w:t>0</w:t>
      </w:r>
      <w:r>
        <w:t>). Key assumptions underpinning this estimate include the following.</w:t>
      </w:r>
    </w:p>
    <w:p w14:paraId="6749584D" w14:textId="77777777" w:rsidR="00CB75FE" w:rsidRDefault="00CB75FE" w:rsidP="00CB75FE">
      <w:pPr>
        <w:pStyle w:val="ListBullet"/>
      </w:pPr>
      <w:r>
        <w:t>This estimate assumes that all of the people who reported that transport problems (or too far to travel) was either the main reason or a reason for having difficulty finding work would be able to find work if more accessible housing was available.</w:t>
      </w:r>
    </w:p>
    <w:p w14:paraId="03CD60D6" w14:textId="77777777" w:rsidR="00CB75FE" w:rsidRDefault="00CB75FE" w:rsidP="00CB75FE">
      <w:pPr>
        <w:pStyle w:val="ListBullet"/>
      </w:pPr>
      <w:r>
        <w:t>This employment would be additional (i.e. more people with mobility limitations in employment would not displace other workers).</w:t>
      </w:r>
    </w:p>
    <w:p w14:paraId="7908A391" w14:textId="77777777" w:rsidR="00CB75FE" w:rsidRDefault="00CB75FE" w:rsidP="00CB75FE">
      <w:pPr>
        <w:pStyle w:val="ListBullet"/>
      </w:pPr>
      <w:r>
        <w:t xml:space="preserve">The </w:t>
      </w:r>
      <w:r w:rsidR="003E4DFF">
        <w:t xml:space="preserve">net benefit (i.e. </w:t>
      </w:r>
      <w:r>
        <w:t>value</w:t>
      </w:r>
      <w:r>
        <w:noBreakHyphen/>
        <w:t xml:space="preserve">added </w:t>
      </w:r>
      <w:r w:rsidR="003E4DFF">
        <w:t xml:space="preserve">less the opportunity cost of labour) </w:t>
      </w:r>
      <w:r>
        <w:t>of each additional person employed would be $</w:t>
      </w:r>
      <w:r w:rsidR="003E4DFF">
        <w:t xml:space="preserve">35 268 </w:t>
      </w:r>
      <w:r>
        <w:t>per year, based on the weighted average of the full-time and part</w:t>
      </w:r>
      <w:r>
        <w:noBreakHyphen/>
        <w:t>time average weekly cash earnings (from May 2018) scaled up to an annual wage.</w:t>
      </w:r>
    </w:p>
    <w:p w14:paraId="5B77E9DC" w14:textId="4ED9932D" w:rsidR="00CB75FE" w:rsidRDefault="00390CDB" w:rsidP="008342FB">
      <w:pPr>
        <w:pStyle w:val="Caption"/>
        <w:ind w:left="568" w:hanging="568"/>
      </w:pPr>
      <w:bookmarkStart w:id="891" w:name="_Toc57643727"/>
      <w:bookmarkStart w:id="892" w:name="_Toc70505680"/>
      <w:r>
        <w:t>J.10</w:t>
      </w:r>
      <w:r w:rsidR="00CB75FE" w:rsidRPr="00695C93">
        <w:tab/>
      </w:r>
      <w:r w:rsidR="00CB75FE">
        <w:t>Upper bound estimate of the loss of employment opportunities due to a lack of accessible housing close to employment opportunities</w:t>
      </w:r>
      <w:bookmarkEnd w:id="891"/>
      <w:bookmarkEnd w:id="892"/>
    </w:p>
    <w:tbl>
      <w:tblPr>
        <w:tblW w:w="7938" w:type="dxa"/>
        <w:tblLayout w:type="fixed"/>
        <w:tblLook w:val="0000" w:firstRow="0" w:lastRow="0" w:firstColumn="0" w:lastColumn="0" w:noHBand="0" w:noVBand="0"/>
        <w:tblCaption w:val="Table J.10: Upper bound estimate of the loss of employment opportunities due to a lack of accessible housing close to employment opportunities"/>
        <w:tblDescription w:val="Table J.10 estimates the loss of employment opportunities due to a lack of accessible housing close to employment opportunities. This is estimated to affect between 1,500 and 7,200 people with mobility-related disabilities, with an annual impact of between $53 million and $254 million."/>
      </w:tblPr>
      <w:tblGrid>
        <w:gridCol w:w="2274"/>
        <w:gridCol w:w="2832"/>
        <w:gridCol w:w="2832"/>
      </w:tblGrid>
      <w:tr w:rsidR="00CB75FE" w14:paraId="0EF849FC" w14:textId="77777777" w:rsidTr="00B838F6">
        <w:trPr>
          <w:trHeight w:val="490"/>
        </w:trPr>
        <w:tc>
          <w:tcPr>
            <w:tcW w:w="2274" w:type="dxa"/>
            <w:tcBorders>
              <w:bottom w:val="single" w:sz="8" w:space="0" w:color="FFFFFF" w:themeColor="background1"/>
            </w:tcBorders>
            <w:shd w:val="clear" w:color="auto" w:fill="6F6652"/>
            <w:tcMar>
              <w:left w:w="57" w:type="dxa"/>
              <w:right w:w="57" w:type="dxa"/>
            </w:tcMar>
          </w:tcPr>
          <w:p w14:paraId="22538440" w14:textId="77777777" w:rsidR="00CB75FE" w:rsidRDefault="00CB75FE" w:rsidP="00B838F6">
            <w:pPr>
              <w:pStyle w:val="TableDataColumnHeading"/>
              <w:jc w:val="left"/>
            </w:pPr>
          </w:p>
        </w:tc>
        <w:tc>
          <w:tcPr>
            <w:tcW w:w="2832" w:type="dxa"/>
            <w:tcBorders>
              <w:bottom w:val="single" w:sz="8" w:space="0" w:color="FFFFFF" w:themeColor="background1"/>
            </w:tcBorders>
            <w:shd w:val="clear" w:color="auto" w:fill="6F6652"/>
            <w:tcMar>
              <w:left w:w="57" w:type="dxa"/>
              <w:right w:w="57" w:type="dxa"/>
            </w:tcMar>
          </w:tcPr>
          <w:p w14:paraId="7905513B" w14:textId="77777777" w:rsidR="00CB75FE" w:rsidRDefault="00CB75FE" w:rsidP="00B838F6">
            <w:pPr>
              <w:pStyle w:val="TableDataColumnHeading"/>
            </w:pPr>
            <w:r>
              <w:t>Number of people (No.)</w:t>
            </w:r>
          </w:p>
        </w:tc>
        <w:tc>
          <w:tcPr>
            <w:tcW w:w="2832" w:type="dxa"/>
            <w:tcBorders>
              <w:bottom w:val="single" w:sz="8" w:space="0" w:color="FFFFFF" w:themeColor="background1"/>
            </w:tcBorders>
            <w:shd w:val="clear" w:color="auto" w:fill="6F6652"/>
            <w:tcMar>
              <w:left w:w="57" w:type="dxa"/>
              <w:right w:w="57" w:type="dxa"/>
            </w:tcMar>
          </w:tcPr>
          <w:p w14:paraId="5C0A374C" w14:textId="77777777" w:rsidR="00CB75FE" w:rsidRDefault="00CB75FE" w:rsidP="00B838F6">
            <w:pPr>
              <w:pStyle w:val="TableDataColumnHeading"/>
            </w:pPr>
            <w:r>
              <w:t>Annual impact ($ million)</w:t>
            </w:r>
          </w:p>
        </w:tc>
      </w:tr>
      <w:tr w:rsidR="00CB75FE" w14:paraId="569585EE" w14:textId="77777777" w:rsidTr="00184E9F">
        <w:trPr>
          <w:trHeight w:val="245"/>
        </w:trPr>
        <w:tc>
          <w:tcPr>
            <w:tcW w:w="2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3B072F" w14:textId="77777777" w:rsidR="00CB75FE" w:rsidRDefault="00CB75FE" w:rsidP="00B838F6">
            <w:pPr>
              <w:pStyle w:val="TableDataEntries"/>
              <w:jc w:val="left"/>
            </w:pPr>
            <w:r>
              <w:t>Low estimate</w:t>
            </w:r>
          </w:p>
        </w:tc>
        <w:tc>
          <w:tcPr>
            <w:tcW w:w="28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8F9096" w14:textId="77777777" w:rsidR="00CB75FE" w:rsidRDefault="00CB75FE" w:rsidP="00B838F6">
            <w:pPr>
              <w:pStyle w:val="TableDataEntries"/>
            </w:pPr>
            <w:r>
              <w:t>1 500</w:t>
            </w:r>
          </w:p>
        </w:tc>
        <w:tc>
          <w:tcPr>
            <w:tcW w:w="28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AA7D4A" w14:textId="77777777" w:rsidR="00CB75FE" w:rsidRDefault="003E4DFF" w:rsidP="00B838F6">
            <w:pPr>
              <w:pStyle w:val="TableDataEntries"/>
            </w:pPr>
            <w:r>
              <w:t>52.9</w:t>
            </w:r>
          </w:p>
        </w:tc>
      </w:tr>
      <w:tr w:rsidR="00CB75FE" w14:paraId="18E0E8DF" w14:textId="77777777" w:rsidTr="00184E9F">
        <w:trPr>
          <w:trHeight w:val="245"/>
        </w:trPr>
        <w:tc>
          <w:tcPr>
            <w:tcW w:w="2274"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413FDF31" w14:textId="77777777" w:rsidR="00CB75FE" w:rsidRDefault="00CB75FE" w:rsidP="00B838F6">
            <w:pPr>
              <w:pStyle w:val="TableDataEntries"/>
              <w:jc w:val="left"/>
            </w:pPr>
            <w:r>
              <w:t>High estimate</w:t>
            </w:r>
          </w:p>
        </w:tc>
        <w:tc>
          <w:tcPr>
            <w:tcW w:w="2832"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4A622B93" w14:textId="77777777" w:rsidR="00CB75FE" w:rsidRDefault="00CB75FE" w:rsidP="00B838F6">
            <w:pPr>
              <w:pStyle w:val="TableDataEntries"/>
            </w:pPr>
            <w:r>
              <w:t>7 200</w:t>
            </w:r>
          </w:p>
        </w:tc>
        <w:tc>
          <w:tcPr>
            <w:tcW w:w="2832"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332E78E6" w14:textId="77777777" w:rsidR="00CB75FE" w:rsidRDefault="003E4DFF" w:rsidP="00B838F6">
            <w:pPr>
              <w:pStyle w:val="TableDataEntries"/>
            </w:pPr>
            <w:r>
              <w:t>253.9</w:t>
            </w:r>
          </w:p>
        </w:tc>
      </w:tr>
    </w:tbl>
    <w:p w14:paraId="07527A46" w14:textId="77777777" w:rsidR="00CB75FE" w:rsidRPr="00DA0EE7" w:rsidRDefault="00CB75FE" w:rsidP="00CB75FE">
      <w:pPr>
        <w:pStyle w:val="Source"/>
        <w:rPr>
          <w:iCs/>
        </w:rPr>
      </w:pPr>
      <w:r w:rsidRPr="00DA0EE7">
        <w:rPr>
          <w:iCs/>
        </w:rPr>
        <w:t>Source: CIE based on ABS</w:t>
      </w:r>
      <w:r w:rsidR="00184E9F">
        <w:rPr>
          <w:iCs/>
        </w:rPr>
        <w:t>.</w:t>
      </w:r>
    </w:p>
    <w:p w14:paraId="022978F2" w14:textId="77777777" w:rsidR="00CB75FE" w:rsidRDefault="00CB75FE" w:rsidP="00CB75FE">
      <w:pPr>
        <w:pStyle w:val="BodyText"/>
      </w:pPr>
      <w:r>
        <w:t>This estimate is likely to be significantly over</w:t>
      </w:r>
      <w:r>
        <w:noBreakHyphen/>
        <w:t>estimated because it is unclear whether new housing that would be built under a revised NCC would necessarily be located close to employment opportunities (see discussion above).</w:t>
      </w:r>
    </w:p>
    <w:p w14:paraId="0C118128" w14:textId="77777777" w:rsidR="00415440" w:rsidRPr="00F4477B" w:rsidRDefault="00415440" w:rsidP="00F4477B">
      <w:pPr>
        <w:pStyle w:val="Heading3-Appendix"/>
      </w:pPr>
      <w:r w:rsidRPr="00F4477B">
        <w:t>Fatigue and support needs</w:t>
      </w:r>
    </w:p>
    <w:p w14:paraId="16949994" w14:textId="77777777" w:rsidR="00415440" w:rsidRDefault="004A4C27" w:rsidP="00415440">
      <w:pPr>
        <w:pStyle w:val="BodyText"/>
      </w:pPr>
      <w:r>
        <w:t xml:space="preserve">According to the </w:t>
      </w:r>
      <w:r w:rsidR="001353BF">
        <w:t xml:space="preserve">MDI and </w:t>
      </w:r>
      <w:r>
        <w:t>Summer Foundation submission:</w:t>
      </w:r>
    </w:p>
    <w:p w14:paraId="5DD47628" w14:textId="77777777" w:rsidR="00415440" w:rsidRDefault="00415440" w:rsidP="00415440">
      <w:pPr>
        <w:pStyle w:val="ListBullet"/>
      </w:pPr>
      <w:r>
        <w:t>Fatigue from living in an inaccessible home and the additional time and energy spent on self</w:t>
      </w:r>
      <w:r>
        <w:noBreakHyphen/>
        <w:t>care and homecare reduces productivity, motivation, self</w:t>
      </w:r>
      <w:r>
        <w:noBreakHyphen/>
        <w:t>confidence and capacity to work, study and volunteer</w:t>
      </w:r>
    </w:p>
    <w:p w14:paraId="3AC5BE5A" w14:textId="77777777" w:rsidR="00415440" w:rsidRDefault="00415440" w:rsidP="00415440">
      <w:pPr>
        <w:pStyle w:val="ListBullet"/>
      </w:pPr>
      <w:r>
        <w:t>Inaccessible housing increases reliance on paid and unpaid support with personal and domestic activities, limiting ability to take on employment.</w:t>
      </w:r>
    </w:p>
    <w:p w14:paraId="4F244E5F" w14:textId="77777777" w:rsidR="00CB75FE" w:rsidRDefault="00CB75FE" w:rsidP="00CB75FE">
      <w:pPr>
        <w:pStyle w:val="BodyText"/>
      </w:pPr>
      <w:r>
        <w:t>This implies that these factors could potentially:</w:t>
      </w:r>
    </w:p>
    <w:p w14:paraId="3EDF7DE2" w14:textId="77777777" w:rsidR="00CB75FE" w:rsidRDefault="00CB75FE" w:rsidP="00CB75FE">
      <w:pPr>
        <w:pStyle w:val="ListBullet"/>
      </w:pPr>
      <w:r>
        <w:t>reduce the number of people with mobility limitations that are employed</w:t>
      </w:r>
      <w:r w:rsidR="00184E9F">
        <w:t>,</w:t>
      </w:r>
      <w:r>
        <w:t xml:space="preserve"> and</w:t>
      </w:r>
    </w:p>
    <w:p w14:paraId="1EED2C1B" w14:textId="77777777" w:rsidR="00CB75FE" w:rsidRDefault="00CB75FE" w:rsidP="00CB75FE">
      <w:pPr>
        <w:pStyle w:val="ListBullet"/>
      </w:pPr>
      <w:r>
        <w:t>reduce the productivity of those that are employed.</w:t>
      </w:r>
    </w:p>
    <w:p w14:paraId="0BC1DBF5" w14:textId="77777777" w:rsidR="00CB75FE" w:rsidRDefault="00CB75FE" w:rsidP="00CB75FE">
      <w:pPr>
        <w:pStyle w:val="BodyText"/>
      </w:pPr>
      <w:r>
        <w:t>Submissions provided examples of the lived experience of people who were restricted in their ability to work due to fatigue and/or support needs associated with living in inaccessible housing or for whom living in inaccessible housing had affected their productivity (</w:t>
      </w:r>
      <w:r w:rsidR="001353BF">
        <w:t>b</w:t>
      </w:r>
      <w:r>
        <w:t>ox </w:t>
      </w:r>
      <w:r w:rsidR="00445027">
        <w:t>J.1</w:t>
      </w:r>
      <w:r w:rsidR="0032087C">
        <w:t>1</w:t>
      </w:r>
      <w:r>
        <w:t>).</w:t>
      </w:r>
    </w:p>
    <w:p w14:paraId="271FF8CF" w14:textId="77777777" w:rsidR="00CB75FE" w:rsidRDefault="00CB75FE" w:rsidP="00CB75FE">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J.11: Lived experiences — limitations on ability to work from inaccessible housing"/>
        <w:tblDescription w:val="Examples from submissions of the lived experience of people who were restricted in their ability to work due to fatigue and/or support needs associated with living in inaccessible housing or for whom living in inaccessible housing had affected their productivity."/>
      </w:tblPr>
      <w:tblGrid>
        <w:gridCol w:w="7938"/>
      </w:tblGrid>
      <w:tr w:rsidR="00CB75FE" w:rsidRPr="00E05C8C" w14:paraId="526A846E" w14:textId="77777777" w:rsidTr="00991AAD">
        <w:trPr>
          <w:cantSplit/>
        </w:trPr>
        <w:tc>
          <w:tcPr>
            <w:tcW w:w="7938" w:type="dxa"/>
            <w:tcBorders>
              <w:top w:val="nil"/>
              <w:left w:val="nil"/>
              <w:bottom w:val="nil"/>
              <w:right w:val="nil"/>
            </w:tcBorders>
            <w:shd w:val="clear" w:color="auto" w:fill="C6BFAB" w:themeFill="accent3"/>
          </w:tcPr>
          <w:p w14:paraId="1098D686" w14:textId="3019F562" w:rsidR="00CB75FE" w:rsidRPr="00E05C8C" w:rsidRDefault="00390CDB" w:rsidP="00CB75FE">
            <w:pPr>
              <w:pStyle w:val="Caption"/>
              <w:numPr>
                <w:ilvl w:val="0"/>
                <w:numId w:val="13"/>
              </w:numPr>
              <w:spacing w:before="120" w:after="100"/>
            </w:pPr>
            <w:bookmarkStart w:id="893" w:name="_Toc57643728"/>
            <w:bookmarkStart w:id="894" w:name="_Toc70505681"/>
            <w:r>
              <w:t>J.11</w:t>
            </w:r>
            <w:r w:rsidR="00CB75FE" w:rsidRPr="00E05C8C">
              <w:tab/>
            </w:r>
            <w:r w:rsidR="00CB75FE">
              <w:t xml:space="preserve">Lived experiences — </w:t>
            </w:r>
            <w:r w:rsidR="00445027">
              <w:t>limitations on ability to work</w:t>
            </w:r>
            <w:r w:rsidR="00CB75FE">
              <w:t xml:space="preserve"> from inaccessible housing</w:t>
            </w:r>
            <w:bookmarkEnd w:id="893"/>
            <w:bookmarkEnd w:id="894"/>
          </w:p>
        </w:tc>
      </w:tr>
      <w:tr w:rsidR="00CB75FE" w14:paraId="085D80B6" w14:textId="77777777" w:rsidTr="00CC5C24">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4" w:space="0" w:color="9B917E" w:themeColor="accent4"/>
            </w:tcBorders>
            <w:shd w:val="clear" w:color="auto" w:fill="E9E8E5" w:themeFill="background2"/>
          </w:tcPr>
          <w:p w14:paraId="5B67612D" w14:textId="77777777" w:rsidR="00CB75FE" w:rsidRDefault="00CB75FE" w:rsidP="00B838F6">
            <w:pPr>
              <w:pStyle w:val="ListBullet"/>
              <w:rPr>
                <w:lang w:bidi="fa-IR"/>
              </w:rPr>
            </w:pPr>
            <w:r>
              <w:rPr>
                <w:lang w:bidi="fa-IR"/>
              </w:rPr>
              <w:t>A case study from the Summer Foundation and Melbourne Disability Institute — Rowena’s story — provides evidence of housing features contributing to fatigue and limiting her ability to work.</w:t>
            </w:r>
            <w:r>
              <w:rPr>
                <w:rStyle w:val="FootnoteReference"/>
                <w:lang w:bidi="fa-IR"/>
              </w:rPr>
              <w:footnoteReference w:id="556"/>
            </w:r>
            <w:r>
              <w:rPr>
                <w:lang w:bidi="fa-IR"/>
              </w:rPr>
              <w:t xml:space="preserve"> Rowena suffers from chronic fatigue syndrome and various features of her home sap her energy and limit her ability to work. The features specifically referred to include:</w:t>
            </w:r>
          </w:p>
          <w:p w14:paraId="2807E6CC" w14:textId="77777777" w:rsidR="00CB75FE" w:rsidRDefault="00CB75FE" w:rsidP="00B838F6">
            <w:pPr>
              <w:pStyle w:val="ListBullet2"/>
              <w:rPr>
                <w:lang w:bidi="fa-IR"/>
              </w:rPr>
            </w:pPr>
            <w:r>
              <w:rPr>
                <w:lang w:bidi="fa-IR"/>
              </w:rPr>
              <w:t xml:space="preserve">one flight of stairs at the entry/exit </w:t>
            </w:r>
          </w:p>
          <w:p w14:paraId="522DE5B8" w14:textId="77777777" w:rsidR="00CB75FE" w:rsidRDefault="00CB75FE" w:rsidP="00B838F6">
            <w:pPr>
              <w:pStyle w:val="ListBullet2"/>
              <w:rPr>
                <w:lang w:bidi="fa-IR"/>
              </w:rPr>
            </w:pPr>
            <w:r>
              <w:rPr>
                <w:lang w:bidi="fa-IR"/>
              </w:rPr>
              <w:t>the height of shelves in the kitchen.</w:t>
            </w:r>
          </w:p>
          <w:p w14:paraId="45D293DE" w14:textId="77777777" w:rsidR="00CB75FE" w:rsidRDefault="00CB75FE" w:rsidP="00B838F6">
            <w:pPr>
              <w:pStyle w:val="ListBullet"/>
              <w:rPr>
                <w:lang w:bidi="fa-IR"/>
              </w:rPr>
            </w:pPr>
            <w:r>
              <w:rPr>
                <w:lang w:bidi="fa-IR"/>
              </w:rPr>
              <w:t xml:space="preserve">The submission from the Summer Foundation and Melbourne Disability Institute also provides various relevant quotes from survey respondents that provide evidence that inaccessible housing increases fatigue and limits the ability of some people with </w:t>
            </w:r>
            <w:r w:rsidR="00D870C0">
              <w:rPr>
                <w:lang w:bidi="fa-IR"/>
              </w:rPr>
              <w:t>disability</w:t>
            </w:r>
            <w:r w:rsidR="00414659">
              <w:rPr>
                <w:lang w:bidi="fa-IR"/>
              </w:rPr>
              <w:t xml:space="preserve"> </w:t>
            </w:r>
            <w:r>
              <w:rPr>
                <w:lang w:bidi="fa-IR"/>
              </w:rPr>
              <w:t>to work.</w:t>
            </w:r>
            <w:r>
              <w:rPr>
                <w:rStyle w:val="FootnoteReference"/>
                <w:lang w:bidi="fa-IR"/>
              </w:rPr>
              <w:footnoteReference w:id="557"/>
            </w:r>
          </w:p>
          <w:p w14:paraId="3A7F8530" w14:textId="77777777" w:rsidR="00CB75FE" w:rsidRDefault="00CB75FE" w:rsidP="00445027">
            <w:pPr>
              <w:pStyle w:val="Quote"/>
            </w:pPr>
            <w:r>
              <w:t>“Time and energy spent getting prepared for work can take an overall toll on energy left to get to/from work and around the workplace.”</w:t>
            </w:r>
          </w:p>
          <w:p w14:paraId="49255E99" w14:textId="77777777" w:rsidR="00CB75FE" w:rsidRDefault="00CB75FE" w:rsidP="00445027">
            <w:pPr>
              <w:pStyle w:val="Quote"/>
            </w:pPr>
            <w:r>
              <w:t>“When the house is inaccessible time it takes to access the shower and toilet prevented me from taking on paid employment.”</w:t>
            </w:r>
          </w:p>
          <w:p w14:paraId="39AAFD75" w14:textId="77777777" w:rsidR="00CB75FE" w:rsidRDefault="00CB75FE" w:rsidP="00445027">
            <w:pPr>
              <w:pStyle w:val="Quote"/>
            </w:pPr>
            <w:r>
              <w:t>“Suitable private rental housing was much further away from work/study so lost 2 hours a week to travel time. Energy required to live/clean/cook/shower in rental housing that didn’t meet my access needs meant I decided to work part-time (4 days a week). So I lost 1 day a week wages + associated superannuation, leave entitlements + missed promotion opportunities at work due to being part time employee.”</w:t>
            </w:r>
          </w:p>
          <w:p w14:paraId="6FCA3E3A" w14:textId="77777777" w:rsidR="00CB75FE" w:rsidRDefault="00CB75FE" w:rsidP="00445027">
            <w:pPr>
              <w:pStyle w:val="Quote"/>
            </w:pPr>
            <w:r>
              <w:t>“Accessibility directly affects my physical emotional and mental wellbeing and health. Bad design means extra effort which means less capacity for work or study.”</w:t>
            </w:r>
          </w:p>
          <w:p w14:paraId="3CC23746" w14:textId="77777777" w:rsidR="00CB75FE" w:rsidRDefault="00CB75FE" w:rsidP="00445027">
            <w:pPr>
              <w:pStyle w:val="Quote"/>
            </w:pPr>
            <w:r>
              <w:t>“My apartment has incredibly limiting space in the bathroom in particular, and this has meant that I have been late for things, especially when work was still in an office. The space between the wall, my wheelchair and bed is narrow. My closet is largely inaccessible. Getting ready for anything, but work especially, takes a long time.”</w:t>
            </w:r>
          </w:p>
          <w:p w14:paraId="01CF4A2E" w14:textId="77777777" w:rsidR="00CB75FE" w:rsidRPr="00BF2F67" w:rsidRDefault="00CB75FE" w:rsidP="00991AAD">
            <w:pPr>
              <w:pStyle w:val="Quote"/>
              <w:spacing w:after="120"/>
            </w:pPr>
            <w:r>
              <w:t>“The energy which navigating these stairs takes is something which I have to factor into every day….That is not even considering the energy needed to cook dinner or perform other typical household chores once I get inside after work. This takes a significant toll on the extent to which I can be productive during a workday.”</w:t>
            </w:r>
          </w:p>
        </w:tc>
      </w:tr>
    </w:tbl>
    <w:p w14:paraId="061F69DD" w14:textId="77777777" w:rsidR="00CB75FE" w:rsidRPr="004B79EC" w:rsidRDefault="00CB75FE" w:rsidP="004B79EC">
      <w:pPr>
        <w:pStyle w:val="Heading4-Appendix"/>
      </w:pPr>
      <w:r w:rsidRPr="004B79EC">
        <w:t xml:space="preserve">Potential impacts on </w:t>
      </w:r>
      <w:r w:rsidR="003D2051" w:rsidRPr="004B79EC">
        <w:t>labour force participation</w:t>
      </w:r>
    </w:p>
    <w:p w14:paraId="7E2D000A" w14:textId="77777777" w:rsidR="003D2051" w:rsidRDefault="003D2051" w:rsidP="003D2051">
      <w:pPr>
        <w:pStyle w:val="BodyText"/>
      </w:pPr>
      <w:r>
        <w:t xml:space="preserve">A low participation rate for working age people with limited mobility is the main factor leading to low levels of employment. As shown in chapter </w:t>
      </w:r>
      <w:r w:rsidR="00EF24E9">
        <w:t>three</w:t>
      </w:r>
      <w:r>
        <w:t>, the participation rate for working age people with limited mobility is around 42 per cent, compared with 67 per</w:t>
      </w:r>
      <w:r w:rsidR="00463DE9">
        <w:t> </w:t>
      </w:r>
      <w:r>
        <w:t>cent among the broader community.</w:t>
      </w:r>
    </w:p>
    <w:p w14:paraId="1F677C7E" w14:textId="77777777" w:rsidR="003D2051" w:rsidRPr="007E0B0E" w:rsidRDefault="003D2051" w:rsidP="003D2051">
      <w:pPr>
        <w:pStyle w:val="BodyText"/>
      </w:pPr>
      <w:r>
        <w:t>It is not clear to what extent inaccessible housing contributes to low participation rates among working age people with limited mobility, compared with other barriers to employment. According to the Australian Human Rights Commission, s</w:t>
      </w:r>
      <w:r w:rsidRPr="007E0B0E">
        <w:t>ome possible barriers Australians with disability may experience in gaining and keeping employment include:</w:t>
      </w:r>
      <w:r>
        <w:rPr>
          <w:rStyle w:val="FootnoteReference"/>
        </w:rPr>
        <w:footnoteReference w:id="558"/>
      </w:r>
    </w:p>
    <w:p w14:paraId="601FC045" w14:textId="77777777" w:rsidR="003D2051" w:rsidRPr="007E0B0E" w:rsidRDefault="003D2051" w:rsidP="003D2051">
      <w:pPr>
        <w:pStyle w:val="ListBullet"/>
      </w:pPr>
      <w:r>
        <w:t>d</w:t>
      </w:r>
      <w:r w:rsidRPr="007E0B0E">
        <w:t>iscriminatory attitudes and behaviours during recruitment, and in the workplace, from employers and others</w:t>
      </w:r>
    </w:p>
    <w:p w14:paraId="3D1FF062" w14:textId="77777777" w:rsidR="003D2051" w:rsidRPr="007E0B0E" w:rsidRDefault="003D2051" w:rsidP="003D2051">
      <w:pPr>
        <w:pStyle w:val="ListBullet"/>
      </w:pPr>
      <w:r>
        <w:t>l</w:t>
      </w:r>
      <w:r w:rsidRPr="007E0B0E">
        <w:t>ow levels of awareness of rights at work</w:t>
      </w:r>
    </w:p>
    <w:p w14:paraId="0D55A6DD" w14:textId="77777777" w:rsidR="003D2051" w:rsidRPr="007E0B0E" w:rsidRDefault="003D2051" w:rsidP="003D2051">
      <w:pPr>
        <w:pStyle w:val="ListBullet"/>
      </w:pPr>
      <w:r>
        <w:t>l</w:t>
      </w:r>
      <w:r w:rsidRPr="007E0B0E">
        <w:t>ack of availability of jobs</w:t>
      </w:r>
    </w:p>
    <w:p w14:paraId="29EF15CC" w14:textId="77777777" w:rsidR="003D2051" w:rsidRPr="007E0B0E" w:rsidRDefault="003D2051" w:rsidP="003D2051">
      <w:pPr>
        <w:pStyle w:val="ListBullet"/>
      </w:pPr>
      <w:r>
        <w:t>l</w:t>
      </w:r>
      <w:r w:rsidRPr="007E0B0E">
        <w:t>ack of assistance in finding, securing and maintaining employment</w:t>
      </w:r>
    </w:p>
    <w:p w14:paraId="5423FEB6" w14:textId="77777777" w:rsidR="003D2051" w:rsidRPr="007E0B0E" w:rsidRDefault="003D2051" w:rsidP="003D2051">
      <w:pPr>
        <w:pStyle w:val="ListBullet"/>
      </w:pPr>
      <w:r>
        <w:t>d</w:t>
      </w:r>
      <w:r w:rsidRPr="007E0B0E">
        <w:t>ifficulty in accessing skills training and education</w:t>
      </w:r>
    </w:p>
    <w:p w14:paraId="03EF7086" w14:textId="77777777" w:rsidR="003D2051" w:rsidRPr="007E0B0E" w:rsidRDefault="003D2051" w:rsidP="003D2051">
      <w:pPr>
        <w:pStyle w:val="ListBullet"/>
      </w:pPr>
      <w:r>
        <w:t>p</w:t>
      </w:r>
      <w:r w:rsidRPr="007E0B0E">
        <w:t>otential reduction or loss of the Disability Support Pension as a result of increased employment</w:t>
      </w:r>
    </w:p>
    <w:p w14:paraId="13BC8772" w14:textId="77777777" w:rsidR="003D2051" w:rsidRPr="007E0B0E" w:rsidRDefault="003D2051" w:rsidP="003D2051">
      <w:pPr>
        <w:pStyle w:val="ListBullet"/>
      </w:pPr>
      <w:r>
        <w:t>d</w:t>
      </w:r>
      <w:r w:rsidRPr="007E0B0E">
        <w:t>ifficulty experienced in accessing flexible work arrangements</w:t>
      </w:r>
    </w:p>
    <w:p w14:paraId="42A4CDD2" w14:textId="77777777" w:rsidR="003D2051" w:rsidRPr="007E0B0E" w:rsidRDefault="003D2051" w:rsidP="003D2051">
      <w:pPr>
        <w:pStyle w:val="ListBullet"/>
      </w:pPr>
      <w:r>
        <w:t>h</w:t>
      </w:r>
      <w:r w:rsidRPr="007E0B0E">
        <w:t>ealth issues</w:t>
      </w:r>
    </w:p>
    <w:p w14:paraId="4778CDFA" w14:textId="77777777" w:rsidR="003D2051" w:rsidRPr="007E0B0E" w:rsidRDefault="003D2051" w:rsidP="003D2051">
      <w:pPr>
        <w:pStyle w:val="ListBullet"/>
      </w:pPr>
      <w:r>
        <w:t>d</w:t>
      </w:r>
      <w:r w:rsidRPr="007E0B0E">
        <w:t>ifficulty in negotiating reasonable adjustments/accommodation in the workplace</w:t>
      </w:r>
    </w:p>
    <w:p w14:paraId="0082BDC0" w14:textId="77777777" w:rsidR="003D2051" w:rsidRPr="007E0B0E" w:rsidRDefault="003D2051" w:rsidP="003D2051">
      <w:pPr>
        <w:pStyle w:val="ListBullet"/>
      </w:pPr>
      <w:r>
        <w:t>l</w:t>
      </w:r>
      <w:r w:rsidRPr="007E0B0E">
        <w:t>ack of availability of accessible transport, technology in the workplace and workplace design.</w:t>
      </w:r>
    </w:p>
    <w:p w14:paraId="32B61EA1" w14:textId="77777777" w:rsidR="003D2051" w:rsidRDefault="003D2051" w:rsidP="003D2051">
      <w:pPr>
        <w:pStyle w:val="BodyText"/>
      </w:pPr>
      <w:r>
        <w:t>SDAC provides data on specific employment restrictions and the reasons why people are not looking for work; however, none of the restrictions/reasons given relate specifically to housing (this in itself could be indicative that accessibility of housing may not be a significant factor).</w:t>
      </w:r>
    </w:p>
    <w:p w14:paraId="0FC1E2F4" w14:textId="77777777" w:rsidR="003D2051" w:rsidRDefault="003D2051" w:rsidP="003D2051">
      <w:pPr>
        <w:pStyle w:val="BodyText"/>
      </w:pPr>
      <w:r>
        <w:t>Nevertheless (as noted above), around 467 400 people are reported as being permanently unable to work. It seems unlikely that more accessible housing would increase participation in the labour force for this group of people.</w:t>
      </w:r>
    </w:p>
    <w:p w14:paraId="1C2C6F2A" w14:textId="77777777" w:rsidR="003D2051" w:rsidRPr="003D2051" w:rsidRDefault="003D2051" w:rsidP="003D2051">
      <w:pPr>
        <w:pStyle w:val="BodyText"/>
      </w:pPr>
      <w:r>
        <w:t>Excluding people who are reported as being permanently unable to work, the participation rate for working age people with limited mobility is close to the participation rate for the broader community. This suggests that accessible housing is unlikely to be having a significant impact on the participation rate.</w:t>
      </w:r>
    </w:p>
    <w:p w14:paraId="6FB16925" w14:textId="77777777" w:rsidR="00CB75FE" w:rsidRPr="004B79EC" w:rsidRDefault="00CB75FE" w:rsidP="004B79EC">
      <w:pPr>
        <w:pStyle w:val="Heading4-Appendix"/>
      </w:pPr>
      <w:r w:rsidRPr="004B79EC">
        <w:t>Potential impacts on hours worked</w:t>
      </w:r>
    </w:p>
    <w:p w14:paraId="041BB28F" w14:textId="6F17DBC9" w:rsidR="00CB75FE" w:rsidRDefault="00CB75FE" w:rsidP="00CB75FE">
      <w:pPr>
        <w:pStyle w:val="BodyText"/>
        <w:rPr>
          <w:lang w:eastAsia="en-US"/>
        </w:rPr>
      </w:pPr>
      <w:r>
        <w:rPr>
          <w:lang w:eastAsia="en-US"/>
        </w:rPr>
        <w:t>SDAC data shows that a significantly higher share of those with limited mobility who are employed work part time (around 47 per cent) relative to the broader population (around 31 per cent). If the proportion of people employed with limited mobility was consistent with the broader population, there would be an additional 79 500 people working full-time (table </w:t>
      </w:r>
      <w:r w:rsidR="00362332">
        <w:rPr>
          <w:lang w:eastAsia="en-US"/>
        </w:rPr>
        <w:t>J.12</w:t>
      </w:r>
      <w:r>
        <w:rPr>
          <w:lang w:eastAsia="en-US"/>
        </w:rPr>
        <w:t>).</w:t>
      </w:r>
    </w:p>
    <w:p w14:paraId="359DC86E" w14:textId="30651A43" w:rsidR="00CB75FE" w:rsidRDefault="00390CDB" w:rsidP="00F349EB">
      <w:pPr>
        <w:pStyle w:val="Caption"/>
      </w:pPr>
      <w:bookmarkStart w:id="895" w:name="_Toc57643730"/>
      <w:bookmarkStart w:id="896" w:name="_Toc70505682"/>
      <w:r>
        <w:t>J.12</w:t>
      </w:r>
      <w:r w:rsidR="00CB75FE" w:rsidRPr="00695C93">
        <w:tab/>
      </w:r>
      <w:r w:rsidR="00CB75FE">
        <w:t>Additional people that could potentially work full-time</w:t>
      </w:r>
      <w:bookmarkEnd w:id="895"/>
      <w:bookmarkEnd w:id="896"/>
    </w:p>
    <w:tbl>
      <w:tblPr>
        <w:tblW w:w="0" w:type="auto"/>
        <w:tblLayout w:type="fixed"/>
        <w:tblLook w:val="0000" w:firstRow="0" w:lastRow="0" w:firstColumn="0" w:lastColumn="0" w:noHBand="0" w:noVBand="0"/>
        <w:tblCaption w:val="Table J.12: Additional people that could potentially work full-time"/>
        <w:tblDescription w:val="Table J.12 lists the number of people with limited mobility who could potentially work full-time instead of part-time (79,500 people)."/>
      </w:tblPr>
      <w:tblGrid>
        <w:gridCol w:w="2952"/>
        <w:gridCol w:w="1662"/>
        <w:gridCol w:w="1661"/>
        <w:gridCol w:w="1661"/>
      </w:tblGrid>
      <w:tr w:rsidR="00CB75FE" w14:paraId="04AA1CEC" w14:textId="77777777" w:rsidTr="008342FB">
        <w:trPr>
          <w:trHeight w:val="654"/>
        </w:trPr>
        <w:tc>
          <w:tcPr>
            <w:tcW w:w="2952" w:type="dxa"/>
            <w:tcBorders>
              <w:bottom w:val="single" w:sz="8" w:space="0" w:color="FFFFFF" w:themeColor="background1"/>
            </w:tcBorders>
            <w:shd w:val="clear" w:color="auto" w:fill="6F6652"/>
            <w:tcMar>
              <w:left w:w="57" w:type="dxa"/>
              <w:right w:w="57" w:type="dxa"/>
            </w:tcMar>
          </w:tcPr>
          <w:p w14:paraId="011EEB72" w14:textId="77777777" w:rsidR="00CB75FE" w:rsidRDefault="00AC541E" w:rsidP="00F349EB">
            <w:pPr>
              <w:pStyle w:val="TableDataColumnHeading"/>
              <w:jc w:val="left"/>
            </w:pPr>
            <w:r>
              <w:t>Employment</w:t>
            </w:r>
          </w:p>
        </w:tc>
        <w:tc>
          <w:tcPr>
            <w:tcW w:w="1662" w:type="dxa"/>
            <w:tcBorders>
              <w:bottom w:val="single" w:sz="8" w:space="0" w:color="FFFFFF" w:themeColor="background1"/>
            </w:tcBorders>
            <w:shd w:val="clear" w:color="auto" w:fill="6F6652"/>
            <w:tcMar>
              <w:left w:w="57" w:type="dxa"/>
              <w:right w:w="57" w:type="dxa"/>
            </w:tcMar>
          </w:tcPr>
          <w:p w14:paraId="1A3B32D5" w14:textId="77777777" w:rsidR="00CB75FE" w:rsidRDefault="00CB75FE" w:rsidP="00F349EB">
            <w:pPr>
              <w:pStyle w:val="TableDataColumnHeading"/>
            </w:pPr>
            <w:r>
              <w:t>Actual number ('000)</w:t>
            </w:r>
          </w:p>
        </w:tc>
        <w:tc>
          <w:tcPr>
            <w:tcW w:w="1661" w:type="dxa"/>
            <w:tcBorders>
              <w:bottom w:val="single" w:sz="8" w:space="0" w:color="FFFFFF" w:themeColor="background1"/>
            </w:tcBorders>
            <w:shd w:val="clear" w:color="auto" w:fill="6F6652"/>
            <w:tcMar>
              <w:left w:w="57" w:type="dxa"/>
              <w:right w:w="57" w:type="dxa"/>
            </w:tcMar>
          </w:tcPr>
          <w:p w14:paraId="6C19D49E" w14:textId="77777777" w:rsidR="00CB75FE" w:rsidRDefault="00CB75FE" w:rsidP="00F349EB">
            <w:pPr>
              <w:pStyle w:val="TableDataColumnHeading"/>
            </w:pPr>
            <w:r>
              <w:t>Implied number based on proportions in the broader population ('000)</w:t>
            </w:r>
          </w:p>
        </w:tc>
        <w:tc>
          <w:tcPr>
            <w:tcW w:w="1661" w:type="dxa"/>
            <w:tcBorders>
              <w:bottom w:val="single" w:sz="8" w:space="0" w:color="FFFFFF" w:themeColor="background1"/>
            </w:tcBorders>
            <w:shd w:val="clear" w:color="auto" w:fill="6F6652"/>
            <w:tcMar>
              <w:left w:w="57" w:type="dxa"/>
              <w:right w:w="57" w:type="dxa"/>
            </w:tcMar>
          </w:tcPr>
          <w:p w14:paraId="35FEA26E" w14:textId="77777777" w:rsidR="00CB75FE" w:rsidRDefault="00CB75FE" w:rsidP="00F349EB">
            <w:pPr>
              <w:pStyle w:val="TableDataColumnHeading"/>
            </w:pPr>
            <w:r>
              <w:t>Difference ('000)</w:t>
            </w:r>
          </w:p>
        </w:tc>
      </w:tr>
      <w:tr w:rsidR="00CB75FE" w14:paraId="6FB0E55D" w14:textId="77777777" w:rsidTr="00F349EB">
        <w:trPr>
          <w:trHeight w:val="245"/>
        </w:trPr>
        <w:tc>
          <w:tcPr>
            <w:tcW w:w="29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243DBD" w14:textId="77777777" w:rsidR="00CB75FE" w:rsidRDefault="00CB75FE" w:rsidP="00F349EB">
            <w:pPr>
              <w:pStyle w:val="TableDataEntries"/>
              <w:jc w:val="left"/>
            </w:pPr>
            <w:r>
              <w:t>Full-time</w:t>
            </w:r>
          </w:p>
        </w:tc>
        <w:tc>
          <w:tcPr>
            <w:tcW w:w="16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613162" w14:textId="77777777" w:rsidR="00CB75FE" w:rsidRDefault="00CB75FE" w:rsidP="00F349EB">
            <w:pPr>
              <w:pStyle w:val="TableDataEntries"/>
            </w:pPr>
            <w:r>
              <w:t>267.0</w:t>
            </w:r>
          </w:p>
        </w:tc>
        <w:tc>
          <w:tcPr>
            <w:tcW w:w="1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B05F82" w14:textId="77777777" w:rsidR="00CB75FE" w:rsidRDefault="00CB75FE" w:rsidP="00F349EB">
            <w:pPr>
              <w:pStyle w:val="TableDataEntries"/>
            </w:pPr>
            <w:r>
              <w:t>346.5</w:t>
            </w:r>
          </w:p>
        </w:tc>
        <w:tc>
          <w:tcPr>
            <w:tcW w:w="1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4CCF12" w14:textId="77777777" w:rsidR="00CB75FE" w:rsidRDefault="00CB75FE" w:rsidP="00F349EB">
            <w:pPr>
              <w:pStyle w:val="TableDataEntries"/>
            </w:pPr>
            <w:r>
              <w:t>79.5</w:t>
            </w:r>
          </w:p>
        </w:tc>
      </w:tr>
      <w:tr w:rsidR="00CB75FE" w14:paraId="26D14834" w14:textId="77777777" w:rsidTr="00F349EB">
        <w:trPr>
          <w:trHeight w:val="245"/>
        </w:trPr>
        <w:tc>
          <w:tcPr>
            <w:tcW w:w="29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5C1C7D" w14:textId="77777777" w:rsidR="00CB75FE" w:rsidRDefault="00CB75FE" w:rsidP="00F349EB">
            <w:pPr>
              <w:pStyle w:val="TableDataEntries"/>
              <w:jc w:val="left"/>
            </w:pPr>
            <w:r>
              <w:t>Part-time</w:t>
            </w:r>
          </w:p>
        </w:tc>
        <w:tc>
          <w:tcPr>
            <w:tcW w:w="16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BDE36B" w14:textId="77777777" w:rsidR="00CB75FE" w:rsidRDefault="00CB75FE" w:rsidP="00F349EB">
            <w:pPr>
              <w:pStyle w:val="TableDataEntries"/>
            </w:pPr>
            <w:r>
              <w:t>232.8</w:t>
            </w:r>
          </w:p>
        </w:tc>
        <w:tc>
          <w:tcPr>
            <w:tcW w:w="1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CA4B06" w14:textId="77777777" w:rsidR="00CB75FE" w:rsidRDefault="00CB75FE" w:rsidP="00F349EB">
            <w:pPr>
              <w:pStyle w:val="TableDataEntries"/>
            </w:pPr>
            <w:r>
              <w:t>153.3</w:t>
            </w:r>
          </w:p>
        </w:tc>
        <w:tc>
          <w:tcPr>
            <w:tcW w:w="16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AD0623" w14:textId="77777777" w:rsidR="00CB75FE" w:rsidRDefault="00CB75FE" w:rsidP="00F349EB">
            <w:pPr>
              <w:pStyle w:val="TableDataEntries"/>
            </w:pPr>
            <w:r>
              <w:t>-79.5</w:t>
            </w:r>
          </w:p>
        </w:tc>
      </w:tr>
      <w:tr w:rsidR="00CB75FE" w:rsidRPr="00B838F6" w14:paraId="38384E68" w14:textId="77777777" w:rsidTr="00B838F6">
        <w:trPr>
          <w:trHeight w:val="245"/>
        </w:trPr>
        <w:tc>
          <w:tcPr>
            <w:tcW w:w="29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5CBC46A" w14:textId="77777777" w:rsidR="00CB75FE" w:rsidRPr="00B838F6" w:rsidRDefault="00CB75FE" w:rsidP="00F349EB">
            <w:pPr>
              <w:pStyle w:val="TableDataEntries"/>
              <w:jc w:val="left"/>
              <w:rPr>
                <w:rFonts w:ascii="Franklin Gothic Demi" w:hAnsi="Franklin Gothic Demi"/>
              </w:rPr>
            </w:pPr>
            <w:r w:rsidRPr="00B838F6">
              <w:rPr>
                <w:rFonts w:ascii="Franklin Gothic Demi" w:hAnsi="Franklin Gothic Demi"/>
              </w:rPr>
              <w:t>Total</w:t>
            </w:r>
          </w:p>
        </w:tc>
        <w:tc>
          <w:tcPr>
            <w:tcW w:w="166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53AE1F6" w14:textId="77777777" w:rsidR="00CB75FE" w:rsidRPr="00B838F6" w:rsidRDefault="00CB75FE" w:rsidP="00F349EB">
            <w:pPr>
              <w:pStyle w:val="TableDataEntries"/>
              <w:rPr>
                <w:rFonts w:ascii="Franklin Gothic Demi" w:hAnsi="Franklin Gothic Demi"/>
              </w:rPr>
            </w:pPr>
            <w:r w:rsidRPr="00B838F6">
              <w:rPr>
                <w:rFonts w:ascii="Franklin Gothic Demi" w:hAnsi="Franklin Gothic Demi"/>
              </w:rPr>
              <w:t>499.8</w:t>
            </w:r>
          </w:p>
        </w:tc>
        <w:tc>
          <w:tcPr>
            <w:tcW w:w="16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EFB70D6" w14:textId="77777777" w:rsidR="00CB75FE" w:rsidRPr="00B838F6" w:rsidRDefault="00CB75FE" w:rsidP="00F349EB">
            <w:pPr>
              <w:pStyle w:val="TableDataEntries"/>
              <w:rPr>
                <w:rFonts w:ascii="Franklin Gothic Demi" w:hAnsi="Franklin Gothic Demi"/>
              </w:rPr>
            </w:pPr>
            <w:r w:rsidRPr="00B838F6">
              <w:rPr>
                <w:rFonts w:ascii="Franklin Gothic Demi" w:hAnsi="Franklin Gothic Demi"/>
              </w:rPr>
              <w:t>499.8</w:t>
            </w:r>
          </w:p>
        </w:tc>
        <w:tc>
          <w:tcPr>
            <w:tcW w:w="166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F248CBE" w14:textId="77777777" w:rsidR="00CB75FE" w:rsidRPr="00B838F6" w:rsidRDefault="00CB75FE" w:rsidP="00F349EB">
            <w:pPr>
              <w:pStyle w:val="TableDataEntries"/>
              <w:rPr>
                <w:rFonts w:ascii="Franklin Gothic Demi" w:hAnsi="Franklin Gothic Demi"/>
              </w:rPr>
            </w:pPr>
            <w:r w:rsidRPr="00B838F6">
              <w:rPr>
                <w:rFonts w:ascii="Franklin Gothic Demi" w:hAnsi="Franklin Gothic Demi"/>
              </w:rPr>
              <w:t>0.0</w:t>
            </w:r>
          </w:p>
        </w:tc>
      </w:tr>
    </w:tbl>
    <w:p w14:paraId="6324CF82" w14:textId="77777777" w:rsidR="00CB75FE" w:rsidRPr="00DA0EE7" w:rsidRDefault="00CB75FE" w:rsidP="00F349EB">
      <w:pPr>
        <w:pStyle w:val="Source"/>
        <w:rPr>
          <w:iCs/>
        </w:rPr>
      </w:pPr>
      <w:r w:rsidRPr="00DA0EE7">
        <w:rPr>
          <w:iCs/>
        </w:rPr>
        <w:t>Source: CIE estimates</w:t>
      </w:r>
      <w:r w:rsidR="007D3F40">
        <w:rPr>
          <w:iCs/>
        </w:rPr>
        <w:t>.</w:t>
      </w:r>
    </w:p>
    <w:p w14:paraId="1639A55E" w14:textId="77777777" w:rsidR="00294601" w:rsidRDefault="00294601" w:rsidP="00294601">
      <w:pPr>
        <w:pStyle w:val="BodyText"/>
      </w:pPr>
      <w:r>
        <w:t>Evidence on the number of people that have reduced their hours due to inaccessible housing includes the following.</w:t>
      </w:r>
    </w:p>
    <w:p w14:paraId="3C89B348" w14:textId="77777777" w:rsidR="00294601" w:rsidRDefault="00294601" w:rsidP="00294601">
      <w:pPr>
        <w:pStyle w:val="ListBullet"/>
      </w:pPr>
      <w:r>
        <w:rPr>
          <w:lang w:eastAsia="en-US"/>
        </w:rPr>
        <w:t xml:space="preserve">The </w:t>
      </w:r>
      <w:r w:rsidR="008A5312">
        <w:rPr>
          <w:lang w:eastAsia="en-US"/>
        </w:rPr>
        <w:t>Wi</w:t>
      </w:r>
      <w:r w:rsidR="00B61233">
        <w:rPr>
          <w:lang w:eastAsia="en-US"/>
        </w:rPr>
        <w:t>e</w:t>
      </w:r>
      <w:r w:rsidR="008A5312">
        <w:rPr>
          <w:lang w:eastAsia="en-US"/>
        </w:rPr>
        <w:t>sel survey</w:t>
      </w:r>
      <w:r>
        <w:rPr>
          <w:lang w:eastAsia="en-US"/>
        </w:rPr>
        <w:t xml:space="preserve"> reported that around 18 per cent of respondents had reduced their hours of work due to inaccessible housing. However, a</w:t>
      </w:r>
      <w:r>
        <w:t>s noted above, this is likely to be a significant over</w:t>
      </w:r>
      <w:r>
        <w:noBreakHyphen/>
        <w:t xml:space="preserve">estimate of the proportion of people for whom inaccessible housing is </w:t>
      </w:r>
      <w:r w:rsidRPr="00B36DB1">
        <w:rPr>
          <w:b/>
          <w:bCs/>
        </w:rPr>
        <w:t>currently</w:t>
      </w:r>
      <w:r>
        <w:t xml:space="preserve"> reducing their hours of work for the following reasons.</w:t>
      </w:r>
    </w:p>
    <w:p w14:paraId="09AFAA79" w14:textId="77777777" w:rsidR="00294601" w:rsidRDefault="00294601" w:rsidP="00294601">
      <w:pPr>
        <w:pStyle w:val="ListBullet2"/>
      </w:pPr>
      <w:r>
        <w:t xml:space="preserve">The survey asked whether inaccessible housing had ever reduced hours worked (rather than whether inaccessible housing was </w:t>
      </w:r>
      <w:r w:rsidRPr="00732A7F">
        <w:rPr>
          <w:b/>
          <w:bCs/>
        </w:rPr>
        <w:t>currently</w:t>
      </w:r>
      <w:r>
        <w:t xml:space="preserve"> reducing hours worked)</w:t>
      </w:r>
    </w:p>
    <w:p w14:paraId="332BAB37" w14:textId="77777777" w:rsidR="00294601" w:rsidRDefault="00294601" w:rsidP="00294601">
      <w:pPr>
        <w:pStyle w:val="ListBullet2"/>
      </w:pPr>
      <w:r>
        <w:t>The survey sample could potentially be biased towards people experiencing greater accessibility problems due to the sampling method.</w:t>
      </w:r>
    </w:p>
    <w:p w14:paraId="2D542CDB" w14:textId="77777777" w:rsidR="00294601" w:rsidRDefault="00294601" w:rsidP="00294601">
      <w:pPr>
        <w:pStyle w:val="ListBullet"/>
        <w:rPr>
          <w:lang w:eastAsia="en-US"/>
        </w:rPr>
      </w:pPr>
      <w:r>
        <w:rPr>
          <w:lang w:eastAsia="en-US"/>
        </w:rPr>
        <w:t>SDAC suggests that only around 12 per cent of people employed part</w:t>
      </w:r>
      <w:r>
        <w:rPr>
          <w:lang w:eastAsia="en-US"/>
        </w:rPr>
        <w:noBreakHyphen/>
        <w:t>time with limited mobility are not able to move around their place of residence without difficulty (or assistance). This suggests a maximum of around 12 per cent may have reduced their hours due to inaccessible housing. This implies up to 9</w:t>
      </w:r>
      <w:r w:rsidR="00B61233">
        <w:rPr>
          <w:lang w:eastAsia="en-US"/>
        </w:rPr>
        <w:t xml:space="preserve"> </w:t>
      </w:r>
      <w:r>
        <w:rPr>
          <w:lang w:eastAsia="en-US"/>
        </w:rPr>
        <w:t>540 people may have reduced their hours due to inaccessible housing</w:t>
      </w:r>
    </w:p>
    <w:p w14:paraId="1149992A" w14:textId="77777777" w:rsidR="00CB75FE" w:rsidRDefault="00CB75FE" w:rsidP="00CB75FE">
      <w:pPr>
        <w:pStyle w:val="BodyText"/>
        <w:rPr>
          <w:lang w:eastAsia="en-US"/>
        </w:rPr>
      </w:pPr>
      <w:r>
        <w:rPr>
          <w:lang w:eastAsia="en-US"/>
        </w:rPr>
        <w:t xml:space="preserve">There is no </w:t>
      </w:r>
      <w:r w:rsidR="003006C6">
        <w:rPr>
          <w:lang w:eastAsia="en-US"/>
        </w:rPr>
        <w:t xml:space="preserve">clear </w:t>
      </w:r>
      <w:r>
        <w:rPr>
          <w:lang w:eastAsia="en-US"/>
        </w:rPr>
        <w:t xml:space="preserve">evidence on the extent to which people reduced their hours of work due to inaccessible housing. As a potential indicator of the impact of fatigue due to inaccessible housing on the hours worked, </w:t>
      </w:r>
      <w:r w:rsidR="00676E23">
        <w:rPr>
          <w:lang w:eastAsia="en-US"/>
        </w:rPr>
        <w:t>CIE applies</w:t>
      </w:r>
      <w:r>
        <w:rPr>
          <w:lang w:eastAsia="en-US"/>
        </w:rPr>
        <w:t xml:space="preserve"> the difference between the net surplus for a full-time worker and a part</w:t>
      </w:r>
      <w:r>
        <w:rPr>
          <w:lang w:eastAsia="en-US"/>
        </w:rPr>
        <w:noBreakHyphen/>
        <w:t>time worker estimated above (around $</w:t>
      </w:r>
      <w:r w:rsidR="003E4DFF">
        <w:rPr>
          <w:lang w:eastAsia="en-US"/>
        </w:rPr>
        <w:t xml:space="preserve">29 826 </w:t>
      </w:r>
      <w:r>
        <w:rPr>
          <w:lang w:eastAsia="en-US"/>
        </w:rPr>
        <w:t>— see table </w:t>
      </w:r>
      <w:r w:rsidR="007F37CE">
        <w:rPr>
          <w:lang w:eastAsia="en-US"/>
        </w:rPr>
        <w:t>J</w:t>
      </w:r>
      <w:r w:rsidR="008F7F1D">
        <w:rPr>
          <w:lang w:eastAsia="en-US"/>
        </w:rPr>
        <w:t>.2</w:t>
      </w:r>
      <w:r>
        <w:rPr>
          <w:lang w:eastAsia="en-US"/>
        </w:rPr>
        <w:t xml:space="preserve"> above).</w:t>
      </w:r>
    </w:p>
    <w:p w14:paraId="4F859E4C" w14:textId="77777777" w:rsidR="00CB75FE" w:rsidRDefault="00CB75FE" w:rsidP="0041182B">
      <w:pPr>
        <w:pStyle w:val="KeyPoint"/>
        <w:numPr>
          <w:ilvl w:val="0"/>
          <w:numId w:val="11"/>
        </w:numPr>
        <w:rPr>
          <w:lang w:bidi="fa-IR"/>
        </w:rPr>
      </w:pPr>
      <w:r>
        <w:rPr>
          <w:lang w:bidi="fa-IR"/>
        </w:rPr>
        <w:t xml:space="preserve">This information implies a net cost of </w:t>
      </w:r>
      <w:r w:rsidR="00005D01">
        <w:t>people working fewer hours due to inaccessible housing could be up to $284.5 million per year. This is based on</w:t>
      </w:r>
      <w:r w:rsidR="00005D01">
        <w:rPr>
          <w:lang w:bidi="fa-IR"/>
        </w:rPr>
        <w:t>:</w:t>
      </w:r>
    </w:p>
    <w:p w14:paraId="5416B2BC" w14:textId="77777777" w:rsidR="00005D01" w:rsidRDefault="00005D01" w:rsidP="00005D01">
      <w:pPr>
        <w:pStyle w:val="KeyPoint"/>
        <w:numPr>
          <w:ilvl w:val="1"/>
          <w:numId w:val="11"/>
        </w:numPr>
        <w:rPr>
          <w:lang w:bidi="fa-IR"/>
        </w:rPr>
      </w:pPr>
      <w:r>
        <w:t xml:space="preserve">9 540 working age people with limited mobility working fewer hours due to inaccessible </w:t>
      </w:r>
      <w:r w:rsidRPr="00416B6B">
        <w:t>ho</w:t>
      </w:r>
      <w:r w:rsidRPr="009823CB">
        <w:t>usi</w:t>
      </w:r>
      <w:r w:rsidRPr="00445DC0">
        <w:t>n</w:t>
      </w:r>
      <w:r w:rsidRPr="00883784">
        <w:t>g</w:t>
      </w:r>
      <w:r w:rsidRPr="00AA3716">
        <w:t xml:space="preserve"> (</w:t>
      </w:r>
      <w:r w:rsidRPr="001C296F">
        <w:t>bas</w:t>
      </w:r>
      <w:r w:rsidRPr="00416B6B">
        <w:t>ed on 12 per cent of people with limited mobility who work part</w:t>
      </w:r>
      <w:r w:rsidRPr="00416B6B">
        <w:noBreakHyphen/>
        <w:t xml:space="preserve">time </w:t>
      </w:r>
      <w:r w:rsidR="00AC541E">
        <w:t xml:space="preserve">but </w:t>
      </w:r>
      <w:r w:rsidRPr="00416B6B">
        <w:t>do not work full-time due to inaccessible housing — the upper bound suggested by SDAC data</w:t>
      </w:r>
      <w:r>
        <w:t>); and</w:t>
      </w:r>
    </w:p>
    <w:p w14:paraId="05D3AA12" w14:textId="77777777" w:rsidR="00005D01" w:rsidRDefault="00005D01" w:rsidP="00005D01">
      <w:pPr>
        <w:pStyle w:val="KeyPoint"/>
        <w:numPr>
          <w:ilvl w:val="1"/>
          <w:numId w:val="11"/>
        </w:numPr>
        <w:rPr>
          <w:lang w:bidi="fa-IR"/>
        </w:rPr>
      </w:pPr>
      <w:r>
        <w:t>a net cost of $29 826 per person.</w:t>
      </w:r>
    </w:p>
    <w:p w14:paraId="24302ADD" w14:textId="77777777" w:rsidR="00CB75FE" w:rsidRDefault="00CB75FE" w:rsidP="00CB75FE">
      <w:pPr>
        <w:pStyle w:val="BodyText"/>
        <w:rPr>
          <w:lang w:eastAsia="en-US"/>
        </w:rPr>
      </w:pPr>
      <w:r>
        <w:rPr>
          <w:lang w:eastAsia="en-US"/>
        </w:rPr>
        <w:t>This is an indicative estimate only and is likely to be a significant over</w:t>
      </w:r>
      <w:r>
        <w:rPr>
          <w:lang w:eastAsia="en-US"/>
        </w:rPr>
        <w:noBreakHyphen/>
        <w:t>estimate for the following reasons.</w:t>
      </w:r>
    </w:p>
    <w:p w14:paraId="66E92E35" w14:textId="77777777" w:rsidR="00CB75FE" w:rsidRDefault="00CB75FE" w:rsidP="00CB75FE">
      <w:pPr>
        <w:pStyle w:val="ListBullet"/>
      </w:pPr>
      <w:r>
        <w:t xml:space="preserve">As </w:t>
      </w:r>
      <w:r w:rsidR="00F14D60">
        <w:t xml:space="preserve">noted </w:t>
      </w:r>
      <w:r>
        <w:t xml:space="preserve">above, </w:t>
      </w:r>
      <w:r w:rsidR="00F14D60">
        <w:t xml:space="preserve">the assumed </w:t>
      </w:r>
      <w:r>
        <w:t>1</w:t>
      </w:r>
      <w:r w:rsidR="00F14D60">
        <w:t>2</w:t>
      </w:r>
      <w:r>
        <w:t xml:space="preserve"> per cent of </w:t>
      </w:r>
      <w:r w:rsidR="00F14D60">
        <w:t>working aged people with limited mobility is likely to be an upper bound estimate</w:t>
      </w:r>
      <w:r>
        <w:t>.</w:t>
      </w:r>
    </w:p>
    <w:p w14:paraId="1A9EA3DD" w14:textId="77777777" w:rsidR="00CB75FE" w:rsidRDefault="00CB75FE" w:rsidP="008F7F1D">
      <w:pPr>
        <w:pStyle w:val="ListBullet"/>
      </w:pPr>
      <w:r>
        <w:t xml:space="preserve">The extent to which people reduced their hours due to inaccessible housing is not known. </w:t>
      </w:r>
      <w:r w:rsidR="0084319C">
        <w:t>CIE’s</w:t>
      </w:r>
      <w:r>
        <w:t xml:space="preserve"> assumption implicitly assumed they reduced their hours from full</w:t>
      </w:r>
      <w:r>
        <w:noBreakHyphen/>
        <w:t>time to less than half the time, which is likely to be the upper end of a plausible range.</w:t>
      </w:r>
    </w:p>
    <w:p w14:paraId="53010B62" w14:textId="77777777" w:rsidR="00712E87" w:rsidRPr="00F4477B" w:rsidRDefault="00712E87" w:rsidP="00F4477B">
      <w:pPr>
        <w:pStyle w:val="Heading3-Appendix"/>
      </w:pPr>
      <w:r w:rsidRPr="00F4477B">
        <w:t>Potential impact on productivity</w:t>
      </w:r>
    </w:p>
    <w:p w14:paraId="6A1E8DFC" w14:textId="77777777" w:rsidR="00712E87" w:rsidRDefault="00712E87" w:rsidP="00712E87">
      <w:pPr>
        <w:pStyle w:val="BodyText"/>
      </w:pPr>
      <w:r>
        <w:t xml:space="preserve">As reported above, 20 per cent of respondents to the </w:t>
      </w:r>
      <w:r w:rsidR="000839FE">
        <w:t>Wiesel</w:t>
      </w:r>
      <w:r>
        <w:t xml:space="preserve"> survey reported that a lack of accessible housing had reduced their productivity at work.</w:t>
      </w:r>
      <w:r>
        <w:rPr>
          <w:rStyle w:val="FootnoteReference"/>
        </w:rPr>
        <w:footnoteReference w:id="559"/>
      </w:r>
      <w:r>
        <w:t xml:space="preserve"> This could potentially be a significant over</w:t>
      </w:r>
      <w:r>
        <w:noBreakHyphen/>
        <w:t>estimate of the number of people currently experiencing reduced productivity due to inaccessible housing because the survey question was phrased as: “Has a lack of accessible housing ever…”. (and due to CIE’s concerns over the representativeness of the survey sample).</w:t>
      </w:r>
    </w:p>
    <w:p w14:paraId="3139DF27" w14:textId="77777777" w:rsidR="00712E87" w:rsidRDefault="00712E87" w:rsidP="00712E87">
      <w:pPr>
        <w:pStyle w:val="BodyText"/>
      </w:pPr>
      <w:r>
        <w:t>According to the SDAC survey close to 90 per cent of employed people with mobility limitation had no trouble moving around their place of residence. It seems unlikely that home accessibility issues would be affecting work productivity of these people. This leaves a maximum of around 11 per cent for whom a lack of accessible housing could potentially be affecting their productivity at work.</w:t>
      </w:r>
    </w:p>
    <w:p w14:paraId="1432B682" w14:textId="77777777" w:rsidR="00712E87" w:rsidRDefault="00712E87" w:rsidP="00712E87">
      <w:pPr>
        <w:pStyle w:val="BodyText"/>
      </w:pPr>
      <w:r>
        <w:t>With around 500 000 people with mobility limitation employed in 2018 (based on the SDAC survey), this implies up to around 50 000 people for whom inaccessible housing is hampering their productivity.</w:t>
      </w:r>
    </w:p>
    <w:p w14:paraId="78905CCF" w14:textId="77777777" w:rsidR="00712E87" w:rsidRDefault="00712E87" w:rsidP="00712E87">
      <w:pPr>
        <w:pStyle w:val="BodyText"/>
      </w:pPr>
      <w:r>
        <w:t>CIE is not aware of any quantitative evidence of the extent to which inaccessible housing reduces productivity at work. For this reason, as an indicator of the potential scale of the productivity impacts, CIE estimates the potential benefits of an assumed 10 per cent productivity improvement. Note that there is no basis for this 10 per cent productivity improvement so this estimate is indicative of the potential scale only.</w:t>
      </w:r>
    </w:p>
    <w:p w14:paraId="55456B42" w14:textId="77777777" w:rsidR="00712E87" w:rsidRDefault="00712E87" w:rsidP="00712E87">
      <w:pPr>
        <w:pStyle w:val="BodyText"/>
      </w:pPr>
      <w:r>
        <w:t>Assuming that the value</w:t>
      </w:r>
      <w:r>
        <w:noBreakHyphen/>
        <w:t>added of the people with mobility limitation reflects average weekly cash earnings for all rates of pay, this implies that:</w:t>
      </w:r>
    </w:p>
    <w:p w14:paraId="633098C5" w14:textId="77777777" w:rsidR="00712E87" w:rsidRDefault="00712E87" w:rsidP="00712E87">
      <w:pPr>
        <w:pStyle w:val="ListBullet"/>
      </w:pPr>
      <w:r>
        <w:t>The value</w:t>
      </w:r>
      <w:r>
        <w:noBreakHyphen/>
        <w:t>added of each affected full</w:t>
      </w:r>
      <w:r>
        <w:noBreakHyphen/>
        <w:t>time worker would be lower by around $8 836 per year (based on 10 per cent of the annual wage of $88 360)</w:t>
      </w:r>
    </w:p>
    <w:p w14:paraId="5A619694" w14:textId="77777777" w:rsidR="00712E87" w:rsidRDefault="00712E87" w:rsidP="00712E87">
      <w:pPr>
        <w:pStyle w:val="ListBullet"/>
      </w:pPr>
      <w:r>
        <w:t>The value</w:t>
      </w:r>
      <w:r>
        <w:noBreakHyphen/>
        <w:t>added of each affected part</w:t>
      </w:r>
      <w:r>
        <w:noBreakHyphen/>
        <w:t>time worker would be lower by around $3 475 per year (based on 10 per cent of the annual part</w:t>
      </w:r>
      <w:r>
        <w:noBreakHyphen/>
        <w:t>time wage of $34 750)</w:t>
      </w:r>
    </w:p>
    <w:p w14:paraId="6CDAA3E0" w14:textId="77777777" w:rsidR="00712E87" w:rsidRDefault="00712E87" w:rsidP="00712E87">
      <w:pPr>
        <w:pStyle w:val="BodyText"/>
      </w:pPr>
      <w:r>
        <w:t>This information suggests that the benefits of a 10 per cent productivity improvement could be around $350 million per year (table J.1</w:t>
      </w:r>
      <w:r w:rsidR="00C751D6">
        <w:t>3</w:t>
      </w:r>
      <w:r>
        <w:t xml:space="preserve">). </w:t>
      </w:r>
      <w:r w:rsidR="00D63B31">
        <w:t xml:space="preserve">However, this is likely to be </w:t>
      </w:r>
      <w:r>
        <w:t>an over</w:t>
      </w:r>
      <w:r>
        <w:noBreakHyphen/>
        <w:t>estimate of the actual impacts for the following reasons:</w:t>
      </w:r>
    </w:p>
    <w:p w14:paraId="1ACDA8BC" w14:textId="77777777" w:rsidR="005869A9" w:rsidRDefault="005869A9" w:rsidP="005869A9">
      <w:pPr>
        <w:pStyle w:val="ListBullet"/>
      </w:pPr>
      <w:r>
        <w:t>10 per cent is likely to be an implausibly large productivity impact given the fact that the average labour productivity growth in Australia is around 2 per cent with the highest being 5 per cent in 1998-99.</w:t>
      </w:r>
      <w:r>
        <w:rPr>
          <w:rStyle w:val="FootnoteReference"/>
        </w:rPr>
        <w:footnoteReference w:id="560"/>
      </w:r>
    </w:p>
    <w:p w14:paraId="5ECEFE8D" w14:textId="77777777" w:rsidR="005869A9" w:rsidRDefault="005869A9" w:rsidP="005869A9">
      <w:pPr>
        <w:pStyle w:val="ListBullet"/>
      </w:pPr>
      <w:r>
        <w:t>11 per cent of all employed people with a mobili</w:t>
      </w:r>
      <w:r w:rsidR="00D63B31">
        <w:t xml:space="preserve">ty limitation is likely to be </w:t>
      </w:r>
      <w:r>
        <w:t xml:space="preserve">an upper bound estimate of the proportion of people for whom inaccessible housing is </w:t>
      </w:r>
      <w:r w:rsidRPr="00AB1FB1">
        <w:t>currently</w:t>
      </w:r>
      <w:r>
        <w:t xml:space="preserve"> reducing their productivity for the following reasons.</w:t>
      </w:r>
    </w:p>
    <w:p w14:paraId="46084149" w14:textId="77777777" w:rsidR="005869A9" w:rsidRDefault="005869A9" w:rsidP="005869A9">
      <w:pPr>
        <w:pStyle w:val="ListBullet"/>
      </w:pPr>
      <w:r>
        <w:t xml:space="preserve">It is not clear that the features provided under the various NCC options would address all of the fatigue issues currently being experienced. For example, those fatigue issues experienced in Rowena’s case study in </w:t>
      </w:r>
      <w:r w:rsidR="008F2CA3">
        <w:t>b</w:t>
      </w:r>
      <w:r>
        <w:t>ox J.1</w:t>
      </w:r>
      <w:r w:rsidR="00866BDA">
        <w:t>1</w:t>
      </w:r>
      <w:r>
        <w:t>.</w:t>
      </w:r>
    </w:p>
    <w:p w14:paraId="45BD7419" w14:textId="77777777" w:rsidR="005869A9" w:rsidRDefault="005869A9" w:rsidP="005869A9">
      <w:pPr>
        <w:pStyle w:val="ListBullet"/>
        <w:rPr>
          <w:lang w:bidi="fa-IR"/>
        </w:rPr>
      </w:pPr>
      <w:r>
        <w:rPr>
          <w:lang w:bidi="fa-IR"/>
        </w:rPr>
        <w:t>The features specifically referred to in Rowena’s case study may still be a feature of many homes, even under the NCC proposal:</w:t>
      </w:r>
    </w:p>
    <w:p w14:paraId="101BB01D" w14:textId="77777777" w:rsidR="005869A9" w:rsidRDefault="005869A9" w:rsidP="005869A9">
      <w:pPr>
        <w:pStyle w:val="ListBullet2"/>
        <w:rPr>
          <w:lang w:bidi="fa-IR"/>
        </w:rPr>
      </w:pPr>
      <w:r>
        <w:rPr>
          <w:lang w:bidi="fa-IR"/>
        </w:rPr>
        <w:t>Rowena’s case study refers to stairs being a feature that saps her energy. However, many dwellings will still have internal stairs under the NCC proposal. Dwellings that currently have a flight of stairs to the entrance (including apartments above the ground floor in 3</w:t>
      </w:r>
      <w:r>
        <w:rPr>
          <w:lang w:bidi="fa-IR"/>
        </w:rPr>
        <w:noBreakHyphen/>
        <w:t>storey walk</w:t>
      </w:r>
      <w:r>
        <w:rPr>
          <w:lang w:bidi="fa-IR"/>
        </w:rPr>
        <w:noBreakHyphen/>
        <w:t>up blocks and houses on steeply sloping lots) are likely to be exempt from the step-free access requirement.</w:t>
      </w:r>
    </w:p>
    <w:p w14:paraId="113FF186" w14:textId="77777777" w:rsidR="005869A9" w:rsidRDefault="005869A9" w:rsidP="005869A9">
      <w:pPr>
        <w:pStyle w:val="ListBullet2"/>
        <w:rPr>
          <w:lang w:bidi="fa-IR"/>
        </w:rPr>
      </w:pPr>
      <w:r>
        <w:rPr>
          <w:lang w:bidi="fa-IR"/>
        </w:rPr>
        <w:t>Rowena’s case study also refers to the height of shelves in the kitchen. However, shelf height is not covered by the NCC proposal.</w:t>
      </w:r>
    </w:p>
    <w:p w14:paraId="5D2162DE" w14:textId="77777777" w:rsidR="00D3303D" w:rsidRDefault="005869A9" w:rsidP="00022507">
      <w:pPr>
        <w:pStyle w:val="ListBullet"/>
      </w:pPr>
      <w:r>
        <w:rPr>
          <w:lang w:bidi="fa-IR"/>
        </w:rPr>
        <w:t>Another case study refers to features that drain the energy of someone with chronic fatigue syndrome and limit her ability to work.</w:t>
      </w:r>
      <w:r>
        <w:rPr>
          <w:rStyle w:val="FootnoteReference"/>
          <w:lang w:bidi="fa-IR"/>
        </w:rPr>
        <w:footnoteReference w:id="561"/>
      </w:r>
      <w:r>
        <w:rPr>
          <w:lang w:bidi="fa-IR"/>
        </w:rPr>
        <w:t xml:space="preserve"> </w:t>
      </w:r>
    </w:p>
    <w:p w14:paraId="64DAB989" w14:textId="6093C29B" w:rsidR="005869A9" w:rsidRDefault="00390CDB" w:rsidP="005869A9">
      <w:pPr>
        <w:pStyle w:val="Caption"/>
      </w:pPr>
      <w:bookmarkStart w:id="897" w:name="_Toc70505683"/>
      <w:r>
        <w:t>J.13</w:t>
      </w:r>
      <w:r w:rsidR="005869A9" w:rsidRPr="00695C93">
        <w:tab/>
      </w:r>
      <w:r w:rsidR="005869A9">
        <w:t>Indicative estimate of the impact of a 10 per</w:t>
      </w:r>
      <w:r w:rsidR="003E0DEC">
        <w:t xml:space="preserve"> cent</w:t>
      </w:r>
      <w:r w:rsidR="005869A9">
        <w:t xml:space="preserve"> productivity improvement</w:t>
      </w:r>
      <w:bookmarkEnd w:id="897"/>
    </w:p>
    <w:tbl>
      <w:tblPr>
        <w:tblW w:w="0" w:type="auto"/>
        <w:tblLayout w:type="fixed"/>
        <w:tblLook w:val="0000" w:firstRow="0" w:lastRow="0" w:firstColumn="0" w:lastColumn="0" w:noHBand="0" w:noVBand="0"/>
        <w:tblCaption w:val="Table J.13: Indicative estimate of the impact of a 10 per cent productivity improvement"/>
        <w:tblDescription w:val="Table J.13 gives an indicative estimate of the impact of a 10 per cent productivity improvement as $348.5 million per year."/>
      </w:tblPr>
      <w:tblGrid>
        <w:gridCol w:w="1421"/>
        <w:gridCol w:w="1770"/>
        <w:gridCol w:w="1770"/>
        <w:gridCol w:w="1770"/>
        <w:gridCol w:w="1206"/>
      </w:tblGrid>
      <w:tr w:rsidR="005869A9" w14:paraId="6B281E9D" w14:textId="77777777" w:rsidTr="007E6E80">
        <w:trPr>
          <w:trHeight w:val="734"/>
          <w:tblHeader/>
        </w:trPr>
        <w:tc>
          <w:tcPr>
            <w:tcW w:w="1421" w:type="dxa"/>
            <w:tcBorders>
              <w:bottom w:val="single" w:sz="8" w:space="0" w:color="FFFFFF" w:themeColor="background1"/>
            </w:tcBorders>
            <w:shd w:val="clear" w:color="auto" w:fill="6F6652"/>
            <w:tcMar>
              <w:left w:w="57" w:type="dxa"/>
              <w:right w:w="57" w:type="dxa"/>
            </w:tcMar>
          </w:tcPr>
          <w:p w14:paraId="360CA346" w14:textId="77777777" w:rsidR="005869A9" w:rsidRDefault="00DE5490" w:rsidP="007E6E80">
            <w:pPr>
              <w:pStyle w:val="TableDataColumnHeading"/>
              <w:jc w:val="left"/>
            </w:pPr>
            <w:r>
              <w:t>Employment</w:t>
            </w:r>
          </w:p>
        </w:tc>
        <w:tc>
          <w:tcPr>
            <w:tcW w:w="1770" w:type="dxa"/>
            <w:tcBorders>
              <w:bottom w:val="single" w:sz="8" w:space="0" w:color="FFFFFF" w:themeColor="background1"/>
            </w:tcBorders>
            <w:shd w:val="clear" w:color="auto" w:fill="6F6652"/>
            <w:tcMar>
              <w:left w:w="57" w:type="dxa"/>
              <w:right w:w="57" w:type="dxa"/>
            </w:tcMar>
          </w:tcPr>
          <w:p w14:paraId="1DE07A7D" w14:textId="77777777" w:rsidR="005869A9" w:rsidRDefault="005869A9" w:rsidP="007E6E80">
            <w:pPr>
              <w:pStyle w:val="TableDataColumnHeading"/>
            </w:pPr>
            <w:r>
              <w:t>Number of people employed ('000)</w:t>
            </w:r>
          </w:p>
        </w:tc>
        <w:tc>
          <w:tcPr>
            <w:tcW w:w="1770" w:type="dxa"/>
            <w:tcBorders>
              <w:bottom w:val="single" w:sz="8" w:space="0" w:color="FFFFFF" w:themeColor="background1"/>
            </w:tcBorders>
            <w:shd w:val="clear" w:color="auto" w:fill="6F6652"/>
            <w:tcMar>
              <w:left w:w="57" w:type="dxa"/>
              <w:right w:w="57" w:type="dxa"/>
            </w:tcMar>
          </w:tcPr>
          <w:p w14:paraId="47C7E0E1" w14:textId="77777777" w:rsidR="005869A9" w:rsidRDefault="005869A9" w:rsidP="007E6E80">
            <w:pPr>
              <w:pStyle w:val="TableDataColumnHeading"/>
            </w:pPr>
            <w:r>
              <w:t>Estimated number with lower productivity ('000)</w:t>
            </w:r>
            <w:r w:rsidRPr="00F349EB">
              <w:rPr>
                <w:rStyle w:val="NoteLabel"/>
              </w:rPr>
              <w:t>a</w:t>
            </w:r>
          </w:p>
        </w:tc>
        <w:tc>
          <w:tcPr>
            <w:tcW w:w="1770" w:type="dxa"/>
            <w:tcBorders>
              <w:bottom w:val="single" w:sz="8" w:space="0" w:color="FFFFFF" w:themeColor="background1"/>
            </w:tcBorders>
            <w:shd w:val="clear" w:color="auto" w:fill="6F6652"/>
            <w:tcMar>
              <w:left w:w="57" w:type="dxa"/>
              <w:right w:w="57" w:type="dxa"/>
            </w:tcMar>
          </w:tcPr>
          <w:p w14:paraId="5A0AFEEA" w14:textId="77777777" w:rsidR="005869A9" w:rsidRDefault="005869A9" w:rsidP="007E6E80">
            <w:pPr>
              <w:pStyle w:val="TableDataColumnHeading"/>
            </w:pPr>
            <w:r>
              <w:t>Impact of 10% productivity improvement</w:t>
            </w:r>
          </w:p>
        </w:tc>
        <w:tc>
          <w:tcPr>
            <w:tcW w:w="1206" w:type="dxa"/>
            <w:tcBorders>
              <w:bottom w:val="single" w:sz="8" w:space="0" w:color="FFFFFF" w:themeColor="background1"/>
            </w:tcBorders>
            <w:shd w:val="clear" w:color="auto" w:fill="6F6652"/>
            <w:tcMar>
              <w:left w:w="57" w:type="dxa"/>
              <w:right w:w="57" w:type="dxa"/>
            </w:tcMar>
          </w:tcPr>
          <w:p w14:paraId="72E2356A" w14:textId="77777777" w:rsidR="005869A9" w:rsidRDefault="005869A9" w:rsidP="007E6E80">
            <w:pPr>
              <w:pStyle w:val="TableDataColumnHeading"/>
            </w:pPr>
            <w:r>
              <w:t>Total impact ($ million)</w:t>
            </w:r>
          </w:p>
        </w:tc>
      </w:tr>
      <w:tr w:rsidR="005869A9" w14:paraId="79933D4A" w14:textId="77777777" w:rsidTr="007E6E80">
        <w:trPr>
          <w:trHeight w:val="245"/>
        </w:trPr>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2B57A8" w14:textId="77777777" w:rsidR="005869A9" w:rsidRDefault="005869A9" w:rsidP="007E6E80">
            <w:pPr>
              <w:pStyle w:val="TableDataEntries"/>
              <w:jc w:val="left"/>
            </w:pPr>
            <w:r>
              <w:t>Full-time</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CEB428" w14:textId="77777777" w:rsidR="005869A9" w:rsidRDefault="005869A9" w:rsidP="007E6E80">
            <w:pPr>
              <w:pStyle w:val="TableDataEntries"/>
            </w:pPr>
            <w:r>
              <w:t xml:space="preserve"> 267.0</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E21A34" w14:textId="77777777" w:rsidR="005869A9" w:rsidRPr="00A8461A" w:rsidRDefault="005869A9" w:rsidP="007E6E80">
            <w:pPr>
              <w:pStyle w:val="TableDataEntries"/>
            </w:pPr>
            <w:r w:rsidRPr="00AB1FB1">
              <w:t xml:space="preserve"> 29.4</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141528" w14:textId="77777777" w:rsidR="005869A9" w:rsidRPr="00A8461A" w:rsidRDefault="005869A9" w:rsidP="007E6E80">
            <w:pPr>
              <w:pStyle w:val="TableDataEntries"/>
            </w:pPr>
            <w:r w:rsidRPr="00AB1FB1">
              <w:t>8 836</w:t>
            </w:r>
          </w:p>
        </w:tc>
        <w:tc>
          <w:tcPr>
            <w:tcW w:w="12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7C8F53" w14:textId="77777777" w:rsidR="005869A9" w:rsidRPr="00A8461A" w:rsidRDefault="005869A9" w:rsidP="007E6E80">
            <w:pPr>
              <w:pStyle w:val="TableDataEntries"/>
            </w:pPr>
            <w:r w:rsidRPr="00AB1FB1">
              <w:t xml:space="preserve"> 259.5</w:t>
            </w:r>
          </w:p>
        </w:tc>
      </w:tr>
      <w:tr w:rsidR="005869A9" w14:paraId="3E4FEC47" w14:textId="77777777" w:rsidTr="007E6E80">
        <w:trPr>
          <w:trHeight w:val="245"/>
        </w:trPr>
        <w:tc>
          <w:tcPr>
            <w:tcW w:w="14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A32D6E" w14:textId="77777777" w:rsidR="005869A9" w:rsidRDefault="005869A9" w:rsidP="007E6E80">
            <w:pPr>
              <w:pStyle w:val="TableDataEntries"/>
              <w:jc w:val="left"/>
            </w:pPr>
            <w:r>
              <w:t>Part-time</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129E04" w14:textId="77777777" w:rsidR="005869A9" w:rsidRDefault="005869A9" w:rsidP="007E6E80">
            <w:pPr>
              <w:pStyle w:val="TableDataEntries"/>
            </w:pPr>
            <w:r>
              <w:t xml:space="preserve"> 232.8</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44DD1C" w14:textId="77777777" w:rsidR="005869A9" w:rsidRPr="00A8461A" w:rsidRDefault="005869A9" w:rsidP="007E6E80">
            <w:pPr>
              <w:pStyle w:val="TableDataEntries"/>
            </w:pPr>
            <w:r w:rsidRPr="00AB1FB1">
              <w:t xml:space="preserve"> 25.6</w:t>
            </w:r>
          </w:p>
        </w:tc>
        <w:tc>
          <w:tcPr>
            <w:tcW w:w="17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E37D54" w14:textId="77777777" w:rsidR="005869A9" w:rsidRPr="00A8461A" w:rsidRDefault="005869A9" w:rsidP="007E6E80">
            <w:pPr>
              <w:pStyle w:val="TableDataEntries"/>
            </w:pPr>
            <w:r w:rsidRPr="00AB1FB1">
              <w:t>3 475</w:t>
            </w:r>
          </w:p>
        </w:tc>
        <w:tc>
          <w:tcPr>
            <w:tcW w:w="12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4BA043" w14:textId="77777777" w:rsidR="005869A9" w:rsidRPr="00A8461A" w:rsidRDefault="005869A9" w:rsidP="007E6E80">
            <w:pPr>
              <w:pStyle w:val="TableDataEntries"/>
            </w:pPr>
            <w:r w:rsidRPr="00AB1FB1">
              <w:t xml:space="preserve"> 89.0</w:t>
            </w:r>
          </w:p>
        </w:tc>
      </w:tr>
      <w:tr w:rsidR="005869A9" w:rsidRPr="008342FB" w14:paraId="2859C95C" w14:textId="77777777" w:rsidTr="007E6E80">
        <w:trPr>
          <w:trHeight w:val="245"/>
        </w:trPr>
        <w:tc>
          <w:tcPr>
            <w:tcW w:w="142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B2833A4" w14:textId="77777777" w:rsidR="005869A9" w:rsidRPr="008342FB" w:rsidRDefault="005869A9" w:rsidP="007E6E80">
            <w:pPr>
              <w:pStyle w:val="TableDataEntries"/>
              <w:jc w:val="left"/>
              <w:rPr>
                <w:rFonts w:ascii="Franklin Gothic Demi" w:hAnsi="Franklin Gothic Demi"/>
              </w:rPr>
            </w:pPr>
            <w:r w:rsidRPr="008342FB">
              <w:rPr>
                <w:rFonts w:ascii="Franklin Gothic Demi" w:hAnsi="Franklin Gothic Demi"/>
              </w:rPr>
              <w:t>Total</w:t>
            </w:r>
          </w:p>
        </w:tc>
        <w:tc>
          <w:tcPr>
            <w:tcW w:w="177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051D7DE" w14:textId="77777777" w:rsidR="005869A9" w:rsidRPr="008342FB" w:rsidRDefault="005869A9" w:rsidP="007E6E80">
            <w:pPr>
              <w:pStyle w:val="TableDataEntries"/>
              <w:rPr>
                <w:rFonts w:ascii="Franklin Gothic Demi" w:hAnsi="Franklin Gothic Demi"/>
              </w:rPr>
            </w:pPr>
            <w:r w:rsidRPr="008342FB">
              <w:rPr>
                <w:rFonts w:ascii="Franklin Gothic Demi" w:hAnsi="Franklin Gothic Demi"/>
              </w:rPr>
              <w:t xml:space="preserve"> 499.8</w:t>
            </w:r>
          </w:p>
        </w:tc>
        <w:tc>
          <w:tcPr>
            <w:tcW w:w="177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ED34FD2" w14:textId="77777777" w:rsidR="005869A9" w:rsidRPr="008342FB" w:rsidRDefault="005869A9" w:rsidP="007E6E80">
            <w:pPr>
              <w:pStyle w:val="TableDataEntries"/>
              <w:rPr>
                <w:rFonts w:ascii="Franklin Gothic Demi" w:hAnsi="Franklin Gothic Demi"/>
              </w:rPr>
            </w:pPr>
            <w:r w:rsidRPr="008342FB">
              <w:rPr>
                <w:rFonts w:ascii="Franklin Gothic Demi" w:hAnsi="Franklin Gothic Demi"/>
              </w:rPr>
              <w:t xml:space="preserve"> 55.0</w:t>
            </w:r>
          </w:p>
        </w:tc>
        <w:tc>
          <w:tcPr>
            <w:tcW w:w="177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BA9DB9E" w14:textId="77777777" w:rsidR="005869A9" w:rsidRPr="008342FB" w:rsidRDefault="005869A9" w:rsidP="007E6E80">
            <w:pPr>
              <w:pStyle w:val="TableDataEntries"/>
              <w:rPr>
                <w:rFonts w:ascii="Franklin Gothic Demi" w:hAnsi="Franklin Gothic Demi"/>
              </w:rPr>
            </w:pPr>
          </w:p>
        </w:tc>
        <w:tc>
          <w:tcPr>
            <w:tcW w:w="120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E5B1C4F" w14:textId="77777777" w:rsidR="005869A9" w:rsidRPr="008342FB" w:rsidRDefault="005869A9" w:rsidP="007E6E80">
            <w:pPr>
              <w:pStyle w:val="TableDataEntries"/>
              <w:rPr>
                <w:rFonts w:ascii="Franklin Gothic Demi" w:hAnsi="Franklin Gothic Demi"/>
              </w:rPr>
            </w:pPr>
            <w:r w:rsidRPr="008342FB">
              <w:rPr>
                <w:rFonts w:ascii="Franklin Gothic Demi" w:hAnsi="Franklin Gothic Demi"/>
              </w:rPr>
              <w:t xml:space="preserve"> 348.5</w:t>
            </w:r>
          </w:p>
        </w:tc>
      </w:tr>
    </w:tbl>
    <w:p w14:paraId="178E8CEA" w14:textId="77777777" w:rsidR="005869A9" w:rsidRPr="00DA0EE7" w:rsidRDefault="005869A9" w:rsidP="005869A9">
      <w:pPr>
        <w:pStyle w:val="Note"/>
      </w:pPr>
      <w:r w:rsidRPr="00E4232C">
        <w:rPr>
          <w:rStyle w:val="NoteLabel"/>
        </w:rPr>
        <w:t>a</w:t>
      </w:r>
      <w:r>
        <w:t xml:space="preserve"> </w:t>
      </w:r>
      <w:r w:rsidRPr="00DA0EE7">
        <w:t>Based on 20 per cent of the total as implied by the Melbourne Disability Institute Survey.</w:t>
      </w:r>
    </w:p>
    <w:p w14:paraId="52C0B337" w14:textId="77777777" w:rsidR="005869A9" w:rsidRPr="00DA0EE7" w:rsidRDefault="005869A9" w:rsidP="005869A9">
      <w:pPr>
        <w:pStyle w:val="Source"/>
      </w:pPr>
      <w:r w:rsidRPr="00DA0EE7">
        <w:t>Source: CIE estimates</w:t>
      </w:r>
      <w:r w:rsidR="007D3F40">
        <w:t>.</w:t>
      </w:r>
    </w:p>
    <w:p w14:paraId="45A82663" w14:textId="77777777" w:rsidR="00C46537" w:rsidRPr="004B79EC" w:rsidRDefault="00C46537" w:rsidP="004B79EC">
      <w:pPr>
        <w:pStyle w:val="Heading2-Appendix"/>
      </w:pPr>
      <w:r w:rsidRPr="004B79EC">
        <w:t>Interpretation of available evidence</w:t>
      </w:r>
    </w:p>
    <w:p w14:paraId="5ED582E6" w14:textId="77777777" w:rsidR="00C80403" w:rsidRDefault="00C80403" w:rsidP="00C80403">
      <w:pPr>
        <w:pStyle w:val="BodyText"/>
        <w:rPr>
          <w:lang w:bidi="fa-IR"/>
        </w:rPr>
      </w:pPr>
      <w:r>
        <w:rPr>
          <w:lang w:bidi="fa-IR"/>
        </w:rPr>
        <w:t xml:space="preserve">Some submissions provided qualitative evidence that a lack of accessible housing may be reducing employment opportunities and productivity for some working aged people with limited mobility. </w:t>
      </w:r>
      <w:r w:rsidR="003006C6">
        <w:t>T</w:t>
      </w:r>
      <w:r>
        <w:t>he impact of accessible housing appears to be under</w:t>
      </w:r>
      <w:r>
        <w:noBreakHyphen/>
        <w:t xml:space="preserve">researched and there is little specific quantitative evidence on the potential magnitude of these impacts. As such, </w:t>
      </w:r>
      <w:r w:rsidR="0095034A">
        <w:t>CIE</w:t>
      </w:r>
      <w:r w:rsidR="00676E23">
        <w:t xml:space="preserve"> was</w:t>
      </w:r>
      <w:r>
        <w:t xml:space="preserve"> unable to estimate with any certainty the potential employment and productivity impacts</w:t>
      </w:r>
      <w:r w:rsidR="00AC541E">
        <w:t>.</w:t>
      </w:r>
    </w:p>
    <w:p w14:paraId="400B90B7" w14:textId="77777777" w:rsidR="00C80403" w:rsidRDefault="00C80403" w:rsidP="00C80403">
      <w:pPr>
        <w:pStyle w:val="BodyText"/>
      </w:pPr>
      <w:r>
        <w:rPr>
          <w:lang w:bidi="fa-IR"/>
        </w:rPr>
        <w:t xml:space="preserve">Submissions identified </w:t>
      </w:r>
      <w:r>
        <w:t>several ways that a lack of accessible housing could be leading to relatively poor employment outcomes among working age people with mobility</w:t>
      </w:r>
      <w:r>
        <w:noBreakHyphen/>
        <w:t>related disabilities, as well as reducing productivity.</w:t>
      </w:r>
    </w:p>
    <w:p w14:paraId="16BB8A2F" w14:textId="77777777" w:rsidR="00C80403" w:rsidRDefault="00C80403" w:rsidP="00C80403">
      <w:pPr>
        <w:pStyle w:val="ListBullet"/>
      </w:pPr>
      <w:r>
        <w:t xml:space="preserve">Based on qualitative evidence presented in submissions, people with mobility limitations appeared to face challenges working from home due mostly to limited space. </w:t>
      </w:r>
      <w:r w:rsidR="00676E23">
        <w:t>CIE was</w:t>
      </w:r>
      <w:r>
        <w:t xml:space="preserve"> generally not convinced that the NCC proposal would materially address this issue.</w:t>
      </w:r>
    </w:p>
    <w:p w14:paraId="33B0EE6A" w14:textId="77777777" w:rsidR="00C80403" w:rsidRDefault="00C80403" w:rsidP="00C80403">
      <w:pPr>
        <w:pStyle w:val="ListBullet"/>
      </w:pPr>
      <w:r>
        <w:t xml:space="preserve">Qualitative evidence also suggested a lack of accessible housing close to employment opportunities is another way inaccessible housing reduces employment. </w:t>
      </w:r>
      <w:r w:rsidR="003006C6">
        <w:t>T</w:t>
      </w:r>
      <w:r>
        <w:t>he objective evidence available suggests that these impacts are likely to be relatively modest.</w:t>
      </w:r>
    </w:p>
    <w:p w14:paraId="25B71AF9" w14:textId="77777777" w:rsidR="00C80403" w:rsidRDefault="00C80403" w:rsidP="00C80403">
      <w:pPr>
        <w:pStyle w:val="ListBullet"/>
      </w:pPr>
      <w:r>
        <w:t>Finally, qualitative evidence provided in submissions suggests that fatigue and additional care needs as a result of inaccessible housing features is reducing productivity for some people with limited mobility.</w:t>
      </w:r>
    </w:p>
    <w:p w14:paraId="7C927A5A" w14:textId="77777777" w:rsidR="004E736E" w:rsidRDefault="00C80403" w:rsidP="006C5856">
      <w:pPr>
        <w:pStyle w:val="BodyText"/>
        <w:rPr>
          <w:lang w:bidi="fa-IR"/>
        </w:rPr>
      </w:pPr>
      <w:r>
        <w:t>Overall, and with the caveats above, these employment</w:t>
      </w:r>
      <w:r>
        <w:noBreakHyphen/>
        <w:t>related impacts could be quite significant, possibly in the order of several hundred million dollars per year, suggesting a similar magnitude to some of the other cost categories.</w:t>
      </w:r>
    </w:p>
    <w:p w14:paraId="1A6CBBDE" w14:textId="77777777" w:rsidR="00197CC1" w:rsidRPr="004B79EC" w:rsidRDefault="009706C3" w:rsidP="004B79EC">
      <w:pPr>
        <w:pStyle w:val="Heading1-Appendix"/>
      </w:pPr>
      <w:bookmarkStart w:id="898" w:name="_Ref56677480"/>
      <w:r w:rsidRPr="004B79EC">
        <w:t>Willingness</w:t>
      </w:r>
      <w:bookmarkStart w:id="899" w:name="_Ref31915299"/>
      <w:r w:rsidRPr="004B79EC">
        <w:t xml:space="preserve"> to pay </w:t>
      </w:r>
      <w:bookmarkStart w:id="900" w:name="_Toc32321783"/>
      <w:bookmarkStart w:id="901" w:name="_Toc44598473"/>
      <w:bookmarkStart w:id="902" w:name="_Toc45654104"/>
      <w:r w:rsidRPr="004B79EC">
        <w:t>survey method and results</w:t>
      </w:r>
      <w:bookmarkEnd w:id="898"/>
      <w:bookmarkEnd w:id="899"/>
      <w:bookmarkEnd w:id="900"/>
      <w:bookmarkEnd w:id="901"/>
      <w:bookmarkEnd w:id="902"/>
    </w:p>
    <w:p w14:paraId="58700026" w14:textId="77777777" w:rsidR="00CF6E40" w:rsidRPr="004B79EC" w:rsidRDefault="00CF6E40" w:rsidP="004B79EC">
      <w:pPr>
        <w:pStyle w:val="Heading2-Appendix"/>
      </w:pPr>
      <w:r w:rsidRPr="004B79EC">
        <w:t>Introduction</w:t>
      </w:r>
    </w:p>
    <w:p w14:paraId="5BC29D1A" w14:textId="77777777" w:rsidR="00CF6E40" w:rsidRDefault="00CF6E40" w:rsidP="00CF6E40">
      <w:pPr>
        <w:pStyle w:val="BodyText"/>
      </w:pPr>
      <w:r>
        <w:t xml:space="preserve">This stated preference study was undertaken for the Australian Building Codes Board (ABCB) for the purpose of informing cost-benefit analysis (CBA) of options for increasing the accessibility of residential buildings in Australia. CBA is a systematic approach to weighing up the costs and benefits of alternative policy options in a common metric. Key steps in a CBA of changes in the accessibility of residential buildings include developing an understanding of the values placed by Australians on accessibility features in their own home as well as altruistic values placed on improvements in outcomes for people with limited mobility. These values, which correspond to </w:t>
      </w:r>
      <w:r>
        <w:rPr>
          <w:lang w:bidi="fa-IR"/>
        </w:rPr>
        <w:t>the maximum amount that individuals would be willing to pay for an improvement or the minimum amount they would be willing to accept as compensation for a degradation,</w:t>
      </w:r>
      <w:r>
        <w:t xml:space="preserve"> can be used to </w:t>
      </w:r>
      <w:r w:rsidR="00982D83">
        <w:t xml:space="preserve">inform </w:t>
      </w:r>
      <w:r>
        <w:t>estimate</w:t>
      </w:r>
      <w:r w:rsidR="00982D83">
        <w:t>s of</w:t>
      </w:r>
      <w:r>
        <w:t xml:space="preserve"> the economic benefits of policy options as part of the CBA. The purpose of this study is to estimate these values.</w:t>
      </w:r>
    </w:p>
    <w:p w14:paraId="5411CC7B" w14:textId="77777777" w:rsidR="00CF6E40" w:rsidRPr="005F6240" w:rsidRDefault="00CF6E40" w:rsidP="00CF6E40">
      <w:pPr>
        <w:pStyle w:val="BodyText"/>
      </w:pPr>
      <w:r>
        <w:rPr>
          <w:lang w:eastAsia="en-US"/>
        </w:rPr>
        <w:t xml:space="preserve">Professor Riccardo Scarpa from University of Waikato </w:t>
      </w:r>
      <w:r w:rsidR="00982D83">
        <w:rPr>
          <w:lang w:eastAsia="en-US"/>
        </w:rPr>
        <w:t>was</w:t>
      </w:r>
      <w:r>
        <w:rPr>
          <w:lang w:eastAsia="en-US"/>
        </w:rPr>
        <w:t xml:space="preserve"> engaged in a peer review role to provide technical advice in relation to the survey method, estimation of </w:t>
      </w:r>
      <w:r w:rsidR="0083278C">
        <w:rPr>
          <w:lang w:eastAsia="en-US"/>
        </w:rPr>
        <w:t>willin</w:t>
      </w:r>
      <w:r w:rsidR="00BF2EF6">
        <w:rPr>
          <w:lang w:eastAsia="en-US"/>
        </w:rPr>
        <w:t>gness to pay (</w:t>
      </w:r>
      <w:r>
        <w:rPr>
          <w:lang w:eastAsia="en-US"/>
        </w:rPr>
        <w:t>WTP</w:t>
      </w:r>
      <w:r w:rsidR="00BF2EF6">
        <w:rPr>
          <w:lang w:eastAsia="en-US"/>
        </w:rPr>
        <w:t>)</w:t>
      </w:r>
      <w:r>
        <w:rPr>
          <w:lang w:eastAsia="en-US"/>
        </w:rPr>
        <w:t xml:space="preserve"> and application of those estimates to the cost-benefit analysis. The approach set out in this appendix </w:t>
      </w:r>
      <w:r w:rsidR="00982D83">
        <w:rPr>
          <w:lang w:eastAsia="en-US"/>
        </w:rPr>
        <w:t>was</w:t>
      </w:r>
      <w:r>
        <w:rPr>
          <w:lang w:eastAsia="en-US"/>
        </w:rPr>
        <w:t xml:space="preserve"> informed by Professor Scarpa’s advice.</w:t>
      </w:r>
    </w:p>
    <w:p w14:paraId="49DE62F3" w14:textId="77777777" w:rsidR="00CF6E40" w:rsidRPr="004B79EC" w:rsidRDefault="00CF6E40" w:rsidP="004B79EC">
      <w:pPr>
        <w:pStyle w:val="Heading2-Appendix"/>
      </w:pPr>
      <w:r w:rsidRPr="004B79EC">
        <w:t>Research method</w:t>
      </w:r>
    </w:p>
    <w:p w14:paraId="7386DD11" w14:textId="77777777" w:rsidR="00CF6E40" w:rsidRDefault="00CF6E40" w:rsidP="00CF6E40">
      <w:pPr>
        <w:pStyle w:val="BodyText"/>
        <w:rPr>
          <w:lang w:bidi="fa-IR"/>
        </w:rPr>
      </w:pPr>
      <w:r>
        <w:rPr>
          <w:lang w:bidi="fa-IR"/>
        </w:rPr>
        <w:t>Community preferences for accessible housing features are expressed at least to an extent through their home purchasing and renting decisions. A lack of data on accessibility features for past property sales means it is difficult to use these decisions to understand preferences. Furthermore, these decisions may not reveal the community’s willingness to pay for the provision of accessible housing features for other members of the community.</w:t>
      </w:r>
    </w:p>
    <w:p w14:paraId="17DBB862" w14:textId="77777777" w:rsidR="00CF6E40" w:rsidRDefault="00CF6E40" w:rsidP="00CF6E40">
      <w:pPr>
        <w:pStyle w:val="BodyText"/>
        <w:rPr>
          <w:lang w:bidi="fa-IR"/>
        </w:rPr>
      </w:pPr>
      <w:r>
        <w:rPr>
          <w:lang w:bidi="fa-IR"/>
        </w:rPr>
        <w:t>One approach to quantifying the values members of the community place on accessibility features in their own home and in the wider housing stock is through a stated preference survey designed to measure the WTP of different members of the community for different outcomes. This is the approach taken in this study.</w:t>
      </w:r>
    </w:p>
    <w:p w14:paraId="633D4DF5" w14:textId="77777777" w:rsidR="00CF6E40" w:rsidRDefault="00676E23" w:rsidP="00CF6E40">
      <w:pPr>
        <w:pStyle w:val="BodyText"/>
      </w:pPr>
      <w:r>
        <w:t>CIE</w:t>
      </w:r>
      <w:r w:rsidR="00CF6E40">
        <w:t xml:space="preserve"> conducted two choice exercises consecutively within the same questionnaire:</w:t>
      </w:r>
    </w:p>
    <w:p w14:paraId="41E49F59" w14:textId="77777777" w:rsidR="00CF6E40" w:rsidRDefault="00CF6E40" w:rsidP="00CF6E40">
      <w:pPr>
        <w:pStyle w:val="ListBullet"/>
        <w:numPr>
          <w:ilvl w:val="0"/>
          <w:numId w:val="16"/>
        </w:numPr>
      </w:pPr>
      <w:r>
        <w:t>asking the respondent to imagine they are at the point of purchasing or renting their next home and asking the respondent to choose between dwellings with differing combinations of accessibility features at different prices/rents</w:t>
      </w:r>
      <w:r w:rsidR="007D3F40">
        <w:t>,</w:t>
      </w:r>
      <w:r>
        <w:t xml:space="preserve"> and</w:t>
      </w:r>
    </w:p>
    <w:p w14:paraId="7AC1F005" w14:textId="77777777" w:rsidR="00CF6E40" w:rsidRDefault="00CF6E40" w:rsidP="00CF6E40">
      <w:pPr>
        <w:pStyle w:val="ListBullet"/>
        <w:numPr>
          <w:ilvl w:val="0"/>
          <w:numId w:val="16"/>
        </w:numPr>
      </w:pPr>
      <w:r>
        <w:t>asking the respondent to choose between sets of housing outcomes for people with limited mobility generally.</w:t>
      </w:r>
    </w:p>
    <w:p w14:paraId="7D21F616" w14:textId="77777777" w:rsidR="00CF6E40" w:rsidRDefault="00CF6E40" w:rsidP="00CF6E40">
      <w:pPr>
        <w:pStyle w:val="BodyText"/>
      </w:pPr>
      <w:r>
        <w:t>The former exercise used a choice modelling (also known as a conjoint analysis or discrete choice experiment) approach. Under this technique, consumers respond to a carefully constructed survey instrument designed to elicit preferences. The overall choice modelling technique is well established in marketing and economic research fields. To date, however, there has not been a comprehensive national choice modelling study of demand for accessible housing in Australia that allows consideration of the policy issues now at hand. This component of the study captures the net private benefits or costs of:</w:t>
      </w:r>
    </w:p>
    <w:p w14:paraId="1AEA9704" w14:textId="77777777" w:rsidR="00CF6E40" w:rsidRDefault="00CF6E40" w:rsidP="00CF6E40">
      <w:pPr>
        <w:pStyle w:val="ListBullet"/>
        <w:numPr>
          <w:ilvl w:val="0"/>
          <w:numId w:val="16"/>
        </w:numPr>
      </w:pPr>
      <w:r>
        <w:t>if the respondent has a person with limited mobility in their household, the accessibility and useability of the dwelling</w:t>
      </w:r>
    </w:p>
    <w:p w14:paraId="34B03305" w14:textId="77777777" w:rsidR="00CF6E40" w:rsidRDefault="00CF6E40" w:rsidP="00CF6E40">
      <w:pPr>
        <w:pStyle w:val="ListBullet"/>
        <w:numPr>
          <w:ilvl w:val="0"/>
          <w:numId w:val="16"/>
        </w:numPr>
      </w:pPr>
      <w:r>
        <w:t>if the respondent does not have a person with limited mobility in their household, the ability to remain in the home if someone in their household suffers from limited mobility in the future</w:t>
      </w:r>
    </w:p>
    <w:p w14:paraId="66A213FE" w14:textId="77777777" w:rsidR="00CF6E40" w:rsidRDefault="00CF6E40" w:rsidP="00CF6E40">
      <w:pPr>
        <w:pStyle w:val="ListBullet"/>
        <w:numPr>
          <w:ilvl w:val="0"/>
          <w:numId w:val="16"/>
        </w:numPr>
      </w:pPr>
      <w:r>
        <w:t>any disamenity from accessibility features, and</w:t>
      </w:r>
    </w:p>
    <w:p w14:paraId="72E5D48E" w14:textId="77777777" w:rsidR="00CF6E40" w:rsidRDefault="00CF6E40" w:rsidP="00CF6E40">
      <w:pPr>
        <w:pStyle w:val="ListBullet"/>
        <w:numPr>
          <w:ilvl w:val="0"/>
          <w:numId w:val="16"/>
        </w:numPr>
      </w:pPr>
      <w:r>
        <w:t>ability to entertain visits from friends and family with limited mobility.</w:t>
      </w:r>
    </w:p>
    <w:p w14:paraId="76185141" w14:textId="77777777" w:rsidR="00CF6E40" w:rsidRDefault="00CF6E40" w:rsidP="00CF6E40">
      <w:pPr>
        <w:pStyle w:val="BodyText"/>
        <w:rPr>
          <w:lang w:bidi="fa-IR"/>
        </w:rPr>
      </w:pPr>
      <w:r>
        <w:rPr>
          <w:lang w:bidi="fa-IR"/>
        </w:rPr>
        <w:t xml:space="preserve">The second exercise captures altruism and WTP for better outcomes for others. </w:t>
      </w:r>
      <w:r w:rsidR="001D27BB">
        <w:rPr>
          <w:lang w:bidi="fa-IR"/>
        </w:rPr>
        <w:t>CIE</w:t>
      </w:r>
      <w:r>
        <w:rPr>
          <w:lang w:bidi="fa-IR"/>
        </w:rPr>
        <w:t xml:space="preserve"> used a single ‘contingent valuation’ question for each respondent, offering an improved accessible housing outcome at a specified increase in rates/taxes. The increases in rates/taxes would be varied across respondents, allowing </w:t>
      </w:r>
      <w:r w:rsidR="00040F86">
        <w:rPr>
          <w:lang w:bidi="fa-IR"/>
        </w:rPr>
        <w:t xml:space="preserve">CIE </w:t>
      </w:r>
      <w:r>
        <w:rPr>
          <w:lang w:bidi="fa-IR"/>
        </w:rPr>
        <w:t xml:space="preserve">to identify the distribution of </w:t>
      </w:r>
      <w:r w:rsidR="00C66C3C">
        <w:rPr>
          <w:lang w:bidi="fa-IR"/>
        </w:rPr>
        <w:t>WTP across</w:t>
      </w:r>
      <w:r>
        <w:rPr>
          <w:lang w:bidi="fa-IR"/>
        </w:rPr>
        <w:t xml:space="preserve"> the population.</w:t>
      </w:r>
    </w:p>
    <w:p w14:paraId="1DF22C9E" w14:textId="77777777" w:rsidR="00CF6E40" w:rsidRDefault="00CF6E40" w:rsidP="00CF6E40">
      <w:pPr>
        <w:pStyle w:val="BodyText"/>
        <w:rPr>
          <w:lang w:bidi="fa-IR"/>
        </w:rPr>
      </w:pPr>
      <w:r>
        <w:rPr>
          <w:lang w:bidi="fa-IR"/>
        </w:rPr>
        <w:t>The survey instrument was designed to meet best-practice in stated preference research. It comprised the following:</w:t>
      </w:r>
    </w:p>
    <w:p w14:paraId="6EA66291" w14:textId="77777777" w:rsidR="00CF6E40" w:rsidRDefault="00CF6E40" w:rsidP="00CF6E40">
      <w:pPr>
        <w:pStyle w:val="ListBullet"/>
        <w:numPr>
          <w:ilvl w:val="0"/>
          <w:numId w:val="16"/>
        </w:numPr>
        <w:rPr>
          <w:lang w:bidi="fa-IR"/>
        </w:rPr>
      </w:pPr>
      <w:r>
        <w:rPr>
          <w:lang w:bidi="fa-IR"/>
        </w:rPr>
        <w:t>a welcome, with instructions and information about privacy</w:t>
      </w:r>
    </w:p>
    <w:p w14:paraId="00204539" w14:textId="77777777" w:rsidR="00CF6E40" w:rsidRDefault="00CF6E40" w:rsidP="00CF6E40">
      <w:pPr>
        <w:pStyle w:val="ListBullet"/>
        <w:numPr>
          <w:ilvl w:val="0"/>
          <w:numId w:val="16"/>
        </w:numPr>
        <w:rPr>
          <w:lang w:bidi="fa-IR"/>
        </w:rPr>
      </w:pPr>
      <w:r>
        <w:rPr>
          <w:lang w:bidi="fa-IR"/>
        </w:rPr>
        <w:t>screening questions to ensure representative samples that exclude respondents with potential conflicts of interest</w:t>
      </w:r>
    </w:p>
    <w:p w14:paraId="710C4896" w14:textId="77777777" w:rsidR="00CF6E40" w:rsidRDefault="00CF6E40" w:rsidP="00CF6E40">
      <w:pPr>
        <w:pStyle w:val="ListBullet"/>
        <w:numPr>
          <w:ilvl w:val="0"/>
          <w:numId w:val="16"/>
        </w:numPr>
        <w:rPr>
          <w:lang w:bidi="fa-IR"/>
        </w:rPr>
      </w:pPr>
      <w:r>
        <w:rPr>
          <w:lang w:bidi="fa-IR"/>
        </w:rPr>
        <w:t>questions about mobility limitations within the respondent’s household</w:t>
      </w:r>
    </w:p>
    <w:p w14:paraId="7F499B20" w14:textId="77777777" w:rsidR="00CF6E40" w:rsidRDefault="00CF6E40" w:rsidP="00CF6E40">
      <w:pPr>
        <w:pStyle w:val="ListBullet"/>
        <w:numPr>
          <w:ilvl w:val="0"/>
          <w:numId w:val="16"/>
        </w:numPr>
        <w:rPr>
          <w:lang w:bidi="fa-IR"/>
        </w:rPr>
      </w:pPr>
      <w:r>
        <w:rPr>
          <w:lang w:bidi="fa-IR"/>
        </w:rPr>
        <w:t>factual information about accessibility features and questions about the accessibility features of the respondent’s current home</w:t>
      </w:r>
    </w:p>
    <w:p w14:paraId="45D113C9" w14:textId="77777777" w:rsidR="00CF6E40" w:rsidRDefault="00CF6E40" w:rsidP="00CF6E40">
      <w:pPr>
        <w:pStyle w:val="ListBullet"/>
        <w:numPr>
          <w:ilvl w:val="0"/>
          <w:numId w:val="16"/>
        </w:numPr>
        <w:rPr>
          <w:lang w:bidi="fa-IR"/>
        </w:rPr>
      </w:pPr>
      <w:r>
        <w:rPr>
          <w:lang w:bidi="fa-IR"/>
        </w:rPr>
        <w:t>questions about attitudes towards accessibility features</w:t>
      </w:r>
    </w:p>
    <w:p w14:paraId="00F0D4EC" w14:textId="77777777" w:rsidR="00CF6E40" w:rsidRDefault="00CF6E40" w:rsidP="00CF6E40">
      <w:pPr>
        <w:pStyle w:val="ListBullet"/>
        <w:numPr>
          <w:ilvl w:val="0"/>
          <w:numId w:val="16"/>
        </w:numPr>
        <w:rPr>
          <w:lang w:bidi="fa-IR"/>
        </w:rPr>
      </w:pPr>
      <w:r>
        <w:rPr>
          <w:lang w:bidi="fa-IR"/>
        </w:rPr>
        <w:t>questions about the nature of the respondent’s next home</w:t>
      </w:r>
    </w:p>
    <w:p w14:paraId="32251F7A" w14:textId="77777777" w:rsidR="00CF6E40" w:rsidRDefault="00CF6E40" w:rsidP="00CF6E40">
      <w:pPr>
        <w:pStyle w:val="ListBullet"/>
        <w:numPr>
          <w:ilvl w:val="0"/>
          <w:numId w:val="16"/>
        </w:numPr>
        <w:rPr>
          <w:lang w:bidi="fa-IR"/>
        </w:rPr>
      </w:pPr>
      <w:r>
        <w:rPr>
          <w:lang w:bidi="fa-IR"/>
        </w:rPr>
        <w:t>instructions about the choice questions</w:t>
      </w:r>
    </w:p>
    <w:p w14:paraId="55355892" w14:textId="77777777" w:rsidR="00CF6E40" w:rsidRDefault="00CF6E40" w:rsidP="00CF6E40">
      <w:pPr>
        <w:pStyle w:val="ListBullet"/>
        <w:numPr>
          <w:ilvl w:val="0"/>
          <w:numId w:val="16"/>
        </w:numPr>
        <w:rPr>
          <w:lang w:bidi="fa-IR"/>
        </w:rPr>
      </w:pPr>
      <w:r>
        <w:rPr>
          <w:lang w:bidi="fa-IR"/>
        </w:rPr>
        <w:t xml:space="preserve">six </w:t>
      </w:r>
      <w:r w:rsidR="00D02C83">
        <w:rPr>
          <w:lang w:bidi="fa-IR"/>
        </w:rPr>
        <w:t>discrete choice experiment (</w:t>
      </w:r>
      <w:r>
        <w:rPr>
          <w:lang w:bidi="fa-IR"/>
        </w:rPr>
        <w:t>DCE</w:t>
      </w:r>
      <w:r w:rsidR="00D02C83">
        <w:rPr>
          <w:lang w:bidi="fa-IR"/>
        </w:rPr>
        <w:t>)</w:t>
      </w:r>
      <w:r>
        <w:rPr>
          <w:lang w:bidi="fa-IR"/>
        </w:rPr>
        <w:t xml:space="preserve"> questions – discussed in further detail below</w:t>
      </w:r>
    </w:p>
    <w:p w14:paraId="7A93C8CB" w14:textId="77777777" w:rsidR="00CF6E40" w:rsidRDefault="00CF6E40" w:rsidP="00CF6E40">
      <w:pPr>
        <w:pStyle w:val="ListBullet"/>
        <w:numPr>
          <w:ilvl w:val="0"/>
          <w:numId w:val="16"/>
        </w:numPr>
        <w:rPr>
          <w:lang w:bidi="fa-IR"/>
        </w:rPr>
      </w:pPr>
      <w:r>
        <w:rPr>
          <w:lang w:bidi="fa-IR"/>
        </w:rPr>
        <w:t>description of a proposed policy option and a ‘cheap talk’ script to limit hypothetical bias by reminding respondents of the consequentiality of the survey and their budget constraint</w:t>
      </w:r>
    </w:p>
    <w:p w14:paraId="128AFD8C" w14:textId="77777777" w:rsidR="00CF6E40" w:rsidRDefault="00CF6E40" w:rsidP="00CF6E40">
      <w:pPr>
        <w:pStyle w:val="ListBullet"/>
        <w:numPr>
          <w:ilvl w:val="0"/>
          <w:numId w:val="16"/>
        </w:numPr>
        <w:rPr>
          <w:lang w:bidi="fa-IR"/>
        </w:rPr>
      </w:pPr>
      <w:r>
        <w:rPr>
          <w:lang w:bidi="fa-IR"/>
        </w:rPr>
        <w:t>a contingent valuation (CV) question – discussed in further detail below</w:t>
      </w:r>
    </w:p>
    <w:p w14:paraId="792DA99D" w14:textId="77777777" w:rsidR="00CF6E40" w:rsidRDefault="00CF6E40" w:rsidP="00CF6E40">
      <w:pPr>
        <w:pStyle w:val="ListBullet"/>
        <w:numPr>
          <w:ilvl w:val="0"/>
          <w:numId w:val="16"/>
        </w:numPr>
        <w:rPr>
          <w:lang w:bidi="fa-IR"/>
        </w:rPr>
      </w:pPr>
      <w:r>
        <w:rPr>
          <w:lang w:bidi="fa-IR"/>
        </w:rPr>
        <w:t>debriefing questions about the motivation behind and approach taken by the respondent to the DCE and CV questions, and</w:t>
      </w:r>
    </w:p>
    <w:p w14:paraId="67D0F05B" w14:textId="77777777" w:rsidR="00CF6E40" w:rsidRDefault="00CF6E40" w:rsidP="00CF6E40">
      <w:pPr>
        <w:pStyle w:val="ListBullet"/>
        <w:numPr>
          <w:ilvl w:val="0"/>
          <w:numId w:val="16"/>
        </w:numPr>
        <w:rPr>
          <w:lang w:bidi="fa-IR"/>
        </w:rPr>
      </w:pPr>
      <w:r>
        <w:rPr>
          <w:lang w:bidi="fa-IR"/>
        </w:rPr>
        <w:t>further questions about the respondent’s characteristics.</w:t>
      </w:r>
    </w:p>
    <w:p w14:paraId="55A1CADE" w14:textId="77777777" w:rsidR="00CF6E40" w:rsidRDefault="00CF6E40" w:rsidP="00CF6E40">
      <w:pPr>
        <w:pStyle w:val="BodyText"/>
        <w:rPr>
          <w:lang w:bidi="fa-IR"/>
        </w:rPr>
      </w:pPr>
      <w:r>
        <w:rPr>
          <w:lang w:bidi="fa-IR"/>
        </w:rPr>
        <w:t>The questionnaire was developed through several stages of review and testing, including:</w:t>
      </w:r>
    </w:p>
    <w:p w14:paraId="3AF0917F" w14:textId="77777777" w:rsidR="00CF6E40" w:rsidRDefault="00CF6E40" w:rsidP="00CF6E40">
      <w:pPr>
        <w:pStyle w:val="ListBullet"/>
        <w:numPr>
          <w:ilvl w:val="0"/>
          <w:numId w:val="16"/>
        </w:numPr>
        <w:rPr>
          <w:lang w:bidi="fa-IR"/>
        </w:rPr>
      </w:pPr>
      <w:r>
        <w:rPr>
          <w:lang w:bidi="fa-IR"/>
        </w:rPr>
        <w:t xml:space="preserve">review and input from </w:t>
      </w:r>
      <w:r w:rsidR="00AC541E">
        <w:rPr>
          <w:lang w:bidi="fa-IR"/>
        </w:rPr>
        <w:t xml:space="preserve">the </w:t>
      </w:r>
      <w:r>
        <w:rPr>
          <w:lang w:bidi="fa-IR"/>
        </w:rPr>
        <w:t xml:space="preserve">ABCB </w:t>
      </w:r>
      <w:r w:rsidR="001B7834">
        <w:rPr>
          <w:lang w:bidi="fa-IR"/>
        </w:rPr>
        <w:t xml:space="preserve">office </w:t>
      </w:r>
      <w:r>
        <w:rPr>
          <w:lang w:bidi="fa-IR"/>
        </w:rPr>
        <w:t xml:space="preserve">and stakeholder consultations in response to the questionnaire structure included in the Issues Paper, and </w:t>
      </w:r>
    </w:p>
    <w:p w14:paraId="3A0A8FBA" w14:textId="77777777" w:rsidR="00CF6E40" w:rsidRDefault="00CF6E40" w:rsidP="00CF6E40">
      <w:pPr>
        <w:pStyle w:val="ListBullet"/>
        <w:numPr>
          <w:ilvl w:val="0"/>
          <w:numId w:val="16"/>
        </w:numPr>
        <w:rPr>
          <w:lang w:bidi="fa-IR"/>
        </w:rPr>
      </w:pPr>
      <w:r>
        <w:rPr>
          <w:lang w:bidi="fa-IR"/>
        </w:rPr>
        <w:t>a pilot wave of survey fieldwork.</w:t>
      </w:r>
    </w:p>
    <w:p w14:paraId="42389D33" w14:textId="77777777" w:rsidR="00CF6E40" w:rsidRPr="00F4477B" w:rsidRDefault="00CF6E40" w:rsidP="00F4477B">
      <w:pPr>
        <w:pStyle w:val="Heading3-Appendix"/>
      </w:pPr>
      <w:r w:rsidRPr="00F4477B">
        <w:t>Discrete choice experiment questions</w:t>
      </w:r>
    </w:p>
    <w:p w14:paraId="10F38413" w14:textId="77777777" w:rsidR="00CF6E40" w:rsidRDefault="00CF6E40" w:rsidP="00CF6E40">
      <w:pPr>
        <w:pStyle w:val="BodyText"/>
        <w:rPr>
          <w:lang w:bidi="fa-IR"/>
        </w:rPr>
      </w:pPr>
      <w:r>
        <w:rPr>
          <w:lang w:bidi="fa-IR"/>
        </w:rPr>
        <w:t>There are several important decisions that must be made when designing a DCE. These include:</w:t>
      </w:r>
    </w:p>
    <w:p w14:paraId="691E7882" w14:textId="77777777" w:rsidR="00CF6E40" w:rsidRDefault="00CF6E40" w:rsidP="00CF6E40">
      <w:pPr>
        <w:pStyle w:val="ListBullet"/>
        <w:numPr>
          <w:ilvl w:val="0"/>
          <w:numId w:val="16"/>
        </w:numPr>
        <w:rPr>
          <w:lang w:bidi="fa-IR"/>
        </w:rPr>
      </w:pPr>
      <w:r>
        <w:rPr>
          <w:lang w:bidi="fa-IR"/>
        </w:rPr>
        <w:t>the features or attributes to be included in the choice tasks and how those attributes should be defined</w:t>
      </w:r>
    </w:p>
    <w:p w14:paraId="5102087D" w14:textId="77777777" w:rsidR="00CF6E40" w:rsidRDefault="00CF6E40" w:rsidP="00CF6E40">
      <w:pPr>
        <w:pStyle w:val="ListBullet"/>
        <w:numPr>
          <w:ilvl w:val="0"/>
          <w:numId w:val="16"/>
        </w:numPr>
        <w:rPr>
          <w:lang w:bidi="fa-IR"/>
        </w:rPr>
      </w:pPr>
      <w:r>
        <w:rPr>
          <w:lang w:bidi="fa-IR"/>
        </w:rPr>
        <w:t>the number of alternatives to be included in each choice task</w:t>
      </w:r>
    </w:p>
    <w:p w14:paraId="560C8783" w14:textId="77777777" w:rsidR="00CF6E40" w:rsidRDefault="00CF6E40" w:rsidP="00CF6E40">
      <w:pPr>
        <w:pStyle w:val="ListBullet"/>
        <w:numPr>
          <w:ilvl w:val="0"/>
          <w:numId w:val="16"/>
        </w:numPr>
        <w:rPr>
          <w:lang w:bidi="fa-IR"/>
        </w:rPr>
      </w:pPr>
      <w:r>
        <w:rPr>
          <w:lang w:bidi="fa-IR"/>
        </w:rPr>
        <w:t>the number of questions to be answered by each respondent</w:t>
      </w:r>
    </w:p>
    <w:p w14:paraId="39B7A034" w14:textId="77777777" w:rsidR="00CF6E40" w:rsidRDefault="00CF6E40" w:rsidP="00CF6E40">
      <w:pPr>
        <w:pStyle w:val="ListBullet"/>
        <w:numPr>
          <w:ilvl w:val="0"/>
          <w:numId w:val="16"/>
        </w:numPr>
        <w:rPr>
          <w:lang w:bidi="fa-IR"/>
        </w:rPr>
      </w:pPr>
      <w:r>
        <w:rPr>
          <w:lang w:bidi="fa-IR"/>
        </w:rPr>
        <w:t>the levels that the attributes can take in the questions</w:t>
      </w:r>
    </w:p>
    <w:p w14:paraId="5489CF25" w14:textId="77777777" w:rsidR="00CF6E40" w:rsidRDefault="00CF6E40" w:rsidP="00CF6E40">
      <w:pPr>
        <w:pStyle w:val="ListBullet"/>
        <w:numPr>
          <w:ilvl w:val="0"/>
          <w:numId w:val="16"/>
        </w:numPr>
        <w:rPr>
          <w:lang w:bidi="fa-IR"/>
        </w:rPr>
      </w:pPr>
      <w:r>
        <w:rPr>
          <w:lang w:bidi="fa-IR"/>
        </w:rPr>
        <w:t>the combinations of attribute levels in each question (that is, the experimental design), and</w:t>
      </w:r>
    </w:p>
    <w:p w14:paraId="45DC99A1" w14:textId="77777777" w:rsidR="00CF6E40" w:rsidRDefault="00CF6E40" w:rsidP="00CF6E40">
      <w:pPr>
        <w:pStyle w:val="ListBullet"/>
        <w:numPr>
          <w:ilvl w:val="0"/>
          <w:numId w:val="16"/>
        </w:numPr>
        <w:rPr>
          <w:lang w:bidi="fa-IR"/>
        </w:rPr>
      </w:pPr>
      <w:r>
        <w:rPr>
          <w:lang w:bidi="fa-IR"/>
        </w:rPr>
        <w:t>the information, instructions and/or questions used to prepare respondents for the choice.</w:t>
      </w:r>
    </w:p>
    <w:p w14:paraId="3AFE9180" w14:textId="77777777" w:rsidR="00CF6E40" w:rsidRPr="004B79EC" w:rsidRDefault="00CF6E40" w:rsidP="004B79EC">
      <w:pPr>
        <w:pStyle w:val="Heading4-Appendix"/>
      </w:pPr>
      <w:r w:rsidRPr="004B79EC">
        <w:t>Housing attributes</w:t>
      </w:r>
    </w:p>
    <w:p w14:paraId="5320B770" w14:textId="77777777" w:rsidR="00CF6E40" w:rsidRDefault="00CF6E40" w:rsidP="00CF6E40">
      <w:pPr>
        <w:pStyle w:val="BodyText"/>
        <w:rPr>
          <w:lang w:bidi="fa-IR"/>
        </w:rPr>
      </w:pPr>
      <w:r>
        <w:rPr>
          <w:lang w:bidi="fa-IR"/>
        </w:rPr>
        <w:t>The attributes included in the DCE were:</w:t>
      </w:r>
    </w:p>
    <w:p w14:paraId="292A18A8" w14:textId="77777777" w:rsidR="00CF6E40" w:rsidRDefault="00CF6E40" w:rsidP="00CF6E40">
      <w:pPr>
        <w:pStyle w:val="ListBullet"/>
        <w:numPr>
          <w:ilvl w:val="0"/>
          <w:numId w:val="16"/>
        </w:numPr>
        <w:rPr>
          <w:lang w:bidi="fa-IR"/>
        </w:rPr>
      </w:pPr>
      <w:r>
        <w:rPr>
          <w:lang w:bidi="fa-IR"/>
        </w:rPr>
        <w:t>Price/</w:t>
      </w:r>
      <w:r w:rsidR="00D02C83">
        <w:rPr>
          <w:lang w:bidi="fa-IR"/>
        </w:rPr>
        <w:t>r</w:t>
      </w:r>
      <w:r>
        <w:rPr>
          <w:lang w:bidi="fa-IR"/>
        </w:rPr>
        <w:t xml:space="preserve">ent </w:t>
      </w:r>
    </w:p>
    <w:p w14:paraId="4F00BE1F" w14:textId="77777777" w:rsidR="00CF6E40" w:rsidRDefault="00CF6E40" w:rsidP="00CF6E40">
      <w:pPr>
        <w:pStyle w:val="ListBullet"/>
        <w:numPr>
          <w:ilvl w:val="0"/>
          <w:numId w:val="16"/>
        </w:numPr>
        <w:rPr>
          <w:lang w:bidi="fa-IR"/>
        </w:rPr>
      </w:pPr>
      <w:r>
        <w:rPr>
          <w:lang w:bidi="fa-IR"/>
        </w:rPr>
        <w:t>Getting in and out</w:t>
      </w:r>
    </w:p>
    <w:p w14:paraId="6A8A83F9" w14:textId="77777777" w:rsidR="00CF6E40" w:rsidRDefault="00CF6E40" w:rsidP="00CF6E40">
      <w:pPr>
        <w:pStyle w:val="ListBullet"/>
        <w:numPr>
          <w:ilvl w:val="0"/>
          <w:numId w:val="16"/>
        </w:numPr>
        <w:rPr>
          <w:lang w:bidi="fa-IR"/>
        </w:rPr>
      </w:pPr>
      <w:r>
        <w:rPr>
          <w:lang w:bidi="fa-IR"/>
        </w:rPr>
        <w:t>Moving around indoors</w:t>
      </w:r>
    </w:p>
    <w:p w14:paraId="5EF5EA0E" w14:textId="77777777" w:rsidR="00CF6E40" w:rsidRDefault="00CF6E40" w:rsidP="00CF6E40">
      <w:pPr>
        <w:pStyle w:val="ListBullet"/>
        <w:numPr>
          <w:ilvl w:val="0"/>
          <w:numId w:val="16"/>
        </w:numPr>
        <w:rPr>
          <w:lang w:bidi="fa-IR"/>
        </w:rPr>
      </w:pPr>
      <w:r>
        <w:rPr>
          <w:lang w:bidi="fa-IR"/>
        </w:rPr>
        <w:t>Living with limited mobility on same level as an entrance</w:t>
      </w:r>
    </w:p>
    <w:p w14:paraId="1B210BEE" w14:textId="77777777" w:rsidR="00CF6E40" w:rsidRDefault="00CF6E40" w:rsidP="00CF6E40">
      <w:pPr>
        <w:pStyle w:val="ListBullet"/>
        <w:numPr>
          <w:ilvl w:val="0"/>
          <w:numId w:val="16"/>
        </w:numPr>
        <w:rPr>
          <w:lang w:bidi="fa-IR"/>
        </w:rPr>
      </w:pPr>
      <w:r>
        <w:rPr>
          <w:lang w:bidi="fa-IR"/>
        </w:rPr>
        <w:t>Modification that would be needed to make home suitable for ageing in place</w:t>
      </w:r>
    </w:p>
    <w:p w14:paraId="5DD37211" w14:textId="77777777" w:rsidR="00CF6E40" w:rsidRDefault="00CF6E40" w:rsidP="00CF6E40">
      <w:pPr>
        <w:pStyle w:val="ListBullet"/>
        <w:numPr>
          <w:ilvl w:val="0"/>
          <w:numId w:val="16"/>
        </w:numPr>
        <w:rPr>
          <w:lang w:bidi="fa-IR"/>
        </w:rPr>
      </w:pPr>
      <w:r>
        <w:rPr>
          <w:lang w:bidi="fa-IR"/>
        </w:rPr>
        <w:t>Total size of home compared to similar homes</w:t>
      </w:r>
    </w:p>
    <w:p w14:paraId="13CBD064" w14:textId="77777777" w:rsidR="00CF6E40" w:rsidRDefault="00CF6E40" w:rsidP="00CF6E40">
      <w:pPr>
        <w:pStyle w:val="ListBullet"/>
        <w:numPr>
          <w:ilvl w:val="0"/>
          <w:numId w:val="16"/>
        </w:numPr>
        <w:rPr>
          <w:lang w:bidi="fa-IR"/>
        </w:rPr>
      </w:pPr>
      <w:r>
        <w:rPr>
          <w:lang w:bidi="fa-IR"/>
        </w:rPr>
        <w:t xml:space="preserve">Amount of space used for: </w:t>
      </w:r>
      <w:r w:rsidR="00D02C83">
        <w:rPr>
          <w:lang w:bidi="fa-IR"/>
        </w:rPr>
        <w:t>c</w:t>
      </w:r>
      <w:r>
        <w:rPr>
          <w:lang w:bidi="fa-IR"/>
        </w:rPr>
        <w:t>orridors, bathroom, kitchen, laundry</w:t>
      </w:r>
    </w:p>
    <w:p w14:paraId="0D065A7B" w14:textId="77777777" w:rsidR="00CF6E40" w:rsidRDefault="00CF6E40" w:rsidP="00CF6E40">
      <w:pPr>
        <w:pStyle w:val="ListBullet"/>
        <w:numPr>
          <w:ilvl w:val="0"/>
          <w:numId w:val="16"/>
        </w:numPr>
        <w:rPr>
          <w:lang w:bidi="fa-IR"/>
        </w:rPr>
      </w:pPr>
      <w:r>
        <w:rPr>
          <w:lang w:bidi="fa-IR"/>
        </w:rPr>
        <w:t xml:space="preserve">Amount of space used for: </w:t>
      </w:r>
      <w:r w:rsidR="00D02C83">
        <w:rPr>
          <w:lang w:bidi="fa-IR"/>
        </w:rPr>
        <w:t>l</w:t>
      </w:r>
      <w:r>
        <w:rPr>
          <w:lang w:bidi="fa-IR"/>
        </w:rPr>
        <w:t>iving areas and bedrooms</w:t>
      </w:r>
    </w:p>
    <w:p w14:paraId="47C9E578" w14:textId="77777777" w:rsidR="00CF6E40" w:rsidRDefault="00CF6E40" w:rsidP="00CF6E40">
      <w:pPr>
        <w:pStyle w:val="BodyText"/>
        <w:rPr>
          <w:lang w:bidi="fa-IR"/>
        </w:rPr>
      </w:pPr>
      <w:r>
        <w:rPr>
          <w:lang w:bidi="fa-IR"/>
        </w:rPr>
        <w:t xml:space="preserve">These attributes were chosen to focus on the outcomes for people with or concerned about limited mobility. </w:t>
      </w:r>
    </w:p>
    <w:p w14:paraId="2774FCB2" w14:textId="77777777" w:rsidR="00CF6E40" w:rsidRDefault="00CF6E40" w:rsidP="00CF6E40">
      <w:pPr>
        <w:pStyle w:val="BodyText"/>
        <w:rPr>
          <w:lang w:bidi="fa-IR"/>
        </w:rPr>
      </w:pPr>
      <w:r>
        <w:rPr>
          <w:lang w:bidi="fa-IR"/>
        </w:rPr>
        <w:t xml:space="preserve">For respondents indicating they would be likely to buy their next home, the cost attribute was defined as the purchase price. For other respondents, the cost attribute was defined as the weekly rent. </w:t>
      </w:r>
    </w:p>
    <w:p w14:paraId="4E0EF2CF" w14:textId="77777777" w:rsidR="00CF6E40" w:rsidRPr="004B79EC" w:rsidRDefault="00CF6E40" w:rsidP="004B79EC">
      <w:pPr>
        <w:pStyle w:val="Heading4-Appendix"/>
      </w:pPr>
      <w:r w:rsidRPr="004B79EC">
        <w:t>Alternatives per task</w:t>
      </w:r>
    </w:p>
    <w:p w14:paraId="2E85C73E" w14:textId="77777777" w:rsidR="00CF6E40" w:rsidRDefault="00CF6E40" w:rsidP="00CF6E40">
      <w:pPr>
        <w:pStyle w:val="BodyText"/>
        <w:rPr>
          <w:lang w:bidi="fa-IR"/>
        </w:rPr>
      </w:pPr>
      <w:r>
        <w:rPr>
          <w:lang w:bidi="fa-IR"/>
        </w:rPr>
        <w:t xml:space="preserve">Each DCE question comprised two alternative homes. Although decision making is often reference-dependent, </w:t>
      </w:r>
      <w:r w:rsidR="00F442D4">
        <w:rPr>
          <w:lang w:bidi="fa-IR"/>
        </w:rPr>
        <w:t>CIE</w:t>
      </w:r>
      <w:r>
        <w:rPr>
          <w:lang w:bidi="fa-IR"/>
        </w:rPr>
        <w:t xml:space="preserve"> decided against including the current home as a status quo option, as it would introduce the added complication of the value placed on sentimental attachment and avoided moving costs. These values, along with the fact that many respondents consider a move within the next five years as unlikely, mean that a status quo option would likely attract a large number of choices, which would detract from the experiment’s ability to isolate the trade-offs respondents are willing to make between price and accessibility features. To isolate these trade-offs, </w:t>
      </w:r>
      <w:r w:rsidR="00F442D4">
        <w:rPr>
          <w:lang w:bidi="fa-IR"/>
        </w:rPr>
        <w:t>the survey</w:t>
      </w:r>
      <w:r>
        <w:rPr>
          <w:lang w:bidi="fa-IR"/>
        </w:rPr>
        <w:t xml:space="preserve"> asked respondents to imagine they were choosing between two homes at the point of their next home purchase/rent decision. Feedback from pretesting indicated that larger choice tasks involving three or more homes would be too complex.</w:t>
      </w:r>
    </w:p>
    <w:p w14:paraId="5D395968" w14:textId="77777777" w:rsidR="00CF6E40" w:rsidRPr="004B79EC" w:rsidRDefault="00CF6E40" w:rsidP="004B79EC">
      <w:pPr>
        <w:pStyle w:val="Heading4-Appendix"/>
      </w:pPr>
      <w:r w:rsidRPr="004B79EC">
        <w:t>Number of questions per respondent</w:t>
      </w:r>
    </w:p>
    <w:p w14:paraId="7C27DA59" w14:textId="77777777" w:rsidR="00CF6E40" w:rsidRDefault="00CF6E40" w:rsidP="00CF6E40">
      <w:pPr>
        <w:pStyle w:val="BodyText"/>
      </w:pPr>
      <w:r>
        <w:rPr>
          <w:lang w:bidi="fa-IR"/>
        </w:rPr>
        <w:t>The questionnaire included six choice tasks. The risk of respondents dropping out of self-administered questionnaires increases with the number of choice tasks presented. The number of respondents required to obtain statistically significant estimates of WTP reduces with the number of choice tasks presented to each respondent. A sequence of six choice tasks per respondent was judged to strike an appropriate balance between these two considerations.</w:t>
      </w:r>
    </w:p>
    <w:p w14:paraId="1FF073EE" w14:textId="77777777" w:rsidR="00CF6E40" w:rsidRPr="004B79EC" w:rsidRDefault="00CF6E40" w:rsidP="004B79EC">
      <w:pPr>
        <w:pStyle w:val="Heading4-Appendix"/>
      </w:pPr>
      <w:r w:rsidRPr="004B79EC">
        <w:t>Attribute levels</w:t>
      </w:r>
    </w:p>
    <w:p w14:paraId="669C4501" w14:textId="77777777" w:rsidR="00CF6E40" w:rsidRDefault="00CF6E40" w:rsidP="00CF6E40">
      <w:pPr>
        <w:pStyle w:val="BodyText"/>
      </w:pPr>
      <w:r>
        <w:t xml:space="preserve">The attribute levels used in the DCE questions are set out in table </w:t>
      </w:r>
      <w:r>
        <w:rPr>
          <w:noProof/>
        </w:rPr>
        <w:t>K.1</w:t>
      </w:r>
      <w:r>
        <w:t xml:space="preserve">. Prices/rents were calculated using a reference price calculated as the midpoint of the price range that the respondent indicated they would expect to pay for their next home. Most of the price levels were designed below the reference price to ensure they lay within the respondent’s budget constraint. In </w:t>
      </w:r>
      <w:r w:rsidR="00D02C83">
        <w:t>W</w:t>
      </w:r>
      <w:r>
        <w:t xml:space="preserve">ave 2 of the survey fieldwork, different price levels were used depending on whether the respondent had indicated in a qualitative question they would prefer a home with at least some accessibility features. Analysis of data from </w:t>
      </w:r>
      <w:r w:rsidR="00D02C83">
        <w:t>W</w:t>
      </w:r>
      <w:r>
        <w:t>ave 1 indicated that WTP varied considerably with the response to this qualitative question. To improve the efficiency of the experimental design, this qualitative question was used as a filtering question to allocate respondents to one of two different designs, each with price levels that covered the range of WTP estimated from Wave 1 data for the best and worst combinations of attribute levels.</w:t>
      </w:r>
    </w:p>
    <w:p w14:paraId="14102583" w14:textId="50C5D7E1" w:rsidR="00CF6E40" w:rsidRDefault="00390CDB" w:rsidP="00CF6E40">
      <w:pPr>
        <w:pStyle w:val="Caption"/>
      </w:pPr>
      <w:bookmarkStart w:id="903" w:name="_Toc32321925"/>
      <w:bookmarkStart w:id="904" w:name="_Toc44598631"/>
      <w:bookmarkStart w:id="905" w:name="_Toc45654262"/>
      <w:bookmarkStart w:id="906" w:name="_Toc57643731"/>
      <w:bookmarkStart w:id="907" w:name="_Toc70505684"/>
      <w:r>
        <w:t>K.1</w:t>
      </w:r>
      <w:r w:rsidR="00CF6E40" w:rsidRPr="00695C93">
        <w:tab/>
      </w:r>
      <w:r w:rsidR="00CF6E40">
        <w:t>Attribute levels used in discrete choice experiment</w:t>
      </w:r>
      <w:bookmarkEnd w:id="903"/>
      <w:bookmarkEnd w:id="904"/>
      <w:bookmarkEnd w:id="905"/>
      <w:bookmarkEnd w:id="906"/>
      <w:bookmarkEnd w:id="90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K.1: Attribute levels used in discrete choice experiment"/>
        <w:tblDescription w:val="Table K.1 lists attribute levels used in discrete choice experiment. The table explains how attributes were determined."/>
      </w:tblPr>
      <w:tblGrid>
        <w:gridCol w:w="2835"/>
        <w:gridCol w:w="5102"/>
      </w:tblGrid>
      <w:tr w:rsidR="00CF6E40" w14:paraId="63931890" w14:textId="77777777" w:rsidTr="004B5CD1">
        <w:trPr>
          <w:tblHeader/>
        </w:trPr>
        <w:tc>
          <w:tcPr>
            <w:tcW w:w="2835" w:type="dxa"/>
            <w:tcBorders>
              <w:bottom w:val="single" w:sz="8" w:space="0" w:color="FFFFFF" w:themeColor="background1"/>
            </w:tcBorders>
            <w:shd w:val="clear" w:color="auto" w:fill="6F6652" w:themeFill="accent5"/>
          </w:tcPr>
          <w:p w14:paraId="4A7BC684" w14:textId="77777777" w:rsidR="00CF6E40" w:rsidRDefault="00CF6E40" w:rsidP="004B5CD1">
            <w:pPr>
              <w:pStyle w:val="TableTextColumnHeading"/>
            </w:pPr>
            <w:r>
              <w:t>Attribute</w:t>
            </w:r>
          </w:p>
        </w:tc>
        <w:tc>
          <w:tcPr>
            <w:tcW w:w="5102" w:type="dxa"/>
            <w:tcBorders>
              <w:bottom w:val="single" w:sz="8" w:space="0" w:color="FFFFFF" w:themeColor="background1"/>
            </w:tcBorders>
            <w:shd w:val="clear" w:color="auto" w:fill="6F6652" w:themeFill="accent5"/>
          </w:tcPr>
          <w:p w14:paraId="097B8B13" w14:textId="77777777" w:rsidR="00CF6E40" w:rsidRDefault="00CF6E40" w:rsidP="004B5CD1">
            <w:pPr>
              <w:pStyle w:val="TableTextColumnHeading"/>
            </w:pPr>
            <w:r>
              <w:t>Levels</w:t>
            </w:r>
          </w:p>
        </w:tc>
      </w:tr>
      <w:tr w:rsidR="00CF6E40" w14:paraId="61B40EB6"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1D224327" w14:textId="77777777" w:rsidR="00CF6E40" w:rsidRPr="008C017F" w:rsidRDefault="00CF6E40" w:rsidP="004B5CD1">
            <w:pPr>
              <w:pStyle w:val="TableTextEntries"/>
            </w:pPr>
            <w:r w:rsidRPr="008C017F">
              <w:t xml:space="preserve">Price / Rent </w:t>
            </w:r>
          </w:p>
        </w:tc>
        <w:tc>
          <w:tcPr>
            <w:tcW w:w="5102" w:type="dxa"/>
            <w:tcBorders>
              <w:top w:val="single" w:sz="8" w:space="0" w:color="FFFFFF" w:themeColor="background1"/>
              <w:bottom w:val="single" w:sz="8" w:space="0" w:color="FFFFFF" w:themeColor="background1"/>
            </w:tcBorders>
            <w:shd w:val="clear" w:color="auto" w:fill="E9E8E5" w:themeFill="background2"/>
          </w:tcPr>
          <w:p w14:paraId="4676E5CA" w14:textId="77777777" w:rsidR="00CF6E40" w:rsidRDefault="00CF6E40" w:rsidP="004B5CD1">
            <w:pPr>
              <w:pStyle w:val="TableTextEntries"/>
            </w:pPr>
            <w:r>
              <w:t>Wave 1:</w:t>
            </w:r>
          </w:p>
          <w:p w14:paraId="5A5A602E" w14:textId="77777777" w:rsidR="00CF6E40" w:rsidRDefault="00CF6E40" w:rsidP="004B5CD1">
            <w:pPr>
              <w:pStyle w:val="TableTextEntries"/>
            </w:pPr>
            <w:r>
              <w:t>Reference price/rent x 0.868, 0.884, 0.892, 0.896, 0.898, 0.899, 0.9, 0.901, 0.902, 0.904, 0.908, 0.916, 0.932, 0.964, 1.028</w:t>
            </w:r>
          </w:p>
          <w:p w14:paraId="5828B0D5" w14:textId="77777777" w:rsidR="00CF6E40" w:rsidRDefault="00CF6E40" w:rsidP="004B5CD1">
            <w:pPr>
              <w:pStyle w:val="TableTextEntries"/>
            </w:pPr>
            <w:r>
              <w:t>Wave 2:</w:t>
            </w:r>
          </w:p>
          <w:p w14:paraId="2C14B957" w14:textId="77777777" w:rsidR="00CF6E40" w:rsidRDefault="00CF6E40" w:rsidP="004B5CD1">
            <w:pPr>
              <w:pStyle w:val="TableTextEntries"/>
            </w:pPr>
            <w:r>
              <w:t>Respondents indicating a preference for at least some accessibility features:</w:t>
            </w:r>
          </w:p>
          <w:p w14:paraId="32170FE7" w14:textId="77777777" w:rsidR="00CF6E40" w:rsidRDefault="00CF6E40" w:rsidP="004B5CD1">
            <w:pPr>
              <w:pStyle w:val="TableTextEntries"/>
            </w:pPr>
            <w:r>
              <w:t>Reference price/rent x 0.7, 0.85, 0.89, 0.897, 0.903, 0.91, 0.95, 1.1</w:t>
            </w:r>
          </w:p>
          <w:p w14:paraId="39C9EDD4" w14:textId="77777777" w:rsidR="00CF6E40" w:rsidRDefault="00CF6E40" w:rsidP="004B5CD1">
            <w:pPr>
              <w:pStyle w:val="TableTextEntries"/>
            </w:pPr>
            <w:r>
              <w:t>Other respondents:</w:t>
            </w:r>
          </w:p>
          <w:p w14:paraId="12B5C0D9" w14:textId="77777777" w:rsidR="00CF6E40" w:rsidRDefault="00CF6E40" w:rsidP="004B5CD1">
            <w:pPr>
              <w:pStyle w:val="TableTextEntries"/>
            </w:pPr>
            <w:r>
              <w:t>Reference price/rent x 0.902, 0.938, 0.947, 0.949, 0.951, 0.953, 0.962, 0.998</w:t>
            </w:r>
          </w:p>
        </w:tc>
      </w:tr>
      <w:tr w:rsidR="00CF6E40" w14:paraId="5F74FF2A"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53A539B4" w14:textId="77777777" w:rsidR="00CF6E40" w:rsidRPr="008C017F" w:rsidRDefault="00CF6E40" w:rsidP="004B5CD1">
            <w:pPr>
              <w:pStyle w:val="TableTextEntries"/>
            </w:pPr>
            <w:r w:rsidRPr="008C017F">
              <w:t>Getting in and out</w:t>
            </w:r>
          </w:p>
        </w:tc>
        <w:tc>
          <w:tcPr>
            <w:tcW w:w="5102" w:type="dxa"/>
            <w:tcBorders>
              <w:top w:val="single" w:sz="8" w:space="0" w:color="FFFFFF" w:themeColor="background1"/>
              <w:bottom w:val="single" w:sz="8" w:space="0" w:color="FFFFFF" w:themeColor="background1"/>
            </w:tcBorders>
            <w:shd w:val="clear" w:color="auto" w:fill="E9E8E5" w:themeFill="background2"/>
          </w:tcPr>
          <w:p w14:paraId="04A38337" w14:textId="77777777" w:rsidR="00CF6E40" w:rsidRDefault="00CF6E40" w:rsidP="004B5CD1">
            <w:pPr>
              <w:pStyle w:val="TableTextEntries"/>
            </w:pPr>
            <w:r w:rsidRPr="0072355C">
              <w:t>Several steps</w:t>
            </w:r>
          </w:p>
          <w:p w14:paraId="0FED79C6" w14:textId="77777777" w:rsidR="00CF6E40" w:rsidRDefault="00CF6E40" w:rsidP="004B5CD1">
            <w:pPr>
              <w:pStyle w:val="TableTextEntries"/>
            </w:pPr>
            <w:r w:rsidRPr="0072355C">
              <w:t>Single step</w:t>
            </w:r>
          </w:p>
          <w:p w14:paraId="24655B87" w14:textId="77777777" w:rsidR="00CF6E40" w:rsidRDefault="00CF6E40" w:rsidP="004B5CD1">
            <w:pPr>
              <w:pStyle w:val="TableTextEntries"/>
            </w:pPr>
            <w:r w:rsidRPr="0072355C">
              <w:t>Step-free</w:t>
            </w:r>
          </w:p>
        </w:tc>
      </w:tr>
      <w:tr w:rsidR="00CF6E40" w14:paraId="75081513"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266DE625" w14:textId="77777777" w:rsidR="00CF6E40" w:rsidRPr="008C017F" w:rsidRDefault="00CF6E40" w:rsidP="004B5CD1">
            <w:pPr>
              <w:pStyle w:val="TableTextEntries"/>
            </w:pPr>
            <w:r w:rsidRPr="008C017F">
              <w:t>Moving around indoors</w:t>
            </w:r>
          </w:p>
        </w:tc>
        <w:tc>
          <w:tcPr>
            <w:tcW w:w="5102" w:type="dxa"/>
            <w:tcBorders>
              <w:top w:val="single" w:sz="8" w:space="0" w:color="FFFFFF" w:themeColor="background1"/>
              <w:bottom w:val="single" w:sz="8" w:space="0" w:color="FFFFFF" w:themeColor="background1"/>
            </w:tcBorders>
            <w:shd w:val="clear" w:color="auto" w:fill="E9E8E5" w:themeFill="background2"/>
          </w:tcPr>
          <w:p w14:paraId="6122E4E4" w14:textId="77777777" w:rsidR="00CF6E40" w:rsidRDefault="00CF6E40" w:rsidP="004B5CD1">
            <w:pPr>
              <w:pStyle w:val="TableTextEntries"/>
            </w:pPr>
            <w:r>
              <w:t>Regular spaces – Suitable for some mobility aids</w:t>
            </w:r>
            <w:r>
              <w:tab/>
            </w:r>
          </w:p>
          <w:p w14:paraId="12B3FBA9" w14:textId="77777777" w:rsidR="00CF6E40" w:rsidRDefault="00CF6E40" w:rsidP="004B5CD1">
            <w:pPr>
              <w:pStyle w:val="TableTextEntries"/>
            </w:pPr>
            <w:r>
              <w:t>Wide spaces – Suitable for most mobility aids, but not wheelchairs</w:t>
            </w:r>
            <w:r>
              <w:tab/>
            </w:r>
          </w:p>
          <w:p w14:paraId="1DCA4D66" w14:textId="77777777" w:rsidR="00CF6E40" w:rsidRDefault="00CF6E40" w:rsidP="004B5CD1">
            <w:pPr>
              <w:pStyle w:val="TableTextEntries"/>
            </w:pPr>
            <w:r>
              <w:t>Extra-wide spaces – Suitable for all mobility aids, including wheelchairs</w:t>
            </w:r>
          </w:p>
        </w:tc>
      </w:tr>
      <w:tr w:rsidR="00CF6E40" w14:paraId="0BF27BBB"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521D5DA2" w14:textId="77777777" w:rsidR="00CF6E40" w:rsidRPr="008C017F" w:rsidRDefault="00CF6E40" w:rsidP="004B5CD1">
            <w:pPr>
              <w:pStyle w:val="TableTextEntries"/>
            </w:pPr>
            <w:r w:rsidRPr="008C017F">
              <w:t>Living with limited mobility on same level as an entrance</w:t>
            </w:r>
          </w:p>
        </w:tc>
        <w:tc>
          <w:tcPr>
            <w:tcW w:w="5102" w:type="dxa"/>
            <w:tcBorders>
              <w:top w:val="single" w:sz="8" w:space="0" w:color="FFFFFF" w:themeColor="background1"/>
              <w:bottom w:val="single" w:sz="8" w:space="0" w:color="FFFFFF" w:themeColor="background1"/>
            </w:tcBorders>
            <w:shd w:val="clear" w:color="auto" w:fill="E9E8E5" w:themeFill="background2"/>
          </w:tcPr>
          <w:p w14:paraId="4B9DE0B3" w14:textId="77777777" w:rsidR="00CF6E40" w:rsidRDefault="00CF6E40" w:rsidP="004B5CD1">
            <w:pPr>
              <w:pStyle w:val="TableTextEntries"/>
            </w:pPr>
            <w:r>
              <w:t>Unsuitable – No toilet or shower on entry level</w:t>
            </w:r>
            <w:r>
              <w:tab/>
            </w:r>
            <w:r>
              <w:tab/>
            </w:r>
          </w:p>
          <w:p w14:paraId="02C20C7F" w14:textId="77777777" w:rsidR="00CF6E40" w:rsidRDefault="00CF6E40" w:rsidP="004B5CD1">
            <w:pPr>
              <w:pStyle w:val="TableTextEntries"/>
            </w:pPr>
            <w:r>
              <w:t>Suitable for short visits – Toilet, but no shower on entry level</w:t>
            </w:r>
            <w:r>
              <w:tab/>
            </w:r>
          </w:p>
          <w:p w14:paraId="696612F7" w14:textId="77777777" w:rsidR="00CF6E40" w:rsidRDefault="00CF6E40" w:rsidP="004B5CD1">
            <w:pPr>
              <w:pStyle w:val="TableTextEntries"/>
            </w:pPr>
            <w:r>
              <w:t>Suitable for living or overnight visits – Toilet, shower and bedroom on entry level</w:t>
            </w:r>
          </w:p>
        </w:tc>
      </w:tr>
      <w:tr w:rsidR="00CF6E40" w14:paraId="3FAFF746"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708171EC" w14:textId="77777777" w:rsidR="00CF6E40" w:rsidRPr="008C017F" w:rsidRDefault="00CF6E40" w:rsidP="004B5CD1">
            <w:pPr>
              <w:pStyle w:val="TableTextEntries"/>
            </w:pPr>
            <w:r w:rsidRPr="008C017F">
              <w:t>Modification that would be needed to make home suitable for ageing in place</w:t>
            </w:r>
          </w:p>
        </w:tc>
        <w:tc>
          <w:tcPr>
            <w:tcW w:w="5102" w:type="dxa"/>
            <w:tcBorders>
              <w:top w:val="single" w:sz="8" w:space="0" w:color="FFFFFF" w:themeColor="background1"/>
              <w:bottom w:val="single" w:sz="8" w:space="0" w:color="FFFFFF" w:themeColor="background1"/>
            </w:tcBorders>
            <w:shd w:val="clear" w:color="auto" w:fill="E9E8E5" w:themeFill="background2"/>
          </w:tcPr>
          <w:p w14:paraId="30FC6565" w14:textId="77777777" w:rsidR="00CF6E40" w:rsidRDefault="00CF6E40" w:rsidP="004B5CD1">
            <w:pPr>
              <w:pStyle w:val="TableTextEntries"/>
            </w:pPr>
            <w:r>
              <w:t>Significant</w:t>
            </w:r>
          </w:p>
          <w:p w14:paraId="5DCA9481" w14:textId="77777777" w:rsidR="00CF6E40" w:rsidRDefault="00CF6E40" w:rsidP="004B5CD1">
            <w:pPr>
              <w:pStyle w:val="TableTextEntries"/>
            </w:pPr>
            <w:r>
              <w:t>Minimal</w:t>
            </w:r>
          </w:p>
        </w:tc>
      </w:tr>
      <w:tr w:rsidR="00CF6E40" w14:paraId="0E73312A" w14:textId="77777777" w:rsidTr="004B5CD1">
        <w:tc>
          <w:tcPr>
            <w:tcW w:w="2835" w:type="dxa"/>
            <w:tcBorders>
              <w:top w:val="single" w:sz="8" w:space="0" w:color="FFFFFF" w:themeColor="background1"/>
              <w:bottom w:val="single" w:sz="8" w:space="0" w:color="FFFFFF" w:themeColor="background1"/>
            </w:tcBorders>
            <w:shd w:val="clear" w:color="auto" w:fill="E9E8E5" w:themeFill="background2"/>
          </w:tcPr>
          <w:p w14:paraId="5CAE0D2C" w14:textId="77777777" w:rsidR="00CF6E40" w:rsidRPr="008C017F" w:rsidRDefault="00CF6E40" w:rsidP="004B5CD1">
            <w:pPr>
              <w:pStyle w:val="TableTextEntries"/>
            </w:pPr>
            <w:r w:rsidRPr="008C017F">
              <w:t>Total size of home compared to similar homes</w:t>
            </w:r>
          </w:p>
        </w:tc>
        <w:tc>
          <w:tcPr>
            <w:tcW w:w="5102" w:type="dxa"/>
            <w:tcBorders>
              <w:top w:val="single" w:sz="8" w:space="0" w:color="FFFFFF" w:themeColor="background1"/>
              <w:bottom w:val="single" w:sz="8" w:space="0" w:color="FFFFFF" w:themeColor="background1"/>
            </w:tcBorders>
            <w:shd w:val="clear" w:color="auto" w:fill="E9E8E5" w:themeFill="background2"/>
          </w:tcPr>
          <w:p w14:paraId="1C3C3B89" w14:textId="77777777" w:rsidR="00CF6E40" w:rsidRDefault="00CF6E40" w:rsidP="004B5CD1">
            <w:pPr>
              <w:pStyle w:val="TableTextEntries"/>
            </w:pPr>
            <w:r>
              <w:t>Same</w:t>
            </w:r>
          </w:p>
          <w:p w14:paraId="4DC4B57C" w14:textId="77777777" w:rsidR="00CF6E40" w:rsidRDefault="00CF6E40" w:rsidP="004B5CD1">
            <w:pPr>
              <w:pStyle w:val="TableTextEntries"/>
            </w:pPr>
            <w:r>
              <w:t>5% larger</w:t>
            </w:r>
          </w:p>
        </w:tc>
      </w:tr>
      <w:tr w:rsidR="00CF6E40" w14:paraId="2FCB4380" w14:textId="77777777" w:rsidTr="008342FB">
        <w:tc>
          <w:tcPr>
            <w:tcW w:w="2835" w:type="dxa"/>
            <w:tcBorders>
              <w:top w:val="single" w:sz="8" w:space="0" w:color="FFFFFF" w:themeColor="background1"/>
              <w:bottom w:val="single" w:sz="8" w:space="0" w:color="FFFFFF" w:themeColor="background1"/>
            </w:tcBorders>
            <w:shd w:val="clear" w:color="auto" w:fill="E9E8E5" w:themeFill="background2"/>
          </w:tcPr>
          <w:p w14:paraId="7431C6EF" w14:textId="77777777" w:rsidR="00CF6E40" w:rsidRPr="008C017F" w:rsidRDefault="00CF6E40" w:rsidP="004B5CD1">
            <w:pPr>
              <w:pStyle w:val="TableTextEntries"/>
            </w:pPr>
            <w:r w:rsidRPr="008C017F">
              <w:t>Amount of space used for: Corridors, bathroom, kitchen, laundry</w:t>
            </w:r>
          </w:p>
        </w:tc>
        <w:tc>
          <w:tcPr>
            <w:tcW w:w="5102" w:type="dxa"/>
            <w:tcBorders>
              <w:top w:val="single" w:sz="8" w:space="0" w:color="FFFFFF" w:themeColor="background1"/>
              <w:bottom w:val="single" w:sz="8" w:space="0" w:color="FFFFFF" w:themeColor="background1"/>
            </w:tcBorders>
            <w:shd w:val="clear" w:color="auto" w:fill="E9E8E5" w:themeFill="background2"/>
          </w:tcPr>
          <w:p w14:paraId="34A9C53F" w14:textId="77777777" w:rsidR="00CF6E40" w:rsidRDefault="00CF6E40" w:rsidP="004B5CD1">
            <w:pPr>
              <w:pStyle w:val="TableTextEntries"/>
            </w:pPr>
            <w:r>
              <w:t>40%</w:t>
            </w:r>
          </w:p>
          <w:p w14:paraId="7000D6A1" w14:textId="77777777" w:rsidR="00CF6E40" w:rsidRDefault="00CF6E40" w:rsidP="004B5CD1">
            <w:pPr>
              <w:pStyle w:val="TableTextEntries"/>
            </w:pPr>
            <w:r>
              <w:t>45%</w:t>
            </w:r>
          </w:p>
          <w:p w14:paraId="6B36C909" w14:textId="77777777" w:rsidR="00CF6E40" w:rsidRDefault="00CF6E40" w:rsidP="004B5CD1">
            <w:pPr>
              <w:pStyle w:val="TableTextEntries"/>
            </w:pPr>
            <w:r>
              <w:t>50%</w:t>
            </w:r>
          </w:p>
        </w:tc>
      </w:tr>
      <w:tr w:rsidR="00CF6E40" w14:paraId="7BA53CDB" w14:textId="77777777" w:rsidTr="008342FB">
        <w:tc>
          <w:tcPr>
            <w:tcW w:w="2835" w:type="dxa"/>
            <w:tcBorders>
              <w:top w:val="single" w:sz="8" w:space="0" w:color="FFFFFF" w:themeColor="background1"/>
              <w:bottom w:val="single" w:sz="4" w:space="0" w:color="9B917E" w:themeColor="accent4"/>
            </w:tcBorders>
            <w:shd w:val="clear" w:color="auto" w:fill="E9E8E5" w:themeFill="background2"/>
          </w:tcPr>
          <w:p w14:paraId="23E94843" w14:textId="77777777" w:rsidR="00CF6E40" w:rsidRDefault="00CF6E40" w:rsidP="004B5CD1">
            <w:pPr>
              <w:pStyle w:val="TableTextEntries"/>
            </w:pPr>
            <w:r w:rsidRPr="008C017F">
              <w:t>Amount of space used for: Living areas and bedrooms</w:t>
            </w:r>
          </w:p>
        </w:tc>
        <w:tc>
          <w:tcPr>
            <w:tcW w:w="5102" w:type="dxa"/>
            <w:tcBorders>
              <w:top w:val="single" w:sz="8" w:space="0" w:color="FFFFFF" w:themeColor="background1"/>
              <w:bottom w:val="single" w:sz="4" w:space="0" w:color="9B917E" w:themeColor="accent4"/>
            </w:tcBorders>
            <w:shd w:val="clear" w:color="auto" w:fill="E9E8E5" w:themeFill="background2"/>
          </w:tcPr>
          <w:p w14:paraId="4786061C" w14:textId="77777777" w:rsidR="00CF6E40" w:rsidRDefault="00CF6E40" w:rsidP="004B5CD1">
            <w:pPr>
              <w:pStyle w:val="TableTextEntries"/>
            </w:pPr>
            <w:r>
              <w:t>Calculated as 100% minus the level for the attribute above</w:t>
            </w:r>
          </w:p>
        </w:tc>
      </w:tr>
    </w:tbl>
    <w:p w14:paraId="0D1C91DA" w14:textId="77777777" w:rsidR="00CF6E40" w:rsidRPr="00DA0EE7" w:rsidRDefault="00CF6E40" w:rsidP="00CF6E40">
      <w:pPr>
        <w:pStyle w:val="Source"/>
        <w:rPr>
          <w:iCs/>
        </w:rPr>
      </w:pPr>
      <w:r w:rsidRPr="00DA0EE7">
        <w:rPr>
          <w:iCs/>
        </w:rPr>
        <w:t>Source: CIE.</w:t>
      </w:r>
    </w:p>
    <w:p w14:paraId="1C140814" w14:textId="77777777" w:rsidR="00CF6E40" w:rsidRPr="004B79EC" w:rsidRDefault="00CF6E40" w:rsidP="004B79EC">
      <w:pPr>
        <w:pStyle w:val="Heading4-Appendix"/>
      </w:pPr>
      <w:r w:rsidRPr="004B79EC">
        <w:t>Experimental design</w:t>
      </w:r>
    </w:p>
    <w:p w14:paraId="47869D5D" w14:textId="77777777" w:rsidR="00CF6E40" w:rsidRDefault="00CF6E40" w:rsidP="00CF6E40">
      <w:pPr>
        <w:pStyle w:val="BodyText"/>
        <w:rPr>
          <w:lang w:bidi="fa-IR"/>
        </w:rPr>
      </w:pPr>
      <w:r>
        <w:rPr>
          <w:lang w:bidi="fa-IR"/>
        </w:rPr>
        <w:t>To conduct a DCE, the analyst needs to assign combinations of attribute levels to the various alternatives and questions. These combinations are referred to as the experimental design. The experimental design has a direct impact on the statistical significance of estimates of WTP. If some information about preferences is known, it is possible to generate an experimental design that can elicit statistically significant estimates of WTP from a smaller number of respondents than a randomly generated design.</w:t>
      </w:r>
    </w:p>
    <w:p w14:paraId="124FD82C" w14:textId="77777777" w:rsidR="00CF6E40" w:rsidRDefault="00CF6E40" w:rsidP="00CF6E40">
      <w:pPr>
        <w:pStyle w:val="BodyText"/>
      </w:pPr>
      <w:r w:rsidRPr="005D1733">
        <w:t>The</w:t>
      </w:r>
      <w:r>
        <w:t xml:space="preserve"> experimental design used in the</w:t>
      </w:r>
      <w:r w:rsidRPr="005D1733">
        <w:t xml:space="preserve"> first wave</w:t>
      </w:r>
      <w:r>
        <w:t xml:space="preserve"> of fieldwork comprised two separate four-block designs – one in which the ‘total size of home’ attribute was held constant across alternatives and one in which it was not. This approach was taken for the initial design to manage risks raised in pretesting that the total size attribute would dominate the choice decision process. </w:t>
      </w:r>
    </w:p>
    <w:p w14:paraId="1C24CC3B" w14:textId="77777777" w:rsidR="00CF6E40" w:rsidRDefault="00CF6E40" w:rsidP="00CF6E40">
      <w:pPr>
        <w:pStyle w:val="BodyText"/>
        <w:rPr>
          <w:lang w:bidi="fa-IR"/>
        </w:rPr>
      </w:pPr>
      <w:r>
        <w:rPr>
          <w:lang w:bidi="fa-IR"/>
        </w:rPr>
        <w:t>Information on preferences gathered in the first wave of fieldwork was used to generate a design for the second and main wave of fieldwork. The approach minimised the statistical confidence intervals around the estimates of WTP derived from responses to the questions in the design.</w:t>
      </w:r>
      <w:r>
        <w:rPr>
          <w:rStyle w:val="FootnoteReference"/>
          <w:lang w:bidi="fa-IR"/>
        </w:rPr>
        <w:footnoteReference w:id="562"/>
      </w:r>
    </w:p>
    <w:p w14:paraId="4ABBA868" w14:textId="77777777" w:rsidR="00CF6E40" w:rsidRDefault="00CF6E40" w:rsidP="00CF6E40">
      <w:pPr>
        <w:pStyle w:val="BodyText"/>
        <w:rPr>
          <w:lang w:bidi="fa-IR"/>
        </w:rPr>
      </w:pPr>
      <w:r>
        <w:rPr>
          <w:lang w:bidi="fa-IR"/>
        </w:rPr>
        <w:t>The second and main wave of fieldwork used a design with 16 blocks of six questions, with each respondent answering only one block assigned using least-fill logic. The reason for using multiple blocks was to improve design efficiency and limit the impact of any single choice task on the results.</w:t>
      </w:r>
    </w:p>
    <w:p w14:paraId="1C3887BB" w14:textId="7597A8A5" w:rsidR="00CF6E40" w:rsidRDefault="00390CDB" w:rsidP="00CF6E40">
      <w:pPr>
        <w:pStyle w:val="Caption"/>
      </w:pPr>
      <w:bookmarkStart w:id="908" w:name="_Toc44598632"/>
      <w:bookmarkStart w:id="909" w:name="_Toc45654263"/>
      <w:bookmarkStart w:id="910" w:name="_Toc57643732"/>
      <w:bookmarkStart w:id="911" w:name="_Toc70505685"/>
      <w:r>
        <w:t>K.2</w:t>
      </w:r>
      <w:r w:rsidR="00CF6E40" w:rsidRPr="00695C93">
        <w:tab/>
      </w:r>
      <w:bookmarkStart w:id="912" w:name="_Toc32321926"/>
      <w:r w:rsidR="00CF6E40">
        <w:t>Example of choice question</w:t>
      </w:r>
      <w:bookmarkEnd w:id="908"/>
      <w:bookmarkEnd w:id="909"/>
      <w:bookmarkEnd w:id="910"/>
      <w:bookmarkEnd w:id="911"/>
      <w:bookmarkEnd w:id="912"/>
    </w:p>
    <w:p w14:paraId="3FBBE4A1" w14:textId="77777777" w:rsidR="00CF6E40" w:rsidRDefault="008342FB" w:rsidP="00CF6E40">
      <w:pPr>
        <w:pStyle w:val="Source"/>
      </w:pPr>
      <w:r>
        <w:rPr>
          <w:noProof/>
          <w:lang w:eastAsia="en-AU"/>
        </w:rPr>
        <w:drawing>
          <wp:inline distT="0" distB="0" distL="0" distR="0" wp14:anchorId="6588CA40" wp14:editId="4BC3F3C2">
            <wp:extent cx="4860000" cy="3077142"/>
            <wp:effectExtent l="76200" t="76200" r="74295" b="85725"/>
            <wp:docPr id="61" name="Picture 61" descr="This is a screenshot of a choice question used in fieldwork for the survey discussed in the text." title="Chart K.2: Example of cho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1 crop.png"/>
                    <pic:cNvPicPr/>
                  </pic:nvPicPr>
                  <pic:blipFill>
                    <a:blip r:embed="rId98">
                      <a:extLst>
                        <a:ext uri="{28A0092B-C50C-407E-A947-70E740481C1C}">
                          <a14:useLocalDpi xmlns:a14="http://schemas.microsoft.com/office/drawing/2010/main" val="0"/>
                        </a:ext>
                      </a:extLst>
                    </a:blip>
                    <a:stretch>
                      <a:fillRect/>
                    </a:stretch>
                  </pic:blipFill>
                  <pic:spPr>
                    <a:xfrm>
                      <a:off x="0" y="0"/>
                      <a:ext cx="4860000" cy="3077142"/>
                    </a:xfrm>
                    <a:prstGeom prst="rect">
                      <a:avLst/>
                    </a:prstGeom>
                    <a:ln w="76200">
                      <a:solidFill>
                        <a:schemeClr val="bg2"/>
                      </a:solidFill>
                    </a:ln>
                  </pic:spPr>
                </pic:pic>
              </a:graphicData>
            </a:graphic>
          </wp:inline>
        </w:drawing>
      </w:r>
      <w:r w:rsidR="00311072">
        <w:rPr>
          <w:iCs/>
        </w:rPr>
        <w:t>S</w:t>
      </w:r>
      <w:r w:rsidR="00CF6E40" w:rsidRPr="00DA0EE7">
        <w:rPr>
          <w:iCs/>
        </w:rPr>
        <w:t>ource: CIE</w:t>
      </w:r>
      <w:r w:rsidR="007D3F40">
        <w:rPr>
          <w:iCs/>
        </w:rPr>
        <w:t>.</w:t>
      </w:r>
    </w:p>
    <w:p w14:paraId="263ECA35" w14:textId="77777777" w:rsidR="00CF6E40" w:rsidRPr="00F4477B" w:rsidRDefault="00CF6E40" w:rsidP="00F4477B">
      <w:pPr>
        <w:pStyle w:val="Heading3-Appendix"/>
      </w:pPr>
      <w:r w:rsidRPr="00F4477B">
        <w:t>Contingent valuation question</w:t>
      </w:r>
    </w:p>
    <w:p w14:paraId="51E0254D" w14:textId="77777777" w:rsidR="00CF6E40" w:rsidRDefault="00CF6E40" w:rsidP="00CF6E40">
      <w:pPr>
        <w:pStyle w:val="BodyText"/>
        <w:rPr>
          <w:lang w:bidi="fa-IR"/>
        </w:rPr>
      </w:pPr>
      <w:r>
        <w:rPr>
          <w:lang w:bidi="fa-IR"/>
        </w:rPr>
        <w:t>Respondents were shown an accessibility standard, described in terms of the attributes used in the DCE, and told that the proportion of the housing stock meeting this standard is currently very low and is expected to remain low and that it is not enough to provide accessible homes for all Australians with disability who use a mobility aid (around 5 per cent of households). Respondents were also told:</w:t>
      </w:r>
    </w:p>
    <w:p w14:paraId="1F03D0D8" w14:textId="77777777" w:rsidR="00CF6E40" w:rsidRDefault="00CF6E40" w:rsidP="00CF6E40">
      <w:pPr>
        <w:pStyle w:val="Quote"/>
        <w:rPr>
          <w:lang w:bidi="fa-IR"/>
        </w:rPr>
      </w:pPr>
      <w:r>
        <w:rPr>
          <w:lang w:bidi="fa-IR"/>
        </w:rPr>
        <w:t>As a result, some people with limited mobility have difficulty finding an accessible home and instead live in unsuitable housing with a carer. This can lead to health risks from slips, trips and falls and places extra demands on carers.</w:t>
      </w:r>
    </w:p>
    <w:p w14:paraId="706FA816" w14:textId="77777777" w:rsidR="00CF6E40" w:rsidRDefault="00CF6E40" w:rsidP="00CF6E40">
      <w:pPr>
        <w:pStyle w:val="Quote"/>
        <w:rPr>
          <w:lang w:bidi="fa-IR"/>
        </w:rPr>
      </w:pPr>
      <w:r>
        <w:rPr>
          <w:lang w:bidi="fa-IR"/>
        </w:rPr>
        <w:t>Some people with limited mobility also experience social isolation due to difficulty visiting homes of friends and family.</w:t>
      </w:r>
    </w:p>
    <w:p w14:paraId="069047FC" w14:textId="77777777" w:rsidR="00CF6E40" w:rsidRDefault="00CF6E40" w:rsidP="00CF6E40">
      <w:pPr>
        <w:pStyle w:val="Quote"/>
        <w:rPr>
          <w:lang w:bidi="fa-IR"/>
        </w:rPr>
      </w:pPr>
      <w:r>
        <w:rPr>
          <w:lang w:bidi="fa-IR"/>
        </w:rPr>
        <w:t>Without additional government action, the proportion of housing in Australia that meets the accessibility standard is expected to remain below 5%.</w:t>
      </w:r>
    </w:p>
    <w:p w14:paraId="682648EA" w14:textId="77777777" w:rsidR="00CF6E40" w:rsidRDefault="00CF6E40" w:rsidP="00CF6E40">
      <w:pPr>
        <w:pStyle w:val="Quote"/>
        <w:rPr>
          <w:lang w:bidi="fa-IR"/>
        </w:rPr>
      </w:pPr>
      <w:r>
        <w:rPr>
          <w:lang w:bidi="fa-IR"/>
        </w:rPr>
        <w:t>Governments have a range of ways to increase the amount of accessible housing, including building regulations, incentives schemes, land-use planning and public housing. The share of accessible housing could be increased to 15% of overall housing by 2035, which would greatly improve the chances of Australians with limited mobility finding suitable homes.</w:t>
      </w:r>
    </w:p>
    <w:p w14:paraId="1FC825F5" w14:textId="77777777" w:rsidR="00CF6E40" w:rsidRPr="00D8193F" w:rsidRDefault="00CF6E40" w:rsidP="00CF6E40">
      <w:pPr>
        <w:pStyle w:val="Quote"/>
        <w:rPr>
          <w:lang w:bidi="fa-IR"/>
        </w:rPr>
      </w:pPr>
      <w:r>
        <w:rPr>
          <w:lang w:bidi="fa-IR"/>
        </w:rPr>
        <w:t>However, this would come at a cost that would need to be covered by an increase in rates and taxes.</w:t>
      </w:r>
    </w:p>
    <w:p w14:paraId="5C64DF86" w14:textId="77777777" w:rsidR="00CF6E40" w:rsidRDefault="00CF6E40" w:rsidP="00CF6E40">
      <w:pPr>
        <w:pStyle w:val="BodyText"/>
        <w:rPr>
          <w:lang w:bidi="fa-IR"/>
        </w:rPr>
      </w:pPr>
      <w:r>
        <w:rPr>
          <w:lang w:bidi="fa-IR"/>
        </w:rPr>
        <w:t xml:space="preserve">Respondents were then asked a closed-ended, dichotomous-choice contingent valuation question, the form of which is shown in figure </w:t>
      </w:r>
      <w:r w:rsidR="001C1FCC">
        <w:rPr>
          <w:lang w:bidi="fa-IR"/>
        </w:rPr>
        <w:t>K</w:t>
      </w:r>
      <w:r w:rsidR="00546110">
        <w:rPr>
          <w:lang w:bidi="fa-IR"/>
        </w:rPr>
        <w:t>.</w:t>
      </w:r>
      <w:r w:rsidR="001C1FCC">
        <w:rPr>
          <w:lang w:bidi="fa-IR"/>
        </w:rPr>
        <w:t>3</w:t>
      </w:r>
      <w:r>
        <w:rPr>
          <w:lang w:bidi="fa-IR"/>
        </w:rPr>
        <w:t>. The cost level shown in the question varied across respondents. In Wave 1 fieldwork, the cost levels were $5, $20, $50 and $200. Analysis of Wave 1 data suggested there could be a ‘fat tail’ problem, with 17 per cent (5 of 41) of respondents shown the $200 cost indicating they would definitely vote for the policy. In Wave 2 fieldwork, the vector of levels was revised to $5, $20, $100 and $500 to manage the risk of this problem. A certainty scale was used to mitigate yea-saying bias in accordance with best-practice from the field of environmental valuation. Reminders (a ‘cheap talk’ script) about consequentiality and budget constraints were included to mitigate hypothetical bias.</w:t>
      </w:r>
    </w:p>
    <w:p w14:paraId="24E00860" w14:textId="61C1AD5D" w:rsidR="00CF6E40" w:rsidRDefault="00390CDB" w:rsidP="00CF6E40">
      <w:pPr>
        <w:pStyle w:val="Caption"/>
      </w:pPr>
      <w:bookmarkStart w:id="913" w:name="_Toc32321927"/>
      <w:bookmarkStart w:id="914" w:name="_Toc44598633"/>
      <w:bookmarkStart w:id="915" w:name="_Toc45654264"/>
      <w:bookmarkStart w:id="916" w:name="_Toc57643733"/>
      <w:bookmarkStart w:id="917" w:name="_Toc70505686"/>
      <w:r>
        <w:t>K.3</w:t>
      </w:r>
      <w:r w:rsidR="00CF6E40" w:rsidRPr="00695C93">
        <w:tab/>
      </w:r>
      <w:r w:rsidR="00CF6E40">
        <w:t>Example of contingent valuation question</w:t>
      </w:r>
      <w:bookmarkEnd w:id="913"/>
      <w:bookmarkEnd w:id="914"/>
      <w:bookmarkEnd w:id="915"/>
      <w:bookmarkEnd w:id="916"/>
      <w:bookmarkEnd w:id="917"/>
    </w:p>
    <w:p w14:paraId="41AE058B" w14:textId="77777777" w:rsidR="00CF6E40" w:rsidRDefault="000A49B2" w:rsidP="00CF6E40">
      <w:pPr>
        <w:pStyle w:val="Source"/>
      </w:pPr>
      <w:r>
        <w:rPr>
          <w:noProof/>
          <w:lang w:eastAsia="en-AU"/>
        </w:rPr>
        <w:drawing>
          <wp:inline distT="0" distB="0" distL="0" distR="0" wp14:anchorId="376B32A4" wp14:editId="26829D43">
            <wp:extent cx="4860000" cy="2885510"/>
            <wp:effectExtent l="76200" t="76200" r="74295" b="67310"/>
            <wp:docPr id="62" name="Picture 62" descr="This is a screenshot of a contingent value question used in fieldwork for the survey discussed in the text." title="Chart K.3: Example of contingent valu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CV crop.png"/>
                    <pic:cNvPicPr/>
                  </pic:nvPicPr>
                  <pic:blipFill>
                    <a:blip r:embed="rId99">
                      <a:extLst>
                        <a:ext uri="{28A0092B-C50C-407E-A947-70E740481C1C}">
                          <a14:useLocalDpi xmlns:a14="http://schemas.microsoft.com/office/drawing/2010/main" val="0"/>
                        </a:ext>
                      </a:extLst>
                    </a:blip>
                    <a:stretch>
                      <a:fillRect/>
                    </a:stretch>
                  </pic:blipFill>
                  <pic:spPr>
                    <a:xfrm>
                      <a:off x="0" y="0"/>
                      <a:ext cx="4860000" cy="2885510"/>
                    </a:xfrm>
                    <a:prstGeom prst="rect">
                      <a:avLst/>
                    </a:prstGeom>
                    <a:ln w="76200">
                      <a:solidFill>
                        <a:schemeClr val="bg2"/>
                      </a:solidFill>
                    </a:ln>
                  </pic:spPr>
                </pic:pic>
              </a:graphicData>
            </a:graphic>
          </wp:inline>
        </w:drawing>
      </w:r>
      <w:r w:rsidR="00DA0EE7">
        <w:rPr>
          <w:iCs/>
        </w:rPr>
        <w:t>S</w:t>
      </w:r>
      <w:r w:rsidR="00CF6E40" w:rsidRPr="00DA0EE7">
        <w:rPr>
          <w:iCs/>
        </w:rPr>
        <w:t>ource: CIE</w:t>
      </w:r>
      <w:r w:rsidR="007D3F40">
        <w:rPr>
          <w:iCs/>
        </w:rPr>
        <w:t>.</w:t>
      </w:r>
    </w:p>
    <w:p w14:paraId="4C1787F4" w14:textId="77777777" w:rsidR="00CF6E40" w:rsidRDefault="00CF6E40" w:rsidP="00CF6E40">
      <w:pPr>
        <w:pStyle w:val="BodyText"/>
      </w:pPr>
      <w:r>
        <w:t xml:space="preserve">The cost attribute was defined as an ongoing payment to reflect the ongoing nature of the costs involved in the policy options. </w:t>
      </w:r>
      <w:r w:rsidR="00F442D4">
        <w:t>The survey</w:t>
      </w:r>
      <w:r>
        <w:t xml:space="preserve"> chose a broad payment vehicle of taxes and rates. Alternative, more specific vehicles, such as an increase in the price of new homes, were problematic since they are seen to be avoidable by significant proportions of the population.</w:t>
      </w:r>
    </w:p>
    <w:p w14:paraId="3DC7690B" w14:textId="77777777" w:rsidR="00CF6E40" w:rsidRPr="004B79EC" w:rsidRDefault="00CF6E40" w:rsidP="004B79EC">
      <w:pPr>
        <w:pStyle w:val="Heading4-Appendix"/>
      </w:pPr>
      <w:r w:rsidRPr="004B79EC">
        <w:t>Debriefing</w:t>
      </w:r>
    </w:p>
    <w:p w14:paraId="261596D3" w14:textId="77777777" w:rsidR="00CF6E40" w:rsidRDefault="00CF6E40" w:rsidP="00CF6E40">
      <w:pPr>
        <w:pStyle w:val="BodyText"/>
        <w:rPr>
          <w:lang w:bidi="fa-IR"/>
        </w:rPr>
      </w:pPr>
      <w:r>
        <w:rPr>
          <w:lang w:bidi="fa-IR"/>
        </w:rPr>
        <w:t>Respondents were asked, o</w:t>
      </w:r>
      <w:r w:rsidRPr="0076579E">
        <w:rPr>
          <w:lang w:bidi="fa-IR"/>
        </w:rPr>
        <w:t xml:space="preserve">n a scale of 1 to 10, how much </w:t>
      </w:r>
      <w:r>
        <w:rPr>
          <w:lang w:bidi="fa-IR"/>
        </w:rPr>
        <w:t>their</w:t>
      </w:r>
      <w:r w:rsidRPr="0076579E">
        <w:rPr>
          <w:lang w:bidi="fa-IR"/>
        </w:rPr>
        <w:t xml:space="preserve"> decision</w:t>
      </w:r>
      <w:r>
        <w:rPr>
          <w:lang w:bidi="fa-IR"/>
        </w:rPr>
        <w:t xml:space="preserve"> was</w:t>
      </w:r>
      <w:r w:rsidRPr="0076579E">
        <w:rPr>
          <w:lang w:bidi="fa-IR"/>
        </w:rPr>
        <w:t xml:space="preserve"> based on outcomes for other people</w:t>
      </w:r>
      <w:r>
        <w:rPr>
          <w:lang w:bidi="fa-IR"/>
        </w:rPr>
        <w:t>. The purpose of this question is to enable WTP to be scaled to the altruism-only component to avoid double-counting with WTP for accessibility features in the respondent’s own home.</w:t>
      </w:r>
    </w:p>
    <w:p w14:paraId="2547EF9A" w14:textId="77777777" w:rsidR="00CF6E40" w:rsidRPr="00BB1DF3" w:rsidRDefault="00CF6E40" w:rsidP="00CF6E40">
      <w:pPr>
        <w:pStyle w:val="BodyText"/>
        <w:rPr>
          <w:lang w:bidi="fa-IR"/>
        </w:rPr>
      </w:pPr>
      <w:r>
        <w:rPr>
          <w:lang w:bidi="fa-IR"/>
        </w:rPr>
        <w:t>Debriefing questions were also included on the reasons for their answer to the CV question and the extent to which they believed the survey would affect government action on accessible housing and on the rates and taxes they pay.</w:t>
      </w:r>
    </w:p>
    <w:p w14:paraId="53BF9D58" w14:textId="77777777" w:rsidR="00CF6E40" w:rsidRPr="004B79EC" w:rsidRDefault="00CF6E40" w:rsidP="004B79EC">
      <w:pPr>
        <w:pStyle w:val="Heading2-Appendix"/>
      </w:pPr>
      <w:r w:rsidRPr="004B79EC">
        <w:t>The sample</w:t>
      </w:r>
    </w:p>
    <w:p w14:paraId="79040DDC" w14:textId="77777777" w:rsidR="00CF6E40" w:rsidRPr="00F4477B" w:rsidRDefault="00CF6E40" w:rsidP="00F4477B">
      <w:pPr>
        <w:pStyle w:val="Heading3-Appendix"/>
      </w:pPr>
      <w:bookmarkStart w:id="918" w:name="_Toc10042744"/>
      <w:r w:rsidRPr="00F4477B">
        <w:t>Recruitment</w:t>
      </w:r>
      <w:bookmarkEnd w:id="918"/>
    </w:p>
    <w:p w14:paraId="2B94A968" w14:textId="77777777" w:rsidR="00CF6E40" w:rsidRDefault="00CF6E40" w:rsidP="00CF6E40">
      <w:pPr>
        <w:pStyle w:val="BodyText"/>
        <w:rPr>
          <w:lang w:bidi="fa-IR"/>
        </w:rPr>
      </w:pPr>
      <w:r>
        <w:rPr>
          <w:lang w:bidi="fa-IR"/>
        </w:rPr>
        <w:t>The fieldwork was conducted in December 2019 and January 2020. All respondents were sampled through the Pureprofile online panel and were compensated for their time through Pureprofile’s rewards system.</w:t>
      </w:r>
    </w:p>
    <w:p w14:paraId="0133D79F" w14:textId="77777777" w:rsidR="00CF6E40" w:rsidRDefault="00CF6E40" w:rsidP="00CF6E40">
      <w:pPr>
        <w:pStyle w:val="BodyText"/>
      </w:pPr>
      <w:r>
        <w:t>Overall, 2</w:t>
      </w:r>
      <w:r w:rsidR="001F67AE">
        <w:t xml:space="preserve"> </w:t>
      </w:r>
      <w:r>
        <w:t xml:space="preserve">062 respondents completed the questionnaire. </w:t>
      </w:r>
      <w:r w:rsidRPr="008D113B">
        <w:t xml:space="preserve">There </w:t>
      </w:r>
      <w:r>
        <w:t>we</w:t>
      </w:r>
      <w:r w:rsidRPr="008D113B">
        <w:t xml:space="preserve">re </w:t>
      </w:r>
      <w:r>
        <w:t>66</w:t>
      </w:r>
      <w:r w:rsidRPr="008D113B">
        <w:t xml:space="preserve"> </w:t>
      </w:r>
      <w:r>
        <w:t>i</w:t>
      </w:r>
      <w:r w:rsidRPr="008D113B">
        <w:t>ncomplete</w:t>
      </w:r>
      <w:r>
        <w:t xml:space="preserve"> responses. Other respondents were screened out because either:</w:t>
      </w:r>
    </w:p>
    <w:p w14:paraId="3CE3A443" w14:textId="77777777" w:rsidR="00CF6E40" w:rsidRDefault="00CF6E40" w:rsidP="00CF6E40">
      <w:pPr>
        <w:pStyle w:val="ListBullet"/>
        <w:numPr>
          <w:ilvl w:val="0"/>
          <w:numId w:val="16"/>
        </w:numPr>
        <w:rPr>
          <w:lang w:bidi="fa-IR"/>
        </w:rPr>
      </w:pPr>
      <w:r>
        <w:rPr>
          <w:lang w:bidi="fa-IR"/>
        </w:rPr>
        <w:t>they did not hold an Australian citizenship or permanent resident visa;</w:t>
      </w:r>
    </w:p>
    <w:p w14:paraId="04216C58" w14:textId="77777777" w:rsidR="00CF6E40" w:rsidRDefault="00CF6E40" w:rsidP="00CF6E40">
      <w:pPr>
        <w:pStyle w:val="ListBullet"/>
        <w:numPr>
          <w:ilvl w:val="0"/>
          <w:numId w:val="16"/>
        </w:numPr>
        <w:rPr>
          <w:lang w:bidi="fa-IR"/>
        </w:rPr>
      </w:pPr>
      <w:r>
        <w:rPr>
          <w:lang w:bidi="fa-IR"/>
        </w:rPr>
        <w:t xml:space="preserve">they or someone else in their household </w:t>
      </w:r>
      <w:r>
        <w:t>work for the Australian Building Codes Board; or</w:t>
      </w:r>
    </w:p>
    <w:p w14:paraId="11462E49" w14:textId="77777777" w:rsidR="00CF6E40" w:rsidRDefault="00CF6E40" w:rsidP="00CF6E40">
      <w:pPr>
        <w:pStyle w:val="ListBullet"/>
        <w:numPr>
          <w:ilvl w:val="0"/>
          <w:numId w:val="16"/>
        </w:numPr>
        <w:rPr>
          <w:lang w:bidi="fa-IR"/>
        </w:rPr>
      </w:pPr>
      <w:r>
        <w:rPr>
          <w:lang w:bidi="fa-IR"/>
        </w:rPr>
        <w:t>the quotas for their age, gender or location categories had already been filled.</w:t>
      </w:r>
    </w:p>
    <w:p w14:paraId="4C6A507B" w14:textId="77777777" w:rsidR="00CF6E40" w:rsidRDefault="00CF6E40" w:rsidP="00CF6E40">
      <w:pPr>
        <w:pStyle w:val="BodyText"/>
        <w:rPr>
          <w:lang w:bidi="fa-IR"/>
        </w:rPr>
      </w:pPr>
      <w:r>
        <w:rPr>
          <w:lang w:bidi="fa-IR"/>
        </w:rPr>
        <w:t xml:space="preserve">Quotas were set using </w:t>
      </w:r>
      <w:bookmarkStart w:id="919" w:name="_Hlk5373446"/>
      <w:r>
        <w:rPr>
          <w:lang w:bidi="fa-IR"/>
        </w:rPr>
        <w:t xml:space="preserve">Australian Bureau of Statistics data Cat. No. 3235.0 Table 3 </w:t>
      </w:r>
      <w:bookmarkEnd w:id="919"/>
      <w:r>
        <w:rPr>
          <w:lang w:bidi="fa-IR"/>
        </w:rPr>
        <w:t xml:space="preserve">and Cat. No. </w:t>
      </w:r>
      <w:r w:rsidRPr="00937185">
        <w:rPr>
          <w:lang w:bidi="fa-IR"/>
        </w:rPr>
        <w:t>3101</w:t>
      </w:r>
      <w:r>
        <w:rPr>
          <w:lang w:bidi="fa-IR"/>
        </w:rPr>
        <w:t>.</w:t>
      </w:r>
      <w:r w:rsidRPr="00937185">
        <w:rPr>
          <w:lang w:bidi="fa-IR"/>
        </w:rPr>
        <w:t>0</w:t>
      </w:r>
      <w:r>
        <w:rPr>
          <w:lang w:bidi="fa-IR"/>
        </w:rPr>
        <w:t xml:space="preserve"> Table 8. </w:t>
      </w:r>
    </w:p>
    <w:p w14:paraId="259E4DBC" w14:textId="77777777" w:rsidR="00CF6E40" w:rsidRPr="00F4477B" w:rsidRDefault="00CF6E40" w:rsidP="00F4477B">
      <w:pPr>
        <w:pStyle w:val="Heading3-Appendix"/>
      </w:pPr>
      <w:r w:rsidRPr="00F4477B">
        <w:t>Characteristics</w:t>
      </w:r>
    </w:p>
    <w:p w14:paraId="4518F0F9" w14:textId="77777777" w:rsidR="00CF6E40" w:rsidRDefault="00CF6E40" w:rsidP="00CF6E40">
      <w:pPr>
        <w:pStyle w:val="BodyText"/>
        <w:rPr>
          <w:lang w:bidi="fa-IR"/>
        </w:rPr>
      </w:pPr>
      <w:r>
        <w:rPr>
          <w:lang w:bidi="fa-IR"/>
        </w:rPr>
        <w:t xml:space="preserve">The sample was representative of the national population of people aged 18 years and over in terms of age, gender and location. People speaking languages other than English at home and the highest-income households were under-represented, while households with income in the range </w:t>
      </w:r>
      <w:r w:rsidRPr="00A65D8B">
        <w:rPr>
          <w:lang w:bidi="fa-IR"/>
        </w:rPr>
        <w:t>$78</w:t>
      </w:r>
      <w:r w:rsidR="00A1002F">
        <w:rPr>
          <w:lang w:bidi="fa-IR"/>
        </w:rPr>
        <w:t xml:space="preserve"> </w:t>
      </w:r>
      <w:r w:rsidRPr="00A65D8B">
        <w:rPr>
          <w:lang w:bidi="fa-IR"/>
        </w:rPr>
        <w:t xml:space="preserve">000 </w:t>
      </w:r>
      <w:r>
        <w:rPr>
          <w:lang w:bidi="fa-IR"/>
        </w:rPr>
        <w:t>to</w:t>
      </w:r>
      <w:r w:rsidRPr="00A65D8B">
        <w:rPr>
          <w:lang w:bidi="fa-IR"/>
        </w:rPr>
        <w:t xml:space="preserve"> $104</w:t>
      </w:r>
      <w:r w:rsidR="00A1002F">
        <w:rPr>
          <w:lang w:bidi="fa-IR"/>
        </w:rPr>
        <w:t xml:space="preserve"> </w:t>
      </w:r>
      <w:r w:rsidRPr="00A65D8B">
        <w:rPr>
          <w:lang w:bidi="fa-IR"/>
        </w:rPr>
        <w:t>000 per year</w:t>
      </w:r>
      <w:r>
        <w:rPr>
          <w:lang w:bidi="fa-IR"/>
        </w:rPr>
        <w:t xml:space="preserve"> were over-represented. </w:t>
      </w:r>
      <w:r w:rsidR="00F442D4">
        <w:rPr>
          <w:lang w:bidi="fa-IR"/>
        </w:rPr>
        <w:t>CIE</w:t>
      </w:r>
      <w:r>
        <w:rPr>
          <w:lang w:bidi="fa-IR"/>
        </w:rPr>
        <w:t xml:space="preserve"> used raking to generate poststratification weights based on the language, income and age characteristics of the target population. The reweighted sample characteristics are very close to those of the target population, which provides confidence that results can be generalised to the population.</w:t>
      </w:r>
    </w:p>
    <w:p w14:paraId="68E16BD4" w14:textId="2A9AE4C4" w:rsidR="00CF6E40" w:rsidRDefault="00390CDB" w:rsidP="00CF6E40">
      <w:pPr>
        <w:pStyle w:val="Caption"/>
        <w:spacing w:before="240"/>
      </w:pPr>
      <w:bookmarkStart w:id="920" w:name="_Toc32321928"/>
      <w:bookmarkStart w:id="921" w:name="_Toc44598634"/>
      <w:bookmarkStart w:id="922" w:name="_Toc45654265"/>
      <w:bookmarkStart w:id="923" w:name="_Toc57643734"/>
      <w:bookmarkStart w:id="924" w:name="_Toc70505687"/>
      <w:r>
        <w:t>K.4</w:t>
      </w:r>
      <w:r w:rsidR="00CF6E40" w:rsidRPr="006932E3">
        <w:tab/>
        <w:t>Characteristics of sample, reweighted sample and target population</w:t>
      </w:r>
      <w:bookmarkEnd w:id="920"/>
      <w:bookmarkEnd w:id="921"/>
      <w:bookmarkEnd w:id="922"/>
      <w:bookmarkEnd w:id="923"/>
      <w:bookmarkEnd w:id="924"/>
    </w:p>
    <w:tbl>
      <w:tblPr>
        <w:tblStyle w:val="TableGridLight"/>
        <w:tblW w:w="8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4: Characteristics of sample, reweighted sample and target population"/>
        <w:tblDescription w:val="Table K.4 presents the characteristics of sample, reweighted sample and target population from the survey discussed in the text."/>
      </w:tblPr>
      <w:tblGrid>
        <w:gridCol w:w="1843"/>
        <w:gridCol w:w="1843"/>
        <w:gridCol w:w="1417"/>
        <w:gridCol w:w="983"/>
        <w:gridCol w:w="1107"/>
        <w:gridCol w:w="963"/>
      </w:tblGrid>
      <w:tr w:rsidR="00CF6E40" w:rsidRPr="005726EB" w14:paraId="3DDBA8EF" w14:textId="77777777" w:rsidTr="00527A84">
        <w:trPr>
          <w:trHeight w:val="250"/>
          <w:tblHeader/>
        </w:trPr>
        <w:tc>
          <w:tcPr>
            <w:tcW w:w="1843" w:type="dxa"/>
            <w:shd w:val="clear" w:color="auto" w:fill="6F6652" w:themeFill="accent5"/>
            <w:noWrap/>
            <w:hideMark/>
          </w:tcPr>
          <w:p w14:paraId="2AF28905" w14:textId="77777777" w:rsidR="00CF6E40" w:rsidRPr="005726EB" w:rsidRDefault="00CF6E40" w:rsidP="004B5CD1">
            <w:pPr>
              <w:pStyle w:val="TableDataColumnHeading"/>
              <w:jc w:val="left"/>
            </w:pPr>
            <w:r>
              <w:t>Indicator/Question</w:t>
            </w:r>
          </w:p>
        </w:tc>
        <w:tc>
          <w:tcPr>
            <w:tcW w:w="1843" w:type="dxa"/>
            <w:shd w:val="clear" w:color="auto" w:fill="6F6652" w:themeFill="accent5"/>
          </w:tcPr>
          <w:p w14:paraId="357F58F6" w14:textId="77777777" w:rsidR="00CF6E40" w:rsidRPr="005726EB" w:rsidRDefault="00CF6E40" w:rsidP="004B5CD1">
            <w:pPr>
              <w:pStyle w:val="TableDataColumnHeading"/>
              <w:jc w:val="left"/>
            </w:pPr>
            <w:r>
              <w:t>Item/Answer</w:t>
            </w:r>
          </w:p>
        </w:tc>
        <w:tc>
          <w:tcPr>
            <w:tcW w:w="1417" w:type="dxa"/>
            <w:shd w:val="clear" w:color="auto" w:fill="6F6652" w:themeFill="accent5"/>
            <w:noWrap/>
            <w:hideMark/>
          </w:tcPr>
          <w:p w14:paraId="7184AE87" w14:textId="77777777" w:rsidR="00CF6E40" w:rsidRDefault="00CF6E40" w:rsidP="004B5CD1">
            <w:pPr>
              <w:pStyle w:val="TableDataColumnHeading"/>
            </w:pPr>
            <w:r w:rsidRPr="005726EB">
              <w:t xml:space="preserve">Sample </w:t>
            </w:r>
            <w:r>
              <w:t>No.</w:t>
            </w:r>
          </w:p>
          <w:p w14:paraId="0A287718" w14:textId="77777777" w:rsidR="00CF6E40" w:rsidRPr="005726EB" w:rsidRDefault="00CF6E40" w:rsidP="004B5CD1">
            <w:pPr>
              <w:pStyle w:val="TableDataColumnHeading"/>
              <w:spacing w:before="240"/>
            </w:pPr>
            <w:r>
              <w:t>(No.)</w:t>
            </w:r>
          </w:p>
        </w:tc>
        <w:tc>
          <w:tcPr>
            <w:tcW w:w="983" w:type="dxa"/>
            <w:shd w:val="clear" w:color="auto" w:fill="6F6652" w:themeFill="accent5"/>
            <w:noWrap/>
            <w:hideMark/>
          </w:tcPr>
          <w:p w14:paraId="4D6D858C" w14:textId="77777777" w:rsidR="00CF6E40" w:rsidRDefault="00CF6E40" w:rsidP="004B5CD1">
            <w:pPr>
              <w:pStyle w:val="TableDataColumnHeading"/>
            </w:pPr>
            <w:r w:rsidRPr="005726EB">
              <w:t>Sample</w:t>
            </w:r>
          </w:p>
          <w:p w14:paraId="7DA91DAD" w14:textId="77777777" w:rsidR="00CF6E40" w:rsidRPr="005726EB" w:rsidRDefault="00CF6E40" w:rsidP="004B5CD1">
            <w:pPr>
              <w:pStyle w:val="TableDataColumnHeading"/>
              <w:spacing w:before="240"/>
            </w:pPr>
            <w:r>
              <w:t>(per cent)</w:t>
            </w:r>
          </w:p>
        </w:tc>
        <w:tc>
          <w:tcPr>
            <w:tcW w:w="1107" w:type="dxa"/>
            <w:shd w:val="clear" w:color="auto" w:fill="6F6652" w:themeFill="accent5"/>
            <w:noWrap/>
            <w:hideMark/>
          </w:tcPr>
          <w:p w14:paraId="5BE48389" w14:textId="77777777" w:rsidR="00CF6E40" w:rsidRDefault="00CF6E40" w:rsidP="004B5CD1">
            <w:pPr>
              <w:pStyle w:val="TableDataColumnHeading"/>
            </w:pPr>
            <w:r w:rsidRPr="005726EB">
              <w:t>Reweighted sample</w:t>
            </w:r>
          </w:p>
          <w:p w14:paraId="68970B30" w14:textId="77777777" w:rsidR="00CF6E40" w:rsidRPr="005726EB" w:rsidRDefault="00CF6E40" w:rsidP="004B5CD1">
            <w:pPr>
              <w:pStyle w:val="TableDataColumnHeading"/>
            </w:pPr>
            <w:r>
              <w:t>(per cent)</w:t>
            </w:r>
          </w:p>
        </w:tc>
        <w:tc>
          <w:tcPr>
            <w:tcW w:w="963" w:type="dxa"/>
            <w:shd w:val="clear" w:color="auto" w:fill="6F6652" w:themeFill="accent5"/>
            <w:noWrap/>
            <w:hideMark/>
          </w:tcPr>
          <w:p w14:paraId="05952A46" w14:textId="77777777" w:rsidR="00CF6E40" w:rsidRDefault="00CF6E40" w:rsidP="004B5CD1">
            <w:pPr>
              <w:pStyle w:val="TableDataColumnHeading"/>
            </w:pPr>
            <w:r>
              <w:t>Target p</w:t>
            </w:r>
            <w:r w:rsidRPr="005726EB">
              <w:t>opulation</w:t>
            </w:r>
          </w:p>
          <w:p w14:paraId="4683803E" w14:textId="77777777" w:rsidR="00CF6E40" w:rsidRPr="005726EB" w:rsidRDefault="00CF6E40" w:rsidP="004B5CD1">
            <w:pPr>
              <w:pStyle w:val="TableDataColumnHeading"/>
            </w:pPr>
            <w:r>
              <w:t>(per cent)</w:t>
            </w:r>
          </w:p>
        </w:tc>
      </w:tr>
      <w:tr w:rsidR="00CF6E40" w:rsidRPr="00B92BED" w14:paraId="2AE99059"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2EECAD92" w14:textId="77777777" w:rsidR="00CF6E40" w:rsidRPr="00B92BED" w:rsidRDefault="00CF6E40" w:rsidP="004B5CD1">
            <w:pPr>
              <w:pStyle w:val="TableDataEntries"/>
              <w:jc w:val="left"/>
            </w:pPr>
            <w:r>
              <w:t>Survey duration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8CB7E39" w14:textId="77777777" w:rsidR="00CF6E40" w:rsidRPr="00B92BED" w:rsidRDefault="00CF6E40" w:rsidP="004B5CD1">
            <w:pPr>
              <w:pStyle w:val="TableDataEntries"/>
              <w:jc w:val="left"/>
            </w:pPr>
            <w:r w:rsidRPr="00B92BED">
              <w:t>Median (minutes)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1B635C9" w14:textId="77777777" w:rsidR="00CF6E40" w:rsidRPr="00B92BED" w:rsidRDefault="00CF6E40" w:rsidP="004B5CD1">
            <w:pPr>
              <w:pStyle w:val="TableDataEntries"/>
            </w:pPr>
            <w:r w:rsidRPr="00B92BED">
              <w:t>10.77</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063A3B23" w14:textId="77777777" w:rsidR="00CF6E40" w:rsidRPr="00B92BED" w:rsidRDefault="00CF6E40" w:rsidP="004B5CD1">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2FB5C66" w14:textId="77777777" w:rsidR="00CF6E40" w:rsidRPr="00B92BED" w:rsidRDefault="00CF6E40" w:rsidP="004B5CD1">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0146EC1" w14:textId="77777777" w:rsidR="00CF6E40" w:rsidRPr="00B92BED" w:rsidRDefault="00CF6E40" w:rsidP="004B5CD1">
            <w:pPr>
              <w:pStyle w:val="TableDataEntries"/>
              <w:rPr>
                <w:rFonts w:ascii="Times New Roman" w:hAnsi="Times New Roman"/>
                <w:sz w:val="20"/>
                <w:szCs w:val="20"/>
              </w:rPr>
            </w:pPr>
          </w:p>
        </w:tc>
      </w:tr>
      <w:tr w:rsidR="00CF6E40" w:rsidRPr="00B92BED" w14:paraId="240BC481"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D537393" w14:textId="77777777" w:rsidR="00CF6E40" w:rsidRPr="00B92BED" w:rsidRDefault="00CF6E40" w:rsidP="004B5CD1">
            <w:pPr>
              <w:pStyle w:val="TableDataEntries"/>
              <w:jc w:val="left"/>
            </w:pPr>
            <w:r w:rsidRPr="00B92BED">
              <w:t xml:space="preserve">Wave </w:t>
            </w:r>
            <w:r>
              <w:t>of fieldwork</w:t>
            </w:r>
          </w:p>
        </w:tc>
        <w:tc>
          <w:tcPr>
            <w:tcW w:w="1843" w:type="dxa"/>
            <w:tcBorders>
              <w:top w:val="single" w:sz="8" w:space="0" w:color="FFFFFF" w:themeColor="background1"/>
              <w:bottom w:val="single" w:sz="8" w:space="0" w:color="FFFFFF" w:themeColor="background1"/>
            </w:tcBorders>
            <w:shd w:val="clear" w:color="auto" w:fill="E9E8E5" w:themeFill="background2"/>
          </w:tcPr>
          <w:p w14:paraId="6585C80C" w14:textId="77777777" w:rsidR="00CF6E40" w:rsidRPr="00B92BED" w:rsidRDefault="00CF6E40" w:rsidP="004B5CD1">
            <w:pPr>
              <w:pStyle w:val="TableDataEntries"/>
              <w:jc w:val="left"/>
            </w:pPr>
            <w:r w:rsidRPr="00B92BED">
              <w:t>Wave 1</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8585D42" w14:textId="77777777" w:rsidR="00CF6E40" w:rsidRPr="00B92BED" w:rsidRDefault="00CF6E40" w:rsidP="004B5CD1">
            <w:pPr>
              <w:pStyle w:val="TableDataEntries"/>
            </w:pPr>
            <w:r w:rsidRPr="00B92BED">
              <w:t>163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0FE9234" w14:textId="77777777" w:rsidR="00CF6E40" w:rsidRPr="00B92BED" w:rsidRDefault="00CF6E40" w:rsidP="004B5CD1">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513BBDF0" w14:textId="77777777" w:rsidR="00CF6E40" w:rsidRPr="00B92BED" w:rsidRDefault="00CF6E40" w:rsidP="004B5CD1">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BF29359" w14:textId="77777777" w:rsidR="00CF6E40" w:rsidRPr="00B92BED" w:rsidRDefault="00CF6E40" w:rsidP="004B5CD1">
            <w:pPr>
              <w:pStyle w:val="TableDataEntries"/>
              <w:rPr>
                <w:rFonts w:ascii="Times New Roman" w:hAnsi="Times New Roman"/>
                <w:sz w:val="20"/>
                <w:szCs w:val="20"/>
              </w:rPr>
            </w:pPr>
          </w:p>
        </w:tc>
      </w:tr>
      <w:tr w:rsidR="00CF6E40" w:rsidRPr="00B92BED" w14:paraId="7929912C"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27E5669" w14:textId="77777777" w:rsidR="00CF6E40" w:rsidRPr="00B92BED" w:rsidRDefault="00CF6E40" w:rsidP="004B5CD1">
            <w:pPr>
              <w:pStyle w:val="TableDataEntries"/>
              <w:jc w:val="left"/>
            </w:pPr>
            <w:r w:rsidRPr="00B92BED">
              <w:t xml:space="preserve">Wave </w:t>
            </w:r>
            <w:r>
              <w:t>of fieldwork</w:t>
            </w:r>
          </w:p>
        </w:tc>
        <w:tc>
          <w:tcPr>
            <w:tcW w:w="1843" w:type="dxa"/>
            <w:tcBorders>
              <w:top w:val="single" w:sz="8" w:space="0" w:color="FFFFFF" w:themeColor="background1"/>
              <w:bottom w:val="single" w:sz="8" w:space="0" w:color="FFFFFF" w:themeColor="background1"/>
            </w:tcBorders>
            <w:shd w:val="clear" w:color="auto" w:fill="E9E8E5" w:themeFill="background2"/>
          </w:tcPr>
          <w:p w14:paraId="73C5FA45" w14:textId="77777777" w:rsidR="00CF6E40" w:rsidRPr="00B92BED" w:rsidRDefault="00CF6E40" w:rsidP="004B5CD1">
            <w:pPr>
              <w:pStyle w:val="TableDataEntries"/>
              <w:jc w:val="left"/>
            </w:pPr>
            <w:r w:rsidRPr="00B92BED">
              <w:t>Wave 2</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0D1F1A49" w14:textId="77777777" w:rsidR="00CF6E40" w:rsidRPr="00B92BED" w:rsidRDefault="00CF6E40" w:rsidP="004B5CD1">
            <w:pPr>
              <w:pStyle w:val="TableDataEntries"/>
            </w:pPr>
            <w:r w:rsidRPr="00B92BED">
              <w:t>1</w:t>
            </w:r>
            <w:r>
              <w:t> </w:t>
            </w:r>
            <w:r w:rsidRPr="00B92BED">
              <w:t>899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D4027AD" w14:textId="77777777" w:rsidR="00CF6E40" w:rsidRPr="00B92BED" w:rsidRDefault="00CF6E40" w:rsidP="004B5CD1">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213F0ACA" w14:textId="77777777" w:rsidR="00CF6E40" w:rsidRPr="00B92BED" w:rsidRDefault="00CF6E40" w:rsidP="004B5CD1">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A8DB370" w14:textId="77777777" w:rsidR="00CF6E40" w:rsidRPr="00B92BED" w:rsidRDefault="00CF6E40" w:rsidP="004B5CD1">
            <w:pPr>
              <w:pStyle w:val="TableDataEntries"/>
              <w:rPr>
                <w:rFonts w:ascii="Times New Roman" w:hAnsi="Times New Roman"/>
                <w:sz w:val="20"/>
                <w:szCs w:val="20"/>
              </w:rPr>
            </w:pPr>
          </w:p>
        </w:tc>
      </w:tr>
      <w:tr w:rsidR="00CF6E40" w:rsidRPr="00B92BED" w14:paraId="05B13920"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AB33BBF" w14:textId="77777777" w:rsidR="00CF6E40" w:rsidRPr="00B92BED" w:rsidRDefault="00CF6E40" w:rsidP="004B5CD1">
            <w:pPr>
              <w:pStyle w:val="TableDataEntries"/>
              <w:jc w:val="left"/>
            </w:pPr>
            <w:r>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5907E47A" w14:textId="77777777" w:rsidR="00CF6E40" w:rsidRPr="00B92BED" w:rsidRDefault="00CF6E40" w:rsidP="004B5CD1">
            <w:pPr>
              <w:pStyle w:val="TableDataEntries"/>
              <w:jc w:val="left"/>
            </w:pPr>
            <w:r w:rsidRPr="00B92BED">
              <w:t>18</w:t>
            </w:r>
            <w:r w:rsidR="00667979">
              <w:t xml:space="preserve"> to </w:t>
            </w:r>
            <w:r w:rsidRPr="00B92BED">
              <w:t>19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ED51136" w14:textId="77777777" w:rsidR="00CF6E40" w:rsidRPr="00B92BED" w:rsidRDefault="00CF6E40" w:rsidP="004B5CD1">
            <w:pPr>
              <w:pStyle w:val="TableDataEntries"/>
            </w:pPr>
            <w:r w:rsidRPr="00B92BED">
              <w:t>64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F0205E1" w14:textId="77777777" w:rsidR="00CF6E40" w:rsidRPr="00B92BED" w:rsidRDefault="00CF6E40" w:rsidP="004B5CD1">
            <w:pPr>
              <w:pStyle w:val="TableDataEntries"/>
            </w:pPr>
            <w:r w:rsidRPr="00B92BED">
              <w:t>3.1%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3BA86A98" w14:textId="77777777" w:rsidR="00CF6E40" w:rsidRPr="00B92BED" w:rsidRDefault="00CF6E40" w:rsidP="004B5CD1">
            <w:pPr>
              <w:pStyle w:val="TableDataEntries"/>
            </w:pPr>
            <w:r w:rsidRPr="00B92BED">
              <w:t>3.2%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70E2BC0" w14:textId="77777777" w:rsidR="00CF6E40" w:rsidRPr="00B92BED" w:rsidRDefault="00CF6E40" w:rsidP="004B5CD1">
            <w:pPr>
              <w:pStyle w:val="TableDataEntries"/>
            </w:pPr>
            <w:r w:rsidRPr="00B92BED">
              <w:t>3.2%</w:t>
            </w:r>
          </w:p>
        </w:tc>
      </w:tr>
      <w:tr w:rsidR="00CF6E40" w:rsidRPr="00B92BED" w14:paraId="16D57948"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AE921F7"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5CC8FA6A" w14:textId="77777777" w:rsidR="00CF6E40" w:rsidRPr="00B92BED" w:rsidRDefault="00CF6E40" w:rsidP="004B5CD1">
            <w:pPr>
              <w:pStyle w:val="TableDataEntries"/>
              <w:jc w:val="left"/>
            </w:pPr>
            <w:r w:rsidRPr="00B92BED">
              <w:t>20</w:t>
            </w:r>
            <w:r w:rsidR="00667979">
              <w:t xml:space="preserve"> to </w:t>
            </w:r>
            <w:r w:rsidRPr="00B92BED">
              <w:t>29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53B8DC0" w14:textId="77777777" w:rsidR="00CF6E40" w:rsidRPr="00B92BED" w:rsidRDefault="00CF6E40" w:rsidP="004B5CD1">
            <w:pPr>
              <w:pStyle w:val="TableDataEntries"/>
            </w:pPr>
            <w:r w:rsidRPr="00B92BED">
              <w:t>373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8B9BF09" w14:textId="77777777" w:rsidR="00CF6E40" w:rsidRPr="00B92BED" w:rsidRDefault="00CF6E40" w:rsidP="004B5CD1">
            <w:pPr>
              <w:pStyle w:val="TableDataEntries"/>
            </w:pPr>
            <w:r w:rsidRPr="00B92BED">
              <w:t>18.1%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8E2B6A2" w14:textId="77777777" w:rsidR="00CF6E40" w:rsidRPr="00B92BED" w:rsidRDefault="00CF6E40" w:rsidP="004B5CD1">
            <w:pPr>
              <w:pStyle w:val="TableDataEntries"/>
            </w:pPr>
            <w:r w:rsidRPr="00B92BED">
              <w:t>18.6%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C8509CA" w14:textId="77777777" w:rsidR="00CF6E40" w:rsidRPr="00B92BED" w:rsidRDefault="00CF6E40" w:rsidP="004B5CD1">
            <w:pPr>
              <w:pStyle w:val="TableDataEntries"/>
            </w:pPr>
            <w:r w:rsidRPr="00B92BED">
              <w:t>18.6%</w:t>
            </w:r>
          </w:p>
        </w:tc>
      </w:tr>
      <w:tr w:rsidR="00CF6E40" w:rsidRPr="00B92BED" w14:paraId="3513CC7A"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69A6C0B"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3D2F8DE8" w14:textId="77777777" w:rsidR="00CF6E40" w:rsidRPr="00B92BED" w:rsidRDefault="00CF6E40" w:rsidP="004B5CD1">
            <w:pPr>
              <w:pStyle w:val="TableDataEntries"/>
              <w:jc w:val="left"/>
            </w:pPr>
            <w:r w:rsidRPr="00B92BED">
              <w:t>30</w:t>
            </w:r>
            <w:r w:rsidR="00667979">
              <w:t xml:space="preserve"> to </w:t>
            </w:r>
            <w:r w:rsidRPr="00B92BED">
              <w:t>39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6463C1B0" w14:textId="77777777" w:rsidR="00CF6E40" w:rsidRPr="00B92BED" w:rsidRDefault="00CF6E40" w:rsidP="004B5CD1">
            <w:pPr>
              <w:pStyle w:val="TableDataEntries"/>
            </w:pPr>
            <w:r w:rsidRPr="00B92BED">
              <w:t>397</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20A76EB" w14:textId="77777777" w:rsidR="00CF6E40" w:rsidRPr="00B92BED" w:rsidRDefault="00CF6E40" w:rsidP="004B5CD1">
            <w:pPr>
              <w:pStyle w:val="TableDataEntries"/>
            </w:pPr>
            <w:r w:rsidRPr="00B92BED">
              <w:t>19.3%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6810A7C" w14:textId="77777777" w:rsidR="00CF6E40" w:rsidRPr="00B92BED" w:rsidRDefault="00CF6E40" w:rsidP="004B5CD1">
            <w:pPr>
              <w:pStyle w:val="TableDataEntries"/>
            </w:pPr>
            <w:r w:rsidRPr="00B92BED">
              <w:t>18.5%</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5F7C0D36" w14:textId="77777777" w:rsidR="00CF6E40" w:rsidRPr="00B92BED" w:rsidRDefault="00CF6E40" w:rsidP="004B5CD1">
            <w:pPr>
              <w:pStyle w:val="TableDataEntries"/>
            </w:pPr>
            <w:r w:rsidRPr="00B92BED">
              <w:t>18.5%</w:t>
            </w:r>
          </w:p>
        </w:tc>
      </w:tr>
      <w:tr w:rsidR="00CF6E40" w:rsidRPr="00B92BED" w14:paraId="5B73EF1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3982176"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0E488E1A" w14:textId="77777777" w:rsidR="00CF6E40" w:rsidRPr="00B92BED" w:rsidRDefault="00CF6E40" w:rsidP="004B5CD1">
            <w:pPr>
              <w:pStyle w:val="TableDataEntries"/>
              <w:jc w:val="left"/>
            </w:pPr>
            <w:r w:rsidRPr="00B92BED">
              <w:t>40</w:t>
            </w:r>
            <w:r w:rsidR="00667979">
              <w:t xml:space="preserve"> to </w:t>
            </w:r>
            <w:r w:rsidRPr="00B92BED">
              <w:t>49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08033F2" w14:textId="77777777" w:rsidR="00CF6E40" w:rsidRPr="00B92BED" w:rsidRDefault="00CF6E40" w:rsidP="004B5CD1">
            <w:pPr>
              <w:pStyle w:val="TableDataEntries"/>
            </w:pPr>
            <w:r w:rsidRPr="00B92BED">
              <w:t>320</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21557CBE" w14:textId="77777777" w:rsidR="00CF6E40" w:rsidRPr="00B92BED" w:rsidRDefault="00CF6E40" w:rsidP="004B5CD1">
            <w:pPr>
              <w:pStyle w:val="TableDataEntries"/>
            </w:pPr>
            <w:r w:rsidRPr="00B92BED">
              <w:t>15.5%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79F56D8" w14:textId="77777777" w:rsidR="00CF6E40" w:rsidRPr="00B92BED" w:rsidRDefault="00CF6E40" w:rsidP="004B5CD1">
            <w:pPr>
              <w:pStyle w:val="TableDataEntries"/>
            </w:pPr>
            <w:r w:rsidRPr="00B92BED">
              <w:t>16.8%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6D383CB" w14:textId="77777777" w:rsidR="00CF6E40" w:rsidRPr="00B92BED" w:rsidRDefault="00CF6E40" w:rsidP="004B5CD1">
            <w:pPr>
              <w:pStyle w:val="TableDataEntries"/>
            </w:pPr>
            <w:r w:rsidRPr="00B92BED">
              <w:t>16.8%</w:t>
            </w:r>
          </w:p>
        </w:tc>
      </w:tr>
      <w:tr w:rsidR="00CF6E40" w:rsidRPr="00B92BED" w14:paraId="58A367B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9A83839"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1581A7A5" w14:textId="77777777" w:rsidR="00CF6E40" w:rsidRPr="00B92BED" w:rsidRDefault="00CF6E40" w:rsidP="004B5CD1">
            <w:pPr>
              <w:pStyle w:val="TableDataEntries"/>
              <w:jc w:val="left"/>
            </w:pPr>
            <w:r w:rsidRPr="00B92BED">
              <w:t>50</w:t>
            </w:r>
            <w:r w:rsidR="00667979">
              <w:t xml:space="preserve"> to </w:t>
            </w:r>
            <w:r w:rsidRPr="00B92BED">
              <w:t>59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A091C9D" w14:textId="77777777" w:rsidR="00CF6E40" w:rsidRPr="00B92BED" w:rsidRDefault="00CF6E40" w:rsidP="004B5CD1">
            <w:pPr>
              <w:pStyle w:val="TableDataEntries"/>
            </w:pPr>
            <w:r w:rsidRPr="00B92BED">
              <w:t>326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3A9B8B4D" w14:textId="77777777" w:rsidR="00CF6E40" w:rsidRPr="00B92BED" w:rsidRDefault="00CF6E40" w:rsidP="004B5CD1">
            <w:pPr>
              <w:pStyle w:val="TableDataEntries"/>
            </w:pPr>
            <w:r w:rsidRPr="00B92BED">
              <w:t>15.8%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C3BE1C2" w14:textId="77777777" w:rsidR="00CF6E40" w:rsidRPr="00B92BED" w:rsidRDefault="00CF6E40" w:rsidP="004B5CD1">
            <w:pPr>
              <w:pStyle w:val="TableDataEntries"/>
            </w:pPr>
            <w:r w:rsidRPr="00B92BED">
              <w:t>15.8%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050D90C" w14:textId="77777777" w:rsidR="00CF6E40" w:rsidRPr="00B92BED" w:rsidRDefault="00CF6E40" w:rsidP="004B5CD1">
            <w:pPr>
              <w:pStyle w:val="TableDataEntries"/>
            </w:pPr>
            <w:r w:rsidRPr="00B92BED">
              <w:t>15.7%</w:t>
            </w:r>
          </w:p>
        </w:tc>
      </w:tr>
      <w:tr w:rsidR="00CF6E40" w:rsidRPr="00B92BED" w14:paraId="1AF26596"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FCEC6D4"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0AAE6359" w14:textId="77777777" w:rsidR="00CF6E40" w:rsidRPr="00B92BED" w:rsidRDefault="00CF6E40" w:rsidP="004B5CD1">
            <w:pPr>
              <w:pStyle w:val="TableDataEntries"/>
              <w:jc w:val="left"/>
            </w:pPr>
            <w:r w:rsidRPr="00B92BED">
              <w:t>60</w:t>
            </w:r>
            <w:r w:rsidR="00667979">
              <w:t xml:space="preserve"> to </w:t>
            </w:r>
            <w:r w:rsidRPr="00B92BED">
              <w:t>69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F2606E0" w14:textId="77777777" w:rsidR="00CF6E40" w:rsidRPr="00B92BED" w:rsidRDefault="00CF6E40" w:rsidP="004B5CD1">
            <w:pPr>
              <w:pStyle w:val="TableDataEntries"/>
            </w:pPr>
            <w:r w:rsidRPr="00B92BED">
              <w:t>282</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0E2AC65" w14:textId="77777777" w:rsidR="00CF6E40" w:rsidRPr="00B92BED" w:rsidRDefault="00CF6E40" w:rsidP="004B5CD1">
            <w:pPr>
              <w:pStyle w:val="TableDataEntries"/>
            </w:pPr>
            <w:r w:rsidRPr="00B92BED">
              <w:t>13.7%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22FC838C" w14:textId="77777777" w:rsidR="00CF6E40" w:rsidRPr="00B92BED" w:rsidRDefault="00CF6E40" w:rsidP="004B5CD1">
            <w:pPr>
              <w:pStyle w:val="TableDataEntries"/>
            </w:pPr>
            <w:r w:rsidRPr="00B92BED">
              <w:t>13.2%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C4F5811" w14:textId="77777777" w:rsidR="00CF6E40" w:rsidRPr="00B92BED" w:rsidRDefault="00CF6E40" w:rsidP="004B5CD1">
            <w:pPr>
              <w:pStyle w:val="TableDataEntries"/>
            </w:pPr>
            <w:r w:rsidRPr="00B92BED">
              <w:t>13.2%</w:t>
            </w:r>
          </w:p>
        </w:tc>
      </w:tr>
      <w:tr w:rsidR="00CF6E40" w:rsidRPr="00B92BED" w14:paraId="1E0458F8"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02FE410"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284D18F9" w14:textId="77777777" w:rsidR="00CF6E40" w:rsidRPr="00B92BED" w:rsidRDefault="00CF6E40" w:rsidP="004B5CD1">
            <w:pPr>
              <w:pStyle w:val="TableDataEntries"/>
              <w:jc w:val="left"/>
            </w:pPr>
            <w:r w:rsidRPr="00B92BED">
              <w:t>70</w:t>
            </w:r>
            <w:r w:rsidR="00667979">
              <w:t xml:space="preserve"> to </w:t>
            </w:r>
            <w:r w:rsidRPr="00B92BED">
              <w:t>79 years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30C3D629" w14:textId="77777777" w:rsidR="00CF6E40" w:rsidRPr="00B92BED" w:rsidRDefault="00CF6E40" w:rsidP="004B5CD1">
            <w:pPr>
              <w:pStyle w:val="TableDataEntries"/>
            </w:pPr>
            <w:r w:rsidRPr="00B92BED">
              <w:t>199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3FBA43B" w14:textId="77777777" w:rsidR="00CF6E40" w:rsidRPr="00B92BED" w:rsidRDefault="00CF6E40" w:rsidP="004B5CD1">
            <w:pPr>
              <w:pStyle w:val="TableDataEntries"/>
            </w:pPr>
            <w:r w:rsidRPr="00B92BED">
              <w:t>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7D85442" w14:textId="77777777" w:rsidR="00CF6E40" w:rsidRPr="00B92BED" w:rsidRDefault="00CF6E40" w:rsidP="004B5CD1">
            <w:pPr>
              <w:pStyle w:val="TableDataEntries"/>
            </w:pPr>
            <w:r w:rsidRPr="00B92BED">
              <w:t>8.8%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5125463C" w14:textId="77777777" w:rsidR="00CF6E40" w:rsidRPr="00B92BED" w:rsidRDefault="00CF6E40" w:rsidP="004B5CD1">
            <w:pPr>
              <w:pStyle w:val="TableDataEntries"/>
            </w:pPr>
            <w:r w:rsidRPr="00B92BED">
              <w:t>8.8%</w:t>
            </w:r>
          </w:p>
        </w:tc>
      </w:tr>
      <w:tr w:rsidR="00CF6E40" w:rsidRPr="00B92BED" w14:paraId="34137703"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27D5EE86" w14:textId="77777777" w:rsidR="00CF6E40" w:rsidRPr="00B92BED" w:rsidRDefault="00CF6E40" w:rsidP="004B5CD1">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14:paraId="552C48A5" w14:textId="77777777" w:rsidR="00CF6E40" w:rsidRPr="00B92BED" w:rsidRDefault="00CF6E40" w:rsidP="004B5CD1">
            <w:pPr>
              <w:pStyle w:val="TableDataEntries"/>
              <w:jc w:val="left"/>
            </w:pPr>
            <w:r w:rsidRPr="00B92BED">
              <w:t>80 years or over</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EEBC41A" w14:textId="77777777" w:rsidR="00CF6E40" w:rsidRPr="00B92BED" w:rsidRDefault="00CF6E40" w:rsidP="004B5CD1">
            <w:pPr>
              <w:pStyle w:val="TableDataEntries"/>
            </w:pPr>
            <w:r w:rsidRPr="00B92BED">
              <w:t>101</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5CECAF9" w14:textId="77777777" w:rsidR="00CF6E40" w:rsidRPr="00B92BED" w:rsidRDefault="00CF6E40" w:rsidP="004B5CD1">
            <w:pPr>
              <w:pStyle w:val="TableDataEntries"/>
            </w:pPr>
            <w:r w:rsidRPr="00B92BED">
              <w:t>4.9%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94D8EC4" w14:textId="77777777" w:rsidR="00CF6E40" w:rsidRPr="00B92BED" w:rsidRDefault="00CF6E40" w:rsidP="004B5CD1">
            <w:pPr>
              <w:pStyle w:val="TableDataEntries"/>
            </w:pPr>
            <w:r w:rsidRPr="00B92BED">
              <w:t>5.1%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F6AED04" w14:textId="77777777" w:rsidR="00CF6E40" w:rsidRPr="00B92BED" w:rsidRDefault="00CF6E40" w:rsidP="004B5CD1">
            <w:pPr>
              <w:pStyle w:val="TableDataEntries"/>
            </w:pPr>
            <w:r w:rsidRPr="00B92BED">
              <w:t>5.1%</w:t>
            </w:r>
          </w:p>
        </w:tc>
      </w:tr>
      <w:tr w:rsidR="00CF6E40" w:rsidRPr="00B92BED" w14:paraId="0AF1FE6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9C98FA5" w14:textId="77777777" w:rsidR="00CF6E40" w:rsidRPr="00B92BED" w:rsidRDefault="00CF6E40" w:rsidP="004B5CD1">
            <w:pPr>
              <w:pStyle w:val="TableDataEntries"/>
              <w:jc w:val="left"/>
            </w:pPr>
            <w:r>
              <w:t>Gender</w:t>
            </w:r>
          </w:p>
        </w:tc>
        <w:tc>
          <w:tcPr>
            <w:tcW w:w="1843" w:type="dxa"/>
            <w:tcBorders>
              <w:top w:val="single" w:sz="8" w:space="0" w:color="FFFFFF" w:themeColor="background1"/>
              <w:bottom w:val="single" w:sz="8" w:space="0" w:color="FFFFFF" w:themeColor="background1"/>
            </w:tcBorders>
            <w:shd w:val="clear" w:color="auto" w:fill="E9E8E5" w:themeFill="background2"/>
          </w:tcPr>
          <w:p w14:paraId="749899CF" w14:textId="77777777" w:rsidR="00CF6E40" w:rsidRPr="00B92BED" w:rsidRDefault="00CF6E40" w:rsidP="004B5CD1">
            <w:pPr>
              <w:pStyle w:val="TableDataEntries"/>
              <w:jc w:val="left"/>
            </w:pPr>
            <w:r w:rsidRPr="00B92BED">
              <w:t>Male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D51977B" w14:textId="77777777" w:rsidR="00CF6E40" w:rsidRPr="00B92BED" w:rsidRDefault="00CF6E40" w:rsidP="004B5CD1">
            <w:pPr>
              <w:pStyle w:val="TableDataEntries"/>
            </w:pPr>
            <w:r w:rsidRPr="00B92BED">
              <w:t>1</w:t>
            </w:r>
            <w:r>
              <w:t> </w:t>
            </w:r>
            <w:r w:rsidRPr="00B92BED">
              <w:t>043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E2D1822" w14:textId="77777777" w:rsidR="00CF6E40" w:rsidRPr="00B92BED" w:rsidRDefault="00CF6E40" w:rsidP="004B5CD1">
            <w:pPr>
              <w:pStyle w:val="TableDataEntries"/>
            </w:pPr>
            <w:r w:rsidRPr="00B92BED">
              <w:t>50.6%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303B103" w14:textId="77777777" w:rsidR="00CF6E40" w:rsidRPr="00B92BED" w:rsidRDefault="00CF6E40" w:rsidP="004B5CD1">
            <w:pPr>
              <w:pStyle w:val="TableDataEntries"/>
            </w:pPr>
            <w:r w:rsidRPr="00B92BED">
              <w:t>50.6%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FAA7FB4" w14:textId="77777777" w:rsidR="00CF6E40" w:rsidRPr="00B92BED" w:rsidRDefault="00CF6E40" w:rsidP="004B5CD1">
            <w:pPr>
              <w:pStyle w:val="TableDataEntries"/>
            </w:pPr>
            <w:r w:rsidRPr="00B92BED">
              <w:t>49.6%</w:t>
            </w:r>
          </w:p>
        </w:tc>
      </w:tr>
      <w:tr w:rsidR="00CF6E40" w:rsidRPr="00B92BED" w14:paraId="0370944F"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0B97004" w14:textId="77777777" w:rsidR="00CF6E40" w:rsidRPr="00B92BED" w:rsidRDefault="00CF6E40" w:rsidP="004B5CD1">
            <w:pPr>
              <w:pStyle w:val="TableDataEntries"/>
              <w:jc w:val="left"/>
            </w:pPr>
            <w:r w:rsidRPr="00D94A6C">
              <w:t>Gender</w:t>
            </w:r>
          </w:p>
        </w:tc>
        <w:tc>
          <w:tcPr>
            <w:tcW w:w="1843" w:type="dxa"/>
            <w:tcBorders>
              <w:top w:val="single" w:sz="8" w:space="0" w:color="FFFFFF" w:themeColor="background1"/>
              <w:bottom w:val="single" w:sz="8" w:space="0" w:color="FFFFFF" w:themeColor="background1"/>
            </w:tcBorders>
            <w:shd w:val="clear" w:color="auto" w:fill="E9E8E5" w:themeFill="background2"/>
          </w:tcPr>
          <w:p w14:paraId="650AFE93" w14:textId="77777777" w:rsidR="00CF6E40" w:rsidRPr="00B92BED" w:rsidRDefault="00CF6E40" w:rsidP="004B5CD1">
            <w:pPr>
              <w:pStyle w:val="TableDataEntries"/>
              <w:jc w:val="left"/>
            </w:pPr>
            <w:r w:rsidRPr="00B92BED">
              <w:t>Female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1D54549" w14:textId="77777777" w:rsidR="00CF6E40" w:rsidRPr="00B92BED" w:rsidRDefault="00CF6E40" w:rsidP="004B5CD1">
            <w:pPr>
              <w:pStyle w:val="TableDataEntries"/>
            </w:pPr>
            <w:r w:rsidRPr="00B92BED">
              <w:t>1</w:t>
            </w:r>
            <w:r>
              <w:t> </w:t>
            </w:r>
            <w:r w:rsidRPr="00B92BED">
              <w:t>009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1DCFFECD" w14:textId="77777777" w:rsidR="00CF6E40" w:rsidRPr="00B92BED" w:rsidRDefault="00CF6E40" w:rsidP="004B5CD1">
            <w:pPr>
              <w:pStyle w:val="TableDataEntries"/>
            </w:pPr>
            <w:r w:rsidRPr="00B92BED">
              <w:t>48.9%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F6ECCEC" w14:textId="77777777" w:rsidR="00CF6E40" w:rsidRPr="00B92BED" w:rsidRDefault="00CF6E40" w:rsidP="004B5CD1">
            <w:pPr>
              <w:pStyle w:val="TableDataEntries"/>
            </w:pPr>
            <w:r w:rsidRPr="00B92BED">
              <w:t>49.0%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8B85A64" w14:textId="77777777" w:rsidR="00CF6E40" w:rsidRPr="00B92BED" w:rsidRDefault="00CF6E40" w:rsidP="004B5CD1">
            <w:pPr>
              <w:pStyle w:val="TableDataEntries"/>
            </w:pPr>
            <w:r w:rsidRPr="00B92BED">
              <w:t>50.4%</w:t>
            </w:r>
          </w:p>
        </w:tc>
      </w:tr>
      <w:tr w:rsidR="00CF6E40" w:rsidRPr="00B92BED" w14:paraId="549C0B8D"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0F65658" w14:textId="77777777" w:rsidR="00CF6E40" w:rsidRPr="00B92BED" w:rsidRDefault="00CF6E40" w:rsidP="004B5CD1">
            <w:pPr>
              <w:pStyle w:val="TableDataEntries"/>
              <w:jc w:val="left"/>
            </w:pPr>
            <w:r w:rsidRPr="00D94A6C">
              <w:t>Gender</w:t>
            </w:r>
          </w:p>
        </w:tc>
        <w:tc>
          <w:tcPr>
            <w:tcW w:w="1843" w:type="dxa"/>
            <w:tcBorders>
              <w:top w:val="single" w:sz="8" w:space="0" w:color="FFFFFF" w:themeColor="background1"/>
              <w:bottom w:val="single" w:sz="8" w:space="0" w:color="FFFFFF" w:themeColor="background1"/>
            </w:tcBorders>
            <w:shd w:val="clear" w:color="auto" w:fill="E9E8E5" w:themeFill="background2"/>
          </w:tcPr>
          <w:p w14:paraId="555B37EC" w14:textId="77777777" w:rsidR="00CF6E40" w:rsidRPr="00B92BED" w:rsidRDefault="00CF6E40" w:rsidP="004B5CD1">
            <w:pPr>
              <w:pStyle w:val="TableDataEntries"/>
              <w:jc w:val="left"/>
            </w:pPr>
            <w:r w:rsidRPr="00B92BED">
              <w:t>Non-binary</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77D3D4A" w14:textId="77777777" w:rsidR="00CF6E40" w:rsidRPr="00B92BED" w:rsidRDefault="00CF6E40" w:rsidP="004B5CD1">
            <w:pPr>
              <w:pStyle w:val="TableDataEntries"/>
            </w:pPr>
            <w:r w:rsidRPr="00B92BED">
              <w:t>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0AA51096" w14:textId="77777777" w:rsidR="00CF6E40" w:rsidRPr="00B92BED" w:rsidRDefault="00CF6E40" w:rsidP="004B5CD1">
            <w:pPr>
              <w:pStyle w:val="TableDataEntries"/>
            </w:pPr>
            <w:r w:rsidRPr="00B92BED">
              <w:t>0.3%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979EFA7" w14:textId="77777777" w:rsidR="00CF6E40" w:rsidRPr="00B92BED" w:rsidRDefault="00CF6E40" w:rsidP="004B5CD1">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55EBDD77" w14:textId="77777777" w:rsidR="00CF6E40" w:rsidRPr="00B92BED" w:rsidRDefault="00CF6E40" w:rsidP="004B5CD1">
            <w:pPr>
              <w:pStyle w:val="TableDataEntries"/>
            </w:pPr>
            <w:r w:rsidRPr="00B92BED">
              <w:t>0.0%</w:t>
            </w:r>
          </w:p>
        </w:tc>
      </w:tr>
      <w:tr w:rsidR="00CF6E40" w:rsidRPr="00B92BED" w14:paraId="0BD383DD"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173FA97" w14:textId="77777777" w:rsidR="00CF6E40" w:rsidRPr="00B92BED" w:rsidRDefault="00CF6E40" w:rsidP="004B5CD1">
            <w:pPr>
              <w:pStyle w:val="TableDataEntries"/>
              <w:jc w:val="left"/>
            </w:pPr>
            <w:r w:rsidRPr="00D94A6C">
              <w:t>Gender</w:t>
            </w:r>
          </w:p>
        </w:tc>
        <w:tc>
          <w:tcPr>
            <w:tcW w:w="1843" w:type="dxa"/>
            <w:tcBorders>
              <w:top w:val="single" w:sz="8" w:space="0" w:color="FFFFFF" w:themeColor="background1"/>
              <w:bottom w:val="single" w:sz="8" w:space="0" w:color="FFFFFF" w:themeColor="background1"/>
            </w:tcBorders>
            <w:shd w:val="clear" w:color="auto" w:fill="E9E8E5" w:themeFill="background2"/>
          </w:tcPr>
          <w:p w14:paraId="59612894" w14:textId="77777777" w:rsidR="00CF6E40" w:rsidRPr="00B92BED" w:rsidRDefault="00CF6E40" w:rsidP="004B5CD1">
            <w:pPr>
              <w:pStyle w:val="TableDataEntries"/>
              <w:jc w:val="left"/>
            </w:pPr>
            <w:r w:rsidRPr="00B92BED">
              <w:t>Prefer not to say</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F5E98AB" w14:textId="77777777" w:rsidR="00CF6E40" w:rsidRPr="00B92BED" w:rsidRDefault="00CF6E40" w:rsidP="004B5CD1">
            <w:pPr>
              <w:pStyle w:val="TableDataEntries"/>
            </w:pPr>
            <w:r w:rsidRPr="00B92BED">
              <w:t>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B13DACB" w14:textId="77777777" w:rsidR="00CF6E40" w:rsidRPr="00B92BED" w:rsidRDefault="00CF6E40" w:rsidP="004B5CD1">
            <w:pPr>
              <w:pStyle w:val="TableDataEntries"/>
            </w:pPr>
            <w:r w:rsidRPr="00B92BED">
              <w:t>0.2%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3BD958E" w14:textId="77777777" w:rsidR="00CF6E40" w:rsidRPr="00B92BED" w:rsidRDefault="00CF6E40" w:rsidP="004B5CD1">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B1F5382" w14:textId="77777777" w:rsidR="00CF6E40" w:rsidRPr="00B92BED" w:rsidRDefault="00CF6E40" w:rsidP="004B5CD1">
            <w:pPr>
              <w:pStyle w:val="TableDataEntries"/>
            </w:pPr>
            <w:r w:rsidRPr="00B92BED">
              <w:t>0.0%</w:t>
            </w:r>
          </w:p>
        </w:tc>
      </w:tr>
      <w:tr w:rsidR="00CF6E40" w:rsidRPr="00B92BED" w14:paraId="5570D9CD"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C765C66" w14:textId="77777777" w:rsidR="00CF6E40" w:rsidRPr="00B92BED" w:rsidRDefault="00CF6E40" w:rsidP="004B5CD1">
            <w:pPr>
              <w:pStyle w:val="TableDataEntries"/>
              <w:jc w:val="left"/>
            </w:pPr>
            <w:r>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73C387D9" w14:textId="77777777" w:rsidR="00CF6E40" w:rsidRPr="00B92BED" w:rsidRDefault="00CF6E40" w:rsidP="004B5CD1">
            <w:pPr>
              <w:pStyle w:val="TableDataEntries"/>
              <w:jc w:val="left"/>
            </w:pPr>
            <w:r w:rsidRPr="00B92BED">
              <w:t>NSW</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F3F8505" w14:textId="77777777" w:rsidR="00CF6E40" w:rsidRPr="00B92BED" w:rsidRDefault="00CF6E40" w:rsidP="004B5CD1">
            <w:pPr>
              <w:pStyle w:val="TableDataEntries"/>
            </w:pPr>
            <w:r w:rsidRPr="00B92BED">
              <w:t>425</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32DEEDF4" w14:textId="77777777" w:rsidR="00CF6E40" w:rsidRPr="00B92BED" w:rsidRDefault="00CF6E40" w:rsidP="004B5CD1">
            <w:pPr>
              <w:pStyle w:val="TableDataEntries"/>
            </w:pPr>
            <w:r w:rsidRPr="00B92BED">
              <w:t>20.6%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2D5B7B04" w14:textId="77777777" w:rsidR="00CF6E40" w:rsidRPr="00B92BED" w:rsidRDefault="00CF6E40" w:rsidP="004B5CD1">
            <w:pPr>
              <w:pStyle w:val="TableDataEntries"/>
            </w:pPr>
            <w:r w:rsidRPr="00B92BED">
              <w:t>22.1%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98B05F9" w14:textId="77777777" w:rsidR="00CF6E40" w:rsidRPr="00B92BED" w:rsidRDefault="00CF6E40" w:rsidP="004B5CD1">
            <w:pPr>
              <w:pStyle w:val="TableDataEntries"/>
            </w:pPr>
            <w:r w:rsidRPr="00B92BED">
              <w:t>20.9%</w:t>
            </w:r>
          </w:p>
        </w:tc>
      </w:tr>
      <w:tr w:rsidR="00CF6E40" w:rsidRPr="00B92BED" w14:paraId="7B652DE1"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5607E17"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1D2126B" w14:textId="77777777" w:rsidR="00CF6E40" w:rsidRPr="00B92BED" w:rsidRDefault="00CF6E40" w:rsidP="004B5CD1">
            <w:pPr>
              <w:pStyle w:val="TableDataEntries"/>
              <w:jc w:val="left"/>
            </w:pPr>
            <w:r w:rsidRPr="00B92BED">
              <w:t>VIC</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33197973" w14:textId="77777777" w:rsidR="00CF6E40" w:rsidRPr="00B92BED" w:rsidRDefault="00CF6E40" w:rsidP="004B5CD1">
            <w:pPr>
              <w:pStyle w:val="TableDataEntries"/>
            </w:pPr>
            <w:r w:rsidRPr="00B92BED">
              <w:t>407</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354FDCD" w14:textId="77777777" w:rsidR="00CF6E40" w:rsidRPr="00B92BED" w:rsidRDefault="00CF6E40" w:rsidP="004B5CD1">
            <w:pPr>
              <w:pStyle w:val="TableDataEntries"/>
            </w:pPr>
            <w:r w:rsidRPr="00B92BED">
              <w:t>19.7%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E999730" w14:textId="77777777" w:rsidR="00CF6E40" w:rsidRPr="00B92BED" w:rsidRDefault="00CF6E40" w:rsidP="004B5CD1">
            <w:pPr>
              <w:pStyle w:val="TableDataEntries"/>
            </w:pPr>
            <w:r w:rsidRPr="00B92BED">
              <w:t>21.3%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549CDB4" w14:textId="77777777" w:rsidR="00CF6E40" w:rsidRPr="00B92BED" w:rsidRDefault="00CF6E40" w:rsidP="004B5CD1">
            <w:pPr>
              <w:pStyle w:val="TableDataEntries"/>
            </w:pPr>
            <w:r w:rsidRPr="00B92BED">
              <w:t>19.9%</w:t>
            </w:r>
          </w:p>
        </w:tc>
      </w:tr>
      <w:tr w:rsidR="00CF6E40" w:rsidRPr="00B92BED" w14:paraId="5B802BAA"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39E197B"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1344708F" w14:textId="77777777" w:rsidR="00CF6E40" w:rsidRPr="00B92BED" w:rsidRDefault="00CF6E40" w:rsidP="004B5CD1">
            <w:pPr>
              <w:pStyle w:val="TableDataEntries"/>
              <w:jc w:val="left"/>
            </w:pPr>
            <w:r w:rsidRPr="00B92BED">
              <w:t>QLD</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39ECE94" w14:textId="77777777" w:rsidR="00CF6E40" w:rsidRPr="00B92BED" w:rsidRDefault="00CF6E40" w:rsidP="004B5CD1">
            <w:pPr>
              <w:pStyle w:val="TableDataEntries"/>
            </w:pPr>
            <w:r w:rsidRPr="00B92BED">
              <w:t>202</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3E67D92F" w14:textId="77777777" w:rsidR="00CF6E40" w:rsidRPr="00B92BED" w:rsidRDefault="00CF6E40" w:rsidP="004B5CD1">
            <w:pPr>
              <w:pStyle w:val="TableDataEntries"/>
            </w:pPr>
            <w:r w:rsidRPr="00B92BED">
              <w:t>9.8%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3103BC9D" w14:textId="77777777" w:rsidR="00CF6E40" w:rsidRPr="00B92BED" w:rsidRDefault="00CF6E40" w:rsidP="004B5CD1">
            <w:pPr>
              <w:pStyle w:val="TableDataEntries"/>
            </w:pPr>
            <w:r w:rsidRPr="00B92BED">
              <w:t>9.9%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7679305" w14:textId="77777777" w:rsidR="00CF6E40" w:rsidRPr="00B92BED" w:rsidRDefault="00CF6E40" w:rsidP="004B5CD1">
            <w:pPr>
              <w:pStyle w:val="TableDataEntries"/>
            </w:pPr>
            <w:r w:rsidRPr="00B92BED">
              <w:t>9.9%</w:t>
            </w:r>
          </w:p>
        </w:tc>
      </w:tr>
      <w:tr w:rsidR="00CF6E40" w:rsidRPr="00B92BED" w14:paraId="5FDE8D34"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F17F48B"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350D65E4" w14:textId="77777777" w:rsidR="00CF6E40" w:rsidRPr="00B92BED" w:rsidRDefault="00CF6E40" w:rsidP="004B5CD1">
            <w:pPr>
              <w:pStyle w:val="TableDataEntries"/>
              <w:jc w:val="left"/>
            </w:pPr>
            <w:r w:rsidRPr="00B92BED">
              <w:t>SA</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E0ABD29" w14:textId="77777777" w:rsidR="00CF6E40" w:rsidRPr="00B92BED" w:rsidRDefault="00CF6E40" w:rsidP="004B5CD1">
            <w:pPr>
              <w:pStyle w:val="TableDataEntries"/>
            </w:pPr>
            <w:r w:rsidRPr="00B92BED">
              <w:t>120</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D07A5DC" w14:textId="77777777" w:rsidR="00CF6E40" w:rsidRPr="00B92BED" w:rsidRDefault="00CF6E40" w:rsidP="004B5CD1">
            <w:pPr>
              <w:pStyle w:val="TableDataEntries"/>
            </w:pPr>
            <w:r w:rsidRPr="00B92BED">
              <w:t>5.8%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972CC35" w14:textId="77777777" w:rsidR="00CF6E40" w:rsidRPr="00B92BED" w:rsidRDefault="00CF6E40" w:rsidP="004B5CD1">
            <w:pPr>
              <w:pStyle w:val="TableDataEntries"/>
            </w:pPr>
            <w:r w:rsidRPr="00B92BED">
              <w:t>5.4%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1410B438" w14:textId="77777777" w:rsidR="00CF6E40" w:rsidRPr="00B92BED" w:rsidRDefault="00CF6E40" w:rsidP="004B5CD1">
            <w:pPr>
              <w:pStyle w:val="TableDataEntries"/>
            </w:pPr>
            <w:r w:rsidRPr="00B92BED">
              <w:t>5.4%</w:t>
            </w:r>
          </w:p>
        </w:tc>
      </w:tr>
      <w:tr w:rsidR="00CF6E40" w:rsidRPr="00B92BED" w14:paraId="773E910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7DBDAF4"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86BC564" w14:textId="77777777" w:rsidR="00CF6E40" w:rsidRPr="00B92BED" w:rsidRDefault="00CF6E40" w:rsidP="004B5CD1">
            <w:pPr>
              <w:pStyle w:val="TableDataEntries"/>
              <w:jc w:val="left"/>
            </w:pPr>
            <w:r w:rsidRPr="00B92BED">
              <w:t>WA</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698065D1" w14:textId="77777777" w:rsidR="00CF6E40" w:rsidRPr="00B92BED" w:rsidRDefault="00CF6E40" w:rsidP="004B5CD1">
            <w:pPr>
              <w:pStyle w:val="TableDataEntries"/>
            </w:pPr>
            <w:r w:rsidRPr="00B92BED">
              <w:t>175</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DCEF09E" w14:textId="77777777" w:rsidR="00CF6E40" w:rsidRPr="00B92BED" w:rsidRDefault="00CF6E40" w:rsidP="004B5CD1">
            <w:pPr>
              <w:pStyle w:val="TableDataEntries"/>
            </w:pPr>
            <w:r w:rsidRPr="00B92BED">
              <w:t>8.5%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6F1DA9C" w14:textId="77777777" w:rsidR="00CF6E40" w:rsidRPr="00B92BED" w:rsidRDefault="00CF6E40" w:rsidP="004B5CD1">
            <w:pPr>
              <w:pStyle w:val="TableDataEntries"/>
            </w:pPr>
            <w:r w:rsidRPr="00B92BED">
              <w:t>8.4%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75C33DE" w14:textId="77777777" w:rsidR="00CF6E40" w:rsidRPr="00B92BED" w:rsidRDefault="00CF6E40" w:rsidP="004B5CD1">
            <w:pPr>
              <w:pStyle w:val="TableDataEntries"/>
            </w:pPr>
            <w:r w:rsidRPr="00B92BED">
              <w:t>8.2%</w:t>
            </w:r>
          </w:p>
        </w:tc>
      </w:tr>
      <w:tr w:rsidR="00CF6E40" w:rsidRPr="00B92BED" w14:paraId="77542E8E"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364EC164"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065DD8F2" w14:textId="77777777" w:rsidR="00CF6E40" w:rsidRPr="00B92BED" w:rsidRDefault="00CF6E40" w:rsidP="004B5CD1">
            <w:pPr>
              <w:pStyle w:val="TableDataEntries"/>
              <w:jc w:val="left"/>
            </w:pPr>
            <w:r w:rsidRPr="00B92BED">
              <w:t>TAS</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958778E" w14:textId="77777777" w:rsidR="00CF6E40" w:rsidRPr="00B92BED" w:rsidRDefault="00CF6E40" w:rsidP="004B5CD1">
            <w:pPr>
              <w:pStyle w:val="TableDataEntries"/>
            </w:pPr>
            <w:r w:rsidRPr="00B92BED">
              <w:t>24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31EF72E8" w14:textId="77777777" w:rsidR="00CF6E40" w:rsidRPr="00B92BED" w:rsidRDefault="00CF6E40" w:rsidP="004B5CD1">
            <w:pPr>
              <w:pStyle w:val="TableDataEntries"/>
            </w:pPr>
            <w:r w:rsidRPr="00B92BED">
              <w:t>1.2%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A17EC79" w14:textId="77777777" w:rsidR="00CF6E40" w:rsidRPr="00B92BED" w:rsidRDefault="00CF6E40" w:rsidP="004B5CD1">
            <w:pPr>
              <w:pStyle w:val="TableDataEntries"/>
            </w:pPr>
            <w:r w:rsidRPr="00B92BED">
              <w:t>0.9%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12D7AEA8" w14:textId="77777777" w:rsidR="00CF6E40" w:rsidRPr="00B92BED" w:rsidRDefault="00CF6E40" w:rsidP="004B5CD1">
            <w:pPr>
              <w:pStyle w:val="TableDataEntries"/>
            </w:pPr>
            <w:r w:rsidRPr="00B92BED">
              <w:t>0.9%</w:t>
            </w:r>
          </w:p>
        </w:tc>
      </w:tr>
      <w:tr w:rsidR="00CF6E40" w:rsidRPr="00B92BED" w14:paraId="177712AA"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38B0162"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36C0F9EC" w14:textId="77777777" w:rsidR="00CF6E40" w:rsidRPr="00B92BED" w:rsidRDefault="00CF6E40" w:rsidP="004B5CD1">
            <w:pPr>
              <w:pStyle w:val="TableDataEntries"/>
              <w:jc w:val="left"/>
            </w:pPr>
            <w:r w:rsidRPr="00B92BED">
              <w:t>ACT</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440AD2D" w14:textId="77777777" w:rsidR="00CF6E40" w:rsidRPr="00B92BED" w:rsidRDefault="00CF6E40" w:rsidP="004B5CD1">
            <w:pPr>
              <w:pStyle w:val="TableDataEntries"/>
            </w:pPr>
            <w:r w:rsidRPr="00B92BED">
              <w:t>36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040540A" w14:textId="77777777" w:rsidR="00CF6E40" w:rsidRPr="00B92BED" w:rsidRDefault="00CF6E40" w:rsidP="004B5CD1">
            <w:pPr>
              <w:pStyle w:val="TableDataEntries"/>
            </w:pPr>
            <w:r w:rsidRPr="00B92BED">
              <w:t>1.7%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EE4E26B" w14:textId="77777777" w:rsidR="00CF6E40" w:rsidRPr="00B92BED" w:rsidRDefault="00CF6E40" w:rsidP="004B5CD1">
            <w:pPr>
              <w:pStyle w:val="TableDataEntries"/>
            </w:pPr>
            <w:r w:rsidRPr="00B92BED">
              <w:t>1.8%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DCEF418" w14:textId="77777777" w:rsidR="00CF6E40" w:rsidRPr="00B92BED" w:rsidRDefault="00CF6E40" w:rsidP="004B5CD1">
            <w:pPr>
              <w:pStyle w:val="TableDataEntries"/>
            </w:pPr>
            <w:r w:rsidRPr="00B92BED">
              <w:t>1.7%</w:t>
            </w:r>
          </w:p>
        </w:tc>
      </w:tr>
      <w:tr w:rsidR="00CF6E40" w:rsidRPr="00B92BED" w14:paraId="6442722C"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E13C458" w14:textId="77777777" w:rsidR="00CF6E40" w:rsidRPr="00B92BED" w:rsidRDefault="00CF6E40" w:rsidP="004B5CD1">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676053D6" w14:textId="77777777" w:rsidR="00CF6E40" w:rsidRPr="006932E3" w:rsidRDefault="00CF6E40" w:rsidP="004B5CD1">
            <w:pPr>
              <w:pStyle w:val="TableDataEntries"/>
              <w:jc w:val="left"/>
            </w:pPr>
            <w:r w:rsidRPr="00B92BED">
              <w:t>NT</w:t>
            </w:r>
            <w:r>
              <w:t xml:space="preserve"> Metro</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57D19D9" w14:textId="77777777" w:rsidR="00CF6E40" w:rsidRPr="00B92BED" w:rsidRDefault="00CF6E40" w:rsidP="004B5CD1">
            <w:pPr>
              <w:pStyle w:val="TableDataEntries"/>
            </w:pPr>
            <w:r w:rsidRPr="00B92BED">
              <w:t>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B558341" w14:textId="77777777" w:rsidR="00CF6E40" w:rsidRPr="00B92BED" w:rsidRDefault="00CF6E40" w:rsidP="004B5CD1">
            <w:pPr>
              <w:pStyle w:val="TableDataEntries"/>
            </w:pPr>
            <w:r w:rsidRPr="00B92BED">
              <w:t>0.3%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A994454" w14:textId="77777777" w:rsidR="00CF6E40" w:rsidRPr="00B92BED" w:rsidRDefault="00CF6E40" w:rsidP="004B5CD1">
            <w:pPr>
              <w:pStyle w:val="TableDataEntries"/>
            </w:pPr>
            <w:r w:rsidRPr="00B92BED">
              <w:t>0.3%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4DF440C" w14:textId="77777777" w:rsidR="00CF6E40" w:rsidRPr="00B92BED" w:rsidRDefault="00CF6E40" w:rsidP="004B5CD1">
            <w:pPr>
              <w:pStyle w:val="TableDataEntries"/>
            </w:pPr>
            <w:r w:rsidRPr="00B92BED">
              <w:t>0.6%</w:t>
            </w:r>
          </w:p>
        </w:tc>
      </w:tr>
      <w:tr w:rsidR="00CF6E40" w:rsidRPr="00B92BED" w14:paraId="1395E1E0"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422FED0"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2D9662EE" w14:textId="77777777" w:rsidR="00CF6E40" w:rsidRPr="00B92BED" w:rsidRDefault="00CF6E40" w:rsidP="004B5CD1">
            <w:pPr>
              <w:pStyle w:val="TableDataEntries"/>
              <w:jc w:val="left"/>
            </w:pPr>
            <w:r w:rsidRPr="00B92BED">
              <w:t>NSW</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D5E177A" w14:textId="77777777" w:rsidR="00CF6E40" w:rsidRPr="00B92BED" w:rsidRDefault="00CF6E40" w:rsidP="004B5CD1">
            <w:pPr>
              <w:pStyle w:val="TableDataEntries"/>
            </w:pPr>
            <w:r w:rsidRPr="00B92BED">
              <w:t>233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1DB7AD6A" w14:textId="77777777" w:rsidR="00CF6E40" w:rsidRPr="00B92BED" w:rsidRDefault="00CF6E40" w:rsidP="004B5CD1">
            <w:pPr>
              <w:pStyle w:val="TableDataEntries"/>
            </w:pPr>
            <w:r w:rsidRPr="00B92BED">
              <w:t>11.3%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2A848C5B" w14:textId="77777777" w:rsidR="00CF6E40" w:rsidRPr="00B92BED" w:rsidRDefault="00CF6E40" w:rsidP="004B5CD1">
            <w:pPr>
              <w:pStyle w:val="TableDataEntries"/>
            </w:pPr>
            <w:r w:rsidRPr="00B92BED">
              <w:t>10.0%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A095886" w14:textId="77777777" w:rsidR="00CF6E40" w:rsidRPr="00B92BED" w:rsidRDefault="00CF6E40" w:rsidP="004B5CD1">
            <w:pPr>
              <w:pStyle w:val="TableDataEntries"/>
            </w:pPr>
            <w:r w:rsidRPr="00B92BED">
              <w:t>11.0%</w:t>
            </w:r>
          </w:p>
        </w:tc>
      </w:tr>
      <w:tr w:rsidR="00CF6E40" w:rsidRPr="00B92BED" w14:paraId="1FB41774"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78071601"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2E41714" w14:textId="77777777" w:rsidR="00CF6E40" w:rsidRPr="006932E3" w:rsidRDefault="00CF6E40" w:rsidP="004B5CD1">
            <w:pPr>
              <w:pStyle w:val="TableDataEntries"/>
              <w:jc w:val="left"/>
            </w:pPr>
            <w:r w:rsidRPr="00B92BED">
              <w:t>VIC</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35637B4" w14:textId="77777777" w:rsidR="00CF6E40" w:rsidRPr="00B92BED" w:rsidRDefault="00CF6E40" w:rsidP="004B5CD1">
            <w:pPr>
              <w:pStyle w:val="TableDataEntries"/>
            </w:pPr>
            <w:r w:rsidRPr="00B92BED">
              <w:t>125</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DA3BB45" w14:textId="77777777" w:rsidR="00CF6E40" w:rsidRPr="00B92BED" w:rsidRDefault="00CF6E40" w:rsidP="004B5CD1">
            <w:pPr>
              <w:pStyle w:val="TableDataEntries"/>
            </w:pPr>
            <w:r w:rsidRPr="00B92BED">
              <w:t>6.1%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D543FD3" w14:textId="77777777" w:rsidR="00CF6E40" w:rsidRPr="00B92BED" w:rsidRDefault="00CF6E40" w:rsidP="004B5CD1">
            <w:pPr>
              <w:pStyle w:val="TableDataEntries"/>
            </w:pPr>
            <w:r w:rsidRPr="00B92BED">
              <w:t>6.0%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542161DC" w14:textId="77777777" w:rsidR="00CF6E40" w:rsidRPr="00B92BED" w:rsidRDefault="00CF6E40" w:rsidP="004B5CD1">
            <w:pPr>
              <w:pStyle w:val="TableDataEntries"/>
            </w:pPr>
            <w:r w:rsidRPr="00B92BED">
              <w:t>6.0%</w:t>
            </w:r>
          </w:p>
        </w:tc>
      </w:tr>
      <w:tr w:rsidR="00CF6E40" w:rsidRPr="00B92BED" w14:paraId="1227353F"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AF49182"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737F164B" w14:textId="77777777" w:rsidR="00CF6E40" w:rsidRPr="00B92BED" w:rsidRDefault="00CF6E40" w:rsidP="004B5CD1">
            <w:pPr>
              <w:pStyle w:val="TableDataEntries"/>
              <w:jc w:val="left"/>
            </w:pPr>
            <w:r w:rsidRPr="00B92BED">
              <w:t>QLD</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6D8734ED" w14:textId="77777777" w:rsidR="00CF6E40" w:rsidRPr="00B92BED" w:rsidRDefault="00CF6E40" w:rsidP="004B5CD1">
            <w:pPr>
              <w:pStyle w:val="TableDataEntries"/>
            </w:pPr>
            <w:r w:rsidRPr="00B92BED">
              <w:t>214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70667B3" w14:textId="77777777" w:rsidR="00CF6E40" w:rsidRPr="00B92BED" w:rsidRDefault="00CF6E40" w:rsidP="004B5CD1">
            <w:pPr>
              <w:pStyle w:val="TableDataEntries"/>
            </w:pPr>
            <w:r w:rsidRPr="00B92BED">
              <w:t>10.4%</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BC524C1" w14:textId="77777777" w:rsidR="00CF6E40" w:rsidRPr="00B92BED" w:rsidRDefault="00CF6E40" w:rsidP="004B5CD1">
            <w:pPr>
              <w:pStyle w:val="TableDataEntries"/>
            </w:pPr>
            <w:r w:rsidRPr="00B92BED">
              <w:t>9.6%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51FDB26" w14:textId="77777777" w:rsidR="00CF6E40" w:rsidRPr="00B92BED" w:rsidRDefault="00CF6E40" w:rsidP="004B5CD1">
            <w:pPr>
              <w:pStyle w:val="TableDataEntries"/>
            </w:pPr>
            <w:r w:rsidRPr="00B92BED">
              <w:t>10.2%</w:t>
            </w:r>
          </w:p>
        </w:tc>
      </w:tr>
      <w:tr w:rsidR="00CF6E40" w:rsidRPr="00B92BED" w14:paraId="455CBC03"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5326FB5"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7AF4209B" w14:textId="77777777" w:rsidR="00CF6E40" w:rsidRPr="00B92BED" w:rsidRDefault="00CF6E40" w:rsidP="004B5CD1">
            <w:pPr>
              <w:pStyle w:val="TableDataEntries"/>
              <w:jc w:val="left"/>
            </w:pPr>
            <w:r w:rsidRPr="00B92BED">
              <w:t>SA</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0293E0CF" w14:textId="77777777" w:rsidR="00CF6E40" w:rsidRPr="00B92BED" w:rsidRDefault="00CF6E40" w:rsidP="004B5CD1">
            <w:pPr>
              <w:pStyle w:val="TableDataEntries"/>
            </w:pPr>
            <w:r w:rsidRPr="00B92BED">
              <w:t>34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E241A78" w14:textId="77777777" w:rsidR="00CF6E40" w:rsidRPr="00B92BED" w:rsidRDefault="00CF6E40" w:rsidP="004B5CD1">
            <w:pPr>
              <w:pStyle w:val="TableDataEntries"/>
            </w:pPr>
            <w:r w:rsidRPr="00B92BED">
              <w:t>1.6%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A18736B" w14:textId="77777777" w:rsidR="00CF6E40" w:rsidRPr="00B92BED" w:rsidRDefault="00CF6E40" w:rsidP="004B5CD1">
            <w:pPr>
              <w:pStyle w:val="TableDataEntries"/>
            </w:pPr>
            <w:r w:rsidRPr="00B92BED">
              <w:t>1.6%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710AA29" w14:textId="77777777" w:rsidR="00CF6E40" w:rsidRPr="00B92BED" w:rsidRDefault="00CF6E40" w:rsidP="004B5CD1">
            <w:pPr>
              <w:pStyle w:val="TableDataEntries"/>
            </w:pPr>
            <w:r w:rsidRPr="00B92BED">
              <w:t>1.6%</w:t>
            </w:r>
          </w:p>
        </w:tc>
      </w:tr>
      <w:tr w:rsidR="00CF6E40" w:rsidRPr="00B92BED" w14:paraId="2E9C8EFF"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1A5A61F"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1AE29D60" w14:textId="77777777" w:rsidR="00CF6E40" w:rsidRPr="00B92BED" w:rsidRDefault="00CF6E40" w:rsidP="004B5CD1">
            <w:pPr>
              <w:pStyle w:val="TableDataEntries"/>
              <w:jc w:val="left"/>
            </w:pPr>
            <w:r w:rsidRPr="00B92BED">
              <w:t>WA</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02BC2280" w14:textId="77777777" w:rsidR="00CF6E40" w:rsidRPr="00B92BED" w:rsidRDefault="00CF6E40" w:rsidP="004B5CD1">
            <w:pPr>
              <w:pStyle w:val="TableDataEntries"/>
            </w:pPr>
            <w:r w:rsidRPr="00B92BED">
              <w:t>32</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06844BF0" w14:textId="77777777" w:rsidR="00CF6E40" w:rsidRPr="00B92BED" w:rsidRDefault="00CF6E40" w:rsidP="004B5CD1">
            <w:pPr>
              <w:pStyle w:val="TableDataEntries"/>
            </w:pPr>
            <w:r w:rsidRPr="00B92BED">
              <w:t>1.6%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C61FBF3" w14:textId="77777777" w:rsidR="00CF6E40" w:rsidRPr="00B92BED" w:rsidRDefault="00CF6E40" w:rsidP="004B5CD1">
            <w:pPr>
              <w:pStyle w:val="TableDataEntries"/>
            </w:pPr>
            <w:r w:rsidRPr="00B92BED">
              <w:t>1.4%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60B67DD" w14:textId="77777777" w:rsidR="00CF6E40" w:rsidRPr="00B92BED" w:rsidRDefault="00CF6E40" w:rsidP="004B5CD1">
            <w:pPr>
              <w:pStyle w:val="TableDataEntries"/>
            </w:pPr>
            <w:r w:rsidRPr="00B92BED">
              <w:t>2.1%</w:t>
            </w:r>
          </w:p>
        </w:tc>
      </w:tr>
      <w:tr w:rsidR="00CF6E40" w:rsidRPr="00B92BED" w14:paraId="44572DAF"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72698B0"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2EBC7FCA" w14:textId="77777777" w:rsidR="00CF6E40" w:rsidRPr="00B92BED" w:rsidRDefault="00CF6E40" w:rsidP="004B5CD1">
            <w:pPr>
              <w:pStyle w:val="TableDataEntries"/>
              <w:jc w:val="left"/>
            </w:pPr>
            <w:r w:rsidRPr="00B92BED">
              <w:t>TAS</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07F38C9" w14:textId="77777777" w:rsidR="00CF6E40" w:rsidRPr="00B92BED" w:rsidRDefault="00CF6E40" w:rsidP="004B5CD1">
            <w:pPr>
              <w:pStyle w:val="TableDataEntries"/>
            </w:pPr>
            <w:r w:rsidRPr="00B92BED">
              <w:t>26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BB226AC" w14:textId="77777777" w:rsidR="00CF6E40" w:rsidRPr="00B92BED" w:rsidRDefault="00CF6E40" w:rsidP="004B5CD1">
            <w:pPr>
              <w:pStyle w:val="TableDataEntries"/>
            </w:pPr>
            <w:r w:rsidRPr="00B92BED">
              <w:t>1.3%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C828267" w14:textId="77777777" w:rsidR="00CF6E40" w:rsidRPr="00B92BED" w:rsidRDefault="00CF6E40" w:rsidP="004B5CD1">
            <w:pPr>
              <w:pStyle w:val="TableDataEntries"/>
            </w:pPr>
            <w:r w:rsidRPr="00B92BED">
              <w:t>1.2%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5D1953E" w14:textId="77777777" w:rsidR="00CF6E40" w:rsidRPr="00B92BED" w:rsidRDefault="00CF6E40" w:rsidP="004B5CD1">
            <w:pPr>
              <w:pStyle w:val="TableDataEntries"/>
            </w:pPr>
            <w:r w:rsidRPr="00B92BED">
              <w:t>1.2%</w:t>
            </w:r>
          </w:p>
        </w:tc>
      </w:tr>
      <w:tr w:rsidR="00CF6E40" w:rsidRPr="00B92BED" w14:paraId="4FACDD13"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F807B53"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5F07F671" w14:textId="77777777" w:rsidR="00CF6E40" w:rsidRPr="00B92BED" w:rsidRDefault="00CF6E40" w:rsidP="004B5CD1">
            <w:pPr>
              <w:pStyle w:val="TableDataEntries"/>
              <w:jc w:val="left"/>
            </w:pPr>
            <w:r w:rsidRPr="00B92BED">
              <w:t>ACT</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F863E57" w14:textId="77777777" w:rsidR="00CF6E40" w:rsidRPr="00B92BED" w:rsidRDefault="00CF6E40" w:rsidP="004B5CD1">
            <w:pPr>
              <w:pStyle w:val="TableDataEntries"/>
            </w:pP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C128205" w14:textId="77777777" w:rsidR="00CF6E40" w:rsidRPr="00B92BED" w:rsidRDefault="00CF6E40" w:rsidP="004B5CD1">
            <w:pPr>
              <w:pStyle w:val="TableDataEntries"/>
            </w:pPr>
            <w:r w:rsidRPr="00B92BED">
              <w:t>0.0%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D12E1AB" w14:textId="77777777" w:rsidR="00CF6E40" w:rsidRPr="00B92BED" w:rsidRDefault="00CF6E40" w:rsidP="004B5CD1">
            <w:pPr>
              <w:pStyle w:val="TableDataEntries"/>
            </w:pPr>
            <w:r w:rsidRPr="00B92BED">
              <w:t>0.0%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8682DAA" w14:textId="77777777" w:rsidR="00CF6E40" w:rsidRPr="00B92BED" w:rsidRDefault="00CF6E40" w:rsidP="004B5CD1">
            <w:pPr>
              <w:pStyle w:val="TableDataEntries"/>
            </w:pPr>
            <w:r w:rsidRPr="00B92BED">
              <w:t>0.0%</w:t>
            </w:r>
          </w:p>
        </w:tc>
      </w:tr>
      <w:tr w:rsidR="00CF6E40" w:rsidRPr="00B92BED" w14:paraId="24A51684"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35AA07BB" w14:textId="77777777" w:rsidR="00CF6E40" w:rsidRPr="00B92BED" w:rsidRDefault="00CF6E40" w:rsidP="004B5CD1">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56F76501" w14:textId="77777777" w:rsidR="00CF6E40" w:rsidRPr="00B92BED" w:rsidRDefault="00CF6E40" w:rsidP="004B5CD1">
            <w:pPr>
              <w:pStyle w:val="TableDataEntries"/>
              <w:jc w:val="left"/>
            </w:pPr>
            <w:r w:rsidRPr="00B92BED">
              <w:t>NT</w:t>
            </w:r>
            <w:r>
              <w:t xml:space="preserve"> Regional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6BEAA98F" w14:textId="77777777" w:rsidR="00CF6E40" w:rsidRPr="00B92BED" w:rsidRDefault="00CF6E40" w:rsidP="004B5CD1">
            <w:pPr>
              <w:pStyle w:val="TableDataEntries"/>
            </w:pPr>
            <w:r w:rsidRPr="00B92BED">
              <w:t>2</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2477B6C1" w14:textId="77777777" w:rsidR="00CF6E40" w:rsidRPr="00B92BED" w:rsidRDefault="00CF6E40" w:rsidP="004B5CD1">
            <w:pPr>
              <w:pStyle w:val="TableDataEntries"/>
            </w:pPr>
            <w:r w:rsidRPr="00B92BED">
              <w:t>0.1%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FAAE1DB" w14:textId="77777777" w:rsidR="00CF6E40" w:rsidRPr="00B92BED" w:rsidRDefault="00CF6E40" w:rsidP="004B5CD1">
            <w:pPr>
              <w:pStyle w:val="TableDataEntries"/>
            </w:pPr>
            <w:r w:rsidRPr="00B92BED">
              <w:t>0.1%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9A75CEE" w14:textId="77777777" w:rsidR="00CF6E40" w:rsidRPr="00B92BED" w:rsidRDefault="00CF6E40" w:rsidP="004B5CD1">
            <w:pPr>
              <w:pStyle w:val="TableDataEntries"/>
            </w:pPr>
            <w:r w:rsidRPr="00B92BED">
              <w:t>0.4%</w:t>
            </w:r>
          </w:p>
        </w:tc>
      </w:tr>
      <w:tr w:rsidR="00CF6E40" w:rsidRPr="00B92BED" w14:paraId="416EE5A9"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C5D89C3" w14:textId="77777777" w:rsidR="00CF6E40" w:rsidRPr="00B92BED" w:rsidRDefault="00CF6E40" w:rsidP="004B5CD1">
            <w:pPr>
              <w:pStyle w:val="TableDataEntries"/>
              <w:jc w:val="left"/>
            </w:pPr>
            <w:r>
              <w:t>Language other than English spoken at home?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5B7AE670" w14:textId="77777777" w:rsidR="00CF6E40" w:rsidRPr="00B92BED" w:rsidRDefault="00CF6E40" w:rsidP="004B5CD1">
            <w:pPr>
              <w:pStyle w:val="TableDataEntries"/>
              <w:jc w:val="left"/>
            </w:pPr>
            <w:r w:rsidRPr="00B92BED">
              <w:t>No, English only</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14E74669" w14:textId="77777777" w:rsidR="00CF6E40" w:rsidRPr="00B92BED" w:rsidRDefault="00CF6E40" w:rsidP="004B5CD1">
            <w:pPr>
              <w:pStyle w:val="TableDataEntries"/>
            </w:pPr>
            <w:r w:rsidRPr="00B92BED">
              <w:t>1</w:t>
            </w:r>
            <w:r>
              <w:t> </w:t>
            </w:r>
            <w:r w:rsidRPr="00B92BED">
              <w:t>763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0784D6F5" w14:textId="77777777" w:rsidR="00CF6E40" w:rsidRPr="00B92BED" w:rsidRDefault="00CF6E40" w:rsidP="004B5CD1">
            <w:pPr>
              <w:pStyle w:val="TableDataEntries"/>
            </w:pPr>
            <w:r w:rsidRPr="00B92BED">
              <w:t>85.5%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E3719F2" w14:textId="77777777" w:rsidR="00CF6E40" w:rsidRPr="00B92BED" w:rsidRDefault="00CF6E40" w:rsidP="004B5CD1">
            <w:pPr>
              <w:pStyle w:val="TableDataEntries"/>
            </w:pPr>
            <w:r w:rsidRPr="00B92BED">
              <w:t>72.7%</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2EB2171" w14:textId="77777777" w:rsidR="00CF6E40" w:rsidRPr="00B92BED" w:rsidRDefault="00CF6E40" w:rsidP="004B5CD1">
            <w:pPr>
              <w:pStyle w:val="TableDataEntries"/>
            </w:pPr>
            <w:r w:rsidRPr="00B92BED">
              <w:t>72.7%</w:t>
            </w:r>
          </w:p>
        </w:tc>
      </w:tr>
      <w:tr w:rsidR="00CF6E40" w:rsidRPr="00B92BED" w14:paraId="2A22ECA9"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66D56BD" w14:textId="77777777" w:rsidR="00CF6E40" w:rsidRPr="00B92BED" w:rsidRDefault="00CF6E40" w:rsidP="004B5CD1">
            <w:pPr>
              <w:pStyle w:val="TableDataEntries"/>
              <w:jc w:val="left"/>
            </w:pPr>
            <w:r>
              <w:t>Language other than English spoken at home?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3BA58267" w14:textId="77777777" w:rsidR="00CF6E40" w:rsidRPr="00B92BED" w:rsidRDefault="00CF6E40" w:rsidP="004B5CD1">
            <w:pPr>
              <w:pStyle w:val="TableDataEntries"/>
              <w:jc w:val="left"/>
            </w:pPr>
            <w:r w:rsidRPr="00B92BED">
              <w:t>Yes</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78878EA" w14:textId="77777777" w:rsidR="00CF6E40" w:rsidRPr="00B92BED" w:rsidRDefault="00CF6E40" w:rsidP="004B5CD1">
            <w:pPr>
              <w:pStyle w:val="TableDataEntries"/>
            </w:pPr>
            <w:r w:rsidRPr="00B92BED">
              <w:t>299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29939E7F" w14:textId="77777777" w:rsidR="00CF6E40" w:rsidRPr="00B92BED" w:rsidRDefault="00CF6E40" w:rsidP="004B5CD1">
            <w:pPr>
              <w:pStyle w:val="TableDataEntries"/>
            </w:pPr>
            <w:r w:rsidRPr="00B92BED">
              <w:t>14.5%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F3440C9" w14:textId="77777777" w:rsidR="00CF6E40" w:rsidRPr="00B92BED" w:rsidRDefault="00CF6E40" w:rsidP="004B5CD1">
            <w:pPr>
              <w:pStyle w:val="TableDataEntries"/>
            </w:pPr>
            <w:r w:rsidRPr="00B92BED">
              <w:t>27.3%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2A61FE9" w14:textId="77777777" w:rsidR="00CF6E40" w:rsidRPr="00B92BED" w:rsidRDefault="00CF6E40" w:rsidP="004B5CD1">
            <w:pPr>
              <w:pStyle w:val="TableDataEntries"/>
            </w:pPr>
            <w:r w:rsidRPr="00B92BED">
              <w:t>27.3%</w:t>
            </w:r>
          </w:p>
        </w:tc>
      </w:tr>
      <w:tr w:rsidR="00CF6E40" w:rsidRPr="00B92BED" w14:paraId="40333C2F"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8DDE005" w14:textId="77777777" w:rsidR="00CF6E40" w:rsidRPr="00B92BED" w:rsidRDefault="00CF6E40" w:rsidP="004B5CD1">
            <w:pPr>
              <w:pStyle w:val="TableDataEntries"/>
              <w:jc w:val="left"/>
            </w:pPr>
            <w:r>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14:paraId="12E7E461" w14:textId="77777777" w:rsidR="00CF6E40" w:rsidRPr="00B92BED" w:rsidRDefault="00CF6E40" w:rsidP="004B5CD1">
            <w:pPr>
              <w:pStyle w:val="TableDataEntries"/>
              <w:jc w:val="left"/>
            </w:pPr>
            <w:r w:rsidRPr="00B92BED">
              <w:t>Owned outright or with a mortgage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6531186E" w14:textId="77777777" w:rsidR="00CF6E40" w:rsidRPr="00B92BED" w:rsidRDefault="00CF6E40" w:rsidP="004B5CD1">
            <w:pPr>
              <w:pStyle w:val="TableDataEntries"/>
            </w:pPr>
            <w:r w:rsidRPr="00B92BED">
              <w:t>1</w:t>
            </w:r>
            <w:r>
              <w:t> </w:t>
            </w:r>
            <w:r w:rsidRPr="00B92BED">
              <w:t>355</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278320D5" w14:textId="77777777" w:rsidR="00CF6E40" w:rsidRPr="00B92BED" w:rsidRDefault="00CF6E40" w:rsidP="004B5CD1">
            <w:pPr>
              <w:pStyle w:val="TableDataEntries"/>
            </w:pPr>
            <w:r w:rsidRPr="00B92BED">
              <w:t>65.7%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C8F624B" w14:textId="77777777" w:rsidR="00CF6E40" w:rsidRPr="00B92BED" w:rsidRDefault="00CF6E40" w:rsidP="004B5CD1">
            <w:pPr>
              <w:pStyle w:val="TableDataEntries"/>
            </w:pPr>
            <w:r w:rsidRPr="00B92BED">
              <w:t>66.2%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53BACC0F" w14:textId="77777777" w:rsidR="00CF6E40" w:rsidRPr="00B92BED" w:rsidRDefault="00CF6E40" w:rsidP="004B5CD1">
            <w:pPr>
              <w:pStyle w:val="TableDataEntries"/>
            </w:pPr>
            <w:r w:rsidRPr="00B92BED">
              <w:t>67.3%</w:t>
            </w:r>
          </w:p>
        </w:tc>
      </w:tr>
      <w:tr w:rsidR="00CF6E40" w:rsidRPr="00B92BED" w14:paraId="6437877A"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8989DA9" w14:textId="77777777" w:rsidR="00CF6E40" w:rsidRPr="00B92BED" w:rsidRDefault="00CF6E40" w:rsidP="004B5CD1">
            <w:pPr>
              <w:pStyle w:val="TableDataEntries"/>
              <w:jc w:val="left"/>
            </w:pPr>
            <w:r w:rsidRPr="00FB78B7">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14:paraId="61E513EA" w14:textId="77777777" w:rsidR="00CF6E40" w:rsidRPr="00B92BED" w:rsidRDefault="00CF6E40" w:rsidP="004B5CD1">
            <w:pPr>
              <w:pStyle w:val="TableDataEntries"/>
              <w:jc w:val="left"/>
            </w:pPr>
            <w:r w:rsidRPr="00B92BED">
              <w:t>Being rented or occupied rent-free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2C39E8B4" w14:textId="77777777" w:rsidR="00CF6E40" w:rsidRPr="00B92BED" w:rsidRDefault="00CF6E40" w:rsidP="004B5CD1">
            <w:pPr>
              <w:pStyle w:val="TableDataEntries"/>
            </w:pPr>
            <w:r w:rsidRPr="00B92BED">
              <w:t>678</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44A0FC0F" w14:textId="77777777" w:rsidR="00CF6E40" w:rsidRPr="00B92BED" w:rsidRDefault="00CF6E40" w:rsidP="004B5CD1">
            <w:pPr>
              <w:pStyle w:val="TableDataEntries"/>
            </w:pPr>
            <w:r w:rsidRPr="00B92BED">
              <w:t>32.9%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EF2ADE7" w14:textId="77777777" w:rsidR="00CF6E40" w:rsidRPr="00B92BED" w:rsidRDefault="00CF6E40" w:rsidP="004B5CD1">
            <w:pPr>
              <w:pStyle w:val="TableDataEntries"/>
            </w:pPr>
            <w:r w:rsidRPr="00B92BED">
              <w:t>32.4%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F066AAE" w14:textId="77777777" w:rsidR="00CF6E40" w:rsidRPr="00B92BED" w:rsidRDefault="00CF6E40" w:rsidP="004B5CD1">
            <w:pPr>
              <w:pStyle w:val="TableDataEntries"/>
            </w:pPr>
            <w:r w:rsidRPr="00B92BED">
              <w:t>31.8%</w:t>
            </w:r>
          </w:p>
        </w:tc>
      </w:tr>
      <w:tr w:rsidR="00CF6E40" w:rsidRPr="00B92BED" w14:paraId="5D9891C2"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1552D4F" w14:textId="77777777" w:rsidR="00CF6E40" w:rsidRPr="00B92BED" w:rsidRDefault="00CF6E40" w:rsidP="004B5CD1">
            <w:pPr>
              <w:pStyle w:val="TableDataEntries"/>
              <w:jc w:val="left"/>
            </w:pPr>
            <w:r w:rsidRPr="00FB78B7">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14:paraId="7BB80F4E" w14:textId="77777777" w:rsidR="00CF6E40" w:rsidRPr="00B92BED" w:rsidRDefault="00CF6E40" w:rsidP="004B5CD1">
            <w:pPr>
              <w:pStyle w:val="TableDataEntries"/>
              <w:jc w:val="left"/>
            </w:pPr>
            <w:r w:rsidRPr="00B92BED">
              <w:t>Other (please specify)</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F301AD8" w14:textId="77777777" w:rsidR="00CF6E40" w:rsidRPr="00B92BED" w:rsidRDefault="00CF6E40" w:rsidP="004B5CD1">
            <w:pPr>
              <w:pStyle w:val="TableDataEntries"/>
            </w:pPr>
            <w:r w:rsidRPr="00B92BED">
              <w:t>29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382C5E1" w14:textId="77777777" w:rsidR="00CF6E40" w:rsidRPr="00B92BED" w:rsidRDefault="00CF6E40" w:rsidP="004B5CD1">
            <w:pPr>
              <w:pStyle w:val="TableDataEntries"/>
            </w:pPr>
            <w:r w:rsidRPr="00B92BED">
              <w:t>1.4%</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5AEE3AC7" w14:textId="77777777" w:rsidR="00CF6E40" w:rsidRPr="00B92BED" w:rsidRDefault="00CF6E40" w:rsidP="004B5CD1">
            <w:pPr>
              <w:pStyle w:val="TableDataEntries"/>
            </w:pPr>
            <w:r w:rsidRPr="00B92BED">
              <w:t>1.4%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051CFAB" w14:textId="77777777" w:rsidR="00CF6E40" w:rsidRPr="00B92BED" w:rsidRDefault="00CF6E40" w:rsidP="004B5CD1">
            <w:pPr>
              <w:pStyle w:val="TableDataEntries"/>
            </w:pPr>
            <w:r w:rsidRPr="00B92BED">
              <w:t>1.0%</w:t>
            </w:r>
          </w:p>
        </w:tc>
      </w:tr>
      <w:tr w:rsidR="00CF6E40" w:rsidRPr="00B92BED" w14:paraId="6351227B"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411CB9FC" w14:textId="77777777" w:rsidR="00CF6E40" w:rsidRPr="00B92BED" w:rsidRDefault="00CF6E40" w:rsidP="004B5CD1">
            <w:pPr>
              <w:pStyle w:val="TableDataEntries"/>
              <w:jc w:val="left"/>
            </w:pPr>
            <w:r>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0617E01A" w14:textId="77777777" w:rsidR="00CF6E40" w:rsidRPr="00B92BED" w:rsidRDefault="00CF6E40" w:rsidP="004B5CD1">
            <w:pPr>
              <w:pStyle w:val="TableDataEntries"/>
              <w:jc w:val="left"/>
            </w:pPr>
            <w:r w:rsidRPr="00B92BED">
              <w:t>Couple/family without children at home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CFCF9F8" w14:textId="77777777" w:rsidR="00CF6E40" w:rsidRPr="00B92BED" w:rsidRDefault="00CF6E40" w:rsidP="004B5CD1">
            <w:pPr>
              <w:pStyle w:val="TableDataEntries"/>
            </w:pPr>
            <w:r w:rsidRPr="00B92BED">
              <w:t>667</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700E8598" w14:textId="77777777" w:rsidR="00CF6E40" w:rsidRPr="00B92BED" w:rsidRDefault="00CF6E40" w:rsidP="004B5CD1">
            <w:pPr>
              <w:pStyle w:val="TableDataEntries"/>
            </w:pPr>
            <w:r w:rsidRPr="00B92BED">
              <w:t>32.3%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82804A3" w14:textId="77777777" w:rsidR="00CF6E40" w:rsidRPr="00B92BED" w:rsidRDefault="00CF6E40" w:rsidP="004B5CD1">
            <w:pPr>
              <w:pStyle w:val="TableDataEntries"/>
            </w:pPr>
            <w:r w:rsidRPr="00B92BED">
              <w:t>31.5%</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246DB20" w14:textId="77777777" w:rsidR="00CF6E40" w:rsidRPr="00B92BED" w:rsidRDefault="00CF6E40" w:rsidP="004B5CD1">
            <w:pPr>
              <w:pStyle w:val="TableDataEntries"/>
            </w:pPr>
            <w:r w:rsidRPr="00B92BED">
              <w:t>27.0%</w:t>
            </w:r>
          </w:p>
        </w:tc>
      </w:tr>
      <w:tr w:rsidR="00CF6E40" w:rsidRPr="00B92BED" w14:paraId="68DE80A9"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3AA4A9F1"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5A18538C" w14:textId="77777777" w:rsidR="00CF6E40" w:rsidRPr="00B92BED" w:rsidRDefault="00CF6E40" w:rsidP="004B5CD1">
            <w:pPr>
              <w:pStyle w:val="TableDataEntries"/>
              <w:jc w:val="left"/>
            </w:pPr>
            <w:r w:rsidRPr="00B92BED">
              <w:t>Couple/family with children at home</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24A0942" w14:textId="77777777" w:rsidR="00CF6E40" w:rsidRPr="00B92BED" w:rsidRDefault="00CF6E40" w:rsidP="004B5CD1">
            <w:pPr>
              <w:pStyle w:val="TableDataEntries"/>
            </w:pPr>
            <w:r w:rsidRPr="00B92BED">
              <w:t>612</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1D521C4B" w14:textId="77777777" w:rsidR="00CF6E40" w:rsidRPr="00B92BED" w:rsidRDefault="00CF6E40" w:rsidP="004B5CD1">
            <w:pPr>
              <w:pStyle w:val="TableDataEntries"/>
            </w:pPr>
            <w:r w:rsidRPr="00B92BED">
              <w:t>29.7%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21431B3" w14:textId="77777777" w:rsidR="00CF6E40" w:rsidRPr="00B92BED" w:rsidRDefault="00CF6E40" w:rsidP="004B5CD1">
            <w:pPr>
              <w:pStyle w:val="TableDataEntries"/>
            </w:pPr>
            <w:r w:rsidRPr="00B92BED">
              <w:t>30.8%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0BC392AC" w14:textId="77777777" w:rsidR="00CF6E40" w:rsidRPr="00B92BED" w:rsidRDefault="00CF6E40" w:rsidP="004B5CD1">
            <w:pPr>
              <w:pStyle w:val="TableDataEntries"/>
            </w:pPr>
            <w:r w:rsidRPr="00B92BED">
              <w:t>31.9%</w:t>
            </w:r>
          </w:p>
        </w:tc>
      </w:tr>
      <w:tr w:rsidR="00CF6E40" w:rsidRPr="00B92BED" w14:paraId="077E9BDD"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3AFACBBB"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26693D5" w14:textId="77777777" w:rsidR="00CF6E40" w:rsidRPr="00B92BED" w:rsidRDefault="00CF6E40" w:rsidP="004B5CD1">
            <w:pPr>
              <w:pStyle w:val="TableDataEntries"/>
              <w:jc w:val="left"/>
            </w:pPr>
            <w:r w:rsidRPr="00B92BED">
              <w:t>One parent family</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7442367B" w14:textId="77777777" w:rsidR="00CF6E40" w:rsidRPr="00B92BED" w:rsidRDefault="00CF6E40" w:rsidP="004B5CD1">
            <w:pPr>
              <w:pStyle w:val="TableDataEntries"/>
            </w:pPr>
            <w:r w:rsidRPr="00B92BED">
              <w:t>124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2B31004D" w14:textId="77777777" w:rsidR="00CF6E40" w:rsidRPr="00B92BED" w:rsidRDefault="00CF6E40" w:rsidP="004B5CD1">
            <w:pPr>
              <w:pStyle w:val="TableDataEntries"/>
            </w:pPr>
            <w:r w:rsidRPr="00B92BED">
              <w:t>6.0%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1E547F1" w14:textId="77777777" w:rsidR="00CF6E40" w:rsidRPr="00B92BED" w:rsidRDefault="00CF6E40" w:rsidP="004B5CD1">
            <w:pPr>
              <w:pStyle w:val="TableDataEntries"/>
            </w:pPr>
            <w:r w:rsidRPr="00B92BED">
              <w:t>5.7%</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405A458" w14:textId="77777777" w:rsidR="00CF6E40" w:rsidRPr="00B92BED" w:rsidRDefault="00CF6E40" w:rsidP="004B5CD1">
            <w:pPr>
              <w:pStyle w:val="TableDataEntries"/>
            </w:pPr>
            <w:r w:rsidRPr="00B92BED">
              <w:t>11.3%</w:t>
            </w:r>
          </w:p>
        </w:tc>
      </w:tr>
      <w:tr w:rsidR="00CF6E40" w:rsidRPr="00B92BED" w14:paraId="78EE7062"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F2E233C"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480A863E" w14:textId="77777777" w:rsidR="00CF6E40" w:rsidRPr="00B92BED" w:rsidRDefault="00CF6E40" w:rsidP="004B5CD1">
            <w:pPr>
              <w:pStyle w:val="TableDataEntries"/>
              <w:jc w:val="left"/>
            </w:pPr>
            <w:r w:rsidRPr="00B92BED">
              <w:t>Group household</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6CCE35F" w14:textId="77777777" w:rsidR="00CF6E40" w:rsidRPr="00B92BED" w:rsidRDefault="00CF6E40" w:rsidP="004B5CD1">
            <w:pPr>
              <w:pStyle w:val="TableDataEntries"/>
            </w:pPr>
            <w:r w:rsidRPr="00B92BED">
              <w:t>167</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0D3B8E1A" w14:textId="77777777" w:rsidR="00CF6E40" w:rsidRPr="00B92BED" w:rsidRDefault="00CF6E40" w:rsidP="004B5CD1">
            <w:pPr>
              <w:pStyle w:val="TableDataEntries"/>
            </w:pPr>
            <w:r w:rsidRPr="00B92BED">
              <w:t>8.1%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40C74613" w14:textId="77777777" w:rsidR="00CF6E40" w:rsidRPr="00B92BED" w:rsidRDefault="00CF6E40" w:rsidP="004B5CD1">
            <w:pPr>
              <w:pStyle w:val="TableDataEntries"/>
            </w:pPr>
            <w:r w:rsidRPr="00B92BED">
              <w:t>8.0%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7D81D72" w14:textId="77777777" w:rsidR="00CF6E40" w:rsidRPr="00B92BED" w:rsidRDefault="00CF6E40" w:rsidP="004B5CD1">
            <w:pPr>
              <w:pStyle w:val="TableDataEntries"/>
            </w:pPr>
            <w:r w:rsidRPr="00B92BED">
              <w:t>4.3%</w:t>
            </w:r>
          </w:p>
        </w:tc>
      </w:tr>
      <w:tr w:rsidR="00CF6E40" w:rsidRPr="00B92BED" w14:paraId="6BB5473C"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6E5A54DD"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1A768678" w14:textId="77777777" w:rsidR="00CF6E40" w:rsidRPr="00B92BED" w:rsidRDefault="00CF6E40" w:rsidP="004B5CD1">
            <w:pPr>
              <w:pStyle w:val="TableDataEntries"/>
              <w:jc w:val="left"/>
            </w:pPr>
            <w:r w:rsidRPr="00B92BED">
              <w:t>Single person household</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0115786" w14:textId="77777777" w:rsidR="00CF6E40" w:rsidRPr="00B92BED" w:rsidRDefault="00CF6E40" w:rsidP="004B5CD1">
            <w:pPr>
              <w:pStyle w:val="TableDataEntries"/>
            </w:pPr>
            <w:r w:rsidRPr="00B92BED">
              <w:t>426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445796C8" w14:textId="77777777" w:rsidR="00CF6E40" w:rsidRPr="00B92BED" w:rsidRDefault="00CF6E40" w:rsidP="004B5CD1">
            <w:pPr>
              <w:pStyle w:val="TableDataEntries"/>
            </w:pPr>
            <w:r w:rsidRPr="00B92BED">
              <w:t>20.7%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F404E18" w14:textId="77777777" w:rsidR="00CF6E40" w:rsidRPr="00B92BED" w:rsidRDefault="00CF6E40" w:rsidP="004B5CD1">
            <w:pPr>
              <w:pStyle w:val="TableDataEntries"/>
            </w:pPr>
            <w:r w:rsidRPr="00B92BED">
              <w:t>20.4%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1100EDF3" w14:textId="77777777" w:rsidR="00CF6E40" w:rsidRPr="00B92BED" w:rsidRDefault="00CF6E40" w:rsidP="004B5CD1">
            <w:pPr>
              <w:pStyle w:val="TableDataEntries"/>
            </w:pPr>
            <w:r w:rsidRPr="00B92BED">
              <w:t>24.4%</w:t>
            </w:r>
          </w:p>
        </w:tc>
      </w:tr>
      <w:tr w:rsidR="00CF6E40" w:rsidRPr="00B92BED" w14:paraId="77785B21"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247ABF56"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140B0782" w14:textId="77777777" w:rsidR="00CF6E40" w:rsidRPr="00B92BED" w:rsidRDefault="00CF6E40" w:rsidP="004B5CD1">
            <w:pPr>
              <w:pStyle w:val="TableDataEntries"/>
              <w:jc w:val="left"/>
            </w:pPr>
            <w:r w:rsidRPr="00B92BED">
              <w:t>Cared accommodation (e.g. nursing home, aged care hostel)</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062BC1B9" w14:textId="77777777" w:rsidR="00CF6E40" w:rsidRPr="00B92BED" w:rsidRDefault="00CF6E40" w:rsidP="004B5CD1">
            <w:pPr>
              <w:pStyle w:val="TableDataEntries"/>
            </w:pPr>
            <w:r w:rsidRPr="00B92BED">
              <w:t>5</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7B39239" w14:textId="77777777" w:rsidR="00CF6E40" w:rsidRPr="00B92BED" w:rsidRDefault="00CF6E40" w:rsidP="004B5CD1">
            <w:pPr>
              <w:pStyle w:val="TableDataEntries"/>
            </w:pPr>
            <w:r w:rsidRPr="00B92BED">
              <w:t>0.2%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EFD8181" w14:textId="77777777" w:rsidR="00CF6E40" w:rsidRPr="00B92BED" w:rsidRDefault="00CF6E40" w:rsidP="004B5CD1">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E5E01CF" w14:textId="77777777" w:rsidR="00CF6E40" w:rsidRPr="00B92BED" w:rsidRDefault="00CF6E40" w:rsidP="004B5CD1">
            <w:pPr>
              <w:pStyle w:val="TableDataEntries"/>
            </w:pPr>
          </w:p>
        </w:tc>
      </w:tr>
      <w:tr w:rsidR="00CF6E40" w:rsidRPr="00B92BED" w14:paraId="4D4D468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5F4D07C8" w14:textId="77777777" w:rsidR="00CF6E40" w:rsidRPr="00B92BED" w:rsidRDefault="00CF6E40" w:rsidP="004B5CD1">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14:paraId="29307B2B" w14:textId="77777777" w:rsidR="00CF6E40" w:rsidRPr="00B92BED" w:rsidRDefault="00CF6E40" w:rsidP="004B5CD1">
            <w:pPr>
              <w:pStyle w:val="TableDataEntries"/>
              <w:jc w:val="left"/>
            </w:pPr>
            <w:r w:rsidRPr="00B92BED">
              <w:t>Other</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3F1EF98" w14:textId="77777777" w:rsidR="00CF6E40" w:rsidRPr="00B92BED" w:rsidRDefault="00CF6E40" w:rsidP="004B5CD1">
            <w:pPr>
              <w:pStyle w:val="TableDataEntries"/>
            </w:pPr>
            <w:r w:rsidRPr="00B92BED">
              <w:t>61</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3381854B" w14:textId="77777777" w:rsidR="00CF6E40" w:rsidRPr="00B92BED" w:rsidRDefault="00CF6E40" w:rsidP="004B5CD1">
            <w:pPr>
              <w:pStyle w:val="TableDataEntries"/>
            </w:pPr>
            <w:r w:rsidRPr="00B92BED">
              <w:t>3.0%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AE35761" w14:textId="77777777" w:rsidR="00CF6E40" w:rsidRPr="00B92BED" w:rsidRDefault="00CF6E40" w:rsidP="004B5CD1">
            <w:pPr>
              <w:pStyle w:val="TableDataEntries"/>
            </w:pPr>
            <w:r w:rsidRPr="00B92BED">
              <w:t>3.4%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E9BE281" w14:textId="77777777" w:rsidR="00CF6E40" w:rsidRPr="00B92BED" w:rsidRDefault="00CF6E40" w:rsidP="004B5CD1">
            <w:pPr>
              <w:pStyle w:val="TableDataEntries"/>
            </w:pPr>
            <w:r w:rsidRPr="00B92BED">
              <w:t>1.2%</w:t>
            </w:r>
          </w:p>
        </w:tc>
      </w:tr>
      <w:tr w:rsidR="00CF6E40" w:rsidRPr="00B92BED" w14:paraId="37F0196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289796D1" w14:textId="77777777" w:rsidR="00CF6E40" w:rsidRPr="00B92BED" w:rsidRDefault="00CF6E40" w:rsidP="004B5CD1">
            <w:pPr>
              <w:pStyle w:val="TableDataEntries"/>
              <w:jc w:val="left"/>
            </w:pPr>
            <w:r>
              <w:t>Income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5A81875F" w14:textId="77777777" w:rsidR="00CF6E40" w:rsidRPr="00B92BED" w:rsidRDefault="00CF6E40" w:rsidP="004B5CD1">
            <w:pPr>
              <w:pStyle w:val="TableDataEntries"/>
              <w:jc w:val="left"/>
            </w:pPr>
            <w:r w:rsidRPr="00B92BED">
              <w:t>Less than $41,600 per year (less than $800 per week)</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3633313D" w14:textId="77777777" w:rsidR="00CF6E40" w:rsidRPr="00B92BED" w:rsidRDefault="00CF6E40" w:rsidP="004B5CD1">
            <w:pPr>
              <w:pStyle w:val="TableDataEntries"/>
            </w:pPr>
            <w:r w:rsidRPr="00B92BED">
              <w:t>528</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4F4AFF3" w14:textId="77777777" w:rsidR="00CF6E40" w:rsidRPr="00B92BED" w:rsidRDefault="00CF6E40" w:rsidP="004B5CD1">
            <w:pPr>
              <w:pStyle w:val="TableDataEntries"/>
            </w:pPr>
            <w:r w:rsidRPr="00B92BED">
              <w:t>25.6%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1A0EDF5C" w14:textId="77777777" w:rsidR="00CF6E40" w:rsidRPr="00B92BED" w:rsidRDefault="00CF6E40" w:rsidP="004B5CD1">
            <w:pPr>
              <w:pStyle w:val="TableDataEntries"/>
            </w:pPr>
            <w:r w:rsidRPr="00B92BED">
              <w:t>27.3%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479B9D58" w14:textId="77777777" w:rsidR="00CF6E40" w:rsidRPr="00B92BED" w:rsidRDefault="00CF6E40" w:rsidP="004B5CD1">
            <w:pPr>
              <w:pStyle w:val="TableDataEntries"/>
            </w:pPr>
            <w:r w:rsidRPr="00B92BED">
              <w:t>27.3%</w:t>
            </w:r>
          </w:p>
        </w:tc>
      </w:tr>
      <w:tr w:rsidR="00CF6E40" w:rsidRPr="00B92BED" w14:paraId="62530A9E"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10B557E" w14:textId="77777777" w:rsidR="00CF6E40" w:rsidRPr="00B92BED" w:rsidRDefault="00CF6E40" w:rsidP="004B5CD1">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7ADB8AC7" w14:textId="77777777" w:rsidR="00CF6E40" w:rsidRPr="00B92BED" w:rsidRDefault="00CF6E40" w:rsidP="004B5CD1">
            <w:pPr>
              <w:pStyle w:val="TableDataEntries"/>
              <w:jc w:val="left"/>
            </w:pPr>
            <w:r w:rsidRPr="00B92BED">
              <w:t>$41,600 - $78,000 per year ($800 - $1,500 per week)</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367E37C" w14:textId="77777777" w:rsidR="00CF6E40" w:rsidRPr="00B92BED" w:rsidRDefault="00CF6E40" w:rsidP="004B5CD1">
            <w:pPr>
              <w:pStyle w:val="TableDataEntries"/>
            </w:pPr>
            <w:r w:rsidRPr="00B92BED">
              <w:t>499</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38EFB2A" w14:textId="77777777" w:rsidR="00CF6E40" w:rsidRPr="00B92BED" w:rsidRDefault="00CF6E40" w:rsidP="004B5CD1">
            <w:pPr>
              <w:pStyle w:val="TableDataEntries"/>
            </w:pPr>
            <w:r w:rsidRPr="00B92BED">
              <w:t>24.2%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2F466269" w14:textId="77777777" w:rsidR="00CF6E40" w:rsidRPr="00B92BED" w:rsidRDefault="00CF6E40" w:rsidP="004B5CD1">
            <w:pPr>
              <w:pStyle w:val="TableDataEntries"/>
            </w:pPr>
            <w:r w:rsidRPr="00B92BED">
              <w:t>22.1%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3A3A1C0E" w14:textId="77777777" w:rsidR="00CF6E40" w:rsidRPr="00B92BED" w:rsidRDefault="00CF6E40" w:rsidP="004B5CD1">
            <w:pPr>
              <w:pStyle w:val="TableDataEntries"/>
            </w:pPr>
            <w:r w:rsidRPr="00B92BED">
              <w:t>22.1%</w:t>
            </w:r>
          </w:p>
        </w:tc>
      </w:tr>
      <w:tr w:rsidR="00CF6E40" w:rsidRPr="00B92BED" w14:paraId="0734CBD7"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26CB3ED2" w14:textId="77777777" w:rsidR="00CF6E40" w:rsidRPr="00B92BED" w:rsidRDefault="00CF6E40" w:rsidP="004B5CD1">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5E35B596" w14:textId="77777777" w:rsidR="00CF6E40" w:rsidRPr="00B92BED" w:rsidRDefault="00CF6E40" w:rsidP="004B5CD1">
            <w:pPr>
              <w:pStyle w:val="TableDataEntries"/>
              <w:jc w:val="left"/>
            </w:pPr>
            <w:r w:rsidRPr="00B92BED">
              <w:t>$78,000 - $104,000 per year ($1,500 - $2,000 per week)</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4D841747" w14:textId="77777777" w:rsidR="00CF6E40" w:rsidRPr="00B92BED" w:rsidRDefault="00CF6E40" w:rsidP="004B5CD1">
            <w:pPr>
              <w:pStyle w:val="TableDataEntries"/>
            </w:pPr>
            <w:r w:rsidRPr="00B92BED">
              <w:t>353</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F7DEC30" w14:textId="77777777" w:rsidR="00CF6E40" w:rsidRPr="00B92BED" w:rsidRDefault="00CF6E40" w:rsidP="004B5CD1">
            <w:pPr>
              <w:pStyle w:val="TableDataEntries"/>
            </w:pPr>
            <w:r w:rsidRPr="00B92BED">
              <w:t>17.1%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7CDACEC4" w14:textId="77777777" w:rsidR="00CF6E40" w:rsidRPr="00B92BED" w:rsidRDefault="00CF6E40" w:rsidP="004B5CD1">
            <w:pPr>
              <w:pStyle w:val="TableDataEntries"/>
            </w:pPr>
            <w:r w:rsidRPr="00B92BED">
              <w:t>11.3%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713B3388" w14:textId="77777777" w:rsidR="00CF6E40" w:rsidRPr="00B92BED" w:rsidRDefault="00CF6E40" w:rsidP="004B5CD1">
            <w:pPr>
              <w:pStyle w:val="TableDataEntries"/>
            </w:pPr>
            <w:r w:rsidRPr="00B92BED">
              <w:t>11.3%</w:t>
            </w:r>
          </w:p>
        </w:tc>
      </w:tr>
      <w:tr w:rsidR="00CF6E40" w:rsidRPr="00B92BED" w14:paraId="72A0C3E2"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0F7CAC15" w14:textId="77777777" w:rsidR="00CF6E40" w:rsidRPr="00B92BED" w:rsidRDefault="00CF6E40" w:rsidP="004B5CD1">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3CE26537" w14:textId="77777777" w:rsidR="00CF6E40" w:rsidRPr="00B92BED" w:rsidRDefault="00CF6E40" w:rsidP="004B5CD1">
            <w:pPr>
              <w:pStyle w:val="TableDataEntries"/>
              <w:jc w:val="left"/>
            </w:pPr>
            <w:r w:rsidRPr="00B92BED">
              <w:t>$104,000 - $156,000 per year ($2,000 - $3,000 per week)</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5451C2AD" w14:textId="77777777" w:rsidR="00CF6E40" w:rsidRPr="00B92BED" w:rsidRDefault="00CF6E40" w:rsidP="004B5CD1">
            <w:pPr>
              <w:pStyle w:val="TableDataEntries"/>
            </w:pPr>
            <w:r w:rsidRPr="00B92BED">
              <w:t>304</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5FA63C90" w14:textId="77777777" w:rsidR="00CF6E40" w:rsidRPr="00B92BED" w:rsidRDefault="00CF6E40" w:rsidP="004B5CD1">
            <w:pPr>
              <w:pStyle w:val="TableDataEntries"/>
            </w:pPr>
            <w:r w:rsidRPr="00B92BED">
              <w:t>14.7%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076E58BA" w14:textId="77777777" w:rsidR="00CF6E40" w:rsidRPr="00B92BED" w:rsidRDefault="00CF6E40" w:rsidP="004B5CD1">
            <w:pPr>
              <w:pStyle w:val="TableDataEntries"/>
            </w:pPr>
            <w:r w:rsidRPr="00B92BED">
              <w:t>16.0%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2F4E8714" w14:textId="77777777" w:rsidR="00CF6E40" w:rsidRPr="00B92BED" w:rsidRDefault="00CF6E40" w:rsidP="004B5CD1">
            <w:pPr>
              <w:pStyle w:val="TableDataEntries"/>
            </w:pPr>
            <w:r w:rsidRPr="00B92BED">
              <w:t>16.0%</w:t>
            </w:r>
          </w:p>
        </w:tc>
      </w:tr>
      <w:tr w:rsidR="00CF6E40" w:rsidRPr="00B92BED" w14:paraId="356A8FE6" w14:textId="77777777" w:rsidTr="00527A84">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14:paraId="1C87A918" w14:textId="77777777" w:rsidR="00CF6E40" w:rsidRPr="00B92BED" w:rsidRDefault="00CF6E40" w:rsidP="004B5CD1">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14:paraId="1B6EB817" w14:textId="77777777" w:rsidR="00CF6E40" w:rsidRPr="00B92BED" w:rsidRDefault="00CF6E40" w:rsidP="004B5CD1">
            <w:pPr>
              <w:pStyle w:val="TableDataEntries"/>
              <w:jc w:val="left"/>
            </w:pPr>
            <w:r w:rsidRPr="00B92BED">
              <w:t>More than $156,000 per year (more than $3,000 per week)</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14:paraId="019910F1" w14:textId="77777777" w:rsidR="00CF6E40" w:rsidRPr="00B92BED" w:rsidRDefault="00CF6E40" w:rsidP="004B5CD1">
            <w:pPr>
              <w:pStyle w:val="TableDataEntries"/>
            </w:pPr>
            <w:r w:rsidRPr="00B92BED">
              <w:t>186</w:t>
            </w:r>
          </w:p>
        </w:tc>
        <w:tc>
          <w:tcPr>
            <w:tcW w:w="983" w:type="dxa"/>
            <w:tcBorders>
              <w:top w:val="single" w:sz="8" w:space="0" w:color="FFFFFF" w:themeColor="background1"/>
              <w:bottom w:val="single" w:sz="8" w:space="0" w:color="FFFFFF" w:themeColor="background1"/>
            </w:tcBorders>
            <w:shd w:val="clear" w:color="auto" w:fill="E9E8E5" w:themeFill="background2"/>
            <w:noWrap/>
            <w:hideMark/>
          </w:tcPr>
          <w:p w14:paraId="682BA512" w14:textId="77777777" w:rsidR="00CF6E40" w:rsidRPr="00B92BED" w:rsidRDefault="00CF6E40" w:rsidP="004B5CD1">
            <w:pPr>
              <w:pStyle w:val="TableDataEntries"/>
            </w:pPr>
            <w:r w:rsidRPr="00B92BED">
              <w:t>9.0%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14:paraId="6D68943B" w14:textId="77777777" w:rsidR="00CF6E40" w:rsidRPr="00B92BED" w:rsidRDefault="00CF6E40" w:rsidP="004B5CD1">
            <w:pPr>
              <w:pStyle w:val="TableDataEntries"/>
            </w:pPr>
            <w:r w:rsidRPr="00B92BED">
              <w:t>13.9%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14:paraId="600B87EE" w14:textId="77777777" w:rsidR="00CF6E40" w:rsidRPr="00B92BED" w:rsidRDefault="00CF6E40" w:rsidP="004B5CD1">
            <w:pPr>
              <w:pStyle w:val="TableDataEntries"/>
            </w:pPr>
            <w:r w:rsidRPr="00B92BED">
              <w:t>13.9%</w:t>
            </w:r>
          </w:p>
        </w:tc>
      </w:tr>
      <w:tr w:rsidR="00CF6E40" w:rsidRPr="00B92BED" w14:paraId="602A82FF" w14:textId="77777777" w:rsidTr="00527A84">
        <w:trPr>
          <w:trHeight w:val="250"/>
        </w:trPr>
        <w:tc>
          <w:tcPr>
            <w:tcW w:w="1843" w:type="dxa"/>
            <w:tcBorders>
              <w:top w:val="single" w:sz="8" w:space="0" w:color="FFFFFF" w:themeColor="background1"/>
              <w:bottom w:val="single" w:sz="4" w:space="0" w:color="6F6652" w:themeColor="accent5"/>
            </w:tcBorders>
            <w:shd w:val="clear" w:color="auto" w:fill="E9E8E5" w:themeFill="background2"/>
            <w:noWrap/>
            <w:hideMark/>
          </w:tcPr>
          <w:p w14:paraId="541F4D9C" w14:textId="77777777" w:rsidR="00CF6E40" w:rsidRPr="00B92BED" w:rsidRDefault="00CF6E40" w:rsidP="004B5CD1">
            <w:pPr>
              <w:pStyle w:val="TableDataEntries"/>
              <w:jc w:val="left"/>
            </w:pPr>
            <w:r w:rsidRPr="004047D1">
              <w:t>Income</w:t>
            </w:r>
          </w:p>
        </w:tc>
        <w:tc>
          <w:tcPr>
            <w:tcW w:w="1843" w:type="dxa"/>
            <w:tcBorders>
              <w:top w:val="single" w:sz="8" w:space="0" w:color="FFFFFF" w:themeColor="background1"/>
              <w:bottom w:val="single" w:sz="4" w:space="0" w:color="6F6652" w:themeColor="accent5"/>
            </w:tcBorders>
            <w:shd w:val="clear" w:color="auto" w:fill="E9E8E5" w:themeFill="background2"/>
          </w:tcPr>
          <w:p w14:paraId="4FF13875" w14:textId="77777777" w:rsidR="00CF6E40" w:rsidRPr="00B92BED" w:rsidRDefault="00CF6E40" w:rsidP="004B5CD1">
            <w:pPr>
              <w:pStyle w:val="TableDataEntries"/>
              <w:jc w:val="left"/>
            </w:pPr>
            <w:r w:rsidRPr="00B92BED">
              <w:t>Do not wish to answer</w:t>
            </w:r>
          </w:p>
        </w:tc>
        <w:tc>
          <w:tcPr>
            <w:tcW w:w="1417" w:type="dxa"/>
            <w:tcBorders>
              <w:top w:val="single" w:sz="8" w:space="0" w:color="FFFFFF" w:themeColor="background1"/>
              <w:bottom w:val="single" w:sz="4" w:space="0" w:color="6F6652" w:themeColor="accent5"/>
            </w:tcBorders>
            <w:shd w:val="clear" w:color="auto" w:fill="E9E8E5" w:themeFill="background2"/>
            <w:noWrap/>
            <w:hideMark/>
          </w:tcPr>
          <w:p w14:paraId="740FB1B9" w14:textId="77777777" w:rsidR="00CF6E40" w:rsidRPr="00B92BED" w:rsidRDefault="00CF6E40" w:rsidP="004B5CD1">
            <w:pPr>
              <w:pStyle w:val="TableDataEntries"/>
            </w:pPr>
            <w:r w:rsidRPr="00B92BED">
              <w:t>192</w:t>
            </w:r>
          </w:p>
        </w:tc>
        <w:tc>
          <w:tcPr>
            <w:tcW w:w="983" w:type="dxa"/>
            <w:tcBorders>
              <w:top w:val="single" w:sz="8" w:space="0" w:color="FFFFFF" w:themeColor="background1"/>
              <w:bottom w:val="single" w:sz="4" w:space="0" w:color="6F6652" w:themeColor="accent5"/>
            </w:tcBorders>
            <w:shd w:val="clear" w:color="auto" w:fill="E9E8E5" w:themeFill="background2"/>
            <w:noWrap/>
            <w:hideMark/>
          </w:tcPr>
          <w:p w14:paraId="19220284" w14:textId="77777777" w:rsidR="00CF6E40" w:rsidRPr="00B92BED" w:rsidRDefault="00CF6E40" w:rsidP="004B5CD1">
            <w:pPr>
              <w:pStyle w:val="TableDataEntries"/>
            </w:pPr>
            <w:r w:rsidRPr="00B92BED">
              <w:t>9.3%</w:t>
            </w:r>
          </w:p>
        </w:tc>
        <w:tc>
          <w:tcPr>
            <w:tcW w:w="1107" w:type="dxa"/>
            <w:tcBorders>
              <w:top w:val="single" w:sz="8" w:space="0" w:color="FFFFFF" w:themeColor="background1"/>
              <w:bottom w:val="single" w:sz="4" w:space="0" w:color="6F6652" w:themeColor="accent5"/>
            </w:tcBorders>
            <w:shd w:val="clear" w:color="auto" w:fill="E9E8E5" w:themeFill="background2"/>
            <w:noWrap/>
            <w:hideMark/>
          </w:tcPr>
          <w:p w14:paraId="48C7429E" w14:textId="77777777" w:rsidR="00CF6E40" w:rsidRPr="00B92BED" w:rsidRDefault="00CF6E40" w:rsidP="004B5CD1">
            <w:pPr>
              <w:pStyle w:val="TableDataEntries"/>
            </w:pPr>
            <w:r w:rsidRPr="00B92BED">
              <w:t>9.3%</w:t>
            </w:r>
          </w:p>
        </w:tc>
        <w:tc>
          <w:tcPr>
            <w:tcW w:w="963" w:type="dxa"/>
            <w:tcBorders>
              <w:top w:val="single" w:sz="8" w:space="0" w:color="FFFFFF" w:themeColor="background1"/>
              <w:bottom w:val="single" w:sz="4" w:space="0" w:color="6F6652" w:themeColor="accent5"/>
            </w:tcBorders>
            <w:shd w:val="clear" w:color="auto" w:fill="E9E8E5" w:themeFill="background2"/>
            <w:noWrap/>
            <w:hideMark/>
          </w:tcPr>
          <w:p w14:paraId="1F5377E0" w14:textId="77777777" w:rsidR="00CF6E40" w:rsidRPr="00B92BED" w:rsidRDefault="00CF6E40" w:rsidP="004B5CD1">
            <w:pPr>
              <w:pStyle w:val="TableDataEntries"/>
            </w:pPr>
          </w:p>
        </w:tc>
      </w:tr>
    </w:tbl>
    <w:p w14:paraId="59F05A6F" w14:textId="77777777" w:rsidR="00CF6E40" w:rsidRPr="00E4232C" w:rsidRDefault="00CF6E40" w:rsidP="00CF6E40">
      <w:pPr>
        <w:pStyle w:val="Note"/>
      </w:pPr>
      <w:r w:rsidRPr="00A96B1A">
        <w:rPr>
          <w:rStyle w:val="NoteLabel"/>
          <w:color w:val="000000" w:themeColor="text1"/>
        </w:rPr>
        <w:t>a</w:t>
      </w:r>
      <w:r>
        <w:t xml:space="preserve"> Sample characteristic is gender, whereas population characteristic is sex</w:t>
      </w:r>
      <w:r w:rsidR="007D3F40">
        <w:t>.</w:t>
      </w:r>
    </w:p>
    <w:p w14:paraId="74CA4071" w14:textId="77777777" w:rsidR="00CF6E40" w:rsidRPr="00E4232C" w:rsidRDefault="00CF6E40" w:rsidP="00CF6E40">
      <w:pPr>
        <w:pStyle w:val="Note"/>
      </w:pPr>
      <w:r w:rsidRPr="00A96B1A">
        <w:rPr>
          <w:rStyle w:val="NoteLabel"/>
          <w:color w:val="000000" w:themeColor="text1"/>
        </w:rPr>
        <w:t>b</w:t>
      </w:r>
      <w:r>
        <w:t xml:space="preserve"> Income is household income, except for respondents in group households or cared accommodation. In those cases, income is personal income. Population targets are adjusted to account for this distinction and proportion of respondents not reporting income.</w:t>
      </w:r>
    </w:p>
    <w:p w14:paraId="0E173361" w14:textId="77777777" w:rsidR="00CF6E40" w:rsidRPr="00311072" w:rsidRDefault="00CF6E40" w:rsidP="00CF6E40">
      <w:pPr>
        <w:pStyle w:val="Source"/>
        <w:rPr>
          <w:iCs/>
          <w:lang w:bidi="fa-IR"/>
        </w:rPr>
      </w:pPr>
      <w:r w:rsidRPr="00311072">
        <w:rPr>
          <w:iCs/>
          <w:lang w:bidi="fa-IR"/>
        </w:rPr>
        <w:t>Source: CIE</w:t>
      </w:r>
      <w:r w:rsidR="007D3F40">
        <w:rPr>
          <w:iCs/>
          <w:lang w:bidi="fa-IR"/>
        </w:rPr>
        <w:t>.</w:t>
      </w:r>
    </w:p>
    <w:p w14:paraId="2B1ABB53" w14:textId="77777777" w:rsidR="00CF6E40" w:rsidRDefault="00CF6E40" w:rsidP="00CF6E40">
      <w:pPr>
        <w:pStyle w:val="BodyText"/>
        <w:rPr>
          <w:lang w:bidi="fa-IR"/>
        </w:rPr>
      </w:pPr>
      <w:r>
        <w:rPr>
          <w:lang w:bidi="fa-IR"/>
        </w:rPr>
        <w:t>Roughly 30 per cent of respondents’ households included at least one person with temporary or permanent mobility limitation.</w:t>
      </w:r>
    </w:p>
    <w:p w14:paraId="3B9123A3" w14:textId="451732B2" w:rsidR="00CF6E40" w:rsidRDefault="00390CDB" w:rsidP="00CF6E40">
      <w:pPr>
        <w:pStyle w:val="Caption"/>
      </w:pPr>
      <w:bookmarkStart w:id="925" w:name="_Toc32321929"/>
      <w:bookmarkStart w:id="926" w:name="_Toc44598635"/>
      <w:bookmarkStart w:id="927" w:name="_Toc45654266"/>
      <w:bookmarkStart w:id="928" w:name="_Toc57643735"/>
      <w:bookmarkStart w:id="929" w:name="_Toc70505688"/>
      <w:r>
        <w:t>K.5</w:t>
      </w:r>
      <w:r w:rsidR="00CF6E40" w:rsidRPr="00BC2453">
        <w:tab/>
        <w:t>Mobility limitation characteristics</w:t>
      </w:r>
      <w:bookmarkEnd w:id="925"/>
      <w:bookmarkEnd w:id="926"/>
      <w:bookmarkEnd w:id="927"/>
      <w:bookmarkEnd w:id="928"/>
      <w:bookmarkEnd w:id="929"/>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5: Mobility limitation characteristics"/>
        <w:tblDescription w:val="Table K.5 presents the answers to the mobility limitation characteristics questions from the survey discussed in the text."/>
      </w:tblPr>
      <w:tblGrid>
        <w:gridCol w:w="851"/>
        <w:gridCol w:w="5606"/>
        <w:gridCol w:w="1623"/>
      </w:tblGrid>
      <w:tr w:rsidR="00CF6E40" w:rsidRPr="003F6908" w14:paraId="4973C3D1" w14:textId="77777777" w:rsidTr="004B5CD1">
        <w:trPr>
          <w:trHeight w:val="68"/>
          <w:tblHeader/>
        </w:trPr>
        <w:tc>
          <w:tcPr>
            <w:tcW w:w="851" w:type="dxa"/>
            <w:shd w:val="clear" w:color="auto" w:fill="6F6652" w:themeFill="accent5"/>
            <w:hideMark/>
          </w:tcPr>
          <w:p w14:paraId="4A10FECE" w14:textId="77777777" w:rsidR="00CF6E40" w:rsidRPr="003F6908" w:rsidRDefault="00CF6E40" w:rsidP="004B5CD1">
            <w:pPr>
              <w:pStyle w:val="TableDataColumnHeading"/>
              <w:jc w:val="left"/>
            </w:pPr>
            <w:r>
              <w:t>Question</w:t>
            </w:r>
          </w:p>
        </w:tc>
        <w:tc>
          <w:tcPr>
            <w:tcW w:w="5606" w:type="dxa"/>
            <w:shd w:val="clear" w:color="auto" w:fill="6F6652" w:themeFill="accent5"/>
          </w:tcPr>
          <w:p w14:paraId="090BEF78" w14:textId="77777777" w:rsidR="00CF6E40" w:rsidRPr="003F6908" w:rsidRDefault="00CF6E40" w:rsidP="004B5CD1">
            <w:pPr>
              <w:pStyle w:val="TableDataColumnHeading"/>
              <w:jc w:val="left"/>
            </w:pPr>
            <w:r>
              <w:t>Answer</w:t>
            </w:r>
          </w:p>
        </w:tc>
        <w:tc>
          <w:tcPr>
            <w:tcW w:w="1623" w:type="dxa"/>
            <w:shd w:val="clear" w:color="auto" w:fill="6F6652" w:themeFill="accent5"/>
            <w:hideMark/>
          </w:tcPr>
          <w:p w14:paraId="29EE7EC6" w14:textId="77777777" w:rsidR="00CF6E40" w:rsidRDefault="00CF6E40" w:rsidP="004B5CD1">
            <w:pPr>
              <w:pStyle w:val="TableDataColumnHeading"/>
            </w:pPr>
            <w:r w:rsidRPr="003F6908">
              <w:t>Reweighted sample</w:t>
            </w:r>
          </w:p>
          <w:p w14:paraId="3D8243E7" w14:textId="77777777" w:rsidR="00CF6E40" w:rsidRPr="003F6908" w:rsidRDefault="00CF6E40" w:rsidP="004B5CD1">
            <w:pPr>
              <w:pStyle w:val="TableDataColumnHeading"/>
            </w:pPr>
            <w:r>
              <w:t>(per cent)</w:t>
            </w:r>
          </w:p>
        </w:tc>
      </w:tr>
      <w:tr w:rsidR="00CF6E40" w:rsidRPr="003F6908" w14:paraId="51983514"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792C0D07" w14:textId="77777777" w:rsidR="00CF6E40" w:rsidRPr="003F6908" w:rsidRDefault="00CF6E40" w:rsidP="004B5CD1">
            <w:pPr>
              <w:pStyle w:val="TableDataEntries"/>
              <w:jc w:val="left"/>
            </w:pPr>
            <w:r>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29FCB929" w14:textId="77777777" w:rsidR="00CF6E40" w:rsidRPr="003F6908" w:rsidRDefault="00CF6E40" w:rsidP="004B5CD1">
            <w:pPr>
              <w:pStyle w:val="TableDataEntries"/>
              <w:jc w:val="left"/>
            </w:pPr>
            <w:r w:rsidRPr="003F6908">
              <w:t>Yes, I have a temporary (fewer than 6 months)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5F5817DC" w14:textId="77777777" w:rsidR="00CF6E40" w:rsidRPr="003F6908" w:rsidRDefault="00CF6E40" w:rsidP="004B5CD1">
            <w:pPr>
              <w:pStyle w:val="TableDataEntries"/>
            </w:pPr>
            <w:r w:rsidRPr="003F6908">
              <w:t>4.6%</w:t>
            </w:r>
          </w:p>
        </w:tc>
      </w:tr>
      <w:tr w:rsidR="00CF6E40" w:rsidRPr="003F6908" w14:paraId="1930B0DC"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57391828" w14:textId="77777777" w:rsidR="00CF6E40" w:rsidRPr="003F6908" w:rsidRDefault="00CF6E40" w:rsidP="004B5CD1">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446092D8" w14:textId="77777777" w:rsidR="00CF6E40" w:rsidRPr="003F6908" w:rsidRDefault="00CF6E40" w:rsidP="004B5CD1">
            <w:pPr>
              <w:pStyle w:val="TableDataEntries"/>
              <w:jc w:val="left"/>
            </w:pPr>
            <w:r w:rsidRPr="003F6908">
              <w:t>Yes, I have an ongoing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47EE39EA" w14:textId="77777777" w:rsidR="00CF6E40" w:rsidRPr="003F6908" w:rsidRDefault="00CF6E40" w:rsidP="004B5CD1">
            <w:pPr>
              <w:pStyle w:val="TableDataEntries"/>
            </w:pPr>
            <w:r w:rsidRPr="003F6908">
              <w:t>11.9%</w:t>
            </w:r>
          </w:p>
        </w:tc>
      </w:tr>
      <w:tr w:rsidR="00CF6E40" w:rsidRPr="003F6908" w14:paraId="6196169E"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7BFD9C25" w14:textId="77777777" w:rsidR="00CF6E40" w:rsidRPr="003F6908" w:rsidRDefault="00CF6E40" w:rsidP="004B5CD1">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4B5C286F" w14:textId="77777777" w:rsidR="00CF6E40" w:rsidRPr="003F6908" w:rsidRDefault="00CF6E40" w:rsidP="004B5CD1">
            <w:pPr>
              <w:pStyle w:val="TableDataEntries"/>
              <w:jc w:val="left"/>
            </w:pPr>
            <w:r w:rsidRPr="003F6908">
              <w:t>Yes, another person in my household has a temporary (fewer than 6 months)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98800DE" w14:textId="77777777" w:rsidR="00CF6E40" w:rsidRPr="003F6908" w:rsidRDefault="00CF6E40" w:rsidP="004B5CD1">
            <w:pPr>
              <w:pStyle w:val="TableDataEntries"/>
            </w:pPr>
            <w:r w:rsidRPr="003F6908">
              <w:t>6.5%</w:t>
            </w:r>
          </w:p>
        </w:tc>
      </w:tr>
      <w:tr w:rsidR="00CF6E40" w:rsidRPr="003F6908" w14:paraId="404F2801"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55EEA0A9" w14:textId="77777777" w:rsidR="00CF6E40" w:rsidRPr="003F6908" w:rsidRDefault="00CF6E40" w:rsidP="004B5CD1">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3E965780" w14:textId="77777777" w:rsidR="00CF6E40" w:rsidRPr="003F6908" w:rsidRDefault="00CF6E40" w:rsidP="004B5CD1">
            <w:pPr>
              <w:pStyle w:val="TableDataEntries"/>
              <w:jc w:val="left"/>
            </w:pPr>
            <w:r w:rsidRPr="003F6908">
              <w:t>Yes, another person in my household has an ongoing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8A796C1" w14:textId="77777777" w:rsidR="00CF6E40" w:rsidRPr="003F6908" w:rsidRDefault="00CF6E40" w:rsidP="004B5CD1">
            <w:pPr>
              <w:pStyle w:val="TableDataEntries"/>
            </w:pPr>
            <w:r w:rsidRPr="003F6908">
              <w:t>11.8%</w:t>
            </w:r>
          </w:p>
        </w:tc>
      </w:tr>
      <w:tr w:rsidR="00CF6E40" w:rsidRPr="003F6908" w14:paraId="35882844"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37BE898D" w14:textId="77777777" w:rsidR="00CF6E40" w:rsidRPr="003F6908" w:rsidRDefault="00CF6E40" w:rsidP="004B5CD1">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23AFC23D" w14:textId="77777777" w:rsidR="00CF6E40" w:rsidRPr="003F6908" w:rsidRDefault="00CF6E40" w:rsidP="004B5CD1">
            <w:pPr>
              <w:pStyle w:val="TableDataEntries"/>
              <w:jc w:val="left"/>
            </w:pPr>
            <w:r w:rsidRPr="003F6908">
              <w:t>No</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8BB53BC" w14:textId="77777777" w:rsidR="00CF6E40" w:rsidRPr="003F6908" w:rsidRDefault="00CF6E40" w:rsidP="004B5CD1">
            <w:pPr>
              <w:pStyle w:val="TableDataEntries"/>
            </w:pPr>
            <w:r w:rsidRPr="003F6908">
              <w:t>69.5%</w:t>
            </w:r>
          </w:p>
        </w:tc>
      </w:tr>
      <w:tr w:rsidR="00CF6E40" w:rsidRPr="003F6908" w14:paraId="6DB38E49"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437D91CB" w14:textId="77777777" w:rsidR="00CF6E40" w:rsidRPr="003F6908" w:rsidRDefault="00CF6E40" w:rsidP="004B5CD1">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14:paraId="434EF176" w14:textId="77777777" w:rsidR="00CF6E40" w:rsidRPr="003F6908" w:rsidRDefault="00CF6E40" w:rsidP="004B5CD1">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4692181B" w14:textId="77777777" w:rsidR="00CF6E40" w:rsidRPr="003F6908" w:rsidRDefault="00CF6E40" w:rsidP="004B5CD1">
            <w:pPr>
              <w:pStyle w:val="TableDataEntries"/>
            </w:pPr>
            <w:r w:rsidRPr="003F6908">
              <w:t>0.9%</w:t>
            </w:r>
          </w:p>
        </w:tc>
      </w:tr>
      <w:tr w:rsidR="00CF6E40" w:rsidRPr="003F6908" w14:paraId="2B9FC078"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1C66757E" w14:textId="77777777" w:rsidR="00CF6E40" w:rsidRPr="003F6908" w:rsidRDefault="00CF6E40" w:rsidP="004B5CD1">
            <w:pPr>
              <w:pStyle w:val="TableDataEntries"/>
              <w:jc w:val="left"/>
            </w:pPr>
            <w:r>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21B616B3" w14:textId="77777777" w:rsidR="00CF6E40" w:rsidRPr="003F6908" w:rsidRDefault="00CF6E40" w:rsidP="004B5CD1">
            <w:pPr>
              <w:pStyle w:val="TableDataEntries"/>
              <w:jc w:val="left"/>
            </w:pPr>
            <w:r w:rsidRPr="003F6908">
              <w:t>Yes, I have a temporary (fewer than 6 months)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6191A625" w14:textId="77777777" w:rsidR="00CF6E40" w:rsidRPr="003F6908" w:rsidRDefault="00CF6E40" w:rsidP="004B5CD1">
            <w:pPr>
              <w:pStyle w:val="TableDataEntries"/>
            </w:pPr>
            <w:r w:rsidRPr="003F6908">
              <w:t>3.5%</w:t>
            </w:r>
          </w:p>
        </w:tc>
      </w:tr>
      <w:tr w:rsidR="00CF6E40" w:rsidRPr="003F6908" w14:paraId="5A6BB56C"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2AA78C12" w14:textId="77777777" w:rsidR="00CF6E40" w:rsidRPr="003F6908" w:rsidRDefault="00CF6E40" w:rsidP="004B5CD1">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78B54529" w14:textId="77777777" w:rsidR="00CF6E40" w:rsidRPr="003F6908" w:rsidRDefault="00CF6E40" w:rsidP="004B5CD1">
            <w:pPr>
              <w:pStyle w:val="TableDataEntries"/>
              <w:jc w:val="left"/>
            </w:pPr>
            <w:r w:rsidRPr="003F6908">
              <w:t>Yes, I have an ongoing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5D2B1FB1" w14:textId="77777777" w:rsidR="00CF6E40" w:rsidRPr="003F6908" w:rsidRDefault="00CF6E40" w:rsidP="004B5CD1">
            <w:pPr>
              <w:pStyle w:val="TableDataEntries"/>
            </w:pPr>
            <w:r w:rsidRPr="003F6908">
              <w:t>8.7%</w:t>
            </w:r>
          </w:p>
        </w:tc>
      </w:tr>
      <w:tr w:rsidR="00CF6E40" w:rsidRPr="003F6908" w14:paraId="68A820FE" w14:textId="77777777" w:rsidTr="004B5CD1">
        <w:trPr>
          <w:trHeight w:val="353"/>
        </w:trPr>
        <w:tc>
          <w:tcPr>
            <w:tcW w:w="851" w:type="dxa"/>
            <w:tcBorders>
              <w:top w:val="single" w:sz="8" w:space="0" w:color="FFFFFF" w:themeColor="background1"/>
              <w:bottom w:val="single" w:sz="8" w:space="0" w:color="FFFFFF" w:themeColor="background1"/>
            </w:tcBorders>
            <w:shd w:val="clear" w:color="auto" w:fill="E9E8E5" w:themeFill="background2"/>
          </w:tcPr>
          <w:p w14:paraId="711BCE31" w14:textId="77777777" w:rsidR="00CF6E40" w:rsidRPr="003F6908" w:rsidRDefault="00CF6E40" w:rsidP="004B5CD1">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52C22576" w14:textId="77777777" w:rsidR="00CF6E40" w:rsidRPr="003F6908" w:rsidRDefault="00CF6E40" w:rsidP="004B5CD1">
            <w:pPr>
              <w:pStyle w:val="TableDataEntries"/>
              <w:jc w:val="left"/>
            </w:pPr>
            <w:r w:rsidRPr="003F6908">
              <w:t>Yes, another person in my household has a temporary (fewer than 6 months) pe</w:t>
            </w:r>
            <w:r>
              <w:t>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7D23FCDA" w14:textId="77777777" w:rsidR="00CF6E40" w:rsidRPr="003F6908" w:rsidRDefault="00CF6E40" w:rsidP="004B5CD1">
            <w:pPr>
              <w:pStyle w:val="TableDataEntries"/>
            </w:pPr>
            <w:r w:rsidRPr="003F6908">
              <w:t>5.5%</w:t>
            </w:r>
          </w:p>
        </w:tc>
      </w:tr>
      <w:tr w:rsidR="00CF6E40" w:rsidRPr="003F6908" w14:paraId="31D807A5"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15069C66" w14:textId="77777777" w:rsidR="00CF6E40" w:rsidRPr="003F6908" w:rsidRDefault="00CF6E40" w:rsidP="004B5CD1">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39AAACA7" w14:textId="77777777" w:rsidR="00CF6E40" w:rsidRPr="003F6908" w:rsidRDefault="00CF6E40" w:rsidP="004B5CD1">
            <w:pPr>
              <w:pStyle w:val="TableDataEntries"/>
              <w:jc w:val="left"/>
            </w:pPr>
            <w:r w:rsidRPr="003F6908">
              <w:t>Yes, another person in my household has an ongoing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63AE53F7" w14:textId="77777777" w:rsidR="00CF6E40" w:rsidRPr="003F6908" w:rsidRDefault="00CF6E40" w:rsidP="004B5CD1">
            <w:pPr>
              <w:pStyle w:val="TableDataEntries"/>
            </w:pPr>
            <w:r w:rsidRPr="003F6908">
              <w:t>9.2%</w:t>
            </w:r>
          </w:p>
        </w:tc>
      </w:tr>
      <w:tr w:rsidR="00CF6E40" w:rsidRPr="003F6908" w14:paraId="56894605"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47AA0169" w14:textId="77777777" w:rsidR="00CF6E40" w:rsidRPr="003F6908" w:rsidRDefault="00CF6E40" w:rsidP="004B5CD1">
            <w:pPr>
              <w:pStyle w:val="TableDataEntries"/>
              <w:jc w:val="left"/>
            </w:pPr>
            <w:r w:rsidRPr="000F1D1C">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6004E306" w14:textId="77777777" w:rsidR="00CF6E40" w:rsidRPr="003F6908" w:rsidRDefault="00CF6E40" w:rsidP="004B5CD1">
            <w:pPr>
              <w:pStyle w:val="TableDataEntries"/>
              <w:jc w:val="left"/>
            </w:pPr>
            <w:r w:rsidRPr="003F6908">
              <w:t>No</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36863AC4" w14:textId="77777777" w:rsidR="00CF6E40" w:rsidRPr="003F6908" w:rsidRDefault="00CF6E40" w:rsidP="004B5CD1">
            <w:pPr>
              <w:pStyle w:val="TableDataEntries"/>
            </w:pPr>
            <w:r w:rsidRPr="003F6908">
              <w:t>76.3%</w:t>
            </w:r>
          </w:p>
        </w:tc>
      </w:tr>
      <w:tr w:rsidR="00CF6E40" w:rsidRPr="003F6908" w14:paraId="366961C6"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6B501F55" w14:textId="77777777" w:rsidR="00CF6E40" w:rsidRPr="003F6908" w:rsidRDefault="00CF6E40" w:rsidP="004B5CD1">
            <w:pPr>
              <w:pStyle w:val="TableDataEntries"/>
              <w:jc w:val="left"/>
            </w:pPr>
            <w:r w:rsidRPr="000F1D1C">
              <w:t>Q2</w:t>
            </w:r>
          </w:p>
        </w:tc>
        <w:tc>
          <w:tcPr>
            <w:tcW w:w="5606" w:type="dxa"/>
            <w:tcBorders>
              <w:top w:val="single" w:sz="8" w:space="0" w:color="FFFFFF" w:themeColor="background1"/>
              <w:bottom w:val="single" w:sz="8" w:space="0" w:color="FFFFFF" w:themeColor="background1"/>
            </w:tcBorders>
            <w:shd w:val="clear" w:color="auto" w:fill="E9E8E5" w:themeFill="background2"/>
          </w:tcPr>
          <w:p w14:paraId="7BCEE0D5" w14:textId="77777777" w:rsidR="00CF6E40" w:rsidRPr="003F6908" w:rsidRDefault="00CF6E40" w:rsidP="004B5CD1">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4A944D61" w14:textId="77777777" w:rsidR="00CF6E40" w:rsidRPr="003F6908" w:rsidRDefault="00CF6E40" w:rsidP="004B5CD1">
            <w:pPr>
              <w:pStyle w:val="TableDataEntries"/>
            </w:pPr>
            <w:r w:rsidRPr="003F6908">
              <w:t>1.2%</w:t>
            </w:r>
          </w:p>
        </w:tc>
      </w:tr>
      <w:tr w:rsidR="00CF6E40" w:rsidRPr="003F6908" w14:paraId="54A47712"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03D8B31D" w14:textId="77777777" w:rsidR="00CF6E40" w:rsidRPr="003F6908" w:rsidRDefault="00CF6E40" w:rsidP="004B5CD1">
            <w:pPr>
              <w:pStyle w:val="TableDataEntries"/>
              <w:jc w:val="left"/>
            </w:pPr>
            <w:r>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2B5C0C45" w14:textId="77777777" w:rsidR="00CF6E40" w:rsidRPr="003F6908" w:rsidRDefault="00CF6E40" w:rsidP="004B5CD1">
            <w:pPr>
              <w:pStyle w:val="TableDataEntries"/>
              <w:jc w:val="left"/>
            </w:pPr>
            <w:r w:rsidRPr="003F6908">
              <w:t>Cane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054F7768" w14:textId="77777777" w:rsidR="00CF6E40" w:rsidRPr="003F6908" w:rsidRDefault="00CF6E40" w:rsidP="004B5CD1">
            <w:pPr>
              <w:pStyle w:val="TableDataEntries"/>
            </w:pPr>
            <w:r w:rsidRPr="003F6908">
              <w:t>6.0%</w:t>
            </w:r>
          </w:p>
        </w:tc>
      </w:tr>
      <w:tr w:rsidR="00CF6E40" w:rsidRPr="003F6908" w14:paraId="3686C5A3"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4478C069"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677A51EF" w14:textId="77777777" w:rsidR="00CF6E40" w:rsidRPr="003F6908" w:rsidRDefault="00CF6E40" w:rsidP="004B5CD1">
            <w:pPr>
              <w:pStyle w:val="TableDataEntries"/>
              <w:jc w:val="left"/>
            </w:pPr>
            <w:r w:rsidRPr="003F6908">
              <w:t>Crutches</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5AA63D33" w14:textId="77777777" w:rsidR="00CF6E40" w:rsidRPr="003F6908" w:rsidRDefault="00CF6E40" w:rsidP="004B5CD1">
            <w:pPr>
              <w:pStyle w:val="TableDataEntries"/>
            </w:pPr>
            <w:r w:rsidRPr="003F6908">
              <w:t>6.3%</w:t>
            </w:r>
          </w:p>
        </w:tc>
      </w:tr>
      <w:tr w:rsidR="00CF6E40" w:rsidRPr="003F6908" w14:paraId="32308563"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6B58DE92"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4B5F7782" w14:textId="77777777" w:rsidR="00CF6E40" w:rsidRPr="003F6908" w:rsidRDefault="00CF6E40" w:rsidP="004B5CD1">
            <w:pPr>
              <w:pStyle w:val="TableDataEntries"/>
              <w:jc w:val="left"/>
            </w:pPr>
            <w:r w:rsidRPr="003F6908">
              <w:t>Walking frame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878826E" w14:textId="77777777" w:rsidR="00CF6E40" w:rsidRPr="003F6908" w:rsidRDefault="00CF6E40" w:rsidP="004B5CD1">
            <w:pPr>
              <w:pStyle w:val="TableDataEntries"/>
            </w:pPr>
            <w:r w:rsidRPr="003F6908">
              <w:t>9.1%</w:t>
            </w:r>
          </w:p>
        </w:tc>
      </w:tr>
      <w:tr w:rsidR="00CF6E40" w:rsidRPr="003F6908" w14:paraId="22A03FC6"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0A79EF20"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2D74F08" w14:textId="77777777" w:rsidR="00CF6E40" w:rsidRPr="003F6908" w:rsidRDefault="00CF6E40" w:rsidP="004B5CD1">
            <w:pPr>
              <w:pStyle w:val="TableDataEntries"/>
              <w:jc w:val="left"/>
            </w:pPr>
            <w:r w:rsidRPr="003F6908">
              <w:t>Walking stick</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18FFA66C" w14:textId="77777777" w:rsidR="00CF6E40" w:rsidRPr="003F6908" w:rsidRDefault="00CF6E40" w:rsidP="004B5CD1">
            <w:pPr>
              <w:pStyle w:val="TableDataEntries"/>
            </w:pPr>
            <w:r w:rsidRPr="003F6908">
              <w:t>10.6%</w:t>
            </w:r>
          </w:p>
        </w:tc>
      </w:tr>
      <w:tr w:rsidR="00CF6E40" w:rsidRPr="003F6908" w14:paraId="03457493"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78BB64CB"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4816C618" w14:textId="77777777" w:rsidR="00CF6E40" w:rsidRPr="003F6908" w:rsidRDefault="00CF6E40" w:rsidP="004B5CD1">
            <w:pPr>
              <w:pStyle w:val="TableDataEntries"/>
              <w:jc w:val="left"/>
            </w:pPr>
            <w:r w:rsidRPr="003F6908">
              <w:t>Wheelchair (manual)</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CBA546C" w14:textId="77777777" w:rsidR="00CF6E40" w:rsidRPr="003F6908" w:rsidRDefault="00CF6E40" w:rsidP="004B5CD1">
            <w:pPr>
              <w:pStyle w:val="TableDataEntries"/>
            </w:pPr>
            <w:r w:rsidRPr="003F6908">
              <w:t>4.7%</w:t>
            </w:r>
          </w:p>
        </w:tc>
      </w:tr>
      <w:tr w:rsidR="00CF6E40" w:rsidRPr="003F6908" w14:paraId="47BE7ED8"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1A95EDDE"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4D3158D" w14:textId="77777777" w:rsidR="00CF6E40" w:rsidRPr="003F6908" w:rsidRDefault="00CF6E40" w:rsidP="004B5CD1">
            <w:pPr>
              <w:pStyle w:val="TableDataEntries"/>
              <w:jc w:val="left"/>
            </w:pPr>
            <w:r w:rsidRPr="003F6908">
              <w:t>Wheelchair (electric)</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30EE79AC" w14:textId="77777777" w:rsidR="00CF6E40" w:rsidRPr="003F6908" w:rsidRDefault="00CF6E40" w:rsidP="004B5CD1">
            <w:pPr>
              <w:pStyle w:val="TableDataEntries"/>
            </w:pPr>
            <w:r w:rsidRPr="003F6908">
              <w:t>3.1%</w:t>
            </w:r>
          </w:p>
        </w:tc>
      </w:tr>
      <w:tr w:rsidR="00CF6E40" w:rsidRPr="003F6908" w14:paraId="386719A2"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7215099F"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2C1EFAD8" w14:textId="77777777" w:rsidR="00CF6E40" w:rsidRPr="003F6908" w:rsidRDefault="00CF6E40" w:rsidP="004B5CD1">
            <w:pPr>
              <w:pStyle w:val="TableDataEntries"/>
              <w:jc w:val="left"/>
            </w:pPr>
            <w:r w:rsidRPr="003F6908">
              <w:t>Scooter/gopher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3B8A0178" w14:textId="77777777" w:rsidR="00CF6E40" w:rsidRPr="003F6908" w:rsidRDefault="00CF6E40" w:rsidP="004B5CD1">
            <w:pPr>
              <w:pStyle w:val="TableDataEntries"/>
            </w:pPr>
            <w:r w:rsidRPr="003F6908">
              <w:t>2.9%</w:t>
            </w:r>
          </w:p>
        </w:tc>
      </w:tr>
      <w:tr w:rsidR="00CF6E40" w:rsidRPr="003F6908" w14:paraId="0D48AD2F"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664F28CD"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5DD2F38" w14:textId="77777777" w:rsidR="00CF6E40" w:rsidRPr="003F6908" w:rsidRDefault="00CF6E40" w:rsidP="004B5CD1">
            <w:pPr>
              <w:pStyle w:val="TableDataEntries"/>
              <w:jc w:val="left"/>
            </w:pPr>
            <w:r w:rsidRPr="003F6908">
              <w:t>Modified car or car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11693CA8" w14:textId="77777777" w:rsidR="00CF6E40" w:rsidRPr="003F6908" w:rsidRDefault="00CF6E40" w:rsidP="004B5CD1">
            <w:pPr>
              <w:pStyle w:val="TableDataEntries"/>
            </w:pPr>
            <w:r w:rsidRPr="003F6908">
              <w:t>2.5%</w:t>
            </w:r>
          </w:p>
        </w:tc>
      </w:tr>
      <w:tr w:rsidR="00CF6E40" w:rsidRPr="003F6908" w14:paraId="72F90526"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3828A7BC"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AB7B1F7" w14:textId="77777777" w:rsidR="00CF6E40" w:rsidRPr="003F6908" w:rsidRDefault="00CF6E40" w:rsidP="004B5CD1">
            <w:pPr>
              <w:pStyle w:val="TableDataEntries"/>
              <w:jc w:val="left"/>
            </w:pPr>
            <w:r w:rsidRPr="003F6908">
              <w:t>Other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4432FBF7" w14:textId="77777777" w:rsidR="00CF6E40" w:rsidRPr="003F6908" w:rsidRDefault="00CF6E40" w:rsidP="004B5CD1">
            <w:pPr>
              <w:pStyle w:val="TableDataEntries"/>
            </w:pPr>
            <w:r w:rsidRPr="003F6908">
              <w:t>3.1%</w:t>
            </w:r>
          </w:p>
        </w:tc>
      </w:tr>
      <w:tr w:rsidR="00CF6E40" w:rsidRPr="003F6908" w14:paraId="1B097041"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56477B83"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F5A4269" w14:textId="77777777" w:rsidR="00CF6E40" w:rsidRPr="003F6908" w:rsidRDefault="00CF6E40" w:rsidP="004B5CD1">
            <w:pPr>
              <w:pStyle w:val="TableDataEntries"/>
              <w:jc w:val="left"/>
            </w:pPr>
            <w:r w:rsidRPr="003F6908">
              <w:t>None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14B26640" w14:textId="77777777" w:rsidR="00CF6E40" w:rsidRPr="003F6908" w:rsidRDefault="00CF6E40" w:rsidP="004B5CD1">
            <w:pPr>
              <w:pStyle w:val="TableDataEntries"/>
            </w:pPr>
            <w:r w:rsidRPr="003F6908">
              <w:t>3.3%</w:t>
            </w:r>
          </w:p>
        </w:tc>
      </w:tr>
      <w:tr w:rsidR="00CF6E40" w:rsidRPr="003F6908" w14:paraId="7B30BE69"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542440A2" w14:textId="77777777" w:rsidR="00CF6E40" w:rsidRPr="003F6908" w:rsidRDefault="00CF6E40" w:rsidP="004B5CD1">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14:paraId="0DD06A96" w14:textId="77777777" w:rsidR="00CF6E40" w:rsidRPr="003F6908" w:rsidRDefault="00CF6E40" w:rsidP="004B5CD1">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0F95A6E8" w14:textId="77777777" w:rsidR="00CF6E40" w:rsidRPr="003F6908" w:rsidRDefault="00CF6E40" w:rsidP="004B5CD1">
            <w:pPr>
              <w:pStyle w:val="TableDataEntries"/>
            </w:pPr>
            <w:r w:rsidRPr="003F6908">
              <w:t>0.2%</w:t>
            </w:r>
          </w:p>
        </w:tc>
      </w:tr>
      <w:tr w:rsidR="00CF6E40" w:rsidRPr="003F6908" w14:paraId="12645DEC"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1805C1D3" w14:textId="77777777" w:rsidR="00CF6E40" w:rsidRPr="003F6908" w:rsidRDefault="00CF6E40" w:rsidP="004B5CD1">
            <w:pPr>
              <w:pStyle w:val="TableDataEntries"/>
              <w:jc w:val="left"/>
            </w:pPr>
            <w:r>
              <w:t>Q4</w:t>
            </w:r>
          </w:p>
        </w:tc>
        <w:tc>
          <w:tcPr>
            <w:tcW w:w="5606" w:type="dxa"/>
            <w:tcBorders>
              <w:top w:val="single" w:sz="8" w:space="0" w:color="FFFFFF" w:themeColor="background1"/>
              <w:bottom w:val="single" w:sz="8" w:space="0" w:color="FFFFFF" w:themeColor="background1"/>
            </w:tcBorders>
            <w:shd w:val="clear" w:color="auto" w:fill="E9E8E5" w:themeFill="background2"/>
          </w:tcPr>
          <w:p w14:paraId="2FE982E9" w14:textId="77777777" w:rsidR="00CF6E40" w:rsidRPr="003F6908" w:rsidRDefault="00CF6E40" w:rsidP="004B5CD1">
            <w:pPr>
              <w:pStyle w:val="TableDataEntries"/>
              <w:jc w:val="left"/>
            </w:pPr>
            <w:r w:rsidRPr="003F6908">
              <w:t>Has no difficulty moving around with the use of a mobility aid, but cannot easily walk 200 metres, cannot use stairs wit</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2C4FF485" w14:textId="77777777" w:rsidR="00CF6E40" w:rsidRPr="003F6908" w:rsidRDefault="00CF6E40" w:rsidP="004B5CD1">
            <w:pPr>
              <w:pStyle w:val="TableDataEntries"/>
            </w:pPr>
            <w:r w:rsidRPr="003F6908">
              <w:t>12.4%</w:t>
            </w:r>
          </w:p>
        </w:tc>
      </w:tr>
      <w:tr w:rsidR="00CF6E40" w:rsidRPr="003F6908" w14:paraId="7974DB3E" w14:textId="77777777" w:rsidTr="004B5CD1">
        <w:trPr>
          <w:trHeight w:val="51"/>
        </w:trPr>
        <w:tc>
          <w:tcPr>
            <w:tcW w:w="851" w:type="dxa"/>
            <w:tcBorders>
              <w:top w:val="single" w:sz="8" w:space="0" w:color="FFFFFF" w:themeColor="background1"/>
              <w:bottom w:val="single" w:sz="8" w:space="0" w:color="FFFFFF" w:themeColor="background1"/>
            </w:tcBorders>
            <w:shd w:val="clear" w:color="auto" w:fill="E9E8E5" w:themeFill="background2"/>
          </w:tcPr>
          <w:p w14:paraId="2F73E4C7" w14:textId="77777777" w:rsidR="00CF6E40" w:rsidRPr="003F6908" w:rsidRDefault="00CF6E40" w:rsidP="004B5CD1">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14:paraId="0C1C690F" w14:textId="77777777" w:rsidR="00CF6E40" w:rsidRPr="003F6908" w:rsidRDefault="00CF6E40" w:rsidP="004B5CD1">
            <w:pPr>
              <w:pStyle w:val="TableDataEntries"/>
              <w:jc w:val="left"/>
            </w:pPr>
            <w:r w:rsidRPr="003F6908">
              <w:t>Has difficulty moving around, even with the use of a mobility aid, but doesn't need assistance from a carer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38F711DB" w14:textId="77777777" w:rsidR="00CF6E40" w:rsidRPr="003F6908" w:rsidRDefault="00CF6E40" w:rsidP="004B5CD1">
            <w:pPr>
              <w:pStyle w:val="TableDataEntries"/>
            </w:pPr>
            <w:r w:rsidRPr="003F6908">
              <w:t>8.1%</w:t>
            </w:r>
          </w:p>
        </w:tc>
      </w:tr>
      <w:tr w:rsidR="00CF6E40" w:rsidRPr="003F6908" w14:paraId="1769FBFF"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130BCDD1" w14:textId="77777777" w:rsidR="00CF6E40" w:rsidRPr="003F6908" w:rsidRDefault="00CF6E40" w:rsidP="004B5CD1">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14:paraId="46E37ACE" w14:textId="77777777" w:rsidR="00CF6E40" w:rsidRPr="003F6908" w:rsidRDefault="00CF6E40" w:rsidP="004B5CD1">
            <w:pPr>
              <w:pStyle w:val="TableDataEntries"/>
              <w:jc w:val="left"/>
            </w:pPr>
            <w:r w:rsidRPr="003F6908">
              <w:t>Sometimes needs assistance from a carer to move around, even with the use of a mobility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1FEB0D4D" w14:textId="77777777" w:rsidR="00CF6E40" w:rsidRPr="003F6908" w:rsidRDefault="00CF6E40" w:rsidP="004B5CD1">
            <w:pPr>
              <w:pStyle w:val="TableDataEntries"/>
            </w:pPr>
            <w:r w:rsidRPr="003F6908">
              <w:t>6.3%</w:t>
            </w:r>
          </w:p>
        </w:tc>
      </w:tr>
      <w:tr w:rsidR="00CF6E40" w:rsidRPr="003F6908" w14:paraId="1A5D090B"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57F521E1" w14:textId="77777777" w:rsidR="00CF6E40" w:rsidRPr="003F6908" w:rsidRDefault="00CF6E40" w:rsidP="004B5CD1">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14:paraId="72219013" w14:textId="77777777" w:rsidR="00CF6E40" w:rsidRPr="003F6908" w:rsidRDefault="00CF6E40" w:rsidP="004B5CD1">
            <w:pPr>
              <w:pStyle w:val="TableDataEntries"/>
              <w:jc w:val="left"/>
            </w:pPr>
            <w:r w:rsidRPr="003F6908">
              <w:t>Always needs assistance from a carer to move around, even with the use of a mobility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14:paraId="0CA112DB" w14:textId="77777777" w:rsidR="00CF6E40" w:rsidRPr="003F6908" w:rsidRDefault="00CF6E40" w:rsidP="004B5CD1">
            <w:pPr>
              <w:pStyle w:val="TableDataEntries"/>
            </w:pPr>
            <w:r w:rsidRPr="003F6908">
              <w:t>2.3%</w:t>
            </w:r>
          </w:p>
        </w:tc>
      </w:tr>
      <w:tr w:rsidR="00CF6E40" w:rsidRPr="003F6908" w14:paraId="42B9C666"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7E30A849" w14:textId="77777777" w:rsidR="00CF6E40" w:rsidRPr="003F6908" w:rsidRDefault="00CF6E40" w:rsidP="004B5CD1">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14:paraId="2BB4E8B0" w14:textId="77777777" w:rsidR="00CF6E40" w:rsidRPr="003F6908" w:rsidRDefault="00CF6E40" w:rsidP="004B5CD1">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tcPr>
          <w:p w14:paraId="564F7EA1" w14:textId="77777777" w:rsidR="00CF6E40" w:rsidRPr="003F6908" w:rsidRDefault="00CF6E40" w:rsidP="004B5CD1">
            <w:pPr>
              <w:pStyle w:val="TableDataEntries"/>
            </w:pPr>
            <w:r w:rsidRPr="003F6908">
              <w:t>0.4%</w:t>
            </w:r>
          </w:p>
        </w:tc>
      </w:tr>
      <w:tr w:rsidR="00CF6E40" w:rsidRPr="003F6908" w14:paraId="03C603E9"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6BFCFDB6" w14:textId="77777777" w:rsidR="00CF6E40" w:rsidRPr="00A33EE9" w:rsidRDefault="00CF6E40" w:rsidP="004B5CD1">
            <w:pPr>
              <w:pStyle w:val="TableDataEntries"/>
              <w:jc w:val="left"/>
            </w:pPr>
            <w:r>
              <w:t>Q5</w:t>
            </w:r>
          </w:p>
        </w:tc>
        <w:tc>
          <w:tcPr>
            <w:tcW w:w="5606" w:type="dxa"/>
            <w:tcBorders>
              <w:top w:val="single" w:sz="8" w:space="0" w:color="FFFFFF" w:themeColor="background1"/>
              <w:bottom w:val="single" w:sz="8" w:space="0" w:color="FFFFFF" w:themeColor="background1"/>
            </w:tcBorders>
            <w:shd w:val="clear" w:color="auto" w:fill="E9E8E5" w:themeFill="background2"/>
          </w:tcPr>
          <w:p w14:paraId="639E13F8" w14:textId="77777777" w:rsidR="00CF6E40" w:rsidRPr="00A33EE9" w:rsidRDefault="00CF6E40" w:rsidP="004B5CD1">
            <w:pPr>
              <w:pStyle w:val="TableDataEntries"/>
              <w:jc w:val="left"/>
            </w:pPr>
            <w:r w:rsidRPr="00A33EE9">
              <w:t>Yes</w:t>
            </w:r>
          </w:p>
        </w:tc>
        <w:tc>
          <w:tcPr>
            <w:tcW w:w="1623" w:type="dxa"/>
            <w:tcBorders>
              <w:top w:val="single" w:sz="8" w:space="0" w:color="FFFFFF" w:themeColor="background1"/>
              <w:bottom w:val="single" w:sz="8" w:space="0" w:color="FFFFFF" w:themeColor="background1"/>
            </w:tcBorders>
            <w:shd w:val="clear" w:color="auto" w:fill="E9E8E5" w:themeFill="background2"/>
          </w:tcPr>
          <w:p w14:paraId="4270FDD1" w14:textId="77777777" w:rsidR="00CF6E40" w:rsidRPr="00A33EE9" w:rsidRDefault="00CF6E40" w:rsidP="004B5CD1">
            <w:pPr>
              <w:pStyle w:val="TableDataEntries"/>
            </w:pPr>
            <w:r w:rsidRPr="00A33EE9">
              <w:t>29.6%</w:t>
            </w:r>
          </w:p>
        </w:tc>
      </w:tr>
      <w:tr w:rsidR="00CF6E40" w:rsidRPr="003F6908" w14:paraId="6E88D4C3"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5E90B1F9" w14:textId="77777777" w:rsidR="00CF6E40" w:rsidRPr="00A33EE9" w:rsidRDefault="00CF6E40" w:rsidP="004B5CD1">
            <w:pPr>
              <w:pStyle w:val="TableDataEntries"/>
              <w:jc w:val="left"/>
            </w:pPr>
            <w:r w:rsidRPr="002243AC">
              <w:t>Q5</w:t>
            </w:r>
          </w:p>
        </w:tc>
        <w:tc>
          <w:tcPr>
            <w:tcW w:w="5606" w:type="dxa"/>
            <w:tcBorders>
              <w:top w:val="single" w:sz="8" w:space="0" w:color="FFFFFF" w:themeColor="background1"/>
              <w:bottom w:val="single" w:sz="8" w:space="0" w:color="FFFFFF" w:themeColor="background1"/>
            </w:tcBorders>
            <w:shd w:val="clear" w:color="auto" w:fill="E9E8E5" w:themeFill="background2"/>
          </w:tcPr>
          <w:p w14:paraId="70087D5D" w14:textId="77777777" w:rsidR="00CF6E40" w:rsidRPr="00A33EE9" w:rsidRDefault="00CF6E40" w:rsidP="004B5CD1">
            <w:pPr>
              <w:pStyle w:val="TableDataEntries"/>
              <w:jc w:val="left"/>
            </w:pPr>
            <w:r w:rsidRPr="00A33EE9">
              <w:t>No</w:t>
            </w:r>
          </w:p>
        </w:tc>
        <w:tc>
          <w:tcPr>
            <w:tcW w:w="1623" w:type="dxa"/>
            <w:tcBorders>
              <w:top w:val="single" w:sz="8" w:space="0" w:color="FFFFFF" w:themeColor="background1"/>
              <w:bottom w:val="single" w:sz="8" w:space="0" w:color="FFFFFF" w:themeColor="background1"/>
            </w:tcBorders>
            <w:shd w:val="clear" w:color="auto" w:fill="E9E8E5" w:themeFill="background2"/>
          </w:tcPr>
          <w:p w14:paraId="10BE45CF" w14:textId="77777777" w:rsidR="00CF6E40" w:rsidRPr="00A33EE9" w:rsidRDefault="00CF6E40" w:rsidP="004B5CD1">
            <w:pPr>
              <w:pStyle w:val="TableDataEntries"/>
            </w:pPr>
            <w:r w:rsidRPr="00A33EE9">
              <w:t>63.8%</w:t>
            </w:r>
          </w:p>
        </w:tc>
      </w:tr>
      <w:tr w:rsidR="00CF6E40" w:rsidRPr="003F6908" w14:paraId="5CCEE654" w14:textId="77777777" w:rsidTr="004B5CD1">
        <w:trPr>
          <w:trHeight w:val="300"/>
        </w:trPr>
        <w:tc>
          <w:tcPr>
            <w:tcW w:w="851" w:type="dxa"/>
            <w:tcBorders>
              <w:top w:val="single" w:sz="8" w:space="0" w:color="FFFFFF" w:themeColor="background1"/>
              <w:bottom w:val="single" w:sz="4" w:space="0" w:color="6F6652" w:themeColor="accent5"/>
            </w:tcBorders>
            <w:shd w:val="clear" w:color="auto" w:fill="E9E8E5" w:themeFill="background2"/>
          </w:tcPr>
          <w:p w14:paraId="12573062" w14:textId="77777777" w:rsidR="00CF6E40" w:rsidRPr="00A33EE9" w:rsidRDefault="00CF6E40" w:rsidP="004B5CD1">
            <w:pPr>
              <w:pStyle w:val="TableDataEntries"/>
              <w:jc w:val="left"/>
            </w:pPr>
            <w:r w:rsidRPr="002243AC">
              <w:t>Q5</w:t>
            </w:r>
          </w:p>
        </w:tc>
        <w:tc>
          <w:tcPr>
            <w:tcW w:w="5606" w:type="dxa"/>
            <w:tcBorders>
              <w:top w:val="single" w:sz="8" w:space="0" w:color="FFFFFF" w:themeColor="background1"/>
              <w:bottom w:val="single" w:sz="4" w:space="0" w:color="6F6652" w:themeColor="accent5"/>
            </w:tcBorders>
            <w:shd w:val="clear" w:color="auto" w:fill="E9E8E5" w:themeFill="background2"/>
          </w:tcPr>
          <w:p w14:paraId="35E7D6AD" w14:textId="77777777" w:rsidR="00CF6E40" w:rsidRPr="00A33EE9" w:rsidRDefault="00CF6E40" w:rsidP="004B5CD1">
            <w:pPr>
              <w:pStyle w:val="TableDataEntries"/>
              <w:jc w:val="left"/>
            </w:pPr>
            <w:r w:rsidRPr="00A33EE9">
              <w:t>Unsure</w:t>
            </w:r>
          </w:p>
        </w:tc>
        <w:tc>
          <w:tcPr>
            <w:tcW w:w="1623" w:type="dxa"/>
            <w:tcBorders>
              <w:top w:val="single" w:sz="8" w:space="0" w:color="FFFFFF" w:themeColor="background1"/>
              <w:bottom w:val="single" w:sz="4" w:space="0" w:color="6F6652" w:themeColor="accent5"/>
            </w:tcBorders>
            <w:shd w:val="clear" w:color="auto" w:fill="E9E8E5" w:themeFill="background2"/>
            <w:hideMark/>
          </w:tcPr>
          <w:p w14:paraId="1A2371BC" w14:textId="77777777" w:rsidR="00CF6E40" w:rsidRDefault="00CF6E40" w:rsidP="004B5CD1">
            <w:pPr>
              <w:pStyle w:val="TableDataEntries"/>
            </w:pPr>
            <w:r w:rsidRPr="00A33EE9">
              <w:t>6.6%</w:t>
            </w:r>
          </w:p>
        </w:tc>
      </w:tr>
    </w:tbl>
    <w:p w14:paraId="086704BA" w14:textId="77777777" w:rsidR="00CF6E40" w:rsidRPr="00311072" w:rsidRDefault="00CF6E40" w:rsidP="00CF6E40">
      <w:pPr>
        <w:pStyle w:val="Note"/>
        <w:rPr>
          <w:iCs/>
        </w:rPr>
      </w:pPr>
      <w:r w:rsidRPr="00311072">
        <w:rPr>
          <w:iCs/>
        </w:rPr>
        <w:t xml:space="preserve">Note: </w:t>
      </w:r>
    </w:p>
    <w:p w14:paraId="732D0FBC" w14:textId="77777777" w:rsidR="00CF6E40" w:rsidRPr="00311072" w:rsidRDefault="00CF6E40" w:rsidP="00CF6E40">
      <w:pPr>
        <w:pStyle w:val="TableListBullet"/>
        <w:rPr>
          <w:iCs/>
        </w:rPr>
      </w:pPr>
      <w:r w:rsidRPr="00311072">
        <w:rPr>
          <w:iCs/>
        </w:rPr>
        <w:t>Q1: Does anybody in your household have difficulty, use aids or require assistance with moving around the home, moving away from home, or getting into or out of a bed or chair?</w:t>
      </w:r>
    </w:p>
    <w:p w14:paraId="22C19A08" w14:textId="77777777" w:rsidR="00CF6E40" w:rsidRPr="00311072" w:rsidRDefault="00CF6E40" w:rsidP="00CF6E40">
      <w:pPr>
        <w:pStyle w:val="TableListBullet"/>
        <w:rPr>
          <w:iCs/>
        </w:rPr>
      </w:pPr>
      <w:r w:rsidRPr="00311072">
        <w:rPr>
          <w:iCs/>
        </w:rPr>
        <w:t>Q2: Does anybody in your household have difficulty, use mobility aids or require assistance with personal care, including tasks such as showering, bathing, dressing or eating?</w:t>
      </w:r>
    </w:p>
    <w:p w14:paraId="783EECC2" w14:textId="77777777" w:rsidR="00CF6E40" w:rsidRPr="00311072" w:rsidRDefault="00CF6E40" w:rsidP="00CF6E40">
      <w:pPr>
        <w:pStyle w:val="TableListBullet"/>
        <w:rPr>
          <w:iCs/>
        </w:rPr>
      </w:pPr>
      <w:r w:rsidRPr="00311072">
        <w:rPr>
          <w:iCs/>
        </w:rPr>
        <w:t>Q3: Which aids, if any, are used by people in your household?</w:t>
      </w:r>
    </w:p>
    <w:p w14:paraId="210DD619" w14:textId="77777777" w:rsidR="00CF6E40" w:rsidRPr="00311072" w:rsidRDefault="00CF6E40" w:rsidP="00CF6E40">
      <w:pPr>
        <w:pStyle w:val="TableListBullet"/>
        <w:rPr>
          <w:iCs/>
        </w:rPr>
      </w:pPr>
      <w:r w:rsidRPr="00311072">
        <w:rPr>
          <w:iCs/>
        </w:rPr>
        <w:t>Q4: Thinking about the person in your household whose mobility is most limited, what is the extent of their mobility limitation?</w:t>
      </w:r>
    </w:p>
    <w:p w14:paraId="2ADB4E3B" w14:textId="77777777" w:rsidR="00CF6E40" w:rsidRPr="00311072" w:rsidRDefault="00CF6E40" w:rsidP="00CF6E40">
      <w:pPr>
        <w:pStyle w:val="TableListBullet"/>
        <w:rPr>
          <w:iCs/>
        </w:rPr>
      </w:pPr>
      <w:r w:rsidRPr="00311072">
        <w:rPr>
          <w:iCs/>
        </w:rPr>
        <w:t>Q5: Do you have a family member or friend with limited mobility who visits you or would visit you if your home was accessible?</w:t>
      </w:r>
    </w:p>
    <w:p w14:paraId="3A54FC69" w14:textId="77777777" w:rsidR="00CF6E40" w:rsidRPr="00311072" w:rsidRDefault="00CF6E40" w:rsidP="00CF6E40">
      <w:pPr>
        <w:pStyle w:val="Source"/>
        <w:rPr>
          <w:iCs/>
          <w:lang w:bidi="fa-IR"/>
        </w:rPr>
      </w:pPr>
      <w:r w:rsidRPr="00311072">
        <w:rPr>
          <w:iCs/>
          <w:lang w:bidi="fa-IR"/>
        </w:rPr>
        <w:t>Source: CIE.</w:t>
      </w:r>
    </w:p>
    <w:p w14:paraId="69640CDA" w14:textId="77777777" w:rsidR="00CF6E40" w:rsidRPr="004B79EC" w:rsidRDefault="00CF6E40" w:rsidP="004B79EC">
      <w:pPr>
        <w:pStyle w:val="Heading2-Appendix"/>
      </w:pPr>
      <w:r w:rsidRPr="004B79EC">
        <w:t>Attitudes towards accessible housing</w:t>
      </w:r>
    </w:p>
    <w:p w14:paraId="3E4DF6B0" w14:textId="77777777" w:rsidR="00CF6E40" w:rsidRDefault="00CF6E40" w:rsidP="00CF6E40">
      <w:pPr>
        <w:pStyle w:val="BodyText"/>
        <w:rPr>
          <w:lang w:bidi="fa-IR"/>
        </w:rPr>
      </w:pPr>
      <w:r>
        <w:rPr>
          <w:lang w:bidi="fa-IR"/>
        </w:rPr>
        <w:t>Around half of respondents indicated they considered accessibility to some extent when choosing their current home and 70 per cent indicated they would prefer their next home to have at least some accessibility features.</w:t>
      </w:r>
    </w:p>
    <w:p w14:paraId="4FFDA291" w14:textId="647E1274" w:rsidR="00CF6E40" w:rsidRDefault="00390CDB" w:rsidP="00CF6E40">
      <w:pPr>
        <w:pStyle w:val="Caption"/>
      </w:pPr>
      <w:bookmarkStart w:id="930" w:name="_Toc32321930"/>
      <w:bookmarkStart w:id="931" w:name="_Toc44598636"/>
      <w:bookmarkStart w:id="932" w:name="_Toc45654267"/>
      <w:bookmarkStart w:id="933" w:name="_Toc57643736"/>
      <w:bookmarkStart w:id="934" w:name="_Toc70505689"/>
      <w:r>
        <w:t>K.6</w:t>
      </w:r>
      <w:r w:rsidR="00CF6E40" w:rsidRPr="003E0249">
        <w:tab/>
      </w:r>
      <w:bookmarkEnd w:id="930"/>
      <w:r w:rsidR="00CF6E40" w:rsidRPr="003E0249">
        <w:t>Attitudes towards accessible housing</w:t>
      </w:r>
      <w:bookmarkEnd w:id="931"/>
      <w:bookmarkEnd w:id="932"/>
      <w:bookmarkEnd w:id="933"/>
      <w:bookmarkEnd w:id="934"/>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6: Attitudes towards accessible housing"/>
        <w:tblDescription w:val="Table K.6 presents the answers to the questions about attitudes towards accessible housing in the survey discussed in the text."/>
      </w:tblPr>
      <w:tblGrid>
        <w:gridCol w:w="851"/>
        <w:gridCol w:w="5386"/>
        <w:gridCol w:w="1700"/>
      </w:tblGrid>
      <w:tr w:rsidR="00CF6E40" w:rsidRPr="00424938" w14:paraId="35476E4D" w14:textId="77777777" w:rsidTr="004B5CD1">
        <w:trPr>
          <w:trHeight w:val="600"/>
          <w:tblHeader/>
        </w:trPr>
        <w:tc>
          <w:tcPr>
            <w:tcW w:w="851" w:type="dxa"/>
            <w:tcBorders>
              <w:bottom w:val="single" w:sz="8" w:space="0" w:color="FFFFFF" w:themeColor="background1"/>
            </w:tcBorders>
            <w:shd w:val="clear" w:color="auto" w:fill="6F6652" w:themeFill="accent5"/>
            <w:hideMark/>
          </w:tcPr>
          <w:p w14:paraId="50526C57" w14:textId="77777777" w:rsidR="00CF6E40" w:rsidRPr="00424938" w:rsidRDefault="00CF6E40" w:rsidP="004B5CD1">
            <w:pPr>
              <w:pStyle w:val="TableDataColumnHeading"/>
              <w:jc w:val="left"/>
            </w:pPr>
            <w:r>
              <w:t>Question</w:t>
            </w:r>
          </w:p>
        </w:tc>
        <w:tc>
          <w:tcPr>
            <w:tcW w:w="5386" w:type="dxa"/>
            <w:tcBorders>
              <w:bottom w:val="single" w:sz="8" w:space="0" w:color="FFFFFF" w:themeColor="background1"/>
            </w:tcBorders>
            <w:shd w:val="clear" w:color="auto" w:fill="6F6652" w:themeFill="accent5"/>
          </w:tcPr>
          <w:p w14:paraId="05133361" w14:textId="77777777" w:rsidR="00CF6E40" w:rsidRPr="00424938" w:rsidRDefault="00CF6E40" w:rsidP="004B5CD1">
            <w:pPr>
              <w:pStyle w:val="TableDataColumnHeading"/>
              <w:jc w:val="both"/>
            </w:pPr>
            <w:r>
              <w:t>Answer</w:t>
            </w:r>
          </w:p>
        </w:tc>
        <w:tc>
          <w:tcPr>
            <w:tcW w:w="1700" w:type="dxa"/>
            <w:tcBorders>
              <w:bottom w:val="single" w:sz="8" w:space="0" w:color="FFFFFF" w:themeColor="background1"/>
            </w:tcBorders>
            <w:shd w:val="clear" w:color="auto" w:fill="6F6652" w:themeFill="accent5"/>
            <w:hideMark/>
          </w:tcPr>
          <w:p w14:paraId="4CA6C7AF" w14:textId="77777777" w:rsidR="00CF6E40" w:rsidRPr="00424938" w:rsidRDefault="00CF6E40" w:rsidP="004B5CD1">
            <w:pPr>
              <w:pStyle w:val="TableDataColumnHeading"/>
            </w:pPr>
            <w:r w:rsidRPr="00424938">
              <w:t>Reweighted sample</w:t>
            </w:r>
            <w:r>
              <w:br/>
              <w:t>(per cent)</w:t>
            </w:r>
          </w:p>
        </w:tc>
      </w:tr>
      <w:tr w:rsidR="00CF6E40" w:rsidRPr="003F6908" w14:paraId="46076377"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105F3EC4" w14:textId="77777777" w:rsidR="00CF6E40" w:rsidRPr="003F6908" w:rsidRDefault="00CF6E40" w:rsidP="004B5CD1">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14:paraId="30F7A0EC" w14:textId="77777777" w:rsidR="00CF6E40" w:rsidRPr="003F6908" w:rsidRDefault="00CF6E40" w:rsidP="004B5CD1">
            <w:pPr>
              <w:pStyle w:val="TableDataEntries"/>
              <w:jc w:val="left"/>
            </w:pPr>
            <w:r w:rsidRPr="003F6908">
              <w:t>It was an important consideration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26E54EA9" w14:textId="77777777" w:rsidR="00CF6E40" w:rsidRPr="003F6908" w:rsidRDefault="00CF6E40" w:rsidP="004B5CD1">
            <w:pPr>
              <w:pStyle w:val="TableDataEntries"/>
            </w:pPr>
            <w:r w:rsidRPr="003F6908">
              <w:t>20.2%</w:t>
            </w:r>
          </w:p>
        </w:tc>
      </w:tr>
      <w:tr w:rsidR="00CF6E40" w:rsidRPr="003F6908" w14:paraId="7D5EE23A"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247F9D4E" w14:textId="77777777" w:rsidR="00CF6E40" w:rsidRPr="003F6908" w:rsidRDefault="00CF6E40" w:rsidP="004B5CD1">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14:paraId="4EC28157" w14:textId="77777777" w:rsidR="00CF6E40" w:rsidRPr="003F6908" w:rsidRDefault="00CF6E40" w:rsidP="004B5CD1">
            <w:pPr>
              <w:pStyle w:val="TableDataEntries"/>
              <w:jc w:val="left"/>
            </w:pPr>
            <w:r w:rsidRPr="003F6908">
              <w:t>It was a minor consideration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6E8D5CD" w14:textId="77777777" w:rsidR="00CF6E40" w:rsidRPr="003F6908" w:rsidRDefault="00CF6E40" w:rsidP="004B5CD1">
            <w:pPr>
              <w:pStyle w:val="TableDataEntries"/>
            </w:pPr>
            <w:r w:rsidRPr="003F6908">
              <w:t>28.5%</w:t>
            </w:r>
          </w:p>
        </w:tc>
      </w:tr>
      <w:tr w:rsidR="00CF6E40" w:rsidRPr="003F6908" w14:paraId="360B26A9"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3C19B339" w14:textId="77777777" w:rsidR="00CF6E40" w:rsidRPr="003F6908" w:rsidRDefault="00CF6E40" w:rsidP="004B5CD1">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14:paraId="40FD57C4" w14:textId="77777777" w:rsidR="00CF6E40" w:rsidRPr="003F6908" w:rsidRDefault="00CF6E40" w:rsidP="004B5CD1">
            <w:pPr>
              <w:pStyle w:val="TableDataEntries"/>
              <w:jc w:val="left"/>
            </w:pPr>
            <w:r w:rsidRPr="003F6908">
              <w:t>I did not consider it at all</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21CCDAC" w14:textId="77777777" w:rsidR="00CF6E40" w:rsidRPr="003F6908" w:rsidRDefault="00CF6E40" w:rsidP="004B5CD1">
            <w:pPr>
              <w:pStyle w:val="TableDataEntries"/>
            </w:pPr>
            <w:r w:rsidRPr="003F6908">
              <w:t>51.3%</w:t>
            </w:r>
          </w:p>
        </w:tc>
      </w:tr>
      <w:tr w:rsidR="00CF6E40" w:rsidRPr="003F6908" w14:paraId="6E4A2023"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64D6FFCD" w14:textId="77777777" w:rsidR="00CF6E40" w:rsidRPr="003F6908" w:rsidRDefault="00CF6E40" w:rsidP="004B5CD1">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14:paraId="27205695" w14:textId="77777777" w:rsidR="00CF6E40" w:rsidRPr="003F6908" w:rsidRDefault="00CF6E40" w:rsidP="004B5CD1">
            <w:pPr>
              <w:pStyle w:val="TableDataEntries"/>
              <w:jc w:val="left"/>
            </w:pPr>
            <w:r w:rsidRPr="003F6908">
              <w:t>Prefer homes with all accessibility features described in this survey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EA65651" w14:textId="77777777" w:rsidR="00CF6E40" w:rsidRPr="003F6908" w:rsidRDefault="00CF6E40" w:rsidP="004B5CD1">
            <w:pPr>
              <w:pStyle w:val="TableDataEntries"/>
            </w:pPr>
            <w:r w:rsidRPr="003F6908">
              <w:t>29.7%</w:t>
            </w:r>
          </w:p>
        </w:tc>
      </w:tr>
      <w:tr w:rsidR="00CF6E40" w:rsidRPr="003F6908" w14:paraId="13D681A4"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2CBFE031" w14:textId="77777777" w:rsidR="00CF6E40" w:rsidRPr="003F6908" w:rsidRDefault="00CF6E40" w:rsidP="004B5CD1">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14:paraId="58088CD8" w14:textId="77777777" w:rsidR="00CF6E40" w:rsidRPr="003F6908" w:rsidRDefault="00CF6E40" w:rsidP="004B5CD1">
            <w:pPr>
              <w:pStyle w:val="TableDataEntries"/>
              <w:jc w:val="left"/>
            </w:pPr>
            <w:r w:rsidRPr="003F6908">
              <w:t>Prefer homes with some accessibility features described in this survey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B101A87" w14:textId="77777777" w:rsidR="00CF6E40" w:rsidRPr="003F6908" w:rsidRDefault="00CF6E40" w:rsidP="004B5CD1">
            <w:pPr>
              <w:pStyle w:val="TableDataEntries"/>
            </w:pPr>
            <w:r w:rsidRPr="003F6908">
              <w:t>40.3%</w:t>
            </w:r>
          </w:p>
        </w:tc>
      </w:tr>
      <w:tr w:rsidR="00CF6E40" w:rsidRPr="003F6908" w14:paraId="50027760"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273826D4" w14:textId="77777777" w:rsidR="00CF6E40" w:rsidRPr="003F6908" w:rsidRDefault="00CF6E40" w:rsidP="004B5CD1">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14:paraId="303659F9" w14:textId="77777777" w:rsidR="00CF6E40" w:rsidRPr="003F6908" w:rsidRDefault="00CF6E40" w:rsidP="004B5CD1">
            <w:pPr>
              <w:pStyle w:val="TableDataEntries"/>
              <w:jc w:val="left"/>
            </w:pPr>
            <w:r w:rsidRPr="003F6908">
              <w:t>Prefer homes without accessibility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30267FD2" w14:textId="77777777" w:rsidR="00CF6E40" w:rsidRPr="003F6908" w:rsidRDefault="00CF6E40" w:rsidP="004B5CD1">
            <w:pPr>
              <w:pStyle w:val="TableDataEntries"/>
            </w:pPr>
            <w:r w:rsidRPr="003F6908">
              <w:t>5.3%</w:t>
            </w:r>
          </w:p>
        </w:tc>
      </w:tr>
      <w:tr w:rsidR="00CF6E40" w:rsidRPr="003F6908" w14:paraId="02EF72DD"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09AA80C9" w14:textId="77777777" w:rsidR="00CF6E40" w:rsidRPr="003F6908" w:rsidRDefault="00CF6E40" w:rsidP="004B5CD1">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14:paraId="6D1B4980" w14:textId="77777777" w:rsidR="00CF6E40" w:rsidRPr="003F6908" w:rsidRDefault="00CF6E40" w:rsidP="004B5CD1">
            <w:pPr>
              <w:pStyle w:val="TableDataEntries"/>
              <w:jc w:val="left"/>
            </w:pPr>
            <w:r w:rsidRPr="003F6908">
              <w:t>Have no preference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4ADFB354" w14:textId="77777777" w:rsidR="00CF6E40" w:rsidRPr="003F6908" w:rsidRDefault="00CF6E40" w:rsidP="004B5CD1">
            <w:pPr>
              <w:pStyle w:val="TableDataEntries"/>
            </w:pPr>
            <w:r w:rsidRPr="003F6908">
              <w:t>24.8%</w:t>
            </w:r>
          </w:p>
        </w:tc>
      </w:tr>
      <w:tr w:rsidR="00CF6E40" w:rsidRPr="003F6908" w14:paraId="757A5B25"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3716377E" w14:textId="77777777" w:rsidR="00CF6E40" w:rsidRPr="003F6908" w:rsidRDefault="00CF6E40" w:rsidP="004B5CD1">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14:paraId="6A5BA0E2" w14:textId="77777777" w:rsidR="00CF6E40" w:rsidRPr="003F6908" w:rsidRDefault="00CF6E40" w:rsidP="004B5CD1">
            <w:pPr>
              <w:pStyle w:val="TableDataEntries"/>
              <w:jc w:val="left"/>
            </w:pPr>
            <w:r w:rsidRPr="003F6908">
              <w:t>The ease of access and use 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837F337" w14:textId="77777777" w:rsidR="00CF6E40" w:rsidRPr="003F6908" w:rsidRDefault="00CF6E40" w:rsidP="004B5CD1">
            <w:pPr>
              <w:pStyle w:val="TableDataEntries"/>
            </w:pPr>
            <w:r w:rsidRPr="003F6908">
              <w:t>36.7%</w:t>
            </w:r>
          </w:p>
        </w:tc>
      </w:tr>
      <w:tr w:rsidR="00CF6E40" w:rsidRPr="003F6908" w14:paraId="622246D2"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7207964C" w14:textId="77777777" w:rsidR="00CF6E40" w:rsidRPr="003F6908" w:rsidRDefault="00CF6E40" w:rsidP="004B5CD1">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14:paraId="281DC531" w14:textId="77777777" w:rsidR="00CF6E40" w:rsidRPr="003F6908" w:rsidRDefault="00CF6E40" w:rsidP="004B5CD1">
            <w:pPr>
              <w:pStyle w:val="TableDataEntries"/>
              <w:jc w:val="left"/>
            </w:pPr>
            <w:r w:rsidRPr="003F6908">
              <w:t>To avoid/delay the need to move later</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922ABB7" w14:textId="77777777" w:rsidR="00CF6E40" w:rsidRPr="003F6908" w:rsidRDefault="00CF6E40" w:rsidP="004B5CD1">
            <w:pPr>
              <w:pStyle w:val="TableDataEntries"/>
            </w:pPr>
            <w:r w:rsidRPr="003F6908">
              <w:t>33.3%</w:t>
            </w:r>
          </w:p>
        </w:tc>
      </w:tr>
      <w:tr w:rsidR="00CF6E40" w:rsidRPr="003F6908" w14:paraId="0EB69D77" w14:textId="77777777" w:rsidTr="004B5CD1">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14:paraId="5803E118" w14:textId="77777777" w:rsidR="00CF6E40" w:rsidRPr="003F6908" w:rsidRDefault="00CF6E40" w:rsidP="004B5CD1">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14:paraId="27DF4AC2" w14:textId="77777777" w:rsidR="00CF6E40" w:rsidRPr="003F6908" w:rsidRDefault="00CF6E40" w:rsidP="004B5CD1">
            <w:pPr>
              <w:pStyle w:val="TableDataEntries"/>
              <w:jc w:val="left"/>
            </w:pPr>
            <w:r w:rsidRPr="003F6908">
              <w:t>To receive visits from family and friends with limited mobility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3C43C3AD" w14:textId="77777777" w:rsidR="00CF6E40" w:rsidRPr="003F6908" w:rsidRDefault="00CF6E40" w:rsidP="004B5CD1">
            <w:pPr>
              <w:pStyle w:val="TableDataEntries"/>
            </w:pPr>
            <w:r w:rsidRPr="003F6908">
              <w:t>23.7%</w:t>
            </w:r>
          </w:p>
        </w:tc>
      </w:tr>
      <w:tr w:rsidR="00CF6E40" w:rsidRPr="003F6908" w14:paraId="16FA5548"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0EC39B00" w14:textId="77777777" w:rsidR="00CF6E40" w:rsidRPr="003F6908" w:rsidRDefault="00CF6E40" w:rsidP="004B5CD1">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14:paraId="011E0E65" w14:textId="77777777" w:rsidR="00CF6E40" w:rsidRPr="003F6908" w:rsidRDefault="00CF6E40" w:rsidP="004B5CD1">
            <w:pPr>
              <w:pStyle w:val="TableDataEntries"/>
              <w:jc w:val="left"/>
            </w:pPr>
            <w:r w:rsidRPr="003F6908">
              <w:t>The look and feel of the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791ADF6D" w14:textId="77777777" w:rsidR="00CF6E40" w:rsidRPr="003F6908" w:rsidRDefault="00CF6E40" w:rsidP="004B5CD1">
            <w:pPr>
              <w:pStyle w:val="TableDataEntries"/>
            </w:pPr>
            <w:r w:rsidRPr="003F6908">
              <w:t>13.1%</w:t>
            </w:r>
          </w:p>
        </w:tc>
      </w:tr>
      <w:tr w:rsidR="00CF6E40" w:rsidRPr="003F6908" w14:paraId="18F1FDF2"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1CA673C4" w14:textId="77777777" w:rsidR="00CF6E40" w:rsidRPr="003F6908" w:rsidRDefault="00CF6E40" w:rsidP="004B5CD1">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14:paraId="38B3DA0E" w14:textId="77777777" w:rsidR="00CF6E40" w:rsidRPr="003F6908" w:rsidRDefault="00CF6E40" w:rsidP="004B5CD1">
            <w:pPr>
              <w:pStyle w:val="TableDataEntries"/>
              <w:jc w:val="left"/>
            </w:pPr>
            <w:r w:rsidRPr="003F6908">
              <w:t>Other (please specify)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6C1193C" w14:textId="77777777" w:rsidR="00CF6E40" w:rsidRPr="003F6908" w:rsidRDefault="00CF6E40" w:rsidP="004B5CD1">
            <w:pPr>
              <w:pStyle w:val="TableDataEntries"/>
            </w:pPr>
            <w:r w:rsidRPr="003F6908">
              <w:t>2.1%</w:t>
            </w:r>
          </w:p>
        </w:tc>
      </w:tr>
      <w:tr w:rsidR="00CF6E40" w:rsidRPr="003F6908" w14:paraId="7D0E6B02"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16A7FD04" w14:textId="77777777" w:rsidR="00CF6E40" w:rsidRPr="003F6908" w:rsidRDefault="00CF6E40" w:rsidP="004B5CD1">
            <w:pPr>
              <w:pStyle w:val="TableDataEntries"/>
              <w:jc w:val="left"/>
            </w:pPr>
            <w:r>
              <w:t>Q4</w:t>
            </w:r>
          </w:p>
        </w:tc>
        <w:tc>
          <w:tcPr>
            <w:tcW w:w="5386" w:type="dxa"/>
            <w:tcBorders>
              <w:top w:val="single" w:sz="8" w:space="0" w:color="FFFFFF" w:themeColor="background1"/>
              <w:bottom w:val="single" w:sz="8" w:space="0" w:color="FFFFFF" w:themeColor="background1"/>
            </w:tcBorders>
            <w:shd w:val="clear" w:color="auto" w:fill="E9E8E5" w:themeFill="background2"/>
          </w:tcPr>
          <w:p w14:paraId="45A23C99" w14:textId="77777777" w:rsidR="00CF6E40" w:rsidRPr="003F6908" w:rsidRDefault="00CF6E40" w:rsidP="004B5CD1">
            <w:pPr>
              <w:pStyle w:val="TableDataEntries"/>
              <w:jc w:val="left"/>
            </w:pPr>
            <w:r w:rsidRPr="003F6908">
              <w:t>I dislike the look and feel of the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7BFB919F" w14:textId="77777777" w:rsidR="00CF6E40" w:rsidRPr="003F6908" w:rsidRDefault="00CF6E40" w:rsidP="004B5CD1">
            <w:pPr>
              <w:pStyle w:val="TableDataEntries"/>
            </w:pPr>
            <w:r w:rsidRPr="003F6908">
              <w:t>2.4%</w:t>
            </w:r>
          </w:p>
        </w:tc>
      </w:tr>
      <w:tr w:rsidR="00CF6E40" w:rsidRPr="003F6908" w14:paraId="30378488"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2D2C1B72" w14:textId="77777777" w:rsidR="00CF6E40" w:rsidRPr="003F6908" w:rsidRDefault="00CF6E40" w:rsidP="004B5CD1">
            <w:pPr>
              <w:pStyle w:val="TableDataEntries"/>
              <w:jc w:val="left"/>
            </w:pPr>
            <w:r>
              <w:t>Q4</w:t>
            </w:r>
          </w:p>
        </w:tc>
        <w:tc>
          <w:tcPr>
            <w:tcW w:w="5386" w:type="dxa"/>
            <w:tcBorders>
              <w:top w:val="single" w:sz="8" w:space="0" w:color="FFFFFF" w:themeColor="background1"/>
              <w:bottom w:val="single" w:sz="8" w:space="0" w:color="FFFFFF" w:themeColor="background1"/>
            </w:tcBorders>
            <w:shd w:val="clear" w:color="auto" w:fill="E9E8E5" w:themeFill="background2"/>
          </w:tcPr>
          <w:p w14:paraId="1025B7AA" w14:textId="77777777" w:rsidR="00CF6E40" w:rsidRPr="003F6908" w:rsidRDefault="00CF6E40" w:rsidP="004B5CD1">
            <w:pPr>
              <w:pStyle w:val="TableDataEntries"/>
              <w:jc w:val="left"/>
            </w:pPr>
            <w:r w:rsidRPr="003F6908">
              <w:t>I prefer larger living areas and bedrooms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203A0AB" w14:textId="77777777" w:rsidR="00CF6E40" w:rsidRPr="003F6908" w:rsidRDefault="00CF6E40" w:rsidP="004B5CD1">
            <w:pPr>
              <w:pStyle w:val="TableDataEntries"/>
            </w:pPr>
            <w:r w:rsidRPr="003F6908">
              <w:t>2.1%</w:t>
            </w:r>
          </w:p>
        </w:tc>
      </w:tr>
      <w:tr w:rsidR="00CF6E40" w:rsidRPr="003F6908" w14:paraId="3EBA5F00" w14:textId="77777777" w:rsidTr="004B5CD1">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14:paraId="5CE42906" w14:textId="77777777" w:rsidR="00CF6E40" w:rsidRPr="003F6908" w:rsidRDefault="00CF6E40" w:rsidP="004B5CD1">
            <w:pPr>
              <w:pStyle w:val="TableDataEntries"/>
              <w:jc w:val="left"/>
            </w:pPr>
            <w:r w:rsidRPr="00E96581">
              <w:t>Q4</w:t>
            </w:r>
          </w:p>
        </w:tc>
        <w:tc>
          <w:tcPr>
            <w:tcW w:w="5386" w:type="dxa"/>
            <w:tcBorders>
              <w:top w:val="single" w:sz="8" w:space="0" w:color="FFFFFF" w:themeColor="background1"/>
              <w:bottom w:val="single" w:sz="8" w:space="0" w:color="FFFFFF" w:themeColor="background1"/>
            </w:tcBorders>
            <w:shd w:val="clear" w:color="auto" w:fill="E9E8E5" w:themeFill="background2"/>
          </w:tcPr>
          <w:p w14:paraId="3806C04B" w14:textId="77777777" w:rsidR="00CF6E40" w:rsidRPr="003F6908" w:rsidRDefault="00CF6E40" w:rsidP="004B5CD1">
            <w:pPr>
              <w:pStyle w:val="TableDataEntries"/>
              <w:jc w:val="left"/>
            </w:pPr>
            <w:r w:rsidRPr="003F6908">
              <w:t>I prefer steeply sloped blocks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760BD369" w14:textId="77777777" w:rsidR="00CF6E40" w:rsidRPr="003F6908" w:rsidRDefault="00CF6E40" w:rsidP="004B5CD1">
            <w:pPr>
              <w:pStyle w:val="TableDataEntries"/>
            </w:pPr>
            <w:r w:rsidRPr="003F6908">
              <w:t>0.9%</w:t>
            </w:r>
          </w:p>
        </w:tc>
      </w:tr>
      <w:tr w:rsidR="00CF6E40" w:rsidRPr="003F6908" w14:paraId="46F3BE29" w14:textId="77777777" w:rsidTr="004B5CD1">
        <w:trPr>
          <w:trHeight w:val="300"/>
        </w:trPr>
        <w:tc>
          <w:tcPr>
            <w:tcW w:w="851" w:type="dxa"/>
            <w:tcBorders>
              <w:top w:val="single" w:sz="8" w:space="0" w:color="FFFFFF" w:themeColor="background1"/>
              <w:bottom w:val="single" w:sz="4" w:space="0" w:color="6F6652" w:themeColor="accent5"/>
            </w:tcBorders>
            <w:shd w:val="clear" w:color="auto" w:fill="E9E8E5" w:themeFill="background2"/>
          </w:tcPr>
          <w:p w14:paraId="0EDB6695" w14:textId="77777777" w:rsidR="00CF6E40" w:rsidRPr="003F6908" w:rsidRDefault="00CF6E40" w:rsidP="004B5CD1">
            <w:pPr>
              <w:pStyle w:val="TableDataEntries"/>
              <w:jc w:val="left"/>
            </w:pPr>
            <w:r w:rsidRPr="00E96581">
              <w:t>Q4</w:t>
            </w:r>
          </w:p>
        </w:tc>
        <w:tc>
          <w:tcPr>
            <w:tcW w:w="5386" w:type="dxa"/>
            <w:tcBorders>
              <w:top w:val="single" w:sz="8" w:space="0" w:color="FFFFFF" w:themeColor="background1"/>
              <w:bottom w:val="single" w:sz="4" w:space="0" w:color="6F6652" w:themeColor="accent5"/>
            </w:tcBorders>
            <w:shd w:val="clear" w:color="auto" w:fill="E9E8E5" w:themeFill="background2"/>
          </w:tcPr>
          <w:p w14:paraId="11FB24F8" w14:textId="77777777" w:rsidR="00CF6E40" w:rsidRPr="003F6908" w:rsidRDefault="00CF6E40" w:rsidP="004B5CD1">
            <w:pPr>
              <w:pStyle w:val="TableDataEntries"/>
              <w:jc w:val="left"/>
            </w:pPr>
            <w:r w:rsidRPr="003F6908">
              <w:t>Other (please specify)</w:t>
            </w:r>
          </w:p>
        </w:tc>
        <w:tc>
          <w:tcPr>
            <w:tcW w:w="1700" w:type="dxa"/>
            <w:tcBorders>
              <w:top w:val="single" w:sz="8" w:space="0" w:color="FFFFFF" w:themeColor="background1"/>
              <w:bottom w:val="single" w:sz="4" w:space="0" w:color="6F6652" w:themeColor="accent5"/>
            </w:tcBorders>
            <w:shd w:val="clear" w:color="auto" w:fill="E9E8E5" w:themeFill="background2"/>
            <w:hideMark/>
          </w:tcPr>
          <w:p w14:paraId="6AC5F277" w14:textId="77777777" w:rsidR="00CF6E40" w:rsidRPr="003F6908" w:rsidRDefault="00CF6E40" w:rsidP="004B5CD1">
            <w:pPr>
              <w:pStyle w:val="TableDataEntries"/>
            </w:pPr>
            <w:r w:rsidRPr="003F6908">
              <w:t>0.</w:t>
            </w:r>
            <w:r>
              <w:t>1</w:t>
            </w:r>
            <w:r w:rsidRPr="003F6908">
              <w:t>%</w:t>
            </w:r>
          </w:p>
        </w:tc>
      </w:tr>
    </w:tbl>
    <w:p w14:paraId="0FD2F959" w14:textId="77777777" w:rsidR="00CF6E40" w:rsidRPr="00311072" w:rsidRDefault="00CF6E40" w:rsidP="00CF6E40">
      <w:pPr>
        <w:pStyle w:val="Note"/>
        <w:rPr>
          <w:iCs/>
        </w:rPr>
      </w:pPr>
      <w:r w:rsidRPr="00311072">
        <w:rPr>
          <w:iCs/>
        </w:rPr>
        <w:t xml:space="preserve">Note: </w:t>
      </w:r>
    </w:p>
    <w:p w14:paraId="2BB485A1" w14:textId="77777777" w:rsidR="00CF6E40" w:rsidRPr="00311072" w:rsidRDefault="00CF6E40" w:rsidP="00CF6E40">
      <w:pPr>
        <w:pStyle w:val="TableListBullet"/>
        <w:rPr>
          <w:iCs/>
        </w:rPr>
      </w:pPr>
      <w:r w:rsidRPr="00311072">
        <w:rPr>
          <w:iCs/>
        </w:rPr>
        <w:t>Q1: To what extent did you consider accessibility when choosing your current home?</w:t>
      </w:r>
    </w:p>
    <w:p w14:paraId="4777311A" w14:textId="77777777" w:rsidR="00CF6E40" w:rsidRPr="00311072" w:rsidRDefault="00CF6E40" w:rsidP="00CF6E40">
      <w:pPr>
        <w:pStyle w:val="TableListBullet"/>
        <w:rPr>
          <w:iCs/>
        </w:rPr>
      </w:pPr>
      <w:r w:rsidRPr="00311072">
        <w:rPr>
          <w:iCs/>
        </w:rPr>
        <w:t>Q2: If you were buying/renting a new home now, would you...</w:t>
      </w:r>
    </w:p>
    <w:p w14:paraId="42A39474" w14:textId="77777777" w:rsidR="00CF6E40" w:rsidRPr="00311072" w:rsidRDefault="00CF6E40" w:rsidP="00CF6E40">
      <w:pPr>
        <w:pStyle w:val="TableListBullet"/>
        <w:rPr>
          <w:iCs/>
        </w:rPr>
      </w:pPr>
      <w:r w:rsidRPr="00311072">
        <w:rPr>
          <w:iCs/>
        </w:rPr>
        <w:t>Q3: What is your main reason for preferring accessibility features?</w:t>
      </w:r>
    </w:p>
    <w:p w14:paraId="1882F019" w14:textId="77777777" w:rsidR="00CF6E40" w:rsidRPr="00311072" w:rsidRDefault="00CF6E40" w:rsidP="00CF6E40">
      <w:pPr>
        <w:pStyle w:val="TableListBullet"/>
        <w:rPr>
          <w:iCs/>
        </w:rPr>
      </w:pPr>
      <w:r w:rsidRPr="00311072">
        <w:rPr>
          <w:iCs/>
        </w:rPr>
        <w:t>Q4: What is your main reason for preferring homes without accessibility features?</w:t>
      </w:r>
    </w:p>
    <w:p w14:paraId="7241AD45" w14:textId="77777777" w:rsidR="00CF6E40" w:rsidRPr="00311072" w:rsidRDefault="00CF6E40" w:rsidP="00CF6E40">
      <w:pPr>
        <w:pStyle w:val="Source"/>
        <w:rPr>
          <w:iCs/>
          <w:lang w:bidi="fa-IR"/>
        </w:rPr>
      </w:pPr>
      <w:r w:rsidRPr="00311072">
        <w:rPr>
          <w:iCs/>
          <w:lang w:bidi="fa-IR"/>
        </w:rPr>
        <w:t>Source: CIE.</w:t>
      </w:r>
    </w:p>
    <w:p w14:paraId="5CA12720" w14:textId="77777777" w:rsidR="00CF6E40" w:rsidRDefault="00CF6E40" w:rsidP="00CF6E40">
      <w:pPr>
        <w:pStyle w:val="BodyText"/>
        <w:rPr>
          <w:lang w:bidi="fa-IR"/>
        </w:rPr>
      </w:pPr>
      <w:r>
        <w:rPr>
          <w:lang w:bidi="fa-IR"/>
        </w:rPr>
        <w:t>Households containing someone with mobility limitation were more likely than other households to prefer a home with all of the accessibility features described in the survey. However, more than half of households that do not contain a person with mobility limitation indicated they would prefer their next home to include at least some accessibility features.</w:t>
      </w:r>
    </w:p>
    <w:p w14:paraId="2D66E898" w14:textId="1B8A1FB3" w:rsidR="00CF6E40" w:rsidRDefault="00390CDB" w:rsidP="00CF6E40">
      <w:pPr>
        <w:pStyle w:val="Caption"/>
      </w:pPr>
      <w:bookmarkStart w:id="935" w:name="_Toc32321931"/>
      <w:bookmarkStart w:id="936" w:name="_Toc44598637"/>
      <w:bookmarkStart w:id="937" w:name="_Toc45654268"/>
      <w:bookmarkStart w:id="938" w:name="_Toc57643737"/>
      <w:bookmarkStart w:id="939" w:name="_Toc70505690"/>
      <w:r>
        <w:t>K.7</w:t>
      </w:r>
      <w:r w:rsidR="00CF6E40" w:rsidRPr="00695C93">
        <w:tab/>
      </w:r>
      <w:r w:rsidR="00CF6E40">
        <w:t>Preference for accessibility features by current mobility limitation status</w:t>
      </w:r>
      <w:bookmarkEnd w:id="935"/>
      <w:bookmarkEnd w:id="936"/>
      <w:bookmarkEnd w:id="937"/>
      <w:bookmarkEnd w:id="938"/>
      <w:bookmarkEnd w:id="939"/>
    </w:p>
    <w:p w14:paraId="5FF5CD42" w14:textId="77777777" w:rsidR="00CF6E40" w:rsidRDefault="00CF6E40" w:rsidP="00CF6E40">
      <w:pPr>
        <w:pStyle w:val="Subtitlebox"/>
      </w:pPr>
      <w:r w:rsidRPr="00A97882">
        <w:rPr>
          <w:noProof/>
        </w:rPr>
        <w:drawing>
          <wp:inline distT="0" distB="0" distL="0" distR="0" wp14:anchorId="7BD7EB74" wp14:editId="2570B25C">
            <wp:extent cx="5040000" cy="2993396"/>
            <wp:effectExtent l="57150" t="57150" r="65405" b="54610"/>
            <wp:docPr id="53" name="Picture 53" descr="This graph shows the preference for accessibility features by current mobility limitation status. Households including someone with a permanent mobility limitation show a clear preference for homes with all accessibility features described in the survey." title="Chart K.7: Preference for accessibility features by current mobility limi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40000" cy="2993396"/>
                    </a:xfrm>
                    <a:prstGeom prst="rect">
                      <a:avLst/>
                    </a:prstGeom>
                    <a:ln w="57150">
                      <a:solidFill>
                        <a:schemeClr val="bg2"/>
                      </a:solidFill>
                    </a:ln>
                  </pic:spPr>
                </pic:pic>
              </a:graphicData>
            </a:graphic>
          </wp:inline>
        </w:drawing>
      </w:r>
    </w:p>
    <w:p w14:paraId="73D04619" w14:textId="77777777" w:rsidR="00CF6E40" w:rsidRDefault="00311072" w:rsidP="00CF6E40">
      <w:pPr>
        <w:pStyle w:val="Source"/>
      </w:pPr>
      <w:r w:rsidRPr="00311072">
        <w:rPr>
          <w:iCs/>
        </w:rPr>
        <w:t>S</w:t>
      </w:r>
      <w:r w:rsidR="00CF6E40" w:rsidRPr="00311072">
        <w:rPr>
          <w:iCs/>
        </w:rPr>
        <w:t>ource</w:t>
      </w:r>
      <w:r w:rsidR="00CF6E40" w:rsidRPr="00A67576">
        <w:rPr>
          <w:i/>
        </w:rPr>
        <w:t>:</w:t>
      </w:r>
      <w:r w:rsidR="00CF6E40">
        <w:t xml:space="preserve"> CIE.</w:t>
      </w:r>
    </w:p>
    <w:p w14:paraId="181E2738" w14:textId="77777777" w:rsidR="00CF6E40" w:rsidRPr="004B79EC" w:rsidRDefault="00CF6E40" w:rsidP="004B79EC">
      <w:pPr>
        <w:pStyle w:val="Heading2-Appendix"/>
      </w:pPr>
      <w:r w:rsidRPr="004B79EC">
        <w:t>Characteristics of the existing housing stock</w:t>
      </w:r>
    </w:p>
    <w:p w14:paraId="57D345D1" w14:textId="77777777" w:rsidR="00CF6E40" w:rsidRDefault="00CF6E40" w:rsidP="00CF6E40">
      <w:pPr>
        <w:pStyle w:val="BodyText"/>
        <w:rPr>
          <w:lang w:eastAsia="en-US"/>
        </w:rPr>
      </w:pPr>
      <w:r>
        <w:rPr>
          <w:lang w:eastAsia="en-US"/>
        </w:rPr>
        <w:t>Most existing homes have a toilet (85 per cent) and a shower (75 per cent) on the same level as an entrance. Around 80 per cent of homes have either no stairs or a straight stairway. Other accessibility features are less common. A step-free entrance and a step-free shower are both reported by around one third of respondents. Roughly one fifth of respondents thought there would be sufficient space for turning a wheelchair in all corridors, bathroom, kitchen and laundry spaces in their home.</w:t>
      </w:r>
      <w:r w:rsidRPr="006A377F">
        <w:rPr>
          <w:lang w:eastAsia="en-US"/>
        </w:rPr>
        <w:t xml:space="preserve"> </w:t>
      </w:r>
      <w:r>
        <w:rPr>
          <w:lang w:eastAsia="en-US"/>
        </w:rPr>
        <w:t>Around 13 per cent thought that their door openings were wider than most other homes.</w:t>
      </w:r>
    </w:p>
    <w:p w14:paraId="5F2A3EC9" w14:textId="7330289C" w:rsidR="00CF6E40" w:rsidRDefault="00390CDB" w:rsidP="00CF6E40">
      <w:pPr>
        <w:pStyle w:val="Caption"/>
      </w:pPr>
      <w:bookmarkStart w:id="940" w:name="_Toc32321932"/>
      <w:bookmarkStart w:id="941" w:name="_Toc44598638"/>
      <w:bookmarkStart w:id="942" w:name="_Toc45654269"/>
      <w:bookmarkStart w:id="943" w:name="_Toc57643738"/>
      <w:bookmarkStart w:id="944" w:name="_Toc70505691"/>
      <w:r>
        <w:t>K.8</w:t>
      </w:r>
      <w:r w:rsidR="00CF6E40" w:rsidRPr="00455A3F">
        <w:tab/>
        <w:t>Accessibility features in the existing housing stock</w:t>
      </w:r>
      <w:bookmarkEnd w:id="940"/>
      <w:bookmarkEnd w:id="941"/>
      <w:bookmarkEnd w:id="942"/>
      <w:bookmarkEnd w:id="943"/>
      <w:bookmarkEnd w:id="944"/>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8: Accessibility features in the existing housing stock"/>
        <w:tblDescription w:val="Table K.8 lists the answers to questions about accessibility features in the existing housing stock in the survey discussed in the text."/>
      </w:tblPr>
      <w:tblGrid>
        <w:gridCol w:w="993"/>
        <w:gridCol w:w="5244"/>
        <w:gridCol w:w="1700"/>
      </w:tblGrid>
      <w:tr w:rsidR="00CF6E40" w:rsidRPr="00424938" w14:paraId="5DB97DAD" w14:textId="77777777" w:rsidTr="004B5CD1">
        <w:trPr>
          <w:trHeight w:val="600"/>
          <w:tblHeader/>
        </w:trPr>
        <w:tc>
          <w:tcPr>
            <w:tcW w:w="993" w:type="dxa"/>
            <w:tcBorders>
              <w:bottom w:val="single" w:sz="8" w:space="0" w:color="FFFFFF" w:themeColor="background1"/>
            </w:tcBorders>
            <w:shd w:val="clear" w:color="auto" w:fill="6F6652" w:themeFill="accent5"/>
            <w:hideMark/>
          </w:tcPr>
          <w:p w14:paraId="72B79961" w14:textId="77777777" w:rsidR="00CF6E40" w:rsidRPr="00424938" w:rsidRDefault="00CF6E40" w:rsidP="004B5CD1">
            <w:pPr>
              <w:pStyle w:val="TableDataColumnHeading"/>
              <w:jc w:val="left"/>
            </w:pPr>
            <w:r>
              <w:t>Feature question</w:t>
            </w:r>
          </w:p>
        </w:tc>
        <w:tc>
          <w:tcPr>
            <w:tcW w:w="5244" w:type="dxa"/>
            <w:tcBorders>
              <w:bottom w:val="single" w:sz="8" w:space="0" w:color="FFFFFF" w:themeColor="background1"/>
            </w:tcBorders>
            <w:shd w:val="clear" w:color="auto" w:fill="6F6652" w:themeFill="accent5"/>
          </w:tcPr>
          <w:p w14:paraId="088421D1" w14:textId="77777777" w:rsidR="00CF6E40" w:rsidRPr="00424938" w:rsidRDefault="00CF6E40" w:rsidP="004B5CD1">
            <w:pPr>
              <w:pStyle w:val="TableDataColumnHeading"/>
              <w:jc w:val="left"/>
            </w:pPr>
            <w:r>
              <w:t>Specification/Answer</w:t>
            </w:r>
          </w:p>
        </w:tc>
        <w:tc>
          <w:tcPr>
            <w:tcW w:w="1700" w:type="dxa"/>
            <w:tcBorders>
              <w:bottom w:val="single" w:sz="8" w:space="0" w:color="FFFFFF" w:themeColor="background1"/>
            </w:tcBorders>
            <w:shd w:val="clear" w:color="auto" w:fill="6F6652" w:themeFill="accent5"/>
            <w:hideMark/>
          </w:tcPr>
          <w:p w14:paraId="501200E7" w14:textId="77777777" w:rsidR="00CF6E40" w:rsidRPr="00424938" w:rsidRDefault="00CF6E40" w:rsidP="004B5CD1">
            <w:pPr>
              <w:pStyle w:val="TableDataColumnHeading"/>
            </w:pPr>
            <w:r w:rsidRPr="00424938">
              <w:t>Reweighted sample</w:t>
            </w:r>
            <w:r>
              <w:br/>
              <w:t>(per cent)</w:t>
            </w:r>
          </w:p>
        </w:tc>
      </w:tr>
      <w:tr w:rsidR="00CF6E40" w:rsidRPr="00424938" w14:paraId="58D0983B"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01734EF" w14:textId="77777777" w:rsidR="00CF6E40" w:rsidRPr="00424938" w:rsidRDefault="00CF6E40" w:rsidP="004B5CD1">
            <w:pPr>
              <w:pStyle w:val="TableDataEntries"/>
              <w:jc w:val="left"/>
            </w:pPr>
            <w:r>
              <w:t>Q1</w:t>
            </w:r>
          </w:p>
        </w:tc>
        <w:tc>
          <w:tcPr>
            <w:tcW w:w="5244" w:type="dxa"/>
            <w:tcBorders>
              <w:top w:val="single" w:sz="8" w:space="0" w:color="FFFFFF" w:themeColor="background1"/>
              <w:bottom w:val="single" w:sz="8" w:space="0" w:color="FFFFFF" w:themeColor="background1"/>
            </w:tcBorders>
            <w:shd w:val="clear" w:color="auto" w:fill="E9E8E5" w:themeFill="background2"/>
          </w:tcPr>
          <w:p w14:paraId="05567B8F" w14:textId="77777777" w:rsidR="00CF6E40" w:rsidRPr="00424938" w:rsidRDefault="00CF6E40" w:rsidP="004B5CD1">
            <w:pPr>
              <w:pStyle w:val="TableDataEntries"/>
              <w:jc w:val="left"/>
            </w:pPr>
            <w:r w:rsidRPr="00424938">
              <w:t>no steps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1CEE268" w14:textId="77777777" w:rsidR="00CF6E40" w:rsidRPr="00424938" w:rsidRDefault="00CF6E40" w:rsidP="004B5CD1">
            <w:pPr>
              <w:pStyle w:val="TableDataEntries"/>
            </w:pPr>
            <w:r w:rsidRPr="00424938">
              <w:t>31.6%</w:t>
            </w:r>
          </w:p>
        </w:tc>
      </w:tr>
      <w:tr w:rsidR="00CF6E40" w:rsidRPr="00424938" w14:paraId="01D7AF77"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556CF137" w14:textId="77777777" w:rsidR="00CF6E40" w:rsidRPr="00424938" w:rsidRDefault="00CF6E40" w:rsidP="004B5CD1">
            <w:pPr>
              <w:pStyle w:val="TableDataEntries"/>
              <w:jc w:val="left"/>
            </w:pPr>
            <w:r w:rsidRPr="005F7A2A">
              <w:t>Q1</w:t>
            </w:r>
          </w:p>
        </w:tc>
        <w:tc>
          <w:tcPr>
            <w:tcW w:w="5244" w:type="dxa"/>
            <w:tcBorders>
              <w:top w:val="single" w:sz="8" w:space="0" w:color="FFFFFF" w:themeColor="background1"/>
              <w:bottom w:val="single" w:sz="8" w:space="0" w:color="FFFFFF" w:themeColor="background1"/>
            </w:tcBorders>
            <w:shd w:val="clear" w:color="auto" w:fill="E9E8E5" w:themeFill="background2"/>
          </w:tcPr>
          <w:p w14:paraId="4F6EA664" w14:textId="77777777" w:rsidR="00CF6E40" w:rsidRPr="00424938" w:rsidRDefault="00CF6E40" w:rsidP="004B5CD1">
            <w:pPr>
              <w:pStyle w:val="TableDataEntries"/>
              <w:jc w:val="left"/>
            </w:pPr>
            <w:r w:rsidRPr="00424938">
              <w:t>a single step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2F23B3E" w14:textId="77777777" w:rsidR="00CF6E40" w:rsidRPr="00424938" w:rsidRDefault="00CF6E40" w:rsidP="004B5CD1">
            <w:pPr>
              <w:pStyle w:val="TableDataEntries"/>
            </w:pPr>
            <w:r w:rsidRPr="00424938">
              <w:t>34.1%</w:t>
            </w:r>
          </w:p>
        </w:tc>
      </w:tr>
      <w:tr w:rsidR="00CF6E40" w:rsidRPr="00424938" w14:paraId="68CBFC4B"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4A7317F6" w14:textId="77777777" w:rsidR="00CF6E40" w:rsidRPr="00424938" w:rsidRDefault="00CF6E40" w:rsidP="004B5CD1">
            <w:pPr>
              <w:pStyle w:val="TableDataEntries"/>
              <w:jc w:val="left"/>
            </w:pPr>
            <w:r w:rsidRPr="005F7A2A">
              <w:t>Q1</w:t>
            </w:r>
          </w:p>
        </w:tc>
        <w:tc>
          <w:tcPr>
            <w:tcW w:w="5244" w:type="dxa"/>
            <w:tcBorders>
              <w:top w:val="single" w:sz="8" w:space="0" w:color="FFFFFF" w:themeColor="background1"/>
              <w:bottom w:val="single" w:sz="8" w:space="0" w:color="FFFFFF" w:themeColor="background1"/>
            </w:tcBorders>
            <w:shd w:val="clear" w:color="auto" w:fill="E9E8E5" w:themeFill="background2"/>
          </w:tcPr>
          <w:p w14:paraId="3C6B06E5" w14:textId="77777777" w:rsidR="00CF6E40" w:rsidRPr="00424938" w:rsidRDefault="00CF6E40" w:rsidP="004B5CD1">
            <w:pPr>
              <w:pStyle w:val="TableDataEntries"/>
              <w:jc w:val="left"/>
            </w:pPr>
            <w:r w:rsidRPr="00424938">
              <w:t>several steps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70F45774" w14:textId="77777777" w:rsidR="00CF6E40" w:rsidRPr="00424938" w:rsidRDefault="00CF6E40" w:rsidP="004B5CD1">
            <w:pPr>
              <w:pStyle w:val="TableDataEntries"/>
            </w:pPr>
            <w:r w:rsidRPr="00424938">
              <w:t>34.2%</w:t>
            </w:r>
          </w:p>
        </w:tc>
      </w:tr>
      <w:tr w:rsidR="00CF6E40" w:rsidRPr="00424938" w14:paraId="7F4D14A6"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49AAC86" w14:textId="77777777" w:rsidR="00CF6E40" w:rsidRPr="00424938" w:rsidRDefault="00CF6E40" w:rsidP="004B5CD1">
            <w:pPr>
              <w:pStyle w:val="TableDataEntries"/>
              <w:jc w:val="left"/>
            </w:pPr>
            <w:r>
              <w:t>Q2</w:t>
            </w:r>
          </w:p>
        </w:tc>
        <w:tc>
          <w:tcPr>
            <w:tcW w:w="5244" w:type="dxa"/>
            <w:tcBorders>
              <w:top w:val="single" w:sz="8" w:space="0" w:color="FFFFFF" w:themeColor="background1"/>
              <w:bottom w:val="single" w:sz="8" w:space="0" w:color="FFFFFF" w:themeColor="background1"/>
            </w:tcBorders>
            <w:shd w:val="clear" w:color="auto" w:fill="E9E8E5" w:themeFill="background2"/>
          </w:tcPr>
          <w:p w14:paraId="6CD9845E" w14:textId="77777777" w:rsidR="00CF6E40" w:rsidRPr="00424938" w:rsidRDefault="00CF6E40" w:rsidP="004B5CD1">
            <w:pPr>
              <w:pStyle w:val="TableDataEntries"/>
              <w:jc w:val="left"/>
            </w:pPr>
            <w:r w:rsidRPr="00424938">
              <w:t>door openings similar to other homes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FB7F55E" w14:textId="77777777" w:rsidR="00CF6E40" w:rsidRPr="00424938" w:rsidRDefault="00CF6E40" w:rsidP="004B5CD1">
            <w:pPr>
              <w:pStyle w:val="TableDataEntries"/>
            </w:pPr>
            <w:r w:rsidRPr="00424938">
              <w:t>82.1%</w:t>
            </w:r>
          </w:p>
        </w:tc>
      </w:tr>
      <w:tr w:rsidR="00CF6E40" w:rsidRPr="00424938" w14:paraId="1DDE05FD"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4B1E2E19" w14:textId="77777777" w:rsidR="00CF6E40" w:rsidRPr="00424938" w:rsidRDefault="00CF6E40" w:rsidP="004B5CD1">
            <w:pPr>
              <w:pStyle w:val="TableDataEntries"/>
              <w:jc w:val="left"/>
            </w:pPr>
            <w:r w:rsidRPr="00485EA0">
              <w:t>Q2</w:t>
            </w:r>
          </w:p>
        </w:tc>
        <w:tc>
          <w:tcPr>
            <w:tcW w:w="5244" w:type="dxa"/>
            <w:tcBorders>
              <w:top w:val="single" w:sz="8" w:space="0" w:color="FFFFFF" w:themeColor="background1"/>
              <w:bottom w:val="single" w:sz="8" w:space="0" w:color="FFFFFF" w:themeColor="background1"/>
            </w:tcBorders>
            <w:shd w:val="clear" w:color="auto" w:fill="E9E8E5" w:themeFill="background2"/>
          </w:tcPr>
          <w:p w14:paraId="5FDB506B" w14:textId="77777777" w:rsidR="00CF6E40" w:rsidRPr="00424938" w:rsidRDefault="00CF6E40" w:rsidP="004B5CD1">
            <w:pPr>
              <w:pStyle w:val="TableDataEntries"/>
              <w:jc w:val="left"/>
            </w:pPr>
            <w:r w:rsidRPr="00424938">
              <w:t>door openings wider than most other homes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7BA902D1" w14:textId="77777777" w:rsidR="00CF6E40" w:rsidRPr="00424938" w:rsidRDefault="00CF6E40" w:rsidP="004B5CD1">
            <w:pPr>
              <w:pStyle w:val="TableDataEntries"/>
            </w:pPr>
            <w:r w:rsidRPr="00424938">
              <w:t>12.6%</w:t>
            </w:r>
          </w:p>
        </w:tc>
      </w:tr>
      <w:tr w:rsidR="00CF6E40" w:rsidRPr="00424938" w14:paraId="69E4D095"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69986A56" w14:textId="77777777" w:rsidR="00CF6E40" w:rsidRPr="00424938" w:rsidRDefault="00CF6E40" w:rsidP="004B5CD1">
            <w:pPr>
              <w:pStyle w:val="TableDataEntries"/>
              <w:jc w:val="left"/>
            </w:pPr>
            <w:r w:rsidRPr="00485EA0">
              <w:t>Q2</w:t>
            </w:r>
          </w:p>
        </w:tc>
        <w:tc>
          <w:tcPr>
            <w:tcW w:w="5244" w:type="dxa"/>
            <w:tcBorders>
              <w:top w:val="single" w:sz="8" w:space="0" w:color="FFFFFF" w:themeColor="background1"/>
              <w:bottom w:val="single" w:sz="8" w:space="0" w:color="FFFFFF" w:themeColor="background1"/>
            </w:tcBorders>
            <w:shd w:val="clear" w:color="auto" w:fill="E9E8E5" w:themeFill="background2"/>
          </w:tcPr>
          <w:p w14:paraId="173464A0" w14:textId="77777777" w:rsidR="00CF6E40" w:rsidRPr="00424938" w:rsidRDefault="00CF6E40" w:rsidP="004B5CD1">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004F982" w14:textId="77777777" w:rsidR="00CF6E40" w:rsidRPr="00424938" w:rsidRDefault="00CF6E40" w:rsidP="004B5CD1">
            <w:pPr>
              <w:pStyle w:val="TableDataEntries"/>
            </w:pPr>
            <w:r w:rsidRPr="00424938">
              <w:t>5.3%</w:t>
            </w:r>
          </w:p>
        </w:tc>
      </w:tr>
      <w:tr w:rsidR="00CF6E40" w:rsidRPr="00424938" w14:paraId="44B34EC1"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0A22D49A" w14:textId="77777777" w:rsidR="00CF6E40" w:rsidRPr="00424938" w:rsidRDefault="00CF6E40" w:rsidP="004B5CD1">
            <w:pPr>
              <w:pStyle w:val="TableDataEntries"/>
              <w:jc w:val="left"/>
            </w:pPr>
            <w:r>
              <w:t>Q3</w:t>
            </w:r>
          </w:p>
        </w:tc>
        <w:tc>
          <w:tcPr>
            <w:tcW w:w="5244" w:type="dxa"/>
            <w:tcBorders>
              <w:top w:val="single" w:sz="8" w:space="0" w:color="FFFFFF" w:themeColor="background1"/>
              <w:bottom w:val="single" w:sz="8" w:space="0" w:color="FFFFFF" w:themeColor="background1"/>
            </w:tcBorders>
            <w:shd w:val="clear" w:color="auto" w:fill="E9E8E5" w:themeFill="background2"/>
          </w:tcPr>
          <w:p w14:paraId="7542BDB5" w14:textId="77777777" w:rsidR="00CF6E40" w:rsidRPr="00424938" w:rsidRDefault="00CF6E40" w:rsidP="003418EF">
            <w:pPr>
              <w:pStyle w:val="TableDataEntries"/>
              <w:tabs>
                <w:tab w:val="left" w:pos="3570"/>
              </w:tabs>
              <w:jc w:val="left"/>
            </w:pPr>
            <w:r w:rsidRPr="00424938">
              <w:t>All of these spaces are large enough</w:t>
            </w:r>
            <w:r w:rsidR="003418EF">
              <w:tab/>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C74B793" w14:textId="77777777" w:rsidR="00CF6E40" w:rsidRPr="00424938" w:rsidRDefault="00CF6E40" w:rsidP="004B5CD1">
            <w:pPr>
              <w:pStyle w:val="TableDataEntries"/>
            </w:pPr>
            <w:r w:rsidRPr="00424938">
              <w:t>20.7%</w:t>
            </w:r>
          </w:p>
        </w:tc>
      </w:tr>
      <w:tr w:rsidR="00CF6E40" w:rsidRPr="00424938" w14:paraId="2E8820E6"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2DE11F7A" w14:textId="77777777" w:rsidR="00CF6E40" w:rsidRPr="00424938" w:rsidRDefault="00CF6E40" w:rsidP="004B5CD1">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14:paraId="30814B3C" w14:textId="77777777" w:rsidR="00CF6E40" w:rsidRPr="00424938" w:rsidRDefault="00CF6E40" w:rsidP="004B5CD1">
            <w:pPr>
              <w:pStyle w:val="TableDataEntries"/>
              <w:jc w:val="left"/>
            </w:pPr>
            <w:r w:rsidRPr="00424938">
              <w:t>Some of these spaces are large enough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B301450" w14:textId="77777777" w:rsidR="00CF6E40" w:rsidRPr="00424938" w:rsidRDefault="00CF6E40" w:rsidP="004B5CD1">
            <w:pPr>
              <w:pStyle w:val="TableDataEntries"/>
            </w:pPr>
            <w:r w:rsidRPr="00424938">
              <w:t>54.3%</w:t>
            </w:r>
          </w:p>
        </w:tc>
      </w:tr>
      <w:tr w:rsidR="00CF6E40" w:rsidRPr="00424938" w14:paraId="6E34D402"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762D752" w14:textId="77777777" w:rsidR="00CF6E40" w:rsidRPr="00424938" w:rsidRDefault="00CF6E40" w:rsidP="004B5CD1">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14:paraId="65EB2E5E" w14:textId="77777777" w:rsidR="00CF6E40" w:rsidRPr="00424938" w:rsidRDefault="00CF6E40" w:rsidP="004B5CD1">
            <w:pPr>
              <w:pStyle w:val="TableDataEntries"/>
              <w:jc w:val="left"/>
            </w:pPr>
            <w:r w:rsidRPr="00424938">
              <w:t>None of these spaces are large enough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A5EB43A" w14:textId="77777777" w:rsidR="00CF6E40" w:rsidRPr="00424938" w:rsidRDefault="00CF6E40" w:rsidP="004B5CD1">
            <w:pPr>
              <w:pStyle w:val="TableDataEntries"/>
            </w:pPr>
            <w:r w:rsidRPr="00424938">
              <w:t>20.4%</w:t>
            </w:r>
          </w:p>
        </w:tc>
      </w:tr>
      <w:tr w:rsidR="00CF6E40" w:rsidRPr="00424938" w14:paraId="32065E37"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BB640BE" w14:textId="77777777" w:rsidR="00CF6E40" w:rsidRPr="00424938" w:rsidRDefault="00CF6E40" w:rsidP="004B5CD1">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14:paraId="19DEA825" w14:textId="77777777" w:rsidR="00CF6E40" w:rsidRPr="00424938" w:rsidRDefault="00CF6E40" w:rsidP="004B5CD1">
            <w:pPr>
              <w:pStyle w:val="TableDataEntries"/>
              <w:jc w:val="left"/>
            </w:pPr>
            <w:r w:rsidRPr="00424938">
              <w:t>I can't make an educated guess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DE5554F" w14:textId="77777777" w:rsidR="00CF6E40" w:rsidRPr="00424938" w:rsidRDefault="00CF6E40" w:rsidP="004B5CD1">
            <w:pPr>
              <w:pStyle w:val="TableDataEntries"/>
            </w:pPr>
            <w:r w:rsidRPr="00424938">
              <w:t>4.7%</w:t>
            </w:r>
          </w:p>
        </w:tc>
      </w:tr>
      <w:tr w:rsidR="00CF6E40" w:rsidRPr="00424938" w14:paraId="461F5E9A"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9592565" w14:textId="77777777" w:rsidR="00CF6E40" w:rsidRPr="00424938" w:rsidRDefault="00CF6E40" w:rsidP="004B5CD1">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14:paraId="2BFC5D1F" w14:textId="77777777" w:rsidR="00CF6E40" w:rsidRPr="00424938" w:rsidRDefault="00CF6E40" w:rsidP="004B5CD1">
            <w:pPr>
              <w:pStyle w:val="TableDataEntries"/>
              <w:jc w:val="left"/>
            </w:pPr>
            <w:r w:rsidRPr="00424938">
              <w:t>Step-free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B8D4867" w14:textId="77777777" w:rsidR="00CF6E40" w:rsidRPr="00424938" w:rsidRDefault="00CF6E40" w:rsidP="004B5CD1">
            <w:pPr>
              <w:pStyle w:val="TableDataEntries"/>
            </w:pPr>
            <w:r w:rsidRPr="00424938">
              <w:t>28.9%</w:t>
            </w:r>
          </w:p>
        </w:tc>
      </w:tr>
      <w:tr w:rsidR="00CF6E40" w:rsidRPr="00424938" w14:paraId="0D5FD8B4"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C7D02DA" w14:textId="77777777" w:rsidR="00CF6E40" w:rsidRPr="00424938" w:rsidRDefault="00CF6E40" w:rsidP="004B5CD1">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14:paraId="22E334EC" w14:textId="77777777" w:rsidR="00CF6E40" w:rsidRPr="00424938" w:rsidRDefault="00CF6E40" w:rsidP="004B5CD1">
            <w:pPr>
              <w:pStyle w:val="TableDataEntries"/>
              <w:jc w:val="left"/>
            </w:pPr>
            <w:r w:rsidRPr="00424938">
              <w:t>Hob/kerb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171FF68" w14:textId="77777777" w:rsidR="00CF6E40" w:rsidRPr="00424938" w:rsidRDefault="00CF6E40" w:rsidP="004B5CD1">
            <w:pPr>
              <w:pStyle w:val="TableDataEntries"/>
            </w:pPr>
            <w:r w:rsidRPr="00424938">
              <w:t>36.1%</w:t>
            </w:r>
          </w:p>
        </w:tc>
      </w:tr>
      <w:tr w:rsidR="00CF6E40" w:rsidRPr="00424938" w14:paraId="5A2FA987"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1093368" w14:textId="77777777" w:rsidR="00CF6E40" w:rsidRPr="00424938" w:rsidRDefault="00CF6E40" w:rsidP="004B5CD1">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14:paraId="4905DCBB" w14:textId="77777777" w:rsidR="00CF6E40" w:rsidRPr="00424938" w:rsidRDefault="00CF6E40" w:rsidP="004B5CD1">
            <w:pPr>
              <w:pStyle w:val="TableDataEntries"/>
              <w:jc w:val="left"/>
            </w:pPr>
            <w:r w:rsidRPr="00424938">
              <w:t>Stepped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0F1E01F" w14:textId="77777777" w:rsidR="00CF6E40" w:rsidRPr="00424938" w:rsidRDefault="00CF6E40" w:rsidP="004B5CD1">
            <w:pPr>
              <w:pStyle w:val="TableDataEntries"/>
            </w:pPr>
            <w:r w:rsidRPr="00424938">
              <w:t>24.8%</w:t>
            </w:r>
          </w:p>
        </w:tc>
      </w:tr>
      <w:tr w:rsidR="00CF6E40" w:rsidRPr="00424938" w14:paraId="494B8D4F"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1877695" w14:textId="77777777" w:rsidR="00CF6E40" w:rsidRPr="00424938" w:rsidRDefault="00CF6E40" w:rsidP="004B5CD1">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14:paraId="74DD35ED" w14:textId="77777777" w:rsidR="00CF6E40" w:rsidRPr="00424938" w:rsidRDefault="00CF6E40" w:rsidP="004B5CD1">
            <w:pPr>
              <w:pStyle w:val="TableDataEntries"/>
              <w:jc w:val="left"/>
            </w:pPr>
            <w:r w:rsidRPr="00424938">
              <w:t>Shower over bath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56AB26B" w14:textId="77777777" w:rsidR="00CF6E40" w:rsidRPr="00424938" w:rsidRDefault="00CF6E40" w:rsidP="004B5CD1">
            <w:pPr>
              <w:pStyle w:val="TableDataEntries"/>
            </w:pPr>
            <w:r w:rsidRPr="00424938">
              <w:t>13.9%</w:t>
            </w:r>
          </w:p>
        </w:tc>
      </w:tr>
      <w:tr w:rsidR="00CF6E40" w:rsidRPr="00424938" w14:paraId="1369041C"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278F2C0" w14:textId="77777777" w:rsidR="00CF6E40" w:rsidRPr="00424938" w:rsidRDefault="00CF6E40" w:rsidP="004B5CD1">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14:paraId="2505B4E6" w14:textId="77777777" w:rsidR="00CF6E40" w:rsidRPr="00424938" w:rsidRDefault="00CF6E40" w:rsidP="004B5CD1">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66F9ACDA" w14:textId="77777777" w:rsidR="00CF6E40" w:rsidRPr="00424938" w:rsidRDefault="00CF6E40" w:rsidP="004B5CD1">
            <w:pPr>
              <w:pStyle w:val="TableDataEntries"/>
            </w:pPr>
            <w:r w:rsidRPr="00424938">
              <w:t>1.5%</w:t>
            </w:r>
          </w:p>
        </w:tc>
      </w:tr>
      <w:tr w:rsidR="00CF6E40" w:rsidRPr="00424938" w14:paraId="45DB442D"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ECF62A4" w14:textId="77777777" w:rsidR="00CF6E40" w:rsidRPr="00424938" w:rsidRDefault="00CF6E40" w:rsidP="004B5CD1">
            <w:pPr>
              <w:pStyle w:val="TableDataEntries"/>
              <w:jc w:val="left"/>
            </w:pPr>
            <w:r>
              <w:t>Q5</w:t>
            </w:r>
          </w:p>
        </w:tc>
        <w:tc>
          <w:tcPr>
            <w:tcW w:w="5244" w:type="dxa"/>
            <w:tcBorders>
              <w:top w:val="single" w:sz="8" w:space="0" w:color="FFFFFF" w:themeColor="background1"/>
              <w:bottom w:val="single" w:sz="8" w:space="0" w:color="FFFFFF" w:themeColor="background1"/>
            </w:tcBorders>
            <w:shd w:val="clear" w:color="auto" w:fill="E9E8E5" w:themeFill="background2"/>
          </w:tcPr>
          <w:p w14:paraId="3507F775" w14:textId="77777777" w:rsidR="00CF6E40" w:rsidRPr="00424938" w:rsidRDefault="00CF6E40" w:rsidP="004B5CD1">
            <w:pPr>
              <w:pStyle w:val="TableDataEntries"/>
              <w:jc w:val="left"/>
            </w:pPr>
            <w:r w:rsidRPr="00424938">
              <w:t>Yes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DAD2118" w14:textId="77777777" w:rsidR="00CF6E40" w:rsidRPr="00424938" w:rsidRDefault="00CF6E40" w:rsidP="004B5CD1">
            <w:pPr>
              <w:pStyle w:val="TableDataEntries"/>
            </w:pPr>
            <w:r w:rsidRPr="00424938">
              <w:t>84.8%</w:t>
            </w:r>
          </w:p>
        </w:tc>
      </w:tr>
      <w:tr w:rsidR="00CF6E40" w:rsidRPr="00424938" w14:paraId="15F5D0CC"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07D33D81" w14:textId="77777777" w:rsidR="00CF6E40" w:rsidRPr="00424938" w:rsidRDefault="00CF6E40" w:rsidP="004B5CD1">
            <w:pPr>
              <w:pStyle w:val="TableDataEntries"/>
              <w:jc w:val="left"/>
            </w:pPr>
            <w:r w:rsidRPr="000D59CC">
              <w:t>Q5</w:t>
            </w:r>
          </w:p>
        </w:tc>
        <w:tc>
          <w:tcPr>
            <w:tcW w:w="5244" w:type="dxa"/>
            <w:tcBorders>
              <w:top w:val="single" w:sz="8" w:space="0" w:color="FFFFFF" w:themeColor="background1"/>
              <w:bottom w:val="single" w:sz="8" w:space="0" w:color="FFFFFF" w:themeColor="background1"/>
            </w:tcBorders>
            <w:shd w:val="clear" w:color="auto" w:fill="E9E8E5" w:themeFill="background2"/>
          </w:tcPr>
          <w:p w14:paraId="4DEB3875" w14:textId="77777777" w:rsidR="00CF6E40" w:rsidRPr="00424938" w:rsidRDefault="00CF6E40" w:rsidP="004B5CD1">
            <w:pPr>
              <w:pStyle w:val="TableDataEntries"/>
              <w:jc w:val="left"/>
            </w:pPr>
            <w:r w:rsidRPr="00424938">
              <w:t>No</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3E1BBFE" w14:textId="77777777" w:rsidR="00CF6E40" w:rsidRPr="00424938" w:rsidRDefault="00CF6E40" w:rsidP="004B5CD1">
            <w:pPr>
              <w:pStyle w:val="TableDataEntries"/>
            </w:pPr>
            <w:r w:rsidRPr="00424938">
              <w:t>13.4%</w:t>
            </w:r>
          </w:p>
        </w:tc>
      </w:tr>
      <w:tr w:rsidR="00CF6E40" w:rsidRPr="00424938" w14:paraId="02C7D86B"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1257ED91" w14:textId="77777777" w:rsidR="00CF6E40" w:rsidRPr="00424938" w:rsidRDefault="00CF6E40" w:rsidP="004B5CD1">
            <w:pPr>
              <w:pStyle w:val="TableDataEntries"/>
              <w:jc w:val="left"/>
            </w:pPr>
            <w:r w:rsidRPr="000D59CC">
              <w:t>Q5</w:t>
            </w:r>
          </w:p>
        </w:tc>
        <w:tc>
          <w:tcPr>
            <w:tcW w:w="5244" w:type="dxa"/>
            <w:tcBorders>
              <w:top w:val="single" w:sz="8" w:space="0" w:color="FFFFFF" w:themeColor="background1"/>
              <w:bottom w:val="single" w:sz="8" w:space="0" w:color="FFFFFF" w:themeColor="background1"/>
            </w:tcBorders>
            <w:shd w:val="clear" w:color="auto" w:fill="E9E8E5" w:themeFill="background2"/>
          </w:tcPr>
          <w:p w14:paraId="524183C7" w14:textId="77777777" w:rsidR="00CF6E40" w:rsidRPr="00424938" w:rsidRDefault="00CF6E40" w:rsidP="004B5CD1">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36695AA9" w14:textId="77777777" w:rsidR="00CF6E40" w:rsidRPr="00424938" w:rsidRDefault="00CF6E40" w:rsidP="004B5CD1">
            <w:pPr>
              <w:pStyle w:val="TableDataEntries"/>
            </w:pPr>
            <w:r w:rsidRPr="00424938">
              <w:t>1.7%</w:t>
            </w:r>
          </w:p>
        </w:tc>
      </w:tr>
      <w:tr w:rsidR="00CF6E40" w:rsidRPr="00424938" w14:paraId="1E189C67"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47C63E3D" w14:textId="77777777" w:rsidR="00CF6E40" w:rsidRPr="00424938" w:rsidRDefault="00CF6E40" w:rsidP="004B5CD1">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14:paraId="1B4E7AF0" w14:textId="77777777" w:rsidR="00CF6E40" w:rsidRPr="00424938" w:rsidRDefault="00CF6E40" w:rsidP="004B5CD1">
            <w:pPr>
              <w:pStyle w:val="TableDataEntries"/>
              <w:jc w:val="left"/>
            </w:pPr>
            <w:r w:rsidRPr="00424938">
              <w:t>Yes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2CCF0C53" w14:textId="77777777" w:rsidR="00CF6E40" w:rsidRPr="00424938" w:rsidRDefault="00CF6E40" w:rsidP="004B5CD1">
            <w:pPr>
              <w:pStyle w:val="TableDataEntries"/>
            </w:pPr>
            <w:r w:rsidRPr="00424938">
              <w:t>74.6%</w:t>
            </w:r>
          </w:p>
        </w:tc>
      </w:tr>
      <w:tr w:rsidR="00CF6E40" w:rsidRPr="00424938" w14:paraId="5B9155D5"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134E380" w14:textId="77777777" w:rsidR="00CF6E40" w:rsidRPr="00424938" w:rsidRDefault="00CF6E40" w:rsidP="004B5CD1">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14:paraId="5508754C" w14:textId="77777777" w:rsidR="00CF6E40" w:rsidRPr="00424938" w:rsidRDefault="00CF6E40" w:rsidP="004B5CD1">
            <w:pPr>
              <w:pStyle w:val="TableDataEntries"/>
              <w:jc w:val="left"/>
            </w:pPr>
            <w:r w:rsidRPr="00424938">
              <w:t>No</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4088CF9B" w14:textId="77777777" w:rsidR="00CF6E40" w:rsidRPr="00424938" w:rsidRDefault="00CF6E40" w:rsidP="004B5CD1">
            <w:pPr>
              <w:pStyle w:val="TableDataEntries"/>
            </w:pPr>
            <w:r w:rsidRPr="00424938">
              <w:t>23.2%</w:t>
            </w:r>
          </w:p>
        </w:tc>
      </w:tr>
      <w:tr w:rsidR="00CF6E40" w:rsidRPr="00424938" w14:paraId="707772EA"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196B520" w14:textId="77777777" w:rsidR="00CF6E40" w:rsidRPr="00424938" w:rsidRDefault="00CF6E40" w:rsidP="004B5CD1">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14:paraId="3DAF8A48" w14:textId="77777777" w:rsidR="00CF6E40" w:rsidRPr="00424938" w:rsidRDefault="00CF6E40" w:rsidP="004B5CD1">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1258B72A" w14:textId="77777777" w:rsidR="00CF6E40" w:rsidRPr="00424938" w:rsidRDefault="00CF6E40" w:rsidP="004B5CD1">
            <w:pPr>
              <w:pStyle w:val="TableDataEntries"/>
            </w:pPr>
            <w:r w:rsidRPr="00424938">
              <w:t>2.2%</w:t>
            </w:r>
          </w:p>
        </w:tc>
      </w:tr>
      <w:tr w:rsidR="00CF6E40" w:rsidRPr="00424938" w14:paraId="4C73307E"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31805EBD" w14:textId="77777777" w:rsidR="00CF6E40" w:rsidRPr="00424938" w:rsidRDefault="00CF6E40" w:rsidP="004B5CD1">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14:paraId="24BF4983" w14:textId="77777777" w:rsidR="00CF6E40" w:rsidRPr="00424938" w:rsidRDefault="00CF6E40" w:rsidP="004B5CD1">
            <w:pPr>
              <w:pStyle w:val="TableDataEntries"/>
              <w:jc w:val="left"/>
            </w:pPr>
            <w:r w:rsidRPr="00424938">
              <w:t>Straight stairs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973D9B1" w14:textId="77777777" w:rsidR="00CF6E40" w:rsidRPr="00424938" w:rsidRDefault="00CF6E40" w:rsidP="004B5CD1">
            <w:pPr>
              <w:pStyle w:val="TableDataEntries"/>
            </w:pPr>
            <w:r w:rsidRPr="00424938">
              <w:t>12.4%</w:t>
            </w:r>
          </w:p>
        </w:tc>
      </w:tr>
      <w:tr w:rsidR="00CF6E40" w:rsidRPr="00424938" w14:paraId="6052E414"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7A183FC4" w14:textId="77777777" w:rsidR="00CF6E40" w:rsidRPr="00424938" w:rsidRDefault="00CF6E40" w:rsidP="004B5CD1">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14:paraId="0F5334EC" w14:textId="77777777" w:rsidR="00CF6E40" w:rsidRPr="00424938" w:rsidRDefault="00CF6E40" w:rsidP="004B5CD1">
            <w:pPr>
              <w:pStyle w:val="TableDataEntries"/>
              <w:jc w:val="left"/>
            </w:pPr>
            <w:r w:rsidRPr="00424938">
              <w:t>Stairs with a half/quarter turn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0621F8CF" w14:textId="77777777" w:rsidR="00CF6E40" w:rsidRPr="00424938" w:rsidRDefault="00CF6E40" w:rsidP="004B5CD1">
            <w:pPr>
              <w:pStyle w:val="TableDataEntries"/>
            </w:pPr>
            <w:r w:rsidRPr="00424938">
              <w:t>17.7%</w:t>
            </w:r>
          </w:p>
        </w:tc>
      </w:tr>
      <w:tr w:rsidR="00CF6E40" w:rsidRPr="00424938" w14:paraId="6EC02B81" w14:textId="77777777" w:rsidTr="004B5CD1">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14:paraId="6704CD06" w14:textId="77777777" w:rsidR="00CF6E40" w:rsidRPr="00424938" w:rsidRDefault="00CF6E40" w:rsidP="004B5CD1">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14:paraId="3E3A3F63" w14:textId="77777777" w:rsidR="00CF6E40" w:rsidRPr="00424938" w:rsidRDefault="00CF6E40" w:rsidP="004B5CD1">
            <w:pPr>
              <w:pStyle w:val="TableDataEntries"/>
              <w:jc w:val="left"/>
            </w:pPr>
            <w:r w:rsidRPr="00424938">
              <w:t>Curved/spiral stairs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14:paraId="5B9E9B7F" w14:textId="77777777" w:rsidR="00CF6E40" w:rsidRPr="00424938" w:rsidRDefault="00CF6E40" w:rsidP="004B5CD1">
            <w:pPr>
              <w:pStyle w:val="TableDataEntries"/>
            </w:pPr>
            <w:r w:rsidRPr="00424938">
              <w:t>4.4%</w:t>
            </w:r>
          </w:p>
        </w:tc>
      </w:tr>
      <w:tr w:rsidR="00CF6E40" w:rsidRPr="00424938" w14:paraId="7599E0C0" w14:textId="77777777" w:rsidTr="004B5CD1">
        <w:trPr>
          <w:trHeight w:val="300"/>
        </w:trPr>
        <w:tc>
          <w:tcPr>
            <w:tcW w:w="993" w:type="dxa"/>
            <w:tcBorders>
              <w:top w:val="single" w:sz="8" w:space="0" w:color="FFFFFF" w:themeColor="background1"/>
              <w:bottom w:val="single" w:sz="4" w:space="0" w:color="6F6652" w:themeColor="accent5"/>
            </w:tcBorders>
            <w:shd w:val="clear" w:color="auto" w:fill="E9E8E5" w:themeFill="background2"/>
          </w:tcPr>
          <w:p w14:paraId="5D51E1EE" w14:textId="77777777" w:rsidR="00CF6E40" w:rsidRPr="00424938" w:rsidRDefault="00CF6E40" w:rsidP="004B5CD1">
            <w:pPr>
              <w:pStyle w:val="TableDataEntries"/>
              <w:jc w:val="left"/>
            </w:pPr>
            <w:r w:rsidRPr="00221F83">
              <w:t>Q7</w:t>
            </w:r>
          </w:p>
        </w:tc>
        <w:tc>
          <w:tcPr>
            <w:tcW w:w="5244" w:type="dxa"/>
            <w:tcBorders>
              <w:top w:val="single" w:sz="8" w:space="0" w:color="FFFFFF" w:themeColor="background1"/>
              <w:bottom w:val="single" w:sz="4" w:space="0" w:color="6F6652" w:themeColor="accent5"/>
            </w:tcBorders>
            <w:shd w:val="clear" w:color="auto" w:fill="E9E8E5" w:themeFill="background2"/>
          </w:tcPr>
          <w:p w14:paraId="29556139" w14:textId="77777777" w:rsidR="00CF6E40" w:rsidRPr="00424938" w:rsidRDefault="00CF6E40" w:rsidP="004B5CD1">
            <w:pPr>
              <w:pStyle w:val="TableDataEntries"/>
              <w:jc w:val="left"/>
            </w:pPr>
            <w:r w:rsidRPr="00424938">
              <w:t>No stairs</w:t>
            </w:r>
          </w:p>
        </w:tc>
        <w:tc>
          <w:tcPr>
            <w:tcW w:w="1700" w:type="dxa"/>
            <w:tcBorders>
              <w:top w:val="single" w:sz="8" w:space="0" w:color="FFFFFF" w:themeColor="background1"/>
              <w:bottom w:val="single" w:sz="4" w:space="0" w:color="6F6652" w:themeColor="accent5"/>
            </w:tcBorders>
            <w:shd w:val="clear" w:color="auto" w:fill="E9E8E5" w:themeFill="background2"/>
            <w:hideMark/>
          </w:tcPr>
          <w:p w14:paraId="4B7F818D" w14:textId="77777777" w:rsidR="00CF6E40" w:rsidRPr="00424938" w:rsidRDefault="00CF6E40" w:rsidP="004B5CD1">
            <w:pPr>
              <w:pStyle w:val="TableDataEntries"/>
            </w:pPr>
            <w:r w:rsidRPr="00424938">
              <w:t>67.6%</w:t>
            </w:r>
          </w:p>
        </w:tc>
      </w:tr>
    </w:tbl>
    <w:p w14:paraId="2B50207C" w14:textId="77777777" w:rsidR="00CF6E40" w:rsidRPr="00AF30DA" w:rsidRDefault="00CF6E40" w:rsidP="00CF6E40">
      <w:pPr>
        <w:pStyle w:val="Note"/>
        <w:rPr>
          <w:iCs/>
        </w:rPr>
      </w:pPr>
      <w:r w:rsidRPr="00AF30DA">
        <w:rPr>
          <w:iCs/>
        </w:rPr>
        <w:t xml:space="preserve">Note: </w:t>
      </w:r>
    </w:p>
    <w:p w14:paraId="3BFAFCE7" w14:textId="77777777" w:rsidR="00CF6E40" w:rsidRPr="00AF30DA" w:rsidRDefault="00CF6E40" w:rsidP="00CF6E40">
      <w:pPr>
        <w:pStyle w:val="TableListBullet"/>
        <w:rPr>
          <w:iCs/>
        </w:rPr>
      </w:pPr>
      <w:r w:rsidRPr="00AF30DA">
        <w:rPr>
          <w:iCs/>
        </w:rPr>
        <w:t>Q1: Path to entrance</w:t>
      </w:r>
    </w:p>
    <w:p w14:paraId="26C50B2D" w14:textId="77777777" w:rsidR="00CF6E40" w:rsidRPr="00AF30DA" w:rsidRDefault="00CF6E40" w:rsidP="00CF6E40">
      <w:pPr>
        <w:pStyle w:val="TableListBullet"/>
        <w:rPr>
          <w:iCs/>
        </w:rPr>
      </w:pPr>
      <w:r w:rsidRPr="00AF30DA">
        <w:rPr>
          <w:iCs/>
        </w:rPr>
        <w:t>Q2: Door opening width</w:t>
      </w:r>
    </w:p>
    <w:p w14:paraId="704A8E58" w14:textId="77777777" w:rsidR="00CF6E40" w:rsidRPr="00AF30DA" w:rsidRDefault="00CF6E40" w:rsidP="00CF6E40">
      <w:pPr>
        <w:pStyle w:val="TableListBullet"/>
        <w:rPr>
          <w:iCs/>
        </w:rPr>
      </w:pPr>
      <w:r w:rsidRPr="00AF30DA">
        <w:rPr>
          <w:iCs/>
        </w:rPr>
        <w:t>Q3: Would you say your current home has enough space for turning a wheelchair in corridors, bathrooms, kitchen and laundry? (If unsure, please make an educated guess)</w:t>
      </w:r>
    </w:p>
    <w:p w14:paraId="7743AD5E" w14:textId="77777777" w:rsidR="00CF6E40" w:rsidRPr="00AF30DA" w:rsidRDefault="00CF6E40" w:rsidP="00CF6E40">
      <w:pPr>
        <w:pStyle w:val="TableListBullet"/>
        <w:rPr>
          <w:iCs/>
        </w:rPr>
      </w:pPr>
      <w:r w:rsidRPr="00AF30DA">
        <w:rPr>
          <w:iCs/>
        </w:rPr>
        <w:t>Q4: Shower entry</w:t>
      </w:r>
    </w:p>
    <w:p w14:paraId="7A5EE276" w14:textId="77777777" w:rsidR="00CF6E40" w:rsidRPr="00AF30DA" w:rsidRDefault="00CF6E40" w:rsidP="00CF6E40">
      <w:pPr>
        <w:pStyle w:val="TableListBullet"/>
        <w:rPr>
          <w:iCs/>
        </w:rPr>
      </w:pPr>
      <w:r w:rsidRPr="00AF30DA">
        <w:rPr>
          <w:iCs/>
        </w:rPr>
        <w:t>Q5: Does your current home have a toilet on the same level as an entrance?</w:t>
      </w:r>
    </w:p>
    <w:p w14:paraId="2522B7B0" w14:textId="77777777" w:rsidR="00CF6E40" w:rsidRPr="00AF30DA" w:rsidRDefault="00CF6E40" w:rsidP="00CF6E40">
      <w:pPr>
        <w:pStyle w:val="TableListBullet"/>
        <w:rPr>
          <w:iCs/>
        </w:rPr>
      </w:pPr>
      <w:r w:rsidRPr="00AF30DA">
        <w:rPr>
          <w:iCs/>
        </w:rPr>
        <w:t>Q6: Does your current home have a shower on the same level as an entrance?</w:t>
      </w:r>
    </w:p>
    <w:p w14:paraId="3FEDA74A" w14:textId="77777777" w:rsidR="00CF6E40" w:rsidRPr="00AF30DA" w:rsidRDefault="00CF6E40" w:rsidP="00CF6E40">
      <w:pPr>
        <w:pStyle w:val="TableListBullet"/>
        <w:rPr>
          <w:iCs/>
        </w:rPr>
      </w:pPr>
      <w:r w:rsidRPr="00AF30DA">
        <w:rPr>
          <w:iCs/>
        </w:rPr>
        <w:t>Q7: Which type of indoor stairs, if any, does your current home have?</w:t>
      </w:r>
    </w:p>
    <w:p w14:paraId="1B379F3F" w14:textId="77777777" w:rsidR="00CF6E40" w:rsidRPr="00AF30DA" w:rsidRDefault="00CF6E40" w:rsidP="00CF6E40">
      <w:pPr>
        <w:pStyle w:val="Source"/>
        <w:rPr>
          <w:iCs/>
        </w:rPr>
      </w:pPr>
      <w:r w:rsidRPr="00AF30DA">
        <w:rPr>
          <w:iCs/>
        </w:rPr>
        <w:t>Source: CIE.</w:t>
      </w:r>
    </w:p>
    <w:p w14:paraId="3FE4F3CD" w14:textId="77777777" w:rsidR="00CF6E40" w:rsidRPr="004B79EC" w:rsidRDefault="00CF6E40" w:rsidP="004B79EC">
      <w:pPr>
        <w:pStyle w:val="Heading2-Appendix"/>
      </w:pPr>
      <w:r w:rsidRPr="004B79EC">
        <w:t>Willingness to pay for accessibility features in own home</w:t>
      </w:r>
    </w:p>
    <w:p w14:paraId="4D69D6FD" w14:textId="77777777" w:rsidR="00CF6E40" w:rsidRDefault="00CF6E40" w:rsidP="00CF6E40">
      <w:pPr>
        <w:pStyle w:val="BodyText"/>
        <w:rPr>
          <w:lang w:eastAsia="en-US"/>
        </w:rPr>
      </w:pPr>
      <w:r>
        <w:rPr>
          <w:lang w:eastAsia="en-US"/>
        </w:rPr>
        <w:t xml:space="preserve">In consultation with </w:t>
      </w:r>
      <w:r w:rsidR="00F442D4">
        <w:rPr>
          <w:lang w:eastAsia="en-US"/>
        </w:rPr>
        <w:t xml:space="preserve">the </w:t>
      </w:r>
      <w:r>
        <w:rPr>
          <w:lang w:eastAsia="en-US"/>
        </w:rPr>
        <w:t>peer review</w:t>
      </w:r>
      <w:r w:rsidR="00960FA0">
        <w:rPr>
          <w:lang w:eastAsia="en-US"/>
        </w:rPr>
        <w:t>er</w:t>
      </w:r>
      <w:r>
        <w:rPr>
          <w:lang w:eastAsia="en-US"/>
        </w:rPr>
        <w:t xml:space="preserve">, Professor Riccardo Scarpa, </w:t>
      </w:r>
      <w:r w:rsidR="00F442D4">
        <w:rPr>
          <w:lang w:eastAsia="en-US"/>
        </w:rPr>
        <w:t>CIE</w:t>
      </w:r>
      <w:r>
        <w:rPr>
          <w:lang w:eastAsia="en-US"/>
        </w:rPr>
        <w:t xml:space="preserve"> tested a range of models for different techniques and specifications, which were not ultimately used in </w:t>
      </w:r>
      <w:r w:rsidR="0078727B">
        <w:rPr>
          <w:lang w:eastAsia="en-US"/>
        </w:rPr>
        <w:t xml:space="preserve">the </w:t>
      </w:r>
      <w:r>
        <w:rPr>
          <w:lang w:eastAsia="en-US"/>
        </w:rPr>
        <w:t>final model, including:</w:t>
      </w:r>
    </w:p>
    <w:p w14:paraId="706987BE" w14:textId="77777777" w:rsidR="00CF6E40" w:rsidRDefault="00CF6E40" w:rsidP="00CF6E40">
      <w:pPr>
        <w:pStyle w:val="ListBullet"/>
        <w:numPr>
          <w:ilvl w:val="0"/>
          <w:numId w:val="16"/>
        </w:numPr>
        <w:rPr>
          <w:lang w:eastAsia="en-US"/>
        </w:rPr>
      </w:pPr>
      <w:r>
        <w:rPr>
          <w:lang w:eastAsia="en-US"/>
        </w:rPr>
        <w:t>Models estimated in WTP-space, which would not achieve convergence due to flat log-likelihood functions</w:t>
      </w:r>
    </w:p>
    <w:p w14:paraId="1B896A14" w14:textId="77777777" w:rsidR="00CF6E40" w:rsidRDefault="00CF6E40" w:rsidP="00CF6E40">
      <w:pPr>
        <w:pStyle w:val="ListBullet"/>
        <w:numPr>
          <w:ilvl w:val="0"/>
          <w:numId w:val="16"/>
        </w:numPr>
        <w:rPr>
          <w:lang w:eastAsia="en-US"/>
        </w:rPr>
      </w:pPr>
      <w:r>
        <w:rPr>
          <w:lang w:eastAsia="en-US"/>
        </w:rPr>
        <w:t>Mixed logit models, which did not appear to capture the bi-modal nature of the distribution of preferences, despite the inclusion of interactions with respondent characteristics to shift the means of random parameters</w:t>
      </w:r>
    </w:p>
    <w:p w14:paraId="01B74408" w14:textId="77777777" w:rsidR="00CF6E40" w:rsidRDefault="00CF6E40" w:rsidP="00CF6E40">
      <w:pPr>
        <w:pStyle w:val="ListBullet"/>
        <w:numPr>
          <w:ilvl w:val="0"/>
          <w:numId w:val="16"/>
        </w:numPr>
        <w:rPr>
          <w:lang w:eastAsia="en-US"/>
        </w:rPr>
      </w:pPr>
      <w:r>
        <w:rPr>
          <w:lang w:eastAsia="en-US"/>
        </w:rPr>
        <w:t>Interactions between the price variable and various thresholds related to the respondent reference price and to price itself (a quadratic term), some of which were significant but caused sign reversals and outliers when calculating WTP at an individual respondent level</w:t>
      </w:r>
    </w:p>
    <w:p w14:paraId="6EB9944F" w14:textId="77777777" w:rsidR="00CF6E40" w:rsidRDefault="00CF6E40" w:rsidP="00CF6E40">
      <w:pPr>
        <w:pStyle w:val="ListBullet"/>
        <w:numPr>
          <w:ilvl w:val="0"/>
          <w:numId w:val="16"/>
        </w:numPr>
        <w:rPr>
          <w:lang w:eastAsia="en-US"/>
        </w:rPr>
      </w:pPr>
      <w:r>
        <w:rPr>
          <w:lang w:eastAsia="en-US"/>
        </w:rPr>
        <w:t>Pooling buyers and renters in the same model, with appropriate interaction terms, which was abandoned given the likelihood of differences in scale between the two groups</w:t>
      </w:r>
    </w:p>
    <w:p w14:paraId="607B9DC0" w14:textId="77777777" w:rsidR="00CF6E40" w:rsidRDefault="00CF6E40" w:rsidP="00CF6E40">
      <w:pPr>
        <w:pStyle w:val="ListBullet"/>
        <w:numPr>
          <w:ilvl w:val="0"/>
          <w:numId w:val="16"/>
        </w:numPr>
        <w:rPr>
          <w:lang w:eastAsia="en-US"/>
        </w:rPr>
      </w:pPr>
      <w:r>
        <w:rPr>
          <w:lang w:eastAsia="en-US"/>
        </w:rPr>
        <w:t>Interactions between the accessibility features, which tended to be insignificant, noting that the ‘modifications’ feature is effectively an interaction indicating the provision of all three of the other accessibility features in the model.</w:t>
      </w:r>
    </w:p>
    <w:p w14:paraId="015FB3AF" w14:textId="77777777" w:rsidR="00CF6E40" w:rsidRPr="004D4096" w:rsidRDefault="00CF6E40" w:rsidP="00CF6E40">
      <w:pPr>
        <w:pStyle w:val="BodyText"/>
        <w:rPr>
          <w:lang w:eastAsia="en-US"/>
        </w:rPr>
      </w:pPr>
      <w:r w:rsidRPr="004D4096">
        <w:rPr>
          <w:lang w:eastAsia="en-US"/>
        </w:rPr>
        <w:t xml:space="preserve">The choice questions included prices calculated as a function of the midpoint of the price range in which the respondent indicated they would be shopping for a new home. To overcome concerns about endogeneity, </w:t>
      </w:r>
      <w:r w:rsidR="00F442D4" w:rsidRPr="004D4096">
        <w:rPr>
          <w:lang w:eastAsia="en-US"/>
        </w:rPr>
        <w:t xml:space="preserve">CIE </w:t>
      </w:r>
      <w:r w:rsidRPr="004D4096">
        <w:rPr>
          <w:lang w:eastAsia="en-US"/>
        </w:rPr>
        <w:t xml:space="preserve">used an instrumental variable. The price variable included in the final model measures the prices shown in the choice options as a proportion of the reference price midpoint predicted for each respondent using the ordinary-least squares regressions shown in table K.9. The upper and lower bounds of the 95 per cent confidence intervals of the predictions were used to test sensitivity. </w:t>
      </w:r>
      <w:r w:rsidR="00F442D4" w:rsidRPr="004D4096">
        <w:rPr>
          <w:lang w:eastAsia="en-US"/>
        </w:rPr>
        <w:t xml:space="preserve">CIE </w:t>
      </w:r>
      <w:r w:rsidRPr="004D4096">
        <w:rPr>
          <w:lang w:eastAsia="en-US"/>
        </w:rPr>
        <w:t xml:space="preserve">use the upper bound in </w:t>
      </w:r>
      <w:r w:rsidR="00D96D87" w:rsidRPr="004D4096">
        <w:rPr>
          <w:lang w:eastAsia="en-US"/>
        </w:rPr>
        <w:t>the</w:t>
      </w:r>
      <w:r w:rsidRPr="004D4096">
        <w:rPr>
          <w:lang w:eastAsia="en-US"/>
        </w:rPr>
        <w:t xml:space="preserve"> central model as a conservative approach given the potential for hypothetical bias to inflate WTP estimates.</w:t>
      </w:r>
    </w:p>
    <w:p w14:paraId="4F7CE763" w14:textId="55F987BA" w:rsidR="00CF6E40" w:rsidRPr="004D4096" w:rsidRDefault="00390CDB" w:rsidP="00CF6E40">
      <w:pPr>
        <w:pStyle w:val="Caption"/>
      </w:pPr>
      <w:bookmarkStart w:id="945" w:name="_Toc44598639"/>
      <w:bookmarkStart w:id="946" w:name="_Toc45654270"/>
      <w:bookmarkStart w:id="947" w:name="_Toc57643739"/>
      <w:bookmarkStart w:id="948" w:name="_Toc70505692"/>
      <w:r>
        <w:t>K.9</w:t>
      </w:r>
      <w:r w:rsidR="00CF6E40" w:rsidRPr="004D4096">
        <w:tab/>
        <w:t>Models for predicting respondent reference prices</w:t>
      </w:r>
      <w:bookmarkEnd w:id="945"/>
      <w:bookmarkEnd w:id="946"/>
      <w:bookmarkEnd w:id="947"/>
      <w:bookmarkEnd w:id="948"/>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9: Models for predicting respondent reference prices"/>
        <w:tblDescription w:val="Table K.9 lists the models for predicting respondent reference prices in various locations, and by factors including household type and income."/>
      </w:tblPr>
      <w:tblGrid>
        <w:gridCol w:w="3828"/>
        <w:gridCol w:w="992"/>
        <w:gridCol w:w="1134"/>
        <w:gridCol w:w="1166"/>
        <w:gridCol w:w="960"/>
      </w:tblGrid>
      <w:tr w:rsidR="00CF6E40" w:rsidRPr="004D4096" w14:paraId="73E35032" w14:textId="77777777" w:rsidTr="004B5CD1">
        <w:trPr>
          <w:trHeight w:val="250"/>
          <w:tblHeader/>
        </w:trPr>
        <w:tc>
          <w:tcPr>
            <w:tcW w:w="3828" w:type="dxa"/>
            <w:shd w:val="clear" w:color="auto" w:fill="6F6652" w:themeFill="accent5"/>
            <w:noWrap/>
            <w:hideMark/>
          </w:tcPr>
          <w:p w14:paraId="05C59E41" w14:textId="77777777" w:rsidR="00CF6E40" w:rsidRPr="004D4096" w:rsidRDefault="00CF6E40" w:rsidP="004B5CD1">
            <w:pPr>
              <w:pStyle w:val="TableDataColumnHeading"/>
              <w:jc w:val="left"/>
            </w:pPr>
            <w:r w:rsidRPr="004D4096">
              <w:t>Variable</w:t>
            </w:r>
          </w:p>
        </w:tc>
        <w:tc>
          <w:tcPr>
            <w:tcW w:w="992" w:type="dxa"/>
            <w:shd w:val="clear" w:color="auto" w:fill="6F6652" w:themeFill="accent5"/>
            <w:noWrap/>
            <w:hideMark/>
          </w:tcPr>
          <w:p w14:paraId="0954E807" w14:textId="77777777" w:rsidR="00CF6E40" w:rsidRPr="004D4096" w:rsidRDefault="00CF6E40" w:rsidP="004B5CD1">
            <w:pPr>
              <w:pStyle w:val="TableDataColumnHeading"/>
            </w:pPr>
            <w:r w:rsidRPr="004D4096">
              <w:t>Renters</w:t>
            </w:r>
          </w:p>
          <w:p w14:paraId="195601CD" w14:textId="77777777" w:rsidR="00CF6E40" w:rsidRPr="004D4096" w:rsidRDefault="00CF6E40" w:rsidP="004B5CD1">
            <w:pPr>
              <w:pStyle w:val="TableDataColumnHeading"/>
            </w:pPr>
            <w:r w:rsidRPr="004D4096">
              <w:t>(Coef.)</w:t>
            </w:r>
          </w:p>
        </w:tc>
        <w:tc>
          <w:tcPr>
            <w:tcW w:w="1134" w:type="dxa"/>
            <w:shd w:val="clear" w:color="auto" w:fill="6F6652" w:themeFill="accent5"/>
            <w:noWrap/>
            <w:hideMark/>
          </w:tcPr>
          <w:p w14:paraId="138FE43A" w14:textId="77777777" w:rsidR="00CF6E40" w:rsidRPr="004D4096" w:rsidRDefault="00CF6E40" w:rsidP="004B5CD1">
            <w:pPr>
              <w:pStyle w:val="TableDataColumnHeading"/>
            </w:pPr>
            <w:r w:rsidRPr="004D4096">
              <w:t>Renter</w:t>
            </w:r>
          </w:p>
          <w:p w14:paraId="123334E1" w14:textId="77777777" w:rsidR="00CF6E40" w:rsidRPr="004D4096" w:rsidRDefault="00CF6E40" w:rsidP="004B5CD1">
            <w:pPr>
              <w:pStyle w:val="TableDataColumnHeading"/>
            </w:pPr>
            <w:r w:rsidRPr="004D4096">
              <w:t>(Z value)</w:t>
            </w:r>
          </w:p>
        </w:tc>
        <w:tc>
          <w:tcPr>
            <w:tcW w:w="1166" w:type="dxa"/>
            <w:shd w:val="clear" w:color="auto" w:fill="6F6652" w:themeFill="accent5"/>
            <w:noWrap/>
            <w:hideMark/>
          </w:tcPr>
          <w:p w14:paraId="51804ADE" w14:textId="77777777" w:rsidR="00CF6E40" w:rsidRPr="004D4096" w:rsidRDefault="00CF6E40" w:rsidP="004B5CD1">
            <w:pPr>
              <w:pStyle w:val="TableDataColumnHeading"/>
            </w:pPr>
            <w:r w:rsidRPr="004D4096">
              <w:t>Buyers</w:t>
            </w:r>
          </w:p>
          <w:p w14:paraId="41C50A27" w14:textId="77777777" w:rsidR="00CF6E40" w:rsidRPr="004D4096" w:rsidRDefault="00CF6E40" w:rsidP="004B5CD1">
            <w:pPr>
              <w:pStyle w:val="TableDataColumnHeading"/>
            </w:pPr>
            <w:r w:rsidRPr="004D4096">
              <w:t>(Coef.)</w:t>
            </w:r>
          </w:p>
        </w:tc>
        <w:tc>
          <w:tcPr>
            <w:tcW w:w="960" w:type="dxa"/>
            <w:shd w:val="clear" w:color="auto" w:fill="6F6652" w:themeFill="accent5"/>
            <w:noWrap/>
            <w:hideMark/>
          </w:tcPr>
          <w:p w14:paraId="3F235C66" w14:textId="77777777" w:rsidR="00CF6E40" w:rsidRPr="004D4096" w:rsidRDefault="00CF6E40" w:rsidP="004B5CD1">
            <w:pPr>
              <w:pStyle w:val="TableDataColumnHeading"/>
            </w:pPr>
            <w:r w:rsidRPr="004D4096">
              <w:t>Buyers</w:t>
            </w:r>
          </w:p>
          <w:p w14:paraId="4A9C93EA" w14:textId="77777777" w:rsidR="00CF6E40" w:rsidRPr="004D4096" w:rsidRDefault="00CF6E40" w:rsidP="004B5CD1">
            <w:pPr>
              <w:pStyle w:val="TableDataColumnHeading"/>
            </w:pPr>
            <w:r w:rsidRPr="004D4096">
              <w:t>(Z value)</w:t>
            </w:r>
          </w:p>
        </w:tc>
      </w:tr>
      <w:tr w:rsidR="00CF6E40" w:rsidRPr="004D4096" w14:paraId="7F0D8D21"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2888659" w14:textId="77777777" w:rsidR="00CF6E40" w:rsidRPr="004D4096" w:rsidRDefault="00CF6E40" w:rsidP="004B5CD1">
            <w:pPr>
              <w:pStyle w:val="TableDataEntries"/>
              <w:jc w:val="left"/>
            </w:pPr>
            <w:r w:rsidRPr="004D4096">
              <w:t>Age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7A96EBA8" w14:textId="77777777" w:rsidR="00CF6E40" w:rsidRPr="004D4096" w:rsidRDefault="00CF6E40" w:rsidP="004B5CD1">
            <w:pPr>
              <w:pStyle w:val="TableDataEntries"/>
            </w:pPr>
            <w:r w:rsidRPr="004D4096">
              <w:t>2.09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0ADB7875" w14:textId="77777777" w:rsidR="00CF6E40" w:rsidRPr="004D4096" w:rsidRDefault="00CF6E40" w:rsidP="004B5CD1">
            <w:pPr>
              <w:pStyle w:val="TableDataEntries"/>
            </w:pPr>
            <w:r w:rsidRPr="004D4096">
              <w:t>4.17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0A8CDB0" w14:textId="77777777" w:rsidR="00CF6E40" w:rsidRPr="004D4096" w:rsidRDefault="00CF6E40" w:rsidP="004B5CD1">
            <w:pPr>
              <w:pStyle w:val="TableDataEntries"/>
            </w:pPr>
            <w:r w:rsidRPr="004D4096">
              <w:t>-1 056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06E7A0B9" w14:textId="77777777" w:rsidR="00CF6E40" w:rsidRPr="004D4096" w:rsidRDefault="00CF6E40" w:rsidP="004B5CD1">
            <w:pPr>
              <w:pStyle w:val="TableDataEntries"/>
            </w:pPr>
            <w:r w:rsidRPr="004D4096">
              <w:t>-1.31</w:t>
            </w:r>
          </w:p>
        </w:tc>
      </w:tr>
      <w:tr w:rsidR="00CF6E40" w:rsidRPr="004D4096" w14:paraId="03DB7644"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45EC2678" w14:textId="77777777" w:rsidR="00CF6E40" w:rsidRPr="004D4096" w:rsidRDefault="00CF6E40" w:rsidP="004B5CD1">
            <w:pPr>
              <w:pStyle w:val="TableDataEntries"/>
              <w:jc w:val="left"/>
            </w:pPr>
            <w:r w:rsidRPr="004D4096">
              <w:t>Age squared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0F8CB0A0" w14:textId="77777777" w:rsidR="00CF6E40" w:rsidRPr="004D4096" w:rsidRDefault="00CF6E40" w:rsidP="004B5CD1">
            <w:pPr>
              <w:pStyle w:val="TableDataEntries"/>
            </w:pPr>
            <w:r w:rsidRPr="004D4096">
              <w:t>-0.02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360943D" w14:textId="77777777" w:rsidR="00CF6E40" w:rsidRPr="004D4096" w:rsidRDefault="00CF6E40" w:rsidP="004B5CD1">
            <w:pPr>
              <w:pStyle w:val="TableDataEntries"/>
            </w:pPr>
            <w:r w:rsidRPr="004D4096">
              <w:t>-4.46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4B239EC8" w14:textId="77777777" w:rsidR="00CF6E40" w:rsidRPr="004D4096" w:rsidRDefault="00CF6E40" w:rsidP="004B5CD1">
            <w:pPr>
              <w:pStyle w:val="TableDataEntries"/>
            </w:pPr>
            <w:r w:rsidRPr="004D4096">
              <w:t>22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308F4875" w14:textId="77777777" w:rsidR="00CF6E40" w:rsidRPr="004D4096" w:rsidRDefault="00CF6E40" w:rsidP="004B5CD1">
            <w:pPr>
              <w:pStyle w:val="TableDataEntries"/>
            </w:pPr>
            <w:r w:rsidRPr="004D4096">
              <w:t>2.75</w:t>
            </w:r>
          </w:p>
        </w:tc>
      </w:tr>
      <w:tr w:rsidR="00CF6E40" w:rsidRPr="004D4096" w14:paraId="12A9E173"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554C64E" w14:textId="77777777" w:rsidR="00CF6E40" w:rsidRPr="004D4096" w:rsidRDefault="00CF6E40" w:rsidP="004B5CD1">
            <w:pPr>
              <w:pStyle w:val="TableDataEntries"/>
              <w:jc w:val="left"/>
            </w:pPr>
            <w:r w:rsidRPr="004D4096">
              <w:t>NSW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70484944" w14:textId="77777777" w:rsidR="00CF6E40" w:rsidRPr="004D4096" w:rsidRDefault="00CF6E40" w:rsidP="004B5CD1">
            <w:pPr>
              <w:pStyle w:val="TableDataEntries"/>
            </w:pPr>
            <w:r w:rsidRPr="004D4096">
              <w:t>-47.58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02FB8FB" w14:textId="77777777" w:rsidR="00CF6E40" w:rsidRPr="004D4096" w:rsidRDefault="00CF6E40" w:rsidP="004B5CD1">
            <w:pPr>
              <w:pStyle w:val="TableDataEntries"/>
            </w:pPr>
            <w:r w:rsidRPr="004D4096">
              <w:t>-8.07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61D831A6" w14:textId="77777777" w:rsidR="00CF6E40" w:rsidRPr="004D4096" w:rsidRDefault="00CF6E40" w:rsidP="004B5CD1">
            <w:pPr>
              <w:pStyle w:val="TableDataEntries"/>
            </w:pPr>
            <w:r w:rsidRPr="004D4096">
              <w:t>-273 329</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3DF59D8C" w14:textId="77777777" w:rsidR="00CF6E40" w:rsidRPr="004D4096" w:rsidRDefault="00CF6E40" w:rsidP="004B5CD1">
            <w:pPr>
              <w:pStyle w:val="TableDataEntries"/>
            </w:pPr>
            <w:r w:rsidRPr="004D4096">
              <w:t>-29.73</w:t>
            </w:r>
          </w:p>
        </w:tc>
      </w:tr>
      <w:tr w:rsidR="00CF6E40" w:rsidRPr="004D4096" w14:paraId="5E97A673"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A3AA73C" w14:textId="77777777" w:rsidR="00CF6E40" w:rsidRPr="004D4096" w:rsidRDefault="00CF6E40" w:rsidP="004B5CD1">
            <w:pPr>
              <w:pStyle w:val="TableDataEntries"/>
              <w:jc w:val="left"/>
            </w:pPr>
            <w:r w:rsidRPr="004D4096">
              <w:t>Victoria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72E73F3" w14:textId="77777777" w:rsidR="00CF6E40" w:rsidRPr="004D4096" w:rsidRDefault="00CF6E40" w:rsidP="004B5CD1">
            <w:pPr>
              <w:pStyle w:val="TableDataEntries"/>
            </w:pPr>
            <w:r w:rsidRPr="004D4096">
              <w:t>-30.24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C23123C" w14:textId="77777777" w:rsidR="00CF6E40" w:rsidRPr="004D4096" w:rsidRDefault="00CF6E40" w:rsidP="004B5CD1">
            <w:pPr>
              <w:pStyle w:val="TableDataEntries"/>
            </w:pPr>
            <w:r w:rsidRPr="004D4096">
              <w:t>-5.75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587F6348" w14:textId="77777777" w:rsidR="00CF6E40" w:rsidRPr="004D4096" w:rsidRDefault="00CF6E40" w:rsidP="004B5CD1">
            <w:pPr>
              <w:pStyle w:val="TableDataEntries"/>
            </w:pPr>
            <w:r w:rsidRPr="004D4096">
              <w:t>-149 886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2A10B90B" w14:textId="77777777" w:rsidR="00CF6E40" w:rsidRPr="004D4096" w:rsidRDefault="00CF6E40" w:rsidP="004B5CD1">
            <w:pPr>
              <w:pStyle w:val="TableDataEntries"/>
            </w:pPr>
            <w:r w:rsidRPr="004D4096">
              <w:t>-20.27</w:t>
            </w:r>
          </w:p>
        </w:tc>
      </w:tr>
      <w:tr w:rsidR="00CF6E40" w:rsidRPr="004D4096" w14:paraId="5CA3AADC"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AD9603E" w14:textId="77777777" w:rsidR="00CF6E40" w:rsidRPr="004D4096" w:rsidRDefault="00CF6E40" w:rsidP="004B5CD1">
            <w:pPr>
              <w:pStyle w:val="TableDataEntries"/>
              <w:jc w:val="left"/>
            </w:pPr>
            <w:r w:rsidRPr="004D4096">
              <w:t>Victoria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004E1BE5" w14:textId="77777777" w:rsidR="00CF6E40" w:rsidRPr="004D4096" w:rsidRDefault="00CF6E40" w:rsidP="004B5CD1">
            <w:pPr>
              <w:pStyle w:val="TableDataEntries"/>
            </w:pPr>
            <w:r w:rsidRPr="004D4096">
              <w:t>-101.03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F90CCEC" w14:textId="77777777" w:rsidR="00CF6E40" w:rsidRPr="004D4096" w:rsidRDefault="00CF6E40" w:rsidP="004B5CD1">
            <w:pPr>
              <w:pStyle w:val="TableDataEntries"/>
            </w:pPr>
            <w:r w:rsidRPr="004D4096">
              <w:t>-13.69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01126470" w14:textId="77777777" w:rsidR="00CF6E40" w:rsidRPr="004D4096" w:rsidRDefault="00CF6E40" w:rsidP="004B5CD1">
            <w:pPr>
              <w:pStyle w:val="TableDataEntries"/>
            </w:pPr>
            <w:r w:rsidRPr="004D4096">
              <w:t>-354 320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39A3D15D" w14:textId="77777777" w:rsidR="00CF6E40" w:rsidRPr="004D4096" w:rsidRDefault="00CF6E40" w:rsidP="004B5CD1">
            <w:pPr>
              <w:pStyle w:val="TableDataEntries"/>
            </w:pPr>
            <w:r w:rsidRPr="004D4096">
              <w:t>-30.83</w:t>
            </w:r>
          </w:p>
        </w:tc>
      </w:tr>
      <w:tr w:rsidR="00CF6E40" w:rsidRPr="004D4096" w14:paraId="66B8E22D"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0DDEA992" w14:textId="77777777" w:rsidR="00CF6E40" w:rsidRPr="004D4096" w:rsidRDefault="00CF6E40" w:rsidP="004B5CD1">
            <w:pPr>
              <w:pStyle w:val="TableDataEntries"/>
              <w:jc w:val="left"/>
            </w:pPr>
            <w:r w:rsidRPr="004D4096">
              <w:t>Queensland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321BEBE1" w14:textId="77777777" w:rsidR="00CF6E40" w:rsidRPr="004D4096" w:rsidRDefault="00CF6E40" w:rsidP="004B5CD1">
            <w:pPr>
              <w:pStyle w:val="TableDataEntries"/>
            </w:pPr>
            <w:r w:rsidRPr="004D4096">
              <w:t>-57.34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434E629" w14:textId="77777777" w:rsidR="00CF6E40" w:rsidRPr="004D4096" w:rsidRDefault="00CF6E40" w:rsidP="004B5CD1">
            <w:pPr>
              <w:pStyle w:val="TableDataEntries"/>
            </w:pPr>
            <w:r w:rsidRPr="004D4096">
              <w:t>-9.29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C6EA16A" w14:textId="77777777" w:rsidR="00CF6E40" w:rsidRPr="004D4096" w:rsidRDefault="00CF6E40" w:rsidP="004B5CD1">
            <w:pPr>
              <w:pStyle w:val="TableDataEntries"/>
            </w:pPr>
            <w:r w:rsidRPr="004D4096">
              <w:t>-272 443</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2B33365A" w14:textId="77777777" w:rsidR="00CF6E40" w:rsidRPr="004D4096" w:rsidRDefault="00CF6E40" w:rsidP="004B5CD1">
            <w:pPr>
              <w:pStyle w:val="TableDataEntries"/>
            </w:pPr>
            <w:r w:rsidRPr="004D4096">
              <w:t>-28.31</w:t>
            </w:r>
          </w:p>
        </w:tc>
      </w:tr>
      <w:tr w:rsidR="00CF6E40" w:rsidRPr="004D4096" w14:paraId="66E353C8"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5DC9BD20" w14:textId="77777777" w:rsidR="00CF6E40" w:rsidRPr="004D4096" w:rsidRDefault="00CF6E40" w:rsidP="004B5CD1">
            <w:pPr>
              <w:pStyle w:val="TableDataEntries"/>
              <w:jc w:val="left"/>
            </w:pPr>
            <w:r w:rsidRPr="004D4096">
              <w:t>Queensland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F695A3B" w14:textId="77777777" w:rsidR="00CF6E40" w:rsidRPr="004D4096" w:rsidRDefault="00CF6E40" w:rsidP="004B5CD1">
            <w:pPr>
              <w:pStyle w:val="TableDataEntries"/>
            </w:pPr>
            <w:r w:rsidRPr="004D4096">
              <w:t>-51.56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7B7489A" w14:textId="77777777" w:rsidR="00CF6E40" w:rsidRPr="004D4096" w:rsidRDefault="00CF6E40" w:rsidP="004B5CD1">
            <w:pPr>
              <w:pStyle w:val="TableDataEntries"/>
            </w:pPr>
            <w:r w:rsidRPr="004D4096">
              <w:t>-8.29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3D68F424" w14:textId="77777777" w:rsidR="00CF6E40" w:rsidRPr="004D4096" w:rsidRDefault="00CF6E40" w:rsidP="004B5CD1">
            <w:pPr>
              <w:pStyle w:val="TableDataEntries"/>
            </w:pPr>
            <w:r w:rsidRPr="004D4096">
              <w:t>-321 848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E6AEBC1" w14:textId="77777777" w:rsidR="00CF6E40" w:rsidRPr="004D4096" w:rsidRDefault="00CF6E40" w:rsidP="004B5CD1">
            <w:pPr>
              <w:pStyle w:val="TableDataEntries"/>
            </w:pPr>
            <w:r w:rsidRPr="004D4096">
              <w:t>-34.95</w:t>
            </w:r>
          </w:p>
        </w:tc>
      </w:tr>
      <w:tr w:rsidR="00CF6E40" w:rsidRPr="004D4096" w14:paraId="6675049B"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3A12057C" w14:textId="77777777" w:rsidR="00CF6E40" w:rsidRPr="004D4096" w:rsidRDefault="00CF6E40" w:rsidP="004B5CD1">
            <w:pPr>
              <w:pStyle w:val="TableDataEntries"/>
              <w:jc w:val="left"/>
            </w:pPr>
            <w:r w:rsidRPr="004D4096">
              <w:t>South Australia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60693A1D" w14:textId="77777777" w:rsidR="00CF6E40" w:rsidRPr="004D4096" w:rsidRDefault="00CF6E40" w:rsidP="004B5CD1">
            <w:pPr>
              <w:pStyle w:val="TableDataEntries"/>
            </w:pPr>
            <w:r w:rsidRPr="004D4096">
              <w:t>-78.48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3FE76318" w14:textId="77777777" w:rsidR="00CF6E40" w:rsidRPr="004D4096" w:rsidRDefault="00CF6E40" w:rsidP="004B5CD1">
            <w:pPr>
              <w:pStyle w:val="TableDataEntries"/>
            </w:pPr>
            <w:r w:rsidRPr="004D4096">
              <w:t>-9.56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AD17386" w14:textId="77777777" w:rsidR="00CF6E40" w:rsidRPr="004D4096" w:rsidRDefault="00CF6E40" w:rsidP="004B5CD1">
            <w:pPr>
              <w:pStyle w:val="TableDataEntries"/>
            </w:pPr>
            <w:r w:rsidRPr="004D4096">
              <w:t>-264 691</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4049B36C" w14:textId="77777777" w:rsidR="00CF6E40" w:rsidRPr="004D4096" w:rsidRDefault="00CF6E40" w:rsidP="004B5CD1">
            <w:pPr>
              <w:pStyle w:val="TableDataEntries"/>
            </w:pPr>
            <w:r w:rsidRPr="004D4096">
              <w:t>-24.43</w:t>
            </w:r>
          </w:p>
        </w:tc>
      </w:tr>
      <w:tr w:rsidR="00CF6E40" w:rsidRPr="004D4096" w14:paraId="38CEF236"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323EAE5D" w14:textId="77777777" w:rsidR="00CF6E40" w:rsidRPr="004D4096" w:rsidRDefault="00CF6E40" w:rsidP="004B5CD1">
            <w:pPr>
              <w:pStyle w:val="TableDataEntries"/>
              <w:jc w:val="left"/>
            </w:pPr>
            <w:r w:rsidRPr="004D4096">
              <w:t>South Australia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29B3E986" w14:textId="77777777" w:rsidR="00CF6E40" w:rsidRPr="004D4096" w:rsidRDefault="00CF6E40" w:rsidP="004B5CD1">
            <w:pPr>
              <w:pStyle w:val="TableDataEntries"/>
            </w:pPr>
            <w:r w:rsidRPr="004D4096">
              <w:t>-93.89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61274F2" w14:textId="77777777" w:rsidR="00CF6E40" w:rsidRPr="004D4096" w:rsidRDefault="00CF6E40" w:rsidP="004B5CD1">
            <w:pPr>
              <w:pStyle w:val="TableDataEntries"/>
            </w:pPr>
            <w:r w:rsidRPr="004D4096">
              <w:t>-7.47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3D1D5BC1" w14:textId="77777777" w:rsidR="00CF6E40" w:rsidRPr="004D4096" w:rsidRDefault="00CF6E40" w:rsidP="004B5CD1">
            <w:pPr>
              <w:pStyle w:val="TableDataEntries"/>
            </w:pPr>
            <w:r w:rsidRPr="004D4096">
              <w:t>-404 450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2A55CE10" w14:textId="77777777" w:rsidR="00CF6E40" w:rsidRPr="004D4096" w:rsidRDefault="00CF6E40" w:rsidP="004B5CD1">
            <w:pPr>
              <w:pStyle w:val="TableDataEntries"/>
            </w:pPr>
            <w:r w:rsidRPr="004D4096">
              <w:t>-20.16</w:t>
            </w:r>
          </w:p>
        </w:tc>
      </w:tr>
      <w:tr w:rsidR="00CF6E40" w:rsidRPr="004D4096" w14:paraId="52563663"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62ED682" w14:textId="77777777" w:rsidR="00CF6E40" w:rsidRPr="004D4096" w:rsidRDefault="00CF6E40" w:rsidP="004B5CD1">
            <w:pPr>
              <w:pStyle w:val="TableDataEntries"/>
              <w:jc w:val="left"/>
            </w:pPr>
            <w:r w:rsidRPr="004D4096">
              <w:t>Western Australia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7DE831B5" w14:textId="77777777" w:rsidR="00CF6E40" w:rsidRPr="004D4096" w:rsidRDefault="00CF6E40" w:rsidP="004B5CD1">
            <w:pPr>
              <w:pStyle w:val="TableDataEntries"/>
            </w:pPr>
            <w:r w:rsidRPr="004D4096">
              <w:t>-108.55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FC7EFF4" w14:textId="77777777" w:rsidR="00CF6E40" w:rsidRPr="004D4096" w:rsidRDefault="00CF6E40" w:rsidP="004B5CD1">
            <w:pPr>
              <w:pStyle w:val="TableDataEntries"/>
            </w:pPr>
            <w:r w:rsidRPr="004D4096">
              <w:t>-15.28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444D3F94" w14:textId="77777777" w:rsidR="00CF6E40" w:rsidRPr="004D4096" w:rsidRDefault="00CF6E40" w:rsidP="004B5CD1">
            <w:pPr>
              <w:pStyle w:val="TableDataEntries"/>
            </w:pPr>
            <w:r w:rsidRPr="004D4096">
              <w:t>-295 817</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628CE5BC" w14:textId="77777777" w:rsidR="00CF6E40" w:rsidRPr="004D4096" w:rsidRDefault="00CF6E40" w:rsidP="004B5CD1">
            <w:pPr>
              <w:pStyle w:val="TableDataEntries"/>
            </w:pPr>
            <w:r w:rsidRPr="004D4096">
              <w:t>-31.45</w:t>
            </w:r>
          </w:p>
        </w:tc>
      </w:tr>
      <w:tr w:rsidR="00CF6E40" w:rsidRPr="004D4096" w14:paraId="7D6A591E"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50714CAE" w14:textId="77777777" w:rsidR="00CF6E40" w:rsidRPr="004D4096" w:rsidRDefault="00CF6E40" w:rsidP="004B5CD1">
            <w:pPr>
              <w:pStyle w:val="TableDataEntries"/>
              <w:jc w:val="left"/>
            </w:pPr>
            <w:r w:rsidRPr="004D4096">
              <w:t>Western Australia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25978B73" w14:textId="77777777" w:rsidR="00CF6E40" w:rsidRPr="004D4096" w:rsidRDefault="00CF6E40" w:rsidP="004B5CD1">
            <w:pPr>
              <w:pStyle w:val="TableDataEntries"/>
            </w:pPr>
            <w:r w:rsidRPr="004D4096">
              <w:t>-95.10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1CD8542" w14:textId="77777777" w:rsidR="00CF6E40" w:rsidRPr="004D4096" w:rsidRDefault="00CF6E40" w:rsidP="004B5CD1">
            <w:pPr>
              <w:pStyle w:val="TableDataEntries"/>
            </w:pPr>
            <w:r w:rsidRPr="004D4096">
              <w:t>-7.31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047DFD96" w14:textId="77777777" w:rsidR="00CF6E40" w:rsidRPr="004D4096" w:rsidRDefault="00CF6E40" w:rsidP="004B5CD1">
            <w:pPr>
              <w:pStyle w:val="TableDataEntries"/>
            </w:pPr>
            <w:r w:rsidRPr="004D4096">
              <w:t>-397 572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0761757" w14:textId="77777777" w:rsidR="00CF6E40" w:rsidRPr="004D4096" w:rsidRDefault="00CF6E40" w:rsidP="004B5CD1">
            <w:pPr>
              <w:pStyle w:val="TableDataEntries"/>
            </w:pPr>
            <w:r w:rsidRPr="004D4096">
              <w:t>-19.52</w:t>
            </w:r>
          </w:p>
        </w:tc>
      </w:tr>
      <w:tr w:rsidR="00CF6E40" w:rsidRPr="004D4096" w14:paraId="025862D9"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3E9BF1E" w14:textId="77777777" w:rsidR="00CF6E40" w:rsidRPr="004D4096" w:rsidRDefault="00CF6E40" w:rsidP="004B5CD1">
            <w:pPr>
              <w:pStyle w:val="TableDataEntries"/>
              <w:jc w:val="left"/>
            </w:pPr>
            <w:r w:rsidRPr="004D4096">
              <w:t>Tasmania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6955DF67" w14:textId="77777777" w:rsidR="00CF6E40" w:rsidRPr="004D4096" w:rsidRDefault="00CF6E40" w:rsidP="004B5CD1">
            <w:pPr>
              <w:pStyle w:val="TableDataEntries"/>
            </w:pPr>
            <w:r w:rsidRPr="004D4096">
              <w:t>1.67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1E6855DA" w14:textId="77777777" w:rsidR="00CF6E40" w:rsidRPr="004D4096" w:rsidRDefault="00CF6E40" w:rsidP="004B5CD1">
            <w:pPr>
              <w:pStyle w:val="TableDataEntries"/>
            </w:pPr>
            <w:r w:rsidRPr="004D4096">
              <w:t>0.10</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3B24119" w14:textId="77777777" w:rsidR="00CF6E40" w:rsidRPr="004D4096" w:rsidRDefault="00CF6E40" w:rsidP="004B5CD1">
            <w:pPr>
              <w:pStyle w:val="TableDataEntries"/>
            </w:pPr>
            <w:r w:rsidRPr="004D4096">
              <w:t>-337 678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087818B4" w14:textId="77777777" w:rsidR="00CF6E40" w:rsidRPr="004D4096" w:rsidRDefault="00CF6E40" w:rsidP="004B5CD1">
            <w:pPr>
              <w:pStyle w:val="TableDataEntries"/>
            </w:pPr>
            <w:r w:rsidRPr="004D4096">
              <w:t>-15.59</w:t>
            </w:r>
          </w:p>
        </w:tc>
      </w:tr>
      <w:tr w:rsidR="00CF6E40" w:rsidRPr="004D4096" w14:paraId="01132C02"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3D4CDD1" w14:textId="77777777" w:rsidR="00CF6E40" w:rsidRPr="004D4096" w:rsidRDefault="00CF6E40" w:rsidP="004B5CD1">
            <w:pPr>
              <w:pStyle w:val="TableDataEntries"/>
              <w:jc w:val="left"/>
            </w:pPr>
            <w:r w:rsidRPr="004D4096">
              <w:t>Tasmania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65E87A22" w14:textId="77777777" w:rsidR="00CF6E40" w:rsidRPr="004D4096" w:rsidRDefault="00CF6E40" w:rsidP="004B5CD1">
            <w:pPr>
              <w:pStyle w:val="TableDataEntries"/>
            </w:pPr>
            <w:r w:rsidRPr="004D4096">
              <w:t>-119.77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2A24577" w14:textId="77777777" w:rsidR="00CF6E40" w:rsidRPr="004D4096" w:rsidRDefault="00CF6E40" w:rsidP="004B5CD1">
            <w:pPr>
              <w:pStyle w:val="TableDataEntries"/>
            </w:pPr>
            <w:r w:rsidRPr="004D4096">
              <w:t>-7.98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464FBB46" w14:textId="77777777" w:rsidR="00CF6E40" w:rsidRPr="004D4096" w:rsidRDefault="00CF6E40" w:rsidP="004B5CD1">
            <w:pPr>
              <w:pStyle w:val="TableDataEntries"/>
            </w:pPr>
            <w:r w:rsidRPr="004D4096">
              <w:t>-490 538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BD04C7C" w14:textId="77777777" w:rsidR="00CF6E40" w:rsidRPr="004D4096" w:rsidRDefault="00CF6E40" w:rsidP="004B5CD1">
            <w:pPr>
              <w:pStyle w:val="TableDataEntries"/>
            </w:pPr>
            <w:r w:rsidRPr="004D4096">
              <w:t>-22.47</w:t>
            </w:r>
          </w:p>
        </w:tc>
      </w:tr>
      <w:tr w:rsidR="00CF6E40" w:rsidRPr="004D4096" w14:paraId="0E4F5E7D"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578BFF0C" w14:textId="77777777" w:rsidR="00CF6E40" w:rsidRPr="004D4096" w:rsidRDefault="00CF6E40" w:rsidP="004B5CD1">
            <w:pPr>
              <w:pStyle w:val="TableDataEntries"/>
              <w:jc w:val="left"/>
            </w:pPr>
            <w:r w:rsidRPr="004D4096">
              <w:t>Australian Capital Territory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30C463A7" w14:textId="77777777" w:rsidR="00CF6E40" w:rsidRPr="004D4096" w:rsidRDefault="00CF6E40" w:rsidP="004B5CD1">
            <w:pPr>
              <w:pStyle w:val="TableDataEntries"/>
            </w:pPr>
            <w:r w:rsidRPr="004D4096">
              <w:t>-30.29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92FB902" w14:textId="77777777" w:rsidR="00CF6E40" w:rsidRPr="004D4096" w:rsidRDefault="00CF6E40" w:rsidP="004B5CD1">
            <w:pPr>
              <w:pStyle w:val="TableDataEntries"/>
            </w:pPr>
            <w:r w:rsidRPr="004D4096">
              <w:t>-2.33</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36D97C89" w14:textId="77777777" w:rsidR="00CF6E40" w:rsidRPr="004D4096" w:rsidRDefault="00CF6E40" w:rsidP="004B5CD1">
            <w:pPr>
              <w:pStyle w:val="TableDataEntries"/>
            </w:pPr>
            <w:r w:rsidRPr="004D4096">
              <w:t>-292 504</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508B6285" w14:textId="77777777" w:rsidR="00CF6E40" w:rsidRPr="004D4096" w:rsidRDefault="00CF6E40" w:rsidP="004B5CD1">
            <w:pPr>
              <w:pStyle w:val="TableDataEntries"/>
            </w:pPr>
            <w:r w:rsidRPr="004D4096">
              <w:t>-15.84</w:t>
            </w:r>
          </w:p>
        </w:tc>
      </w:tr>
      <w:tr w:rsidR="00CF6E40" w:rsidRPr="004D4096" w14:paraId="61235695"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5E8908B" w14:textId="77777777" w:rsidR="00CF6E40" w:rsidRPr="004D4096" w:rsidRDefault="00CF6E40" w:rsidP="004B5CD1">
            <w:pPr>
              <w:pStyle w:val="TableDataEntries"/>
              <w:jc w:val="left"/>
            </w:pPr>
            <w:r w:rsidRPr="004D4096">
              <w:t>Northern Territory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5FDE1A4" w14:textId="77777777" w:rsidR="00CF6E40" w:rsidRPr="004D4096" w:rsidRDefault="00CF6E40" w:rsidP="004B5CD1">
            <w:pPr>
              <w:pStyle w:val="TableDataEntries"/>
            </w:pPr>
            <w:r w:rsidRPr="004D4096">
              <w:t>-128.59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7C60C72" w14:textId="77777777" w:rsidR="00CF6E40" w:rsidRPr="004D4096" w:rsidRDefault="00CF6E40" w:rsidP="004B5CD1">
            <w:pPr>
              <w:pStyle w:val="TableDataEntries"/>
            </w:pPr>
            <w:r w:rsidRPr="004D4096">
              <w:t>-6.46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13D85047" w14:textId="77777777" w:rsidR="00CF6E40" w:rsidRPr="004D4096" w:rsidRDefault="00CF6E40" w:rsidP="004B5CD1">
            <w:pPr>
              <w:pStyle w:val="TableDataEntries"/>
            </w:pPr>
            <w:r w:rsidRPr="004D4096">
              <w:t>-310 902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6C8C659E" w14:textId="77777777" w:rsidR="00CF6E40" w:rsidRPr="004D4096" w:rsidRDefault="00CF6E40" w:rsidP="004B5CD1">
            <w:pPr>
              <w:pStyle w:val="TableDataEntries"/>
            </w:pPr>
            <w:r w:rsidRPr="004D4096">
              <w:t>-6.57</w:t>
            </w:r>
          </w:p>
        </w:tc>
      </w:tr>
      <w:tr w:rsidR="00CF6E40" w:rsidRPr="004D4096" w14:paraId="517A14D5"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23BD7975" w14:textId="77777777" w:rsidR="00CF6E40" w:rsidRPr="004D4096" w:rsidRDefault="00CF6E40" w:rsidP="004B5CD1">
            <w:pPr>
              <w:pStyle w:val="TableDataEntries"/>
              <w:jc w:val="left"/>
            </w:pPr>
            <w:r w:rsidRPr="004D4096">
              <w:t>Owner-occupier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36E9437D" w14:textId="77777777" w:rsidR="00CF6E40" w:rsidRPr="004D4096" w:rsidRDefault="00CF6E40" w:rsidP="004B5CD1">
            <w:pPr>
              <w:pStyle w:val="TableDataEntries"/>
            </w:pPr>
            <w:r w:rsidRPr="004D4096">
              <w:t>-59.38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DCEDEEA" w14:textId="77777777" w:rsidR="00CF6E40" w:rsidRPr="004D4096" w:rsidRDefault="00CF6E40" w:rsidP="004B5CD1">
            <w:pPr>
              <w:pStyle w:val="TableDataEntries"/>
            </w:pPr>
            <w:r w:rsidRPr="004D4096">
              <w:t>-16.74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744A7BF0" w14:textId="77777777" w:rsidR="00CF6E40" w:rsidRPr="004D4096" w:rsidRDefault="00CF6E40" w:rsidP="004B5CD1">
            <w:pPr>
              <w:pStyle w:val="TableDataEntries"/>
            </w:pPr>
            <w:r w:rsidRPr="004D4096">
              <w:t>118 978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6881AA95" w14:textId="77777777" w:rsidR="00CF6E40" w:rsidRPr="004D4096" w:rsidRDefault="00CF6E40" w:rsidP="004B5CD1">
            <w:pPr>
              <w:pStyle w:val="TableDataEntries"/>
            </w:pPr>
            <w:r w:rsidRPr="004D4096">
              <w:t>17.08</w:t>
            </w:r>
          </w:p>
        </w:tc>
      </w:tr>
      <w:tr w:rsidR="00CF6E40" w:rsidRPr="004D4096" w14:paraId="0B712355"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537E0F23" w14:textId="77777777" w:rsidR="00CF6E40" w:rsidRPr="004D4096" w:rsidRDefault="00CF6E40" w:rsidP="004B5CD1">
            <w:pPr>
              <w:pStyle w:val="TableDataEntries"/>
              <w:jc w:val="left"/>
            </w:pPr>
            <w:r w:rsidRPr="004D4096">
              <w:t>Detached dwelling</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261790CD" w14:textId="77777777" w:rsidR="00CF6E40" w:rsidRPr="004D4096" w:rsidRDefault="00CF6E40" w:rsidP="004B5CD1">
            <w:pPr>
              <w:pStyle w:val="TableDataEntries"/>
            </w:pPr>
            <w:r w:rsidRPr="004D4096">
              <w:t>17.71</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11ACF34" w14:textId="77777777" w:rsidR="00CF6E40" w:rsidRPr="004D4096" w:rsidRDefault="00CF6E40" w:rsidP="004B5CD1">
            <w:pPr>
              <w:pStyle w:val="TableDataEntries"/>
            </w:pPr>
            <w:r w:rsidRPr="004D4096">
              <w:t>5.14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C8BE9B7" w14:textId="77777777" w:rsidR="00CF6E40" w:rsidRPr="004D4096" w:rsidRDefault="00CF6E40" w:rsidP="004B5CD1">
            <w:pPr>
              <w:pStyle w:val="TableDataEntries"/>
            </w:pPr>
            <w:r w:rsidRPr="004D4096">
              <w:t>56 183</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0E91D3A5" w14:textId="77777777" w:rsidR="00CF6E40" w:rsidRPr="004D4096" w:rsidRDefault="00CF6E40" w:rsidP="004B5CD1">
            <w:pPr>
              <w:pStyle w:val="TableDataEntries"/>
            </w:pPr>
            <w:r w:rsidRPr="004D4096">
              <w:t>9.56</w:t>
            </w:r>
          </w:p>
        </w:tc>
      </w:tr>
      <w:tr w:rsidR="00CF6E40" w:rsidRPr="004D4096" w14:paraId="372D556F" w14:textId="77777777" w:rsidTr="000A49B2">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0E6524CF" w14:textId="77777777" w:rsidR="00CF6E40" w:rsidRPr="004D4096" w:rsidRDefault="00CF6E40" w:rsidP="004B5CD1">
            <w:pPr>
              <w:pStyle w:val="TableDataEntries"/>
              <w:jc w:val="left"/>
            </w:pPr>
            <w:r w:rsidRPr="004D4096">
              <w:t>Couple with children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941E420" w14:textId="77777777" w:rsidR="00CF6E40" w:rsidRPr="004D4096" w:rsidRDefault="00CF6E40" w:rsidP="004B5CD1">
            <w:pPr>
              <w:pStyle w:val="TableDataEntries"/>
            </w:pPr>
            <w:r w:rsidRPr="004D4096">
              <w:t>42.69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FD9920A" w14:textId="77777777" w:rsidR="00CF6E40" w:rsidRPr="004D4096" w:rsidRDefault="00CF6E40" w:rsidP="004B5CD1">
            <w:pPr>
              <w:pStyle w:val="TableDataEntries"/>
            </w:pPr>
            <w:r w:rsidRPr="004D4096">
              <w:t>8.25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68C4717B" w14:textId="77777777" w:rsidR="00CF6E40" w:rsidRPr="004D4096" w:rsidRDefault="00CF6E40" w:rsidP="004B5CD1">
            <w:pPr>
              <w:pStyle w:val="TableDataEntries"/>
            </w:pPr>
            <w:r w:rsidRPr="004D4096">
              <w:t>-10 756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53427272" w14:textId="77777777" w:rsidR="00CF6E40" w:rsidRPr="004D4096" w:rsidRDefault="00CF6E40" w:rsidP="004B5CD1">
            <w:pPr>
              <w:pStyle w:val="TableDataEntries"/>
            </w:pPr>
            <w:r w:rsidRPr="004D4096">
              <w:t>-1.77</w:t>
            </w:r>
          </w:p>
        </w:tc>
      </w:tr>
      <w:tr w:rsidR="00CF6E40" w:rsidRPr="004D4096" w14:paraId="0D6847CB" w14:textId="77777777" w:rsidTr="000A49B2">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61334AE1" w14:textId="77777777" w:rsidR="00CF6E40" w:rsidRPr="004D4096" w:rsidRDefault="00CF6E40" w:rsidP="004B5CD1">
            <w:pPr>
              <w:pStyle w:val="TableDataEntries"/>
              <w:jc w:val="left"/>
            </w:pPr>
            <w:r w:rsidRPr="004D4096">
              <w:t>Single parent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07CC857D" w14:textId="77777777" w:rsidR="00CF6E40" w:rsidRPr="004D4096" w:rsidRDefault="00CF6E40" w:rsidP="004B5CD1">
            <w:pPr>
              <w:pStyle w:val="TableDataEntries"/>
            </w:pPr>
            <w:r w:rsidRPr="004D4096">
              <w:t>3.80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4C29C787" w14:textId="77777777" w:rsidR="00CF6E40" w:rsidRPr="004D4096" w:rsidRDefault="00CF6E40" w:rsidP="004B5CD1">
            <w:pPr>
              <w:pStyle w:val="TableDataEntries"/>
            </w:pPr>
            <w:r w:rsidRPr="004D4096">
              <w:t>0.57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79D86BF1" w14:textId="77777777" w:rsidR="00CF6E40" w:rsidRPr="004D4096" w:rsidRDefault="00CF6E40" w:rsidP="004B5CD1">
            <w:pPr>
              <w:pStyle w:val="TableDataEntries"/>
            </w:pPr>
            <w:r w:rsidRPr="004D4096">
              <w:t>-67 950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EB1FDF3" w14:textId="77777777" w:rsidR="00CF6E40" w:rsidRPr="004D4096" w:rsidRDefault="00CF6E40" w:rsidP="004B5CD1">
            <w:pPr>
              <w:pStyle w:val="TableDataEntries"/>
            </w:pPr>
            <w:r w:rsidRPr="004D4096">
              <w:t>-5.28</w:t>
            </w:r>
          </w:p>
        </w:tc>
      </w:tr>
      <w:tr w:rsidR="00CF6E40" w:rsidRPr="004D4096" w14:paraId="7017EA79" w14:textId="77777777" w:rsidTr="000A49B2">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496FB9A" w14:textId="77777777" w:rsidR="00CF6E40" w:rsidRPr="004D4096" w:rsidRDefault="00CF6E40" w:rsidP="004B5CD1">
            <w:pPr>
              <w:pStyle w:val="TableDataEntries"/>
              <w:jc w:val="left"/>
            </w:pPr>
            <w:r w:rsidRPr="004D4096">
              <w:t>Group household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F3F4060" w14:textId="77777777" w:rsidR="00CF6E40" w:rsidRPr="004D4096" w:rsidRDefault="00CF6E40" w:rsidP="004B5CD1">
            <w:pPr>
              <w:pStyle w:val="TableDataEntries"/>
            </w:pPr>
            <w:r w:rsidRPr="004D4096">
              <w:t>6.40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18957F6A" w14:textId="77777777" w:rsidR="00CF6E40" w:rsidRPr="004D4096" w:rsidRDefault="00CF6E40" w:rsidP="004B5CD1">
            <w:pPr>
              <w:pStyle w:val="TableDataEntries"/>
            </w:pPr>
            <w:r w:rsidRPr="004D4096">
              <w:t>1.07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3A45C57F" w14:textId="77777777" w:rsidR="00CF6E40" w:rsidRPr="004D4096" w:rsidRDefault="00CF6E40" w:rsidP="004B5CD1">
            <w:pPr>
              <w:pStyle w:val="TableDataEntries"/>
            </w:pPr>
            <w:r w:rsidRPr="004D4096">
              <w:t>6 048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21B677A0" w14:textId="77777777" w:rsidR="00CF6E40" w:rsidRPr="004D4096" w:rsidRDefault="00CF6E40" w:rsidP="004B5CD1">
            <w:pPr>
              <w:pStyle w:val="TableDataEntries"/>
            </w:pPr>
            <w:r w:rsidRPr="004D4096">
              <w:t>0.50</w:t>
            </w:r>
          </w:p>
        </w:tc>
      </w:tr>
      <w:tr w:rsidR="00CF6E40" w:rsidRPr="004D4096" w14:paraId="26D25A63" w14:textId="77777777" w:rsidTr="000A49B2">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608B0A62" w14:textId="77777777" w:rsidR="00CF6E40" w:rsidRPr="004D4096" w:rsidRDefault="00CF6E40" w:rsidP="004B5CD1">
            <w:pPr>
              <w:pStyle w:val="TableDataEntries"/>
              <w:jc w:val="left"/>
            </w:pPr>
            <w:r w:rsidRPr="004D4096">
              <w:t>Single person household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11A3721" w14:textId="77777777" w:rsidR="00CF6E40" w:rsidRPr="004D4096" w:rsidRDefault="00CF6E40" w:rsidP="004B5CD1">
            <w:pPr>
              <w:pStyle w:val="TableDataEntries"/>
            </w:pPr>
            <w:r w:rsidRPr="004D4096">
              <w:t>-24.36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5C1CB8B" w14:textId="77777777" w:rsidR="00CF6E40" w:rsidRPr="004D4096" w:rsidRDefault="00CF6E40" w:rsidP="004B5CD1">
            <w:pPr>
              <w:pStyle w:val="TableDataEntries"/>
            </w:pPr>
            <w:r w:rsidRPr="004D4096">
              <w:t>-5.16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6AA9C8B" w14:textId="77777777" w:rsidR="00CF6E40" w:rsidRPr="004D4096" w:rsidRDefault="00CF6E40" w:rsidP="004B5CD1">
            <w:pPr>
              <w:pStyle w:val="TableDataEntries"/>
            </w:pPr>
            <w:r w:rsidRPr="004D4096">
              <w:t>-20 454</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A443C83" w14:textId="77777777" w:rsidR="00CF6E40" w:rsidRPr="004D4096" w:rsidRDefault="00CF6E40" w:rsidP="004B5CD1">
            <w:pPr>
              <w:pStyle w:val="TableDataEntries"/>
            </w:pPr>
            <w:r w:rsidRPr="004D4096">
              <w:t>-2.74</w:t>
            </w:r>
          </w:p>
        </w:tc>
      </w:tr>
      <w:tr w:rsidR="00CF6E40" w:rsidRPr="004D4096" w14:paraId="2CEC5383"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6EE257E9" w14:textId="77777777" w:rsidR="00CF6E40" w:rsidRPr="004D4096" w:rsidRDefault="00CF6E40" w:rsidP="004B5CD1">
            <w:pPr>
              <w:pStyle w:val="TableDataEntries"/>
              <w:jc w:val="left"/>
            </w:pPr>
            <w:r w:rsidRPr="004D4096">
              <w:t>Other household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7C537E93" w14:textId="77777777" w:rsidR="00CF6E40" w:rsidRPr="004D4096" w:rsidRDefault="00CF6E40" w:rsidP="004B5CD1">
            <w:pPr>
              <w:pStyle w:val="TableDataEntries"/>
            </w:pPr>
            <w:r w:rsidRPr="004D4096">
              <w:t>-32.45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2A2BD433" w14:textId="77777777" w:rsidR="00CF6E40" w:rsidRPr="004D4096" w:rsidRDefault="00CF6E40" w:rsidP="004B5CD1">
            <w:pPr>
              <w:pStyle w:val="TableDataEntries"/>
            </w:pPr>
            <w:r w:rsidRPr="004D4096">
              <w:t>-3.91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6E7879AC" w14:textId="77777777" w:rsidR="00CF6E40" w:rsidRPr="004D4096" w:rsidRDefault="00CF6E40" w:rsidP="004B5CD1">
            <w:pPr>
              <w:pStyle w:val="TableDataEntries"/>
            </w:pPr>
            <w:r w:rsidRPr="004D4096">
              <w:t>-45 962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1EE0B0D3" w14:textId="77777777" w:rsidR="00CF6E40" w:rsidRPr="004D4096" w:rsidRDefault="00CF6E40" w:rsidP="004B5CD1">
            <w:pPr>
              <w:pStyle w:val="TableDataEntries"/>
            </w:pPr>
            <w:r w:rsidRPr="004D4096">
              <w:t>-2.72</w:t>
            </w:r>
          </w:p>
        </w:tc>
      </w:tr>
      <w:tr w:rsidR="00CF6E40" w:rsidRPr="004D4096" w14:paraId="0CEF2478"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014C9FA9" w14:textId="77777777" w:rsidR="00CF6E40" w:rsidRPr="004D4096" w:rsidRDefault="00CF6E40" w:rsidP="004B5CD1">
            <w:pPr>
              <w:pStyle w:val="TableDataEntries"/>
              <w:jc w:val="left"/>
            </w:pPr>
            <w:r w:rsidRPr="004D4096">
              <w:t>Income: $41,600 - $78,000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7395CC6A" w14:textId="77777777" w:rsidR="00CF6E40" w:rsidRPr="004D4096" w:rsidRDefault="00CF6E40" w:rsidP="004B5CD1">
            <w:pPr>
              <w:pStyle w:val="TableDataEntries"/>
            </w:pPr>
            <w:r w:rsidRPr="004D4096">
              <w:t>62.85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54CFFD49" w14:textId="77777777" w:rsidR="00CF6E40" w:rsidRPr="004D4096" w:rsidRDefault="00CF6E40" w:rsidP="004B5CD1">
            <w:pPr>
              <w:pStyle w:val="TableDataEntries"/>
            </w:pPr>
            <w:r w:rsidRPr="004D4096">
              <w:t>14.80</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4A34CBC9" w14:textId="77777777" w:rsidR="00CF6E40" w:rsidRPr="004D4096" w:rsidRDefault="00CF6E40" w:rsidP="004B5CD1">
            <w:pPr>
              <w:pStyle w:val="TableDataEntries"/>
            </w:pPr>
            <w:r w:rsidRPr="004D4096">
              <w:t>79 840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667AB7EE" w14:textId="77777777" w:rsidR="00CF6E40" w:rsidRPr="004D4096" w:rsidRDefault="00CF6E40" w:rsidP="004B5CD1">
            <w:pPr>
              <w:pStyle w:val="TableDataEntries"/>
            </w:pPr>
            <w:r w:rsidRPr="004D4096">
              <w:t>10.14</w:t>
            </w:r>
          </w:p>
        </w:tc>
      </w:tr>
      <w:tr w:rsidR="00CF6E40" w:rsidRPr="004D4096" w14:paraId="15CDD387"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4D56BE80" w14:textId="77777777" w:rsidR="00CF6E40" w:rsidRPr="004D4096" w:rsidRDefault="00CF6E40" w:rsidP="004B5CD1">
            <w:pPr>
              <w:pStyle w:val="TableDataEntries"/>
              <w:jc w:val="left"/>
            </w:pPr>
            <w:r w:rsidRPr="004D4096">
              <w:t>Income: $78,000 - $104,000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3D7031A" w14:textId="77777777" w:rsidR="00CF6E40" w:rsidRPr="004D4096" w:rsidRDefault="00CF6E40" w:rsidP="004B5CD1">
            <w:pPr>
              <w:pStyle w:val="TableDataEntries"/>
            </w:pPr>
            <w:r w:rsidRPr="004D4096">
              <w:t>142.94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3A9EC4AD" w14:textId="77777777" w:rsidR="00CF6E40" w:rsidRPr="004D4096" w:rsidRDefault="00CF6E40" w:rsidP="004B5CD1">
            <w:pPr>
              <w:pStyle w:val="TableDataEntries"/>
            </w:pPr>
            <w:r w:rsidRPr="004D4096">
              <w:t>24.91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77EBFE94" w14:textId="77777777" w:rsidR="00CF6E40" w:rsidRPr="004D4096" w:rsidRDefault="00CF6E40" w:rsidP="004B5CD1">
            <w:pPr>
              <w:pStyle w:val="TableDataEntries"/>
            </w:pPr>
            <w:r w:rsidRPr="004D4096">
              <w:t>177 760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33927CE3" w14:textId="77777777" w:rsidR="00CF6E40" w:rsidRPr="004D4096" w:rsidRDefault="00CF6E40" w:rsidP="004B5CD1">
            <w:pPr>
              <w:pStyle w:val="TableDataEntries"/>
            </w:pPr>
            <w:r w:rsidRPr="004D4096">
              <w:t>20.82</w:t>
            </w:r>
          </w:p>
        </w:tc>
      </w:tr>
      <w:tr w:rsidR="00CF6E40" w:rsidRPr="004D4096" w14:paraId="5532FAC7"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438AB53" w14:textId="77777777" w:rsidR="00CF6E40" w:rsidRPr="004D4096" w:rsidRDefault="00CF6E40" w:rsidP="004B5CD1">
            <w:pPr>
              <w:pStyle w:val="TableDataEntries"/>
              <w:jc w:val="left"/>
            </w:pPr>
            <w:r w:rsidRPr="004D4096">
              <w:t xml:space="preserve">Income: $104,000 - $156,000 per year </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D115B5A" w14:textId="77777777" w:rsidR="00CF6E40" w:rsidRPr="004D4096" w:rsidRDefault="00CF6E40" w:rsidP="004B5CD1">
            <w:pPr>
              <w:pStyle w:val="TableDataEntries"/>
            </w:pPr>
            <w:r w:rsidRPr="004D4096">
              <w:t>103.74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DEA817B" w14:textId="77777777" w:rsidR="00CF6E40" w:rsidRPr="004D4096" w:rsidRDefault="00CF6E40" w:rsidP="004B5CD1">
            <w:pPr>
              <w:pStyle w:val="TableDataEntries"/>
            </w:pPr>
            <w:r w:rsidRPr="004D4096">
              <w:t>15.35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8763A34" w14:textId="77777777" w:rsidR="00CF6E40" w:rsidRPr="004D4096" w:rsidRDefault="00CF6E40" w:rsidP="004B5CD1">
            <w:pPr>
              <w:pStyle w:val="TableDataEntries"/>
            </w:pPr>
            <w:r w:rsidRPr="004D4096">
              <w:t>260 590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5AA3B3BB" w14:textId="77777777" w:rsidR="00CF6E40" w:rsidRPr="004D4096" w:rsidRDefault="00CF6E40" w:rsidP="004B5CD1">
            <w:pPr>
              <w:pStyle w:val="TableDataEntries"/>
            </w:pPr>
            <w:r w:rsidRPr="004D4096">
              <w:t>29.12</w:t>
            </w:r>
          </w:p>
        </w:tc>
      </w:tr>
      <w:tr w:rsidR="00CF6E40" w:rsidRPr="004D4096" w14:paraId="64CEDAD2"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1FCB8913" w14:textId="77777777" w:rsidR="00CF6E40" w:rsidRPr="004D4096" w:rsidRDefault="00CF6E40" w:rsidP="004B5CD1">
            <w:pPr>
              <w:pStyle w:val="TableDataEntries"/>
              <w:jc w:val="left"/>
            </w:pPr>
            <w:r w:rsidRPr="004D4096">
              <w:t>Income: More than $156,000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E565D24" w14:textId="77777777" w:rsidR="00CF6E40" w:rsidRPr="004D4096" w:rsidRDefault="00CF6E40" w:rsidP="004B5CD1">
            <w:pPr>
              <w:pStyle w:val="TableDataEntries"/>
            </w:pPr>
            <w:r w:rsidRPr="004D4096">
              <w:t>254.94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3240139B" w14:textId="77777777" w:rsidR="00CF6E40" w:rsidRPr="004D4096" w:rsidRDefault="00CF6E40" w:rsidP="004B5CD1">
            <w:pPr>
              <w:pStyle w:val="TableDataEntries"/>
            </w:pPr>
            <w:r w:rsidRPr="004D4096">
              <w:t>28.58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5F3CFFDE" w14:textId="77777777" w:rsidR="00CF6E40" w:rsidRPr="004D4096" w:rsidRDefault="00CF6E40" w:rsidP="004B5CD1">
            <w:pPr>
              <w:pStyle w:val="TableDataEntries"/>
            </w:pPr>
            <w:r w:rsidRPr="004D4096">
              <w:t>460 690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4230CA54" w14:textId="77777777" w:rsidR="00CF6E40" w:rsidRPr="004D4096" w:rsidRDefault="00CF6E40" w:rsidP="004B5CD1">
            <w:pPr>
              <w:pStyle w:val="TableDataEntries"/>
            </w:pPr>
            <w:r w:rsidRPr="004D4096">
              <w:t>46.88</w:t>
            </w:r>
          </w:p>
        </w:tc>
      </w:tr>
      <w:tr w:rsidR="00CF6E40" w:rsidRPr="004D4096" w14:paraId="36FDB4BC"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6EAD901D" w14:textId="77777777" w:rsidR="00CF6E40" w:rsidRPr="004D4096" w:rsidRDefault="00CF6E40" w:rsidP="004B5CD1">
            <w:pPr>
              <w:pStyle w:val="TableDataEntries"/>
              <w:jc w:val="left"/>
            </w:pPr>
            <w:r w:rsidRPr="004D4096">
              <w:t>Income: Do not wish to answer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37EA2F9" w14:textId="77777777" w:rsidR="00CF6E40" w:rsidRPr="004D4096" w:rsidRDefault="00CF6E40" w:rsidP="004B5CD1">
            <w:pPr>
              <w:pStyle w:val="TableDataEntries"/>
            </w:pPr>
            <w:r w:rsidRPr="004D4096">
              <w:t>43.36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C3ED670" w14:textId="77777777" w:rsidR="00CF6E40" w:rsidRPr="004D4096" w:rsidRDefault="00CF6E40" w:rsidP="004B5CD1">
            <w:pPr>
              <w:pStyle w:val="TableDataEntries"/>
            </w:pPr>
            <w:r w:rsidRPr="004D4096">
              <w:t>7.55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11B5786F" w14:textId="77777777" w:rsidR="00CF6E40" w:rsidRPr="004D4096" w:rsidRDefault="00CF6E40" w:rsidP="004B5CD1">
            <w:pPr>
              <w:pStyle w:val="TableDataEntries"/>
            </w:pPr>
            <w:r w:rsidRPr="004D4096">
              <w:t>224 918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79D9E39B" w14:textId="77777777" w:rsidR="00CF6E40" w:rsidRPr="004D4096" w:rsidRDefault="00CF6E40" w:rsidP="004B5CD1">
            <w:pPr>
              <w:pStyle w:val="TableDataEntries"/>
            </w:pPr>
            <w:r w:rsidRPr="004D4096">
              <w:t>20.99</w:t>
            </w:r>
          </w:p>
        </w:tc>
      </w:tr>
      <w:tr w:rsidR="00CF6E40" w:rsidRPr="004D4096" w14:paraId="052B9A92"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3E0B5ADA" w14:textId="77777777" w:rsidR="00CF6E40" w:rsidRPr="004D4096" w:rsidRDefault="00CF6E40" w:rsidP="004B5CD1">
            <w:pPr>
              <w:pStyle w:val="TableDataEntries"/>
              <w:jc w:val="left"/>
            </w:pPr>
            <w:r w:rsidRPr="004D4096">
              <w:t>Constant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54A92CC5" w14:textId="77777777" w:rsidR="00CF6E40" w:rsidRPr="004D4096" w:rsidRDefault="00CF6E40" w:rsidP="004B5CD1">
            <w:pPr>
              <w:pStyle w:val="TableDataEntries"/>
            </w:pPr>
            <w:r w:rsidRPr="004D4096">
              <w:t>268.70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792757A8" w14:textId="77777777" w:rsidR="00CF6E40" w:rsidRPr="004D4096" w:rsidRDefault="00CF6E40" w:rsidP="004B5CD1">
            <w:pPr>
              <w:pStyle w:val="TableDataEntries"/>
            </w:pPr>
            <w:r w:rsidRPr="004D4096">
              <w:t>21.14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755ABCEB" w14:textId="77777777" w:rsidR="00CF6E40" w:rsidRPr="004D4096" w:rsidRDefault="00CF6E40" w:rsidP="004B5CD1">
            <w:pPr>
              <w:pStyle w:val="TableDataEntries"/>
            </w:pPr>
            <w:r w:rsidRPr="004D4096">
              <w:t>522 572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350E6AFF" w14:textId="77777777" w:rsidR="00CF6E40" w:rsidRPr="004D4096" w:rsidRDefault="00CF6E40" w:rsidP="004B5CD1">
            <w:pPr>
              <w:pStyle w:val="TableDataEntries"/>
            </w:pPr>
            <w:r w:rsidRPr="004D4096">
              <w:t>26.01</w:t>
            </w:r>
          </w:p>
        </w:tc>
      </w:tr>
      <w:tr w:rsidR="00CF6E40" w:rsidRPr="004D4096" w14:paraId="5586D70B" w14:textId="77777777" w:rsidTr="004B5CD1">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14:paraId="74D59606" w14:textId="77777777" w:rsidR="00CF6E40" w:rsidRPr="004D4096" w:rsidRDefault="00CF6E40" w:rsidP="004B5CD1">
            <w:pPr>
              <w:pStyle w:val="TableDataEntries"/>
              <w:jc w:val="left"/>
            </w:pPr>
            <w:r w:rsidRPr="004D4096">
              <w:t>Model fit: Individuals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40E94CDB" w14:textId="77777777" w:rsidR="00CF6E40" w:rsidRPr="004D4096" w:rsidRDefault="00CF6E40" w:rsidP="004B5CD1">
            <w:pPr>
              <w:pStyle w:val="TableDataEntries"/>
            </w:pPr>
            <w:r w:rsidRPr="004D4096">
              <w:t>10 680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14:paraId="51363DF5" w14:textId="77777777" w:rsidR="00CF6E40" w:rsidRPr="004D4096" w:rsidRDefault="00CF6E40" w:rsidP="004B5CD1">
            <w:pPr>
              <w:pStyle w:val="TableDataEntries"/>
            </w:pP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14:paraId="28F3B606" w14:textId="77777777" w:rsidR="00CF6E40" w:rsidRPr="004D4096" w:rsidRDefault="00CF6E40" w:rsidP="004B5CD1">
            <w:pPr>
              <w:pStyle w:val="TableDataEntries"/>
            </w:pPr>
            <w:r w:rsidRPr="004D4096">
              <w:t>14 064</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14:paraId="289ACBBD" w14:textId="77777777" w:rsidR="00CF6E40" w:rsidRPr="004D4096" w:rsidRDefault="00CF6E40" w:rsidP="004B5CD1">
            <w:pPr>
              <w:pStyle w:val="TableDataEntries"/>
            </w:pPr>
          </w:p>
        </w:tc>
      </w:tr>
      <w:tr w:rsidR="00CF6E40" w:rsidRPr="004D4096" w14:paraId="3DBCDD52" w14:textId="77777777" w:rsidTr="004B5CD1">
        <w:trPr>
          <w:trHeight w:val="250"/>
        </w:trPr>
        <w:tc>
          <w:tcPr>
            <w:tcW w:w="3828" w:type="dxa"/>
            <w:tcBorders>
              <w:top w:val="single" w:sz="8" w:space="0" w:color="FFFFFF" w:themeColor="background1"/>
              <w:bottom w:val="single" w:sz="4" w:space="0" w:color="6F6652" w:themeColor="accent5"/>
            </w:tcBorders>
            <w:shd w:val="clear" w:color="auto" w:fill="E9E8E5" w:themeFill="background2"/>
            <w:noWrap/>
            <w:hideMark/>
          </w:tcPr>
          <w:p w14:paraId="30F4A27B" w14:textId="77777777" w:rsidR="00CF6E40" w:rsidRPr="004D4096" w:rsidRDefault="00CF6E40" w:rsidP="004B5CD1">
            <w:pPr>
              <w:pStyle w:val="TableDataEntries"/>
              <w:jc w:val="left"/>
            </w:pPr>
            <w:r w:rsidRPr="004D4096">
              <w:t>Model fit: R-squared</w:t>
            </w:r>
          </w:p>
        </w:tc>
        <w:tc>
          <w:tcPr>
            <w:tcW w:w="992" w:type="dxa"/>
            <w:tcBorders>
              <w:top w:val="single" w:sz="8" w:space="0" w:color="FFFFFF" w:themeColor="background1"/>
              <w:bottom w:val="single" w:sz="4" w:space="0" w:color="6F6652" w:themeColor="accent5"/>
            </w:tcBorders>
            <w:shd w:val="clear" w:color="auto" w:fill="E9E8E5" w:themeFill="background2"/>
            <w:noWrap/>
            <w:hideMark/>
          </w:tcPr>
          <w:p w14:paraId="340A0839" w14:textId="77777777" w:rsidR="00CF6E40" w:rsidRPr="004D4096" w:rsidRDefault="00CF6E40" w:rsidP="004B5CD1">
            <w:pPr>
              <w:pStyle w:val="TableDataEntries"/>
            </w:pPr>
            <w:r w:rsidRPr="004D4096">
              <w:t>0.228</w:t>
            </w:r>
          </w:p>
        </w:tc>
        <w:tc>
          <w:tcPr>
            <w:tcW w:w="1134" w:type="dxa"/>
            <w:tcBorders>
              <w:top w:val="single" w:sz="8" w:space="0" w:color="FFFFFF" w:themeColor="background1"/>
              <w:bottom w:val="single" w:sz="4" w:space="0" w:color="6F6652" w:themeColor="accent5"/>
            </w:tcBorders>
            <w:shd w:val="clear" w:color="auto" w:fill="E9E8E5" w:themeFill="background2"/>
            <w:noWrap/>
            <w:hideMark/>
          </w:tcPr>
          <w:p w14:paraId="7FEA4DBE" w14:textId="77777777" w:rsidR="00CF6E40" w:rsidRPr="004D4096" w:rsidRDefault="00CF6E40" w:rsidP="004B5CD1">
            <w:pPr>
              <w:pStyle w:val="TableDataEntries"/>
            </w:pPr>
          </w:p>
        </w:tc>
        <w:tc>
          <w:tcPr>
            <w:tcW w:w="1166" w:type="dxa"/>
            <w:tcBorders>
              <w:top w:val="single" w:sz="8" w:space="0" w:color="FFFFFF" w:themeColor="background1"/>
              <w:bottom w:val="single" w:sz="4" w:space="0" w:color="6F6652" w:themeColor="accent5"/>
            </w:tcBorders>
            <w:shd w:val="clear" w:color="auto" w:fill="E9E8E5" w:themeFill="background2"/>
            <w:noWrap/>
            <w:hideMark/>
          </w:tcPr>
          <w:p w14:paraId="5AB56676" w14:textId="77777777" w:rsidR="00CF6E40" w:rsidRPr="004D4096" w:rsidRDefault="00CF6E40" w:rsidP="004B5CD1">
            <w:pPr>
              <w:pStyle w:val="TableDataEntries"/>
            </w:pPr>
            <w:r w:rsidRPr="004D4096">
              <w:t>0.344</w:t>
            </w:r>
          </w:p>
        </w:tc>
        <w:tc>
          <w:tcPr>
            <w:tcW w:w="960" w:type="dxa"/>
            <w:tcBorders>
              <w:top w:val="single" w:sz="8" w:space="0" w:color="FFFFFF" w:themeColor="background1"/>
              <w:bottom w:val="single" w:sz="4" w:space="0" w:color="6F6652" w:themeColor="accent5"/>
            </w:tcBorders>
            <w:shd w:val="clear" w:color="auto" w:fill="E9E8E5" w:themeFill="background2"/>
            <w:noWrap/>
            <w:hideMark/>
          </w:tcPr>
          <w:p w14:paraId="7C28A131" w14:textId="77777777" w:rsidR="00CF6E40" w:rsidRPr="004D4096" w:rsidRDefault="00CF6E40" w:rsidP="004B5CD1">
            <w:pPr>
              <w:pStyle w:val="TableDataEntries"/>
            </w:pPr>
          </w:p>
        </w:tc>
      </w:tr>
    </w:tbl>
    <w:p w14:paraId="11836AD5" w14:textId="77777777" w:rsidR="00CF6E40" w:rsidRPr="00AF30DA" w:rsidRDefault="00CF6E40" w:rsidP="00CF6E40">
      <w:pPr>
        <w:pStyle w:val="Source"/>
      </w:pPr>
      <w:r w:rsidRPr="00AF30DA">
        <w:t>Note: Dependent variable in the renters model is the midpoint of the range in weekly rent indicated by the respondent. Dependent variable in the buyer model is the midpoint of the range in purchase price indicated by the respondent.</w:t>
      </w:r>
    </w:p>
    <w:p w14:paraId="79A63143" w14:textId="77777777" w:rsidR="00CF6E40" w:rsidRPr="00AF30DA" w:rsidRDefault="00CF6E40" w:rsidP="00CF6E40">
      <w:pPr>
        <w:pStyle w:val="Source"/>
      </w:pPr>
      <w:r w:rsidRPr="00AF30DA">
        <w:t>Source: CIE.</w:t>
      </w:r>
    </w:p>
    <w:p w14:paraId="77BCC6E8" w14:textId="77777777" w:rsidR="00CF6E40" w:rsidRPr="004D4096" w:rsidRDefault="00CF6E40" w:rsidP="00CF6E40">
      <w:pPr>
        <w:pStyle w:val="BodyText"/>
        <w:rPr>
          <w:lang w:eastAsia="en-US"/>
        </w:rPr>
      </w:pPr>
      <w:r w:rsidRPr="004D4096">
        <w:rPr>
          <w:lang w:eastAsia="en-US"/>
        </w:rPr>
        <w:t xml:space="preserve">The distribution of preferences for accessibility features </w:t>
      </w:r>
      <w:r w:rsidR="007D676F">
        <w:rPr>
          <w:lang w:eastAsia="en-US"/>
        </w:rPr>
        <w:t>across</w:t>
      </w:r>
      <w:r w:rsidRPr="004D4096">
        <w:rPr>
          <w:lang w:eastAsia="en-US"/>
        </w:rPr>
        <w:t xml:space="preserve"> respondents appears to be bi-modal, with some people liking the features and others being neutral towards or even disliking the features. To capture this distribution, </w:t>
      </w:r>
      <w:r w:rsidR="00F442D4" w:rsidRPr="004D4096">
        <w:rPr>
          <w:lang w:eastAsia="en-US"/>
        </w:rPr>
        <w:t>CIE</w:t>
      </w:r>
      <w:r w:rsidRPr="004D4096">
        <w:rPr>
          <w:lang w:eastAsia="en-US"/>
        </w:rPr>
        <w:t xml:space="preserve"> use latent class multinomial logit models, which estimate indirect utility functions for a user-specified number of classes along with class membership probabilities.</w:t>
      </w:r>
    </w:p>
    <w:p w14:paraId="20279DF5" w14:textId="77777777" w:rsidR="00CF6E40" w:rsidRPr="004D4096" w:rsidRDefault="00EB6D5D" w:rsidP="00CF6E40">
      <w:pPr>
        <w:pStyle w:val="BodyText"/>
        <w:rPr>
          <w:lang w:eastAsia="en-US"/>
        </w:rPr>
      </w:pPr>
      <w:r w:rsidRPr="004D4096">
        <w:rPr>
          <w:lang w:bidi="fa-IR"/>
        </w:rPr>
        <w:t>CIE’s</w:t>
      </w:r>
      <w:r w:rsidR="00CF6E40" w:rsidRPr="004D4096">
        <w:rPr>
          <w:lang w:bidi="fa-IR"/>
        </w:rPr>
        <w:t xml:space="preserve"> central models estimated on the full samples of buyers and renters respectively are set out in table </w:t>
      </w:r>
      <w:r w:rsidR="00982D83">
        <w:rPr>
          <w:lang w:bidi="fa-IR"/>
        </w:rPr>
        <w:t>K.10</w:t>
      </w:r>
      <w:r w:rsidR="00CF6E40" w:rsidRPr="004D4096">
        <w:rPr>
          <w:lang w:bidi="fa-IR"/>
        </w:rPr>
        <w:t xml:space="preserve"> and table K.11. </w:t>
      </w:r>
      <w:r w:rsidR="00CF6E40" w:rsidRPr="004D4096">
        <w:rPr>
          <w:lang w:eastAsia="en-US"/>
        </w:rPr>
        <w:t xml:space="preserve">Respondents carefully considered the attributes described in the questions, as evidenced by the relatively large Z values (a Z value of around 2 indicates that at the 95 per cent confidence level </w:t>
      </w:r>
      <w:r w:rsidR="00F442D4" w:rsidRPr="004D4096">
        <w:rPr>
          <w:lang w:eastAsia="en-US"/>
        </w:rPr>
        <w:t xml:space="preserve">one </w:t>
      </w:r>
      <w:r w:rsidR="00CF6E40" w:rsidRPr="004D4096">
        <w:rPr>
          <w:lang w:eastAsia="en-US"/>
        </w:rPr>
        <w:t>can say the coefficient is statistically different from zero).</w:t>
      </w:r>
    </w:p>
    <w:p w14:paraId="2AE3743B" w14:textId="77777777" w:rsidR="00CF6E40" w:rsidRPr="004D4096" w:rsidRDefault="00CF6E40" w:rsidP="00CF6E40">
      <w:pPr>
        <w:pStyle w:val="BodyText"/>
        <w:rPr>
          <w:lang w:eastAsia="en-US"/>
        </w:rPr>
      </w:pPr>
      <w:r w:rsidRPr="004D4096">
        <w:rPr>
          <w:lang w:eastAsia="en-US"/>
        </w:rPr>
        <w:t>A high-level examination of the two classes suggests that Class 1 represents respondents who prefer accessibility features and Class 2 represents respondents who do not. Class 2 is much more price sensitive and prefers a smaller share of floor space to be used for corridors, kitchen, bathroom and laundry. The average class probabilities are roughly 50-50.</w:t>
      </w:r>
    </w:p>
    <w:p w14:paraId="72EEC60F" w14:textId="77777777" w:rsidR="00CF6E40" w:rsidRPr="004D4096" w:rsidRDefault="00CF6E40" w:rsidP="00CF6E40">
      <w:pPr>
        <w:pStyle w:val="BodyText"/>
        <w:rPr>
          <w:lang w:eastAsia="en-US"/>
        </w:rPr>
      </w:pPr>
      <w:r w:rsidRPr="004D4096">
        <w:rPr>
          <w:lang w:eastAsia="en-US"/>
        </w:rPr>
        <w:t xml:space="preserve">Consistent with </w:t>
      </w:r>
      <w:r w:rsidR="00C31660" w:rsidRPr="004D4096">
        <w:rPr>
          <w:lang w:eastAsia="en-US"/>
        </w:rPr>
        <w:t>CIE’s</w:t>
      </w:r>
      <w:r w:rsidRPr="004D4096">
        <w:rPr>
          <w:lang w:eastAsia="en-US"/>
        </w:rPr>
        <w:t xml:space="preserve"> expectations, the class membership parameters indicate that older respondents and respondents from households containing a person with a permanent mobility limitation more likely hold Class 1 preferences.</w:t>
      </w:r>
    </w:p>
    <w:p w14:paraId="4D312A5B" w14:textId="1D5ABB93" w:rsidR="00CF6E40" w:rsidRPr="004D4096" w:rsidRDefault="00390CDB" w:rsidP="00CF6E40">
      <w:pPr>
        <w:pStyle w:val="Caption"/>
      </w:pPr>
      <w:bookmarkStart w:id="949" w:name="_Toc32321933"/>
      <w:bookmarkStart w:id="950" w:name="_Toc44598640"/>
      <w:bookmarkStart w:id="951" w:name="_Toc45654271"/>
      <w:bookmarkStart w:id="952" w:name="_Toc57643740"/>
      <w:bookmarkStart w:id="953" w:name="_Toc70505693"/>
      <w:r>
        <w:t>K.10</w:t>
      </w:r>
      <w:r w:rsidR="00CF6E40" w:rsidRPr="004D4096">
        <w:tab/>
        <w:t>Renter model of housing choice</w:t>
      </w:r>
      <w:bookmarkEnd w:id="949"/>
      <w:bookmarkEnd w:id="950"/>
      <w:bookmarkEnd w:id="951"/>
      <w:bookmarkEnd w:id="952"/>
      <w:bookmarkEnd w:id="953"/>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0: Renter model of housing choice"/>
        <w:tblDescription w:val="This is the CIE central model estimated on the full sample of renters."/>
      </w:tblPr>
      <w:tblGrid>
        <w:gridCol w:w="3899"/>
        <w:gridCol w:w="1133"/>
        <w:gridCol w:w="839"/>
        <w:gridCol w:w="1227"/>
        <w:gridCol w:w="839"/>
      </w:tblGrid>
      <w:tr w:rsidR="00CF6E40" w:rsidRPr="004D4096" w14:paraId="34153AC1" w14:textId="77777777" w:rsidTr="004B5CD1">
        <w:trPr>
          <w:trHeight w:val="250"/>
          <w:tblHeader/>
        </w:trPr>
        <w:tc>
          <w:tcPr>
            <w:tcW w:w="3899" w:type="dxa"/>
            <w:shd w:val="clear" w:color="auto" w:fill="6F6652" w:themeFill="accent5"/>
            <w:hideMark/>
          </w:tcPr>
          <w:p w14:paraId="7232B71A" w14:textId="77777777" w:rsidR="00CF6E40" w:rsidRPr="004D4096" w:rsidRDefault="00CF6E40" w:rsidP="004B5CD1">
            <w:pPr>
              <w:pStyle w:val="TableDataColumnHeading"/>
              <w:jc w:val="left"/>
            </w:pPr>
            <w:r w:rsidRPr="004D4096">
              <w:t>Variable</w:t>
            </w:r>
          </w:p>
        </w:tc>
        <w:tc>
          <w:tcPr>
            <w:tcW w:w="1133" w:type="dxa"/>
            <w:shd w:val="clear" w:color="auto" w:fill="6F6652" w:themeFill="accent5"/>
            <w:noWrap/>
            <w:hideMark/>
          </w:tcPr>
          <w:p w14:paraId="1EA75CAE" w14:textId="77777777" w:rsidR="00CF6E40" w:rsidRPr="004D4096" w:rsidRDefault="00CF6E40" w:rsidP="004B5CD1">
            <w:pPr>
              <w:pStyle w:val="TableDataColumnHeading"/>
            </w:pPr>
            <w:r w:rsidRPr="004D4096">
              <w:t>Class 1</w:t>
            </w:r>
          </w:p>
          <w:p w14:paraId="159B38FC" w14:textId="77777777" w:rsidR="00CF6E40" w:rsidRPr="004D4096" w:rsidRDefault="00CF6E40" w:rsidP="004B5CD1">
            <w:pPr>
              <w:pStyle w:val="TableDataColumnHeading"/>
            </w:pPr>
            <w:r w:rsidRPr="004D4096">
              <w:t>(Coef.)</w:t>
            </w:r>
          </w:p>
        </w:tc>
        <w:tc>
          <w:tcPr>
            <w:tcW w:w="839" w:type="dxa"/>
            <w:shd w:val="clear" w:color="auto" w:fill="6F6652" w:themeFill="accent5"/>
            <w:noWrap/>
            <w:hideMark/>
          </w:tcPr>
          <w:p w14:paraId="7EE5D0BE" w14:textId="77777777" w:rsidR="00CF6E40" w:rsidRPr="004D4096" w:rsidRDefault="00CF6E40" w:rsidP="004B5CD1">
            <w:pPr>
              <w:pStyle w:val="TableDataColumnHeading"/>
            </w:pPr>
            <w:r w:rsidRPr="004D4096">
              <w:t>Class 1</w:t>
            </w:r>
          </w:p>
          <w:p w14:paraId="518607E0" w14:textId="77777777" w:rsidR="00CF6E40" w:rsidRPr="004D4096" w:rsidRDefault="00CF6E40" w:rsidP="004B5CD1">
            <w:pPr>
              <w:pStyle w:val="TableDataColumnHeading"/>
            </w:pPr>
            <w:r w:rsidRPr="004D4096">
              <w:t>(Z value)</w:t>
            </w:r>
          </w:p>
        </w:tc>
        <w:tc>
          <w:tcPr>
            <w:tcW w:w="1227" w:type="dxa"/>
            <w:shd w:val="clear" w:color="auto" w:fill="6F6652" w:themeFill="accent5"/>
            <w:noWrap/>
            <w:hideMark/>
          </w:tcPr>
          <w:p w14:paraId="1DE90A26" w14:textId="77777777" w:rsidR="00CF6E40" w:rsidRPr="004D4096" w:rsidRDefault="00CF6E40" w:rsidP="004B5CD1">
            <w:pPr>
              <w:pStyle w:val="TableDataColumnHeading"/>
            </w:pPr>
            <w:r w:rsidRPr="004D4096">
              <w:t>Class 2</w:t>
            </w:r>
          </w:p>
          <w:p w14:paraId="10370B41" w14:textId="77777777" w:rsidR="00CF6E40" w:rsidRPr="004D4096" w:rsidRDefault="00CF6E40" w:rsidP="004B5CD1">
            <w:pPr>
              <w:pStyle w:val="TableDataColumnHeading"/>
            </w:pPr>
            <w:r w:rsidRPr="004D4096">
              <w:t>(Coef.)</w:t>
            </w:r>
          </w:p>
        </w:tc>
        <w:tc>
          <w:tcPr>
            <w:tcW w:w="839" w:type="dxa"/>
            <w:shd w:val="clear" w:color="auto" w:fill="6F6652" w:themeFill="accent5"/>
            <w:noWrap/>
            <w:hideMark/>
          </w:tcPr>
          <w:p w14:paraId="2AB77FFA" w14:textId="77777777" w:rsidR="00CF6E40" w:rsidRPr="004D4096" w:rsidRDefault="00CF6E40" w:rsidP="004B5CD1">
            <w:pPr>
              <w:pStyle w:val="TableDataColumnHeading"/>
            </w:pPr>
            <w:r w:rsidRPr="004D4096">
              <w:t>Class 2</w:t>
            </w:r>
          </w:p>
          <w:p w14:paraId="5CB5589C" w14:textId="77777777" w:rsidR="00CF6E40" w:rsidRPr="004D4096" w:rsidRDefault="00CF6E40" w:rsidP="004B5CD1">
            <w:pPr>
              <w:pStyle w:val="TableDataColumnHeading"/>
            </w:pPr>
            <w:r w:rsidRPr="004D4096">
              <w:t>(Z value)</w:t>
            </w:r>
          </w:p>
        </w:tc>
      </w:tr>
      <w:tr w:rsidR="00CF6E40" w:rsidRPr="004D4096" w14:paraId="035B7054"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2D7BCF0A" w14:textId="77777777" w:rsidR="00CF6E40" w:rsidRPr="004D4096" w:rsidRDefault="00CF6E40" w:rsidP="004B5CD1">
            <w:pPr>
              <w:pStyle w:val="TableDataEntries"/>
              <w:jc w:val="left"/>
            </w:pPr>
            <w:r w:rsidRPr="004D4096">
              <w:t>Price/rent as proportion of predicted reference value</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1C26CB5" w14:textId="77777777" w:rsidR="00CF6E40" w:rsidRPr="004D4096" w:rsidRDefault="00CF6E40" w:rsidP="004B5CD1">
            <w:pPr>
              <w:pStyle w:val="TableDataEntries"/>
            </w:pPr>
            <w:r w:rsidRPr="004D4096">
              <w:t>-0.9159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1AD10677" w14:textId="77777777" w:rsidR="00CF6E40" w:rsidRPr="004D4096" w:rsidRDefault="00CF6E40" w:rsidP="004B5CD1">
            <w:pPr>
              <w:pStyle w:val="TableDataEntries"/>
            </w:pPr>
            <w:r w:rsidRPr="004D4096">
              <w:t>-1.69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5FF1CB3D" w14:textId="77777777" w:rsidR="00CF6E40" w:rsidRPr="004D4096" w:rsidRDefault="00CF6E40" w:rsidP="004B5CD1">
            <w:pPr>
              <w:pStyle w:val="TableDataEntries"/>
            </w:pPr>
            <w:r w:rsidRPr="004D4096">
              <w:t>-10.670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A0EC2FE" w14:textId="77777777" w:rsidR="00CF6E40" w:rsidRPr="004D4096" w:rsidRDefault="00CF6E40" w:rsidP="004B5CD1">
            <w:pPr>
              <w:pStyle w:val="TableDataEntries"/>
            </w:pPr>
            <w:r w:rsidRPr="004D4096">
              <w:t>-8.15</w:t>
            </w:r>
          </w:p>
        </w:tc>
      </w:tr>
      <w:tr w:rsidR="00CF6E40" w:rsidRPr="004D4096" w14:paraId="2CA52225"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14:paraId="65F10920" w14:textId="77777777" w:rsidR="00CF6E40" w:rsidRPr="004D4096" w:rsidRDefault="00CF6E40" w:rsidP="004B5CD1">
            <w:pPr>
              <w:pStyle w:val="TableDataEntries"/>
              <w:jc w:val="left"/>
            </w:pPr>
            <w:r w:rsidRPr="004D4096">
              <w:t>Price/rent * low income (dummy =1 if household income &lt;$41 600 p.a.)</w:t>
            </w:r>
          </w:p>
        </w:tc>
        <w:tc>
          <w:tcPr>
            <w:tcW w:w="1133" w:type="dxa"/>
            <w:tcBorders>
              <w:top w:val="single" w:sz="8" w:space="0" w:color="FFFFFF" w:themeColor="background1"/>
              <w:bottom w:val="single" w:sz="8" w:space="0" w:color="FFFFFF" w:themeColor="background1"/>
            </w:tcBorders>
            <w:shd w:val="clear" w:color="auto" w:fill="E9E8E5" w:themeFill="background2"/>
            <w:noWrap/>
          </w:tcPr>
          <w:p w14:paraId="6AF7FCD2" w14:textId="77777777" w:rsidR="00CF6E40" w:rsidRPr="004D4096" w:rsidRDefault="00CF6E40" w:rsidP="004B5CD1">
            <w:pPr>
              <w:pStyle w:val="TableDataEntries"/>
            </w:pPr>
            <w:r w:rsidRPr="004D4096">
              <w:t>-1.7835</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46AAE938" w14:textId="77777777" w:rsidR="00CF6E40" w:rsidRPr="004D4096" w:rsidRDefault="00CF6E40" w:rsidP="004B5CD1">
            <w:pPr>
              <w:pStyle w:val="TableDataEntries"/>
            </w:pPr>
            <w:r w:rsidRPr="004D4096">
              <w:t>-2.60</w:t>
            </w:r>
          </w:p>
        </w:tc>
        <w:tc>
          <w:tcPr>
            <w:tcW w:w="1227" w:type="dxa"/>
            <w:tcBorders>
              <w:top w:val="single" w:sz="8" w:space="0" w:color="FFFFFF" w:themeColor="background1"/>
              <w:bottom w:val="single" w:sz="8" w:space="0" w:color="FFFFFF" w:themeColor="background1"/>
            </w:tcBorders>
            <w:shd w:val="clear" w:color="auto" w:fill="E9E8E5" w:themeFill="background2"/>
            <w:noWrap/>
          </w:tcPr>
          <w:p w14:paraId="25C1D699" w14:textId="77777777" w:rsidR="00CF6E40" w:rsidRPr="004D4096" w:rsidRDefault="00CF6E40" w:rsidP="004B5CD1">
            <w:pPr>
              <w:pStyle w:val="TableDataEntries"/>
            </w:pPr>
            <w:r w:rsidRPr="004D4096">
              <w:t>-27.127</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1852697A" w14:textId="77777777" w:rsidR="00CF6E40" w:rsidRPr="004D4096" w:rsidRDefault="00CF6E40" w:rsidP="004B5CD1">
            <w:pPr>
              <w:pStyle w:val="TableDataEntries"/>
            </w:pPr>
            <w:r w:rsidRPr="004D4096">
              <w:t>-3.10</w:t>
            </w:r>
          </w:p>
        </w:tc>
      </w:tr>
      <w:tr w:rsidR="00CF6E40" w:rsidRPr="004D4096" w14:paraId="777C9B44"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14:paraId="561BC174" w14:textId="77777777" w:rsidR="00CF6E40" w:rsidRPr="004D4096" w:rsidRDefault="00CF6E40" w:rsidP="004B5CD1">
            <w:pPr>
              <w:pStyle w:val="TableDataEntries"/>
              <w:jc w:val="left"/>
            </w:pPr>
            <w:r w:rsidRPr="004D4096">
              <w:t>Getting in and out: Single step (dummy)</w:t>
            </w:r>
          </w:p>
        </w:tc>
        <w:tc>
          <w:tcPr>
            <w:tcW w:w="1133" w:type="dxa"/>
            <w:tcBorders>
              <w:top w:val="single" w:sz="8" w:space="0" w:color="FFFFFF" w:themeColor="background1"/>
              <w:bottom w:val="single" w:sz="8" w:space="0" w:color="FFFFFF" w:themeColor="background1"/>
            </w:tcBorders>
            <w:shd w:val="clear" w:color="auto" w:fill="E9E8E5" w:themeFill="background2"/>
            <w:noWrap/>
          </w:tcPr>
          <w:p w14:paraId="01D95B15" w14:textId="77777777" w:rsidR="00CF6E40" w:rsidRPr="004D4096" w:rsidRDefault="00CF6E40" w:rsidP="004B5CD1">
            <w:pPr>
              <w:pStyle w:val="TableDataEntries"/>
            </w:pPr>
            <w:r w:rsidRPr="004D4096">
              <w:t>0.6358</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0A87E33D" w14:textId="77777777" w:rsidR="00CF6E40" w:rsidRPr="004D4096" w:rsidRDefault="00CF6E40" w:rsidP="004B5CD1">
            <w:pPr>
              <w:pStyle w:val="TableDataEntries"/>
            </w:pPr>
            <w:r w:rsidRPr="004D4096">
              <w:t>5.99</w:t>
            </w:r>
          </w:p>
        </w:tc>
        <w:tc>
          <w:tcPr>
            <w:tcW w:w="1227" w:type="dxa"/>
            <w:tcBorders>
              <w:top w:val="single" w:sz="8" w:space="0" w:color="FFFFFF" w:themeColor="background1"/>
              <w:bottom w:val="single" w:sz="8" w:space="0" w:color="FFFFFF" w:themeColor="background1"/>
            </w:tcBorders>
            <w:shd w:val="clear" w:color="auto" w:fill="E9E8E5" w:themeFill="background2"/>
            <w:noWrap/>
          </w:tcPr>
          <w:p w14:paraId="1A254DE4" w14:textId="77777777" w:rsidR="00CF6E40" w:rsidRPr="004D4096" w:rsidRDefault="00CF6E40" w:rsidP="004B5CD1">
            <w:pPr>
              <w:pStyle w:val="TableDataEntries"/>
            </w:pPr>
            <w:r w:rsidRPr="004D4096">
              <w:t>0.189</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2429ED2D" w14:textId="77777777" w:rsidR="00CF6E40" w:rsidRPr="004D4096" w:rsidRDefault="00CF6E40" w:rsidP="004B5CD1">
            <w:pPr>
              <w:pStyle w:val="TableDataEntries"/>
            </w:pPr>
            <w:r w:rsidRPr="004D4096">
              <w:t>1.79</w:t>
            </w:r>
          </w:p>
        </w:tc>
      </w:tr>
      <w:tr w:rsidR="00CF6E40" w:rsidRPr="004D4096" w14:paraId="157330E0" w14:textId="77777777" w:rsidTr="004B5CD1">
        <w:trPr>
          <w:trHeight w:val="48"/>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025D85F1" w14:textId="77777777" w:rsidR="00CF6E40" w:rsidRPr="004D4096" w:rsidRDefault="00CF6E40" w:rsidP="004B5CD1">
            <w:pPr>
              <w:pStyle w:val="TableDataEntries"/>
              <w:jc w:val="left"/>
            </w:pPr>
            <w:r w:rsidRPr="004D4096">
              <w:t>Getting in and out: Step-free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58E81E94" w14:textId="77777777" w:rsidR="00CF6E40" w:rsidRPr="004D4096" w:rsidRDefault="00CF6E40" w:rsidP="004B5CD1">
            <w:pPr>
              <w:pStyle w:val="TableDataEntries"/>
            </w:pPr>
            <w:r w:rsidRPr="004D4096">
              <w:t>1.0035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BE9FE2A" w14:textId="77777777" w:rsidR="00CF6E40" w:rsidRPr="004D4096" w:rsidRDefault="00CF6E40" w:rsidP="004B5CD1">
            <w:pPr>
              <w:pStyle w:val="TableDataEntries"/>
            </w:pPr>
            <w:r w:rsidRPr="004D4096">
              <w:t>8.58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3AC87F67" w14:textId="77777777" w:rsidR="00CF6E40" w:rsidRPr="004D4096" w:rsidRDefault="00CF6E40" w:rsidP="004B5CD1">
            <w:pPr>
              <w:pStyle w:val="TableDataEntries"/>
            </w:pPr>
            <w:r w:rsidRPr="004D4096">
              <w:t>0.205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8CC6CB5" w14:textId="77777777" w:rsidR="00CF6E40" w:rsidRPr="004D4096" w:rsidRDefault="00CF6E40" w:rsidP="004B5CD1">
            <w:pPr>
              <w:pStyle w:val="TableDataEntries"/>
            </w:pPr>
            <w:r w:rsidRPr="004D4096">
              <w:t>1.83</w:t>
            </w:r>
          </w:p>
        </w:tc>
      </w:tr>
      <w:tr w:rsidR="00CF6E40" w:rsidRPr="004D4096" w14:paraId="14141AC4"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F26C209" w14:textId="77777777" w:rsidR="00CF6E40" w:rsidRPr="004D4096" w:rsidRDefault="00CF6E40" w:rsidP="004B5CD1">
            <w:pPr>
              <w:pStyle w:val="TableDataEntries"/>
              <w:jc w:val="left"/>
            </w:pPr>
            <w:r w:rsidRPr="004D4096">
              <w:t>Moving around indoors: 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CEECA1C" w14:textId="77777777" w:rsidR="00CF6E40" w:rsidRPr="004D4096" w:rsidRDefault="00CF6E40" w:rsidP="004B5CD1">
            <w:pPr>
              <w:pStyle w:val="TableDataEntries"/>
            </w:pPr>
            <w:r w:rsidRPr="004D4096">
              <w:t>0.2412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FCC4AF2" w14:textId="77777777" w:rsidR="00CF6E40" w:rsidRPr="004D4096" w:rsidRDefault="00CF6E40" w:rsidP="004B5CD1">
            <w:pPr>
              <w:pStyle w:val="TableDataEntries"/>
            </w:pPr>
            <w:r w:rsidRPr="004D4096">
              <w:t>3.27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1B63F74A" w14:textId="77777777" w:rsidR="00CF6E40" w:rsidRPr="004D4096" w:rsidRDefault="00CF6E40" w:rsidP="004B5CD1">
            <w:pPr>
              <w:pStyle w:val="TableDataEntries"/>
            </w:pPr>
            <w:r w:rsidRPr="004D4096">
              <w:t>0.208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65128F66" w14:textId="77777777" w:rsidR="00CF6E40" w:rsidRPr="004D4096" w:rsidRDefault="00CF6E40" w:rsidP="004B5CD1">
            <w:pPr>
              <w:pStyle w:val="TableDataEntries"/>
            </w:pPr>
            <w:r w:rsidRPr="004D4096">
              <w:t>2.54</w:t>
            </w:r>
          </w:p>
        </w:tc>
      </w:tr>
      <w:tr w:rsidR="00CF6E40" w:rsidRPr="004D4096" w14:paraId="0FD105BA"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2539B75" w14:textId="77777777" w:rsidR="00CF6E40" w:rsidRPr="004D4096" w:rsidRDefault="00CF6E40" w:rsidP="004B5CD1">
            <w:pPr>
              <w:pStyle w:val="TableDataEntries"/>
              <w:jc w:val="left"/>
            </w:pPr>
            <w:r w:rsidRPr="004D4096">
              <w:t>Moving around indoors: Extra-wide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3C7FB191" w14:textId="77777777" w:rsidR="00CF6E40" w:rsidRPr="004D4096" w:rsidRDefault="00CF6E40" w:rsidP="004B5CD1">
            <w:pPr>
              <w:pStyle w:val="TableDataEntries"/>
            </w:pPr>
            <w:r w:rsidRPr="004D4096">
              <w:t>0.4389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9CBEE42" w14:textId="77777777" w:rsidR="00CF6E40" w:rsidRPr="004D4096" w:rsidRDefault="00CF6E40" w:rsidP="004B5CD1">
            <w:pPr>
              <w:pStyle w:val="TableDataEntries"/>
            </w:pPr>
            <w:r w:rsidRPr="004D4096">
              <w:t>4.92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6F8000A3" w14:textId="77777777" w:rsidR="00CF6E40" w:rsidRPr="004D4096" w:rsidRDefault="00CF6E40" w:rsidP="004B5CD1">
            <w:pPr>
              <w:pStyle w:val="TableDataEntries"/>
            </w:pPr>
            <w:r w:rsidRPr="004D4096">
              <w:t>0.092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1CA562EE" w14:textId="77777777" w:rsidR="00CF6E40" w:rsidRPr="004D4096" w:rsidRDefault="00CF6E40" w:rsidP="004B5CD1">
            <w:pPr>
              <w:pStyle w:val="TableDataEntries"/>
            </w:pPr>
            <w:r w:rsidRPr="004D4096">
              <w:t>1.00</w:t>
            </w:r>
          </w:p>
        </w:tc>
      </w:tr>
      <w:tr w:rsidR="00CF6E40" w:rsidRPr="004D4096" w14:paraId="07485B1B"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0D56C10" w14:textId="77777777" w:rsidR="00CF6E40" w:rsidRPr="004D4096" w:rsidRDefault="00CF6E40" w:rsidP="004B5CD1">
            <w:pPr>
              <w:pStyle w:val="TableDataEntries"/>
              <w:jc w:val="left"/>
            </w:pPr>
            <w:r w:rsidRPr="004D4096">
              <w:t>Living on same level as entrance: Suitable for short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69F8431" w14:textId="77777777" w:rsidR="00CF6E40" w:rsidRPr="004D4096" w:rsidRDefault="00CF6E40" w:rsidP="004B5CD1">
            <w:pPr>
              <w:pStyle w:val="TableDataEntries"/>
            </w:pPr>
            <w:r w:rsidRPr="004D4096">
              <w:t>0.9266</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609F3898" w14:textId="77777777" w:rsidR="00CF6E40" w:rsidRPr="004D4096" w:rsidRDefault="00CF6E40" w:rsidP="004B5CD1">
            <w:pPr>
              <w:pStyle w:val="TableDataEntries"/>
            </w:pPr>
            <w:r w:rsidRPr="004D4096">
              <w:t>10.72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574B1588" w14:textId="77777777" w:rsidR="00CF6E40" w:rsidRPr="004D4096" w:rsidRDefault="00CF6E40" w:rsidP="004B5CD1">
            <w:pPr>
              <w:pStyle w:val="TableDataEntries"/>
            </w:pPr>
            <w:r w:rsidRPr="004D4096">
              <w:t>0.082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685D4F9" w14:textId="77777777" w:rsidR="00CF6E40" w:rsidRPr="004D4096" w:rsidRDefault="00CF6E40" w:rsidP="004B5CD1">
            <w:pPr>
              <w:pStyle w:val="TableDataEntries"/>
            </w:pPr>
            <w:r w:rsidRPr="004D4096">
              <w:t>0.87</w:t>
            </w:r>
          </w:p>
        </w:tc>
      </w:tr>
      <w:tr w:rsidR="00CF6E40" w:rsidRPr="004D4096" w14:paraId="5E1ED6D4"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DDBDE04" w14:textId="77777777" w:rsidR="00CF6E40" w:rsidRPr="004D4096" w:rsidRDefault="00CF6E40" w:rsidP="004B5CD1">
            <w:pPr>
              <w:pStyle w:val="TableDataEntries"/>
              <w:jc w:val="left"/>
            </w:pPr>
            <w:r w:rsidRPr="004D4096">
              <w:t>Living on same level as entrance: Suitable for living or overnight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6E13D08" w14:textId="77777777" w:rsidR="00CF6E40" w:rsidRPr="004D4096" w:rsidRDefault="00CF6E40" w:rsidP="004B5CD1">
            <w:pPr>
              <w:pStyle w:val="TableDataEntries"/>
            </w:pPr>
            <w:r w:rsidRPr="004D4096">
              <w:t>1.5161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9EF463B" w14:textId="77777777" w:rsidR="00CF6E40" w:rsidRPr="004D4096" w:rsidRDefault="00CF6E40" w:rsidP="004B5CD1">
            <w:pPr>
              <w:pStyle w:val="TableDataEntries"/>
            </w:pPr>
            <w:r w:rsidRPr="004D4096">
              <w:t>11.04</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2B6615AF" w14:textId="77777777" w:rsidR="00CF6E40" w:rsidRPr="004D4096" w:rsidRDefault="00CF6E40" w:rsidP="004B5CD1">
            <w:pPr>
              <w:pStyle w:val="TableDataEntries"/>
            </w:pPr>
            <w:r w:rsidRPr="004D4096">
              <w:t>-0.150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65AA2A9" w14:textId="77777777" w:rsidR="00CF6E40" w:rsidRPr="004D4096" w:rsidRDefault="00CF6E40" w:rsidP="004B5CD1">
            <w:pPr>
              <w:pStyle w:val="TableDataEntries"/>
            </w:pPr>
            <w:r w:rsidRPr="004D4096">
              <w:t>-1.31</w:t>
            </w:r>
          </w:p>
        </w:tc>
      </w:tr>
      <w:tr w:rsidR="00CF6E40" w:rsidRPr="004D4096" w14:paraId="6B176D1B"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0246E03" w14:textId="77777777" w:rsidR="00CF6E40" w:rsidRPr="004D4096" w:rsidRDefault="00CF6E40" w:rsidP="004B5CD1">
            <w:pPr>
              <w:pStyle w:val="TableDataEntries"/>
              <w:jc w:val="left"/>
            </w:pPr>
            <w:r w:rsidRPr="004D4096">
              <w:t>Modification that would be needed: Minimal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09D519D" w14:textId="77777777" w:rsidR="00CF6E40" w:rsidRPr="004D4096" w:rsidRDefault="00CF6E40" w:rsidP="004B5CD1">
            <w:pPr>
              <w:pStyle w:val="TableDataEntries"/>
            </w:pPr>
            <w:r w:rsidRPr="004D4096">
              <w:t>0.1840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E50DCC9" w14:textId="77777777" w:rsidR="00CF6E40" w:rsidRPr="004D4096" w:rsidRDefault="00CF6E40" w:rsidP="004B5CD1">
            <w:pPr>
              <w:pStyle w:val="TableDataEntries"/>
            </w:pPr>
            <w:r w:rsidRPr="004D4096">
              <w:t>0.87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5F32E276" w14:textId="77777777" w:rsidR="00CF6E40" w:rsidRPr="004D4096" w:rsidRDefault="00CF6E40" w:rsidP="004B5CD1">
            <w:pPr>
              <w:pStyle w:val="TableDataEntries"/>
            </w:pPr>
            <w:r w:rsidRPr="004D4096">
              <w:t>0.404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E26A1BC" w14:textId="77777777" w:rsidR="00CF6E40" w:rsidRPr="004D4096" w:rsidRDefault="00CF6E40" w:rsidP="004B5CD1">
            <w:pPr>
              <w:pStyle w:val="TableDataEntries"/>
            </w:pPr>
            <w:r w:rsidRPr="004D4096">
              <w:t>1.91</w:t>
            </w:r>
          </w:p>
        </w:tc>
      </w:tr>
      <w:tr w:rsidR="00CF6E40" w:rsidRPr="004D4096" w14:paraId="6A51E974" w14:textId="77777777" w:rsidTr="004B5CD1">
        <w:trPr>
          <w:trHeight w:val="50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CC18D68" w14:textId="77777777" w:rsidR="00CF6E40" w:rsidRPr="004D4096" w:rsidRDefault="00CF6E40" w:rsidP="004B5CD1">
            <w:pPr>
              <w:pStyle w:val="TableDataEntries"/>
              <w:jc w:val="left"/>
            </w:pPr>
            <w:r w:rsidRPr="004D4096">
              <w:t>Total size of home compared to similar homes: 5% larger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285ABE80" w14:textId="77777777" w:rsidR="00CF6E40" w:rsidRPr="004D4096" w:rsidRDefault="00CF6E40" w:rsidP="004B5CD1">
            <w:pPr>
              <w:pStyle w:val="TableDataEntries"/>
            </w:pPr>
            <w:r w:rsidRPr="004D4096">
              <w:t>0.1104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C4B07BF" w14:textId="77777777" w:rsidR="00CF6E40" w:rsidRPr="004D4096" w:rsidRDefault="00CF6E40" w:rsidP="004B5CD1">
            <w:pPr>
              <w:pStyle w:val="TableDataEntries"/>
            </w:pPr>
            <w:r w:rsidRPr="004D4096">
              <w:t>1.89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2574FCA9" w14:textId="77777777" w:rsidR="00CF6E40" w:rsidRPr="004D4096" w:rsidRDefault="00CF6E40" w:rsidP="004B5CD1">
            <w:pPr>
              <w:pStyle w:val="TableDataEntries"/>
            </w:pPr>
            <w:r w:rsidRPr="004D4096">
              <w:t>0.093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140DA3CF" w14:textId="77777777" w:rsidR="00CF6E40" w:rsidRPr="004D4096" w:rsidRDefault="00CF6E40" w:rsidP="004B5CD1">
            <w:pPr>
              <w:pStyle w:val="TableDataEntries"/>
            </w:pPr>
            <w:r w:rsidRPr="004D4096">
              <w:t>1.46</w:t>
            </w:r>
          </w:p>
        </w:tc>
      </w:tr>
      <w:tr w:rsidR="00CF6E40" w:rsidRPr="004D4096" w14:paraId="19B6CA53"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375FC40" w14:textId="77777777" w:rsidR="00CF6E40" w:rsidRPr="004D4096" w:rsidRDefault="00CF6E40" w:rsidP="004B5CD1">
            <w:pPr>
              <w:pStyle w:val="TableDataEntries"/>
              <w:jc w:val="left"/>
            </w:pPr>
            <w:r w:rsidRPr="004D4096">
              <w:t>Space used for corridors, bathroom, kitchen, laundry: 45%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405B1FC8" w14:textId="77777777" w:rsidR="00CF6E40" w:rsidRPr="004D4096" w:rsidRDefault="00CF6E40" w:rsidP="004B5CD1">
            <w:pPr>
              <w:pStyle w:val="TableDataEntries"/>
            </w:pPr>
            <w:r w:rsidRPr="004D4096">
              <w:t>-0.0205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2DF1127" w14:textId="77777777" w:rsidR="00CF6E40" w:rsidRPr="004D4096" w:rsidRDefault="00CF6E40" w:rsidP="004B5CD1">
            <w:pPr>
              <w:pStyle w:val="TableDataEntries"/>
            </w:pPr>
            <w:r w:rsidRPr="004D4096">
              <w:t>-0.27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42A1C24F" w14:textId="77777777" w:rsidR="00CF6E40" w:rsidRPr="004D4096" w:rsidRDefault="00CF6E40" w:rsidP="004B5CD1">
            <w:pPr>
              <w:pStyle w:val="TableDataEntries"/>
            </w:pPr>
            <w:r w:rsidRPr="004D4096">
              <w:t>-0.092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2A832EF" w14:textId="77777777" w:rsidR="00CF6E40" w:rsidRPr="004D4096" w:rsidRDefault="00CF6E40" w:rsidP="004B5CD1">
            <w:pPr>
              <w:pStyle w:val="TableDataEntries"/>
            </w:pPr>
            <w:r w:rsidRPr="004D4096">
              <w:t>-1.12</w:t>
            </w:r>
          </w:p>
        </w:tc>
      </w:tr>
      <w:tr w:rsidR="00CF6E40" w:rsidRPr="004D4096" w14:paraId="569A5788"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147CA148" w14:textId="77777777" w:rsidR="00CF6E40" w:rsidRPr="004D4096" w:rsidRDefault="00CF6E40" w:rsidP="004B5CD1">
            <w:pPr>
              <w:pStyle w:val="TableDataEntries"/>
              <w:jc w:val="left"/>
            </w:pPr>
            <w:r w:rsidRPr="004D4096">
              <w:t>Space used for corridors, bathroom, kitchen, laundry: 50%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C43F371" w14:textId="77777777" w:rsidR="00CF6E40" w:rsidRPr="004D4096" w:rsidRDefault="00CF6E40" w:rsidP="004B5CD1">
            <w:pPr>
              <w:pStyle w:val="TableDataEntries"/>
            </w:pPr>
            <w:r w:rsidRPr="004D4096">
              <w:t>-0.0808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5DEF6F1" w14:textId="77777777" w:rsidR="00CF6E40" w:rsidRPr="004D4096" w:rsidRDefault="00CF6E40" w:rsidP="004B5CD1">
            <w:pPr>
              <w:pStyle w:val="TableDataEntries"/>
            </w:pPr>
            <w:r w:rsidRPr="004D4096">
              <w:t>-1.02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75B43A90" w14:textId="77777777" w:rsidR="00CF6E40" w:rsidRPr="004D4096" w:rsidRDefault="00CF6E40" w:rsidP="004B5CD1">
            <w:pPr>
              <w:pStyle w:val="TableDataEntries"/>
            </w:pPr>
            <w:r w:rsidRPr="004D4096">
              <w:t>-0.152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1E379D4D" w14:textId="77777777" w:rsidR="00CF6E40" w:rsidRPr="004D4096" w:rsidRDefault="00CF6E40" w:rsidP="004B5CD1">
            <w:pPr>
              <w:pStyle w:val="TableDataEntries"/>
            </w:pPr>
            <w:r w:rsidRPr="004D4096">
              <w:t>-1.75</w:t>
            </w:r>
          </w:p>
        </w:tc>
      </w:tr>
      <w:tr w:rsidR="00CF6E40" w:rsidRPr="004D4096" w14:paraId="59A7CCE5"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A1CDDF6" w14:textId="77777777" w:rsidR="00CF6E40" w:rsidRPr="004D4096" w:rsidRDefault="00CF6E40" w:rsidP="004B5CD1">
            <w:pPr>
              <w:pStyle w:val="TableDataEntries"/>
              <w:jc w:val="left"/>
            </w:pPr>
            <w:r w:rsidRPr="004D4096">
              <w:t>Class membership parameters: Age (years)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407C133D" w14:textId="77777777" w:rsidR="00CF6E40" w:rsidRPr="004D4096" w:rsidRDefault="00CF6E40" w:rsidP="004B5CD1">
            <w:pPr>
              <w:pStyle w:val="TableDataEntries"/>
            </w:pPr>
            <w:r w:rsidRPr="004D4096">
              <w:t>0.0581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2FAE226" w14:textId="77777777" w:rsidR="00CF6E40" w:rsidRPr="004D4096" w:rsidRDefault="00CF6E40" w:rsidP="004B5CD1">
            <w:pPr>
              <w:pStyle w:val="TableDataEntries"/>
            </w:pPr>
            <w:r w:rsidRPr="004D4096">
              <w:t>9.27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1DC2C797"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46FA207" w14:textId="77777777" w:rsidR="00CF6E40" w:rsidRPr="004D4096" w:rsidRDefault="00CF6E40" w:rsidP="004B5CD1">
            <w:pPr>
              <w:pStyle w:val="TableDataEntries"/>
              <w:rPr>
                <w:rFonts w:ascii="Times New Roman" w:hAnsi="Times New Roman"/>
                <w:sz w:val="20"/>
                <w:szCs w:val="20"/>
              </w:rPr>
            </w:pPr>
          </w:p>
        </w:tc>
      </w:tr>
      <w:tr w:rsidR="00CF6E40" w:rsidRPr="004D4096" w14:paraId="7D41155E"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156C4BAE" w14:textId="77777777" w:rsidR="00CF6E40" w:rsidRPr="004D4096" w:rsidRDefault="00CF6E40" w:rsidP="004B5CD1">
            <w:pPr>
              <w:pStyle w:val="TableDataEntries"/>
              <w:jc w:val="left"/>
            </w:pPr>
            <w:r w:rsidRPr="004D4096">
              <w:t>Class membership parameters: Household with permanent mobility limitation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6A0078F" w14:textId="77777777" w:rsidR="00CF6E40" w:rsidRPr="004D4096" w:rsidRDefault="00CF6E40" w:rsidP="004B5CD1">
            <w:pPr>
              <w:pStyle w:val="TableDataEntries"/>
            </w:pPr>
            <w:r w:rsidRPr="004D4096">
              <w:t>1.1912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44EDF60" w14:textId="77777777" w:rsidR="00CF6E40" w:rsidRPr="004D4096" w:rsidRDefault="00CF6E40" w:rsidP="004B5CD1">
            <w:pPr>
              <w:pStyle w:val="TableDataEntries"/>
            </w:pPr>
            <w:r w:rsidRPr="004D4096">
              <w:t>4.85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10DC4B68"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6E458D0D" w14:textId="77777777" w:rsidR="00CF6E40" w:rsidRPr="004D4096" w:rsidRDefault="00CF6E40" w:rsidP="004B5CD1">
            <w:pPr>
              <w:pStyle w:val="TableDataEntries"/>
              <w:rPr>
                <w:rFonts w:ascii="Times New Roman" w:hAnsi="Times New Roman"/>
                <w:sz w:val="20"/>
                <w:szCs w:val="20"/>
              </w:rPr>
            </w:pPr>
          </w:p>
        </w:tc>
      </w:tr>
      <w:tr w:rsidR="00CF6E40" w:rsidRPr="004D4096" w14:paraId="690C3106"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44DDBBD9" w14:textId="77777777" w:rsidR="00CF6E40" w:rsidRPr="004D4096" w:rsidRDefault="00CF6E40" w:rsidP="004B5CD1">
            <w:pPr>
              <w:pStyle w:val="TableDataEntries"/>
              <w:jc w:val="left"/>
            </w:pPr>
            <w:r w:rsidRPr="004D4096">
              <w:t>Class membership parameters: Constant</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97C41B0" w14:textId="77777777" w:rsidR="00CF6E40" w:rsidRPr="004D4096" w:rsidRDefault="00CF6E40" w:rsidP="004B5CD1">
            <w:pPr>
              <w:pStyle w:val="TableDataEntries"/>
            </w:pPr>
            <w:r w:rsidRPr="004D4096">
              <w:t>-2.6752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EF0A5D8" w14:textId="77777777" w:rsidR="00CF6E40" w:rsidRPr="004D4096" w:rsidRDefault="00CF6E40" w:rsidP="004B5CD1">
            <w:pPr>
              <w:pStyle w:val="TableDataEntries"/>
            </w:pPr>
            <w:r w:rsidRPr="004D4096">
              <w:t>-7.68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71175669"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75AFF98" w14:textId="77777777" w:rsidR="00CF6E40" w:rsidRPr="004D4096" w:rsidRDefault="00CF6E40" w:rsidP="004B5CD1">
            <w:pPr>
              <w:pStyle w:val="TableDataEntries"/>
              <w:rPr>
                <w:rFonts w:ascii="Times New Roman" w:hAnsi="Times New Roman"/>
                <w:sz w:val="20"/>
                <w:szCs w:val="20"/>
              </w:rPr>
            </w:pPr>
          </w:p>
        </w:tc>
      </w:tr>
      <w:tr w:rsidR="00CF6E40" w:rsidRPr="004D4096" w14:paraId="1689165A"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13C1A5F9" w14:textId="77777777" w:rsidR="00CF6E40" w:rsidRPr="004D4096" w:rsidRDefault="00CF6E40" w:rsidP="004B5CD1">
            <w:pPr>
              <w:pStyle w:val="TableDataEntries"/>
              <w:jc w:val="left"/>
            </w:pPr>
            <w:r w:rsidRPr="004D4096">
              <w:t>Model fit: Log likelihood</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708FF6D" w14:textId="77777777" w:rsidR="00CF6E40" w:rsidRPr="004D4096" w:rsidRDefault="00CF6E40" w:rsidP="004B5CD1">
            <w:pPr>
              <w:pStyle w:val="TableDataEntries"/>
            </w:pPr>
            <w:r w:rsidRPr="004D4096">
              <w:t>-3229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F3BB463" w14:textId="77777777" w:rsidR="00CF6E40" w:rsidRPr="004D4096" w:rsidRDefault="00CF6E40" w:rsidP="004B5CD1">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30843838"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B6D98BB" w14:textId="77777777" w:rsidR="00CF6E40" w:rsidRPr="004D4096" w:rsidRDefault="00CF6E40" w:rsidP="004B5CD1">
            <w:pPr>
              <w:pStyle w:val="TableDataEntries"/>
              <w:rPr>
                <w:rFonts w:ascii="Times New Roman" w:hAnsi="Times New Roman"/>
                <w:sz w:val="20"/>
                <w:szCs w:val="20"/>
              </w:rPr>
            </w:pPr>
          </w:p>
        </w:tc>
      </w:tr>
      <w:tr w:rsidR="00CF6E40" w:rsidRPr="004D4096" w14:paraId="41DB0EA6"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242B3B10" w14:textId="77777777" w:rsidR="00CF6E40" w:rsidRPr="004D4096" w:rsidRDefault="00CF6E40" w:rsidP="004B5CD1">
            <w:pPr>
              <w:pStyle w:val="TableDataEntries"/>
              <w:jc w:val="left"/>
            </w:pPr>
            <w:r w:rsidRPr="004D4096">
              <w:t>Model fit: Choice observations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2985896A" w14:textId="77777777" w:rsidR="00CF6E40" w:rsidRPr="004D4096" w:rsidRDefault="00CF6E40" w:rsidP="004B5CD1">
            <w:pPr>
              <w:pStyle w:val="TableDataEntries"/>
            </w:pPr>
            <w:r w:rsidRPr="004D4096">
              <w:t>5334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2F56E9E" w14:textId="77777777" w:rsidR="00CF6E40" w:rsidRPr="004D4096" w:rsidRDefault="00CF6E40" w:rsidP="004B5CD1">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1CA16556"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6B96816" w14:textId="77777777" w:rsidR="00CF6E40" w:rsidRPr="004D4096" w:rsidRDefault="00CF6E40" w:rsidP="004B5CD1">
            <w:pPr>
              <w:pStyle w:val="TableDataEntries"/>
              <w:rPr>
                <w:rFonts w:ascii="Times New Roman" w:hAnsi="Times New Roman"/>
                <w:sz w:val="20"/>
                <w:szCs w:val="20"/>
              </w:rPr>
            </w:pPr>
          </w:p>
        </w:tc>
      </w:tr>
      <w:tr w:rsidR="00CF6E40" w:rsidRPr="004D4096" w14:paraId="1347C2A6" w14:textId="77777777" w:rsidTr="004B5CD1">
        <w:trPr>
          <w:trHeight w:val="250"/>
        </w:trPr>
        <w:tc>
          <w:tcPr>
            <w:tcW w:w="3899" w:type="dxa"/>
            <w:tcBorders>
              <w:top w:val="single" w:sz="8" w:space="0" w:color="FFFFFF" w:themeColor="background1"/>
              <w:bottom w:val="single" w:sz="4" w:space="0" w:color="6F6652" w:themeColor="accent5"/>
            </w:tcBorders>
            <w:shd w:val="clear" w:color="auto" w:fill="E9E8E5" w:themeFill="background2"/>
            <w:hideMark/>
          </w:tcPr>
          <w:p w14:paraId="0BCDDD7C" w14:textId="77777777" w:rsidR="00CF6E40" w:rsidRPr="004D4096" w:rsidRDefault="00CF6E40" w:rsidP="004B5CD1">
            <w:pPr>
              <w:pStyle w:val="TableDataEntries"/>
              <w:jc w:val="left"/>
            </w:pPr>
            <w:r w:rsidRPr="004D4096">
              <w:t>Model fit: Individuals</w:t>
            </w:r>
          </w:p>
        </w:tc>
        <w:tc>
          <w:tcPr>
            <w:tcW w:w="1133" w:type="dxa"/>
            <w:tcBorders>
              <w:top w:val="single" w:sz="8" w:space="0" w:color="FFFFFF" w:themeColor="background1"/>
              <w:bottom w:val="single" w:sz="4" w:space="0" w:color="6F6652" w:themeColor="accent5"/>
            </w:tcBorders>
            <w:shd w:val="clear" w:color="auto" w:fill="E9E8E5" w:themeFill="background2"/>
            <w:noWrap/>
            <w:hideMark/>
          </w:tcPr>
          <w:p w14:paraId="73B69617" w14:textId="77777777" w:rsidR="00CF6E40" w:rsidRPr="004D4096" w:rsidRDefault="00CF6E40" w:rsidP="004B5CD1">
            <w:pPr>
              <w:pStyle w:val="TableDataEntries"/>
            </w:pPr>
            <w:r w:rsidRPr="004D4096">
              <w:t>889</w:t>
            </w:r>
          </w:p>
        </w:tc>
        <w:tc>
          <w:tcPr>
            <w:tcW w:w="839" w:type="dxa"/>
            <w:tcBorders>
              <w:top w:val="single" w:sz="8" w:space="0" w:color="FFFFFF" w:themeColor="background1"/>
              <w:bottom w:val="single" w:sz="4" w:space="0" w:color="6F6652" w:themeColor="accent5"/>
            </w:tcBorders>
            <w:shd w:val="clear" w:color="auto" w:fill="E9E8E5" w:themeFill="background2"/>
            <w:noWrap/>
            <w:hideMark/>
          </w:tcPr>
          <w:p w14:paraId="3EA8EB77" w14:textId="77777777" w:rsidR="00CF6E40" w:rsidRPr="004D4096" w:rsidRDefault="00CF6E40" w:rsidP="004B5CD1">
            <w:pPr>
              <w:pStyle w:val="TableDataEntries"/>
            </w:pPr>
          </w:p>
        </w:tc>
        <w:tc>
          <w:tcPr>
            <w:tcW w:w="1227" w:type="dxa"/>
            <w:tcBorders>
              <w:top w:val="single" w:sz="8" w:space="0" w:color="FFFFFF" w:themeColor="background1"/>
              <w:bottom w:val="single" w:sz="4" w:space="0" w:color="6F6652" w:themeColor="accent5"/>
            </w:tcBorders>
            <w:shd w:val="clear" w:color="auto" w:fill="E9E8E5" w:themeFill="background2"/>
            <w:noWrap/>
            <w:hideMark/>
          </w:tcPr>
          <w:p w14:paraId="715DF87D"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4" w:space="0" w:color="6F6652" w:themeColor="accent5"/>
            </w:tcBorders>
            <w:shd w:val="clear" w:color="auto" w:fill="E9E8E5" w:themeFill="background2"/>
            <w:noWrap/>
            <w:hideMark/>
          </w:tcPr>
          <w:p w14:paraId="3D12BF75" w14:textId="77777777" w:rsidR="00CF6E40" w:rsidRPr="004D4096" w:rsidRDefault="00CF6E40" w:rsidP="004B5CD1">
            <w:pPr>
              <w:pStyle w:val="TableDataEntries"/>
              <w:rPr>
                <w:rFonts w:ascii="Times New Roman" w:hAnsi="Times New Roman"/>
                <w:sz w:val="20"/>
                <w:szCs w:val="20"/>
              </w:rPr>
            </w:pPr>
          </w:p>
        </w:tc>
      </w:tr>
    </w:tbl>
    <w:p w14:paraId="4303174C" w14:textId="77777777" w:rsidR="00CF6E40" w:rsidRPr="00AF30DA" w:rsidRDefault="00CF6E40" w:rsidP="00CF6E40">
      <w:pPr>
        <w:pStyle w:val="Source"/>
      </w:pPr>
      <w:r w:rsidRPr="00AF30DA">
        <w:t>Source: CI</w:t>
      </w:r>
      <w:r w:rsidR="007D3F40">
        <w:t>E.</w:t>
      </w:r>
    </w:p>
    <w:p w14:paraId="68A192E7" w14:textId="16F42D27" w:rsidR="00CF6E40" w:rsidRPr="004D4096" w:rsidRDefault="00390CDB" w:rsidP="00CF6E40">
      <w:pPr>
        <w:pStyle w:val="Caption"/>
      </w:pPr>
      <w:bookmarkStart w:id="954" w:name="_Toc44598641"/>
      <w:bookmarkStart w:id="955" w:name="_Toc45654272"/>
      <w:bookmarkStart w:id="956" w:name="_Toc57643741"/>
      <w:bookmarkStart w:id="957" w:name="_Toc70505694"/>
      <w:r>
        <w:t>K.11</w:t>
      </w:r>
      <w:r w:rsidR="00CF6E40" w:rsidRPr="004D4096">
        <w:tab/>
        <w:t>Buyer model of housing choice</w:t>
      </w:r>
      <w:bookmarkEnd w:id="954"/>
      <w:bookmarkEnd w:id="955"/>
      <w:bookmarkEnd w:id="956"/>
      <w:bookmarkEnd w:id="957"/>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1: Buyer model of housing choice"/>
        <w:tblDescription w:val="This is the CIE central model estimated on the full sample of buyers."/>
      </w:tblPr>
      <w:tblGrid>
        <w:gridCol w:w="3899"/>
        <w:gridCol w:w="1133"/>
        <w:gridCol w:w="839"/>
        <w:gridCol w:w="1227"/>
        <w:gridCol w:w="839"/>
      </w:tblGrid>
      <w:tr w:rsidR="00CF6E40" w:rsidRPr="004D4096" w14:paraId="6B9D147B" w14:textId="77777777" w:rsidTr="004B5CD1">
        <w:trPr>
          <w:trHeight w:val="250"/>
          <w:tblHeader/>
        </w:trPr>
        <w:tc>
          <w:tcPr>
            <w:tcW w:w="3899" w:type="dxa"/>
            <w:shd w:val="clear" w:color="auto" w:fill="6F6652" w:themeFill="accent5"/>
            <w:hideMark/>
          </w:tcPr>
          <w:p w14:paraId="198D8F06" w14:textId="77777777" w:rsidR="00CF6E40" w:rsidRPr="004D4096" w:rsidRDefault="00CF6E40" w:rsidP="004B5CD1">
            <w:pPr>
              <w:pStyle w:val="TableDataColumnHeading"/>
              <w:jc w:val="left"/>
            </w:pPr>
            <w:r w:rsidRPr="004D4096">
              <w:t>Variable</w:t>
            </w:r>
          </w:p>
        </w:tc>
        <w:tc>
          <w:tcPr>
            <w:tcW w:w="1133" w:type="dxa"/>
            <w:shd w:val="clear" w:color="auto" w:fill="6F6652" w:themeFill="accent5"/>
            <w:noWrap/>
            <w:hideMark/>
          </w:tcPr>
          <w:p w14:paraId="66B48A41" w14:textId="77777777" w:rsidR="00CF6E40" w:rsidRPr="004D4096" w:rsidRDefault="00CF6E40" w:rsidP="004B5CD1">
            <w:pPr>
              <w:pStyle w:val="TableDataColumnHeading"/>
            </w:pPr>
            <w:r w:rsidRPr="004D4096">
              <w:t>Class 1</w:t>
            </w:r>
          </w:p>
          <w:p w14:paraId="3728DED8" w14:textId="77777777" w:rsidR="00CF6E40" w:rsidRPr="004D4096" w:rsidRDefault="00CF6E40" w:rsidP="004B5CD1">
            <w:pPr>
              <w:pStyle w:val="TableDataColumnHeading"/>
            </w:pPr>
            <w:r w:rsidRPr="004D4096">
              <w:t>(Coef.)</w:t>
            </w:r>
          </w:p>
        </w:tc>
        <w:tc>
          <w:tcPr>
            <w:tcW w:w="839" w:type="dxa"/>
            <w:shd w:val="clear" w:color="auto" w:fill="6F6652" w:themeFill="accent5"/>
            <w:noWrap/>
            <w:hideMark/>
          </w:tcPr>
          <w:p w14:paraId="35F9C848" w14:textId="77777777" w:rsidR="00CF6E40" w:rsidRPr="004D4096" w:rsidRDefault="00CF6E40" w:rsidP="004B5CD1">
            <w:pPr>
              <w:pStyle w:val="TableDataColumnHeading"/>
            </w:pPr>
            <w:r w:rsidRPr="004D4096">
              <w:t>Class 1</w:t>
            </w:r>
          </w:p>
          <w:p w14:paraId="4A853464" w14:textId="77777777" w:rsidR="00CF6E40" w:rsidRPr="004D4096" w:rsidRDefault="00CF6E40" w:rsidP="004B5CD1">
            <w:pPr>
              <w:pStyle w:val="TableDataColumnHeading"/>
            </w:pPr>
            <w:r w:rsidRPr="004D4096">
              <w:t>(Z value)</w:t>
            </w:r>
          </w:p>
        </w:tc>
        <w:tc>
          <w:tcPr>
            <w:tcW w:w="1227" w:type="dxa"/>
            <w:shd w:val="clear" w:color="auto" w:fill="6F6652" w:themeFill="accent5"/>
            <w:noWrap/>
            <w:hideMark/>
          </w:tcPr>
          <w:p w14:paraId="7337D00B" w14:textId="77777777" w:rsidR="00CF6E40" w:rsidRPr="004D4096" w:rsidRDefault="00CF6E40" w:rsidP="004B5CD1">
            <w:pPr>
              <w:pStyle w:val="TableDataColumnHeading"/>
            </w:pPr>
            <w:r w:rsidRPr="004D4096">
              <w:t>Class 2</w:t>
            </w:r>
          </w:p>
          <w:p w14:paraId="3F352F88" w14:textId="77777777" w:rsidR="00CF6E40" w:rsidRPr="004D4096" w:rsidRDefault="00CF6E40" w:rsidP="004B5CD1">
            <w:pPr>
              <w:pStyle w:val="TableDataColumnHeading"/>
            </w:pPr>
            <w:r w:rsidRPr="004D4096">
              <w:t>(Coef.)</w:t>
            </w:r>
          </w:p>
        </w:tc>
        <w:tc>
          <w:tcPr>
            <w:tcW w:w="839" w:type="dxa"/>
            <w:shd w:val="clear" w:color="auto" w:fill="6F6652" w:themeFill="accent5"/>
            <w:noWrap/>
            <w:hideMark/>
          </w:tcPr>
          <w:p w14:paraId="766D3FDB" w14:textId="77777777" w:rsidR="00CF6E40" w:rsidRPr="004D4096" w:rsidRDefault="00CF6E40" w:rsidP="004B5CD1">
            <w:pPr>
              <w:pStyle w:val="TableDataColumnHeading"/>
            </w:pPr>
            <w:r w:rsidRPr="004D4096">
              <w:t>Class 2</w:t>
            </w:r>
          </w:p>
          <w:p w14:paraId="5837B163" w14:textId="77777777" w:rsidR="00CF6E40" w:rsidRPr="004D4096" w:rsidRDefault="00CF6E40" w:rsidP="004B5CD1">
            <w:pPr>
              <w:pStyle w:val="TableDataColumnHeading"/>
            </w:pPr>
            <w:r w:rsidRPr="004D4096">
              <w:t>(Z value)</w:t>
            </w:r>
          </w:p>
        </w:tc>
      </w:tr>
      <w:tr w:rsidR="00CF6E40" w:rsidRPr="004D4096" w14:paraId="1200CBB2"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042793A5" w14:textId="77777777" w:rsidR="00CF6E40" w:rsidRPr="004D4096" w:rsidRDefault="00CF6E40" w:rsidP="004B5CD1">
            <w:pPr>
              <w:pStyle w:val="TableDataEntries"/>
              <w:jc w:val="left"/>
            </w:pPr>
            <w:r w:rsidRPr="004D4096">
              <w:t>Price/rent as proportion of predicted reference value</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D57D636" w14:textId="77777777" w:rsidR="00CF6E40" w:rsidRPr="004D4096" w:rsidRDefault="00CF6E40" w:rsidP="004B5CD1">
            <w:pPr>
              <w:pStyle w:val="TableDataEntries"/>
            </w:pPr>
            <w:r w:rsidRPr="004D4096">
              <w:t>-1.5597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DC1DB71" w14:textId="77777777" w:rsidR="00CF6E40" w:rsidRPr="004D4096" w:rsidRDefault="00CF6E40" w:rsidP="004B5CD1">
            <w:pPr>
              <w:pStyle w:val="TableDataEntries"/>
            </w:pPr>
            <w:r w:rsidRPr="004D4096">
              <w:t>-2.61</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010C416A" w14:textId="77777777" w:rsidR="00CF6E40" w:rsidRPr="004D4096" w:rsidRDefault="00CF6E40" w:rsidP="004B5CD1">
            <w:pPr>
              <w:pStyle w:val="TableDataEntries"/>
            </w:pPr>
            <w:r w:rsidRPr="004D4096">
              <w:t>-5.320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4E363E4C" w14:textId="77777777" w:rsidR="00CF6E40" w:rsidRPr="004D4096" w:rsidRDefault="00CF6E40" w:rsidP="004B5CD1">
            <w:pPr>
              <w:pStyle w:val="TableDataEntries"/>
            </w:pPr>
            <w:r w:rsidRPr="004D4096">
              <w:t>-9.38</w:t>
            </w:r>
          </w:p>
        </w:tc>
      </w:tr>
      <w:tr w:rsidR="00CF6E40" w:rsidRPr="004D4096" w14:paraId="51C1860B"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14:paraId="439321B0" w14:textId="77777777" w:rsidR="00CF6E40" w:rsidRPr="004D4096" w:rsidRDefault="00CF6E40" w:rsidP="004B5CD1">
            <w:pPr>
              <w:pStyle w:val="TableDataEntries"/>
              <w:jc w:val="left"/>
            </w:pPr>
            <w:r w:rsidRPr="004D4096">
              <w:t>Price/rent * low income (dummy =1 if household income &lt;$41 600 p.a.)</w:t>
            </w:r>
          </w:p>
        </w:tc>
        <w:tc>
          <w:tcPr>
            <w:tcW w:w="1133" w:type="dxa"/>
            <w:tcBorders>
              <w:top w:val="single" w:sz="8" w:space="0" w:color="FFFFFF" w:themeColor="background1"/>
              <w:bottom w:val="single" w:sz="8" w:space="0" w:color="FFFFFF" w:themeColor="background1"/>
            </w:tcBorders>
            <w:shd w:val="clear" w:color="auto" w:fill="E9E8E5" w:themeFill="background2"/>
            <w:noWrap/>
          </w:tcPr>
          <w:p w14:paraId="7E803559" w14:textId="77777777" w:rsidR="00CF6E40" w:rsidRPr="004D4096" w:rsidRDefault="00CF6E40" w:rsidP="004B5CD1">
            <w:pPr>
              <w:pStyle w:val="TableDataEntries"/>
            </w:pPr>
            <w:r w:rsidRPr="004D4096">
              <w:t>-2.0394</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178BA46D" w14:textId="77777777" w:rsidR="00CF6E40" w:rsidRPr="004D4096" w:rsidRDefault="00CF6E40" w:rsidP="004B5CD1">
            <w:pPr>
              <w:pStyle w:val="TableDataEntries"/>
            </w:pPr>
            <w:r w:rsidRPr="004D4096">
              <w:t>-2.18</w:t>
            </w:r>
          </w:p>
        </w:tc>
        <w:tc>
          <w:tcPr>
            <w:tcW w:w="1227" w:type="dxa"/>
            <w:tcBorders>
              <w:top w:val="single" w:sz="8" w:space="0" w:color="FFFFFF" w:themeColor="background1"/>
              <w:bottom w:val="single" w:sz="8" w:space="0" w:color="FFFFFF" w:themeColor="background1"/>
            </w:tcBorders>
            <w:shd w:val="clear" w:color="auto" w:fill="E9E8E5" w:themeFill="background2"/>
            <w:noWrap/>
          </w:tcPr>
          <w:p w14:paraId="632F9E45" w14:textId="77777777" w:rsidR="00CF6E40" w:rsidRPr="004D4096" w:rsidRDefault="00CF6E40" w:rsidP="004B5CD1">
            <w:pPr>
              <w:pStyle w:val="TableDataEntries"/>
            </w:pPr>
            <w:r w:rsidRPr="004D4096">
              <w:t>-5.388</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34D7B182" w14:textId="77777777" w:rsidR="00CF6E40" w:rsidRPr="004D4096" w:rsidRDefault="00CF6E40" w:rsidP="004B5CD1">
            <w:pPr>
              <w:pStyle w:val="TableDataEntries"/>
            </w:pPr>
            <w:r w:rsidRPr="004D4096">
              <w:t>-2.66</w:t>
            </w:r>
          </w:p>
        </w:tc>
      </w:tr>
      <w:tr w:rsidR="00CF6E40" w:rsidRPr="004D4096" w14:paraId="69EDF223"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14:paraId="08402838" w14:textId="77777777" w:rsidR="00CF6E40" w:rsidRPr="004D4096" w:rsidRDefault="00CF6E40" w:rsidP="004B5CD1">
            <w:pPr>
              <w:pStyle w:val="TableDataEntries"/>
              <w:jc w:val="left"/>
            </w:pPr>
            <w:r w:rsidRPr="004D4096">
              <w:t>Getting in and out: Single step (dummy)</w:t>
            </w:r>
          </w:p>
        </w:tc>
        <w:tc>
          <w:tcPr>
            <w:tcW w:w="1133" w:type="dxa"/>
            <w:tcBorders>
              <w:top w:val="single" w:sz="8" w:space="0" w:color="FFFFFF" w:themeColor="background1"/>
              <w:bottom w:val="single" w:sz="8" w:space="0" w:color="FFFFFF" w:themeColor="background1"/>
            </w:tcBorders>
            <w:shd w:val="clear" w:color="auto" w:fill="E9E8E5" w:themeFill="background2"/>
            <w:noWrap/>
          </w:tcPr>
          <w:p w14:paraId="2053A61E" w14:textId="77777777" w:rsidR="00CF6E40" w:rsidRPr="004D4096" w:rsidRDefault="00CF6E40" w:rsidP="004B5CD1">
            <w:pPr>
              <w:pStyle w:val="TableDataEntries"/>
            </w:pPr>
            <w:r w:rsidRPr="004D4096">
              <w:t>1.1819</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44188219" w14:textId="77777777" w:rsidR="00CF6E40" w:rsidRPr="004D4096" w:rsidRDefault="00CF6E40" w:rsidP="004B5CD1">
            <w:pPr>
              <w:pStyle w:val="TableDataEntries"/>
            </w:pPr>
            <w:r w:rsidRPr="004D4096">
              <w:t>8.83</w:t>
            </w:r>
          </w:p>
        </w:tc>
        <w:tc>
          <w:tcPr>
            <w:tcW w:w="1227" w:type="dxa"/>
            <w:tcBorders>
              <w:top w:val="single" w:sz="8" w:space="0" w:color="FFFFFF" w:themeColor="background1"/>
              <w:bottom w:val="single" w:sz="8" w:space="0" w:color="FFFFFF" w:themeColor="background1"/>
            </w:tcBorders>
            <w:shd w:val="clear" w:color="auto" w:fill="E9E8E5" w:themeFill="background2"/>
            <w:noWrap/>
          </w:tcPr>
          <w:p w14:paraId="7B43D192" w14:textId="77777777" w:rsidR="00CF6E40" w:rsidRPr="004D4096" w:rsidRDefault="00CF6E40" w:rsidP="004B5CD1">
            <w:pPr>
              <w:pStyle w:val="TableDataEntries"/>
            </w:pPr>
            <w:r w:rsidRPr="004D4096">
              <w:t>0.123</w:t>
            </w:r>
          </w:p>
        </w:tc>
        <w:tc>
          <w:tcPr>
            <w:tcW w:w="839" w:type="dxa"/>
            <w:tcBorders>
              <w:top w:val="single" w:sz="8" w:space="0" w:color="FFFFFF" w:themeColor="background1"/>
              <w:bottom w:val="single" w:sz="8" w:space="0" w:color="FFFFFF" w:themeColor="background1"/>
            </w:tcBorders>
            <w:shd w:val="clear" w:color="auto" w:fill="E9E8E5" w:themeFill="background2"/>
            <w:noWrap/>
          </w:tcPr>
          <w:p w14:paraId="73CBBBBB" w14:textId="77777777" w:rsidR="00CF6E40" w:rsidRPr="004D4096" w:rsidRDefault="00CF6E40" w:rsidP="004B5CD1">
            <w:pPr>
              <w:pStyle w:val="TableDataEntries"/>
            </w:pPr>
            <w:r w:rsidRPr="004D4096">
              <w:t>1.53</w:t>
            </w:r>
          </w:p>
        </w:tc>
      </w:tr>
      <w:tr w:rsidR="00CF6E40" w:rsidRPr="004D4096" w14:paraId="2793A565" w14:textId="77777777" w:rsidTr="004B5CD1">
        <w:trPr>
          <w:trHeight w:val="48"/>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86F16A2" w14:textId="77777777" w:rsidR="00CF6E40" w:rsidRPr="004D4096" w:rsidRDefault="00CF6E40" w:rsidP="004B5CD1">
            <w:pPr>
              <w:pStyle w:val="TableDataEntries"/>
              <w:jc w:val="left"/>
            </w:pPr>
            <w:r w:rsidRPr="004D4096">
              <w:t>Getting in and out: Step-free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8C4309A" w14:textId="77777777" w:rsidR="00CF6E40" w:rsidRPr="004D4096" w:rsidRDefault="00CF6E40" w:rsidP="004B5CD1">
            <w:pPr>
              <w:pStyle w:val="TableDataEntries"/>
            </w:pPr>
            <w:r w:rsidRPr="004D4096">
              <w:t>1.6405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69893F10" w14:textId="77777777" w:rsidR="00CF6E40" w:rsidRPr="004D4096" w:rsidRDefault="00CF6E40" w:rsidP="004B5CD1">
            <w:pPr>
              <w:pStyle w:val="TableDataEntries"/>
            </w:pPr>
            <w:r w:rsidRPr="004D4096">
              <w:t>10.99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51452EB7" w14:textId="77777777" w:rsidR="00CF6E40" w:rsidRPr="004D4096" w:rsidRDefault="00CF6E40" w:rsidP="004B5CD1">
            <w:pPr>
              <w:pStyle w:val="TableDataEntries"/>
            </w:pPr>
            <w:r w:rsidRPr="004D4096">
              <w:t>0.270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661DFD84" w14:textId="77777777" w:rsidR="00CF6E40" w:rsidRPr="004D4096" w:rsidRDefault="00CF6E40" w:rsidP="004B5CD1">
            <w:pPr>
              <w:pStyle w:val="TableDataEntries"/>
            </w:pPr>
            <w:r w:rsidRPr="004D4096">
              <w:t>3.14</w:t>
            </w:r>
          </w:p>
        </w:tc>
      </w:tr>
      <w:tr w:rsidR="00CF6E40" w:rsidRPr="004D4096" w14:paraId="773DFCE6"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63CD181" w14:textId="77777777" w:rsidR="00CF6E40" w:rsidRPr="004D4096" w:rsidRDefault="00CF6E40" w:rsidP="004B5CD1">
            <w:pPr>
              <w:pStyle w:val="TableDataEntries"/>
              <w:jc w:val="left"/>
            </w:pPr>
            <w:r w:rsidRPr="004D4096">
              <w:t>Moving around indoors: 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463E3C72" w14:textId="77777777" w:rsidR="00CF6E40" w:rsidRPr="004D4096" w:rsidRDefault="00CF6E40" w:rsidP="004B5CD1">
            <w:pPr>
              <w:pStyle w:val="TableDataEntries"/>
            </w:pPr>
            <w:r w:rsidRPr="004D4096">
              <w:t>0.3749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CA1C18C" w14:textId="77777777" w:rsidR="00CF6E40" w:rsidRPr="004D4096" w:rsidRDefault="00CF6E40" w:rsidP="004B5CD1">
            <w:pPr>
              <w:pStyle w:val="TableDataEntries"/>
            </w:pPr>
            <w:r w:rsidRPr="004D4096">
              <w:t>4.39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448AF36C" w14:textId="77777777" w:rsidR="00CF6E40" w:rsidRPr="004D4096" w:rsidRDefault="00CF6E40" w:rsidP="004B5CD1">
            <w:pPr>
              <w:pStyle w:val="TableDataEntries"/>
            </w:pPr>
            <w:r w:rsidRPr="004D4096">
              <w:t>0.229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1A94EBA" w14:textId="77777777" w:rsidR="00CF6E40" w:rsidRPr="004D4096" w:rsidRDefault="00CF6E40" w:rsidP="004B5CD1">
            <w:pPr>
              <w:pStyle w:val="TableDataEntries"/>
            </w:pPr>
            <w:r w:rsidRPr="004D4096">
              <w:t>3.73</w:t>
            </w:r>
          </w:p>
        </w:tc>
      </w:tr>
      <w:tr w:rsidR="00CF6E40" w:rsidRPr="004D4096" w14:paraId="0D1D1EA7"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201C00C3" w14:textId="77777777" w:rsidR="00CF6E40" w:rsidRPr="004D4096" w:rsidRDefault="00CF6E40" w:rsidP="004B5CD1">
            <w:pPr>
              <w:pStyle w:val="TableDataEntries"/>
              <w:jc w:val="left"/>
            </w:pPr>
            <w:r w:rsidRPr="004D4096">
              <w:t>Moving around indoors: Extra-wide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6D560065" w14:textId="77777777" w:rsidR="00CF6E40" w:rsidRPr="004D4096" w:rsidRDefault="00CF6E40" w:rsidP="004B5CD1">
            <w:pPr>
              <w:pStyle w:val="TableDataEntries"/>
            </w:pPr>
            <w:r w:rsidRPr="004D4096">
              <w:t>0.5377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175A0E71" w14:textId="77777777" w:rsidR="00CF6E40" w:rsidRPr="004D4096" w:rsidRDefault="00CF6E40" w:rsidP="004B5CD1">
            <w:pPr>
              <w:pStyle w:val="TableDataEntries"/>
            </w:pPr>
            <w:r w:rsidRPr="004D4096">
              <w:t>5.35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74E8C051" w14:textId="77777777" w:rsidR="00CF6E40" w:rsidRPr="004D4096" w:rsidRDefault="00CF6E40" w:rsidP="004B5CD1">
            <w:pPr>
              <w:pStyle w:val="TableDataEntries"/>
            </w:pPr>
            <w:r w:rsidRPr="004D4096">
              <w:t>0.140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026D744" w14:textId="77777777" w:rsidR="00CF6E40" w:rsidRPr="004D4096" w:rsidRDefault="00CF6E40" w:rsidP="004B5CD1">
            <w:pPr>
              <w:pStyle w:val="TableDataEntries"/>
            </w:pPr>
            <w:r w:rsidRPr="004D4096">
              <w:t>2.05</w:t>
            </w:r>
          </w:p>
        </w:tc>
      </w:tr>
      <w:tr w:rsidR="00CF6E40" w:rsidRPr="004D4096" w14:paraId="2BEE949C"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312DA311" w14:textId="77777777" w:rsidR="00CF6E40" w:rsidRPr="004D4096" w:rsidRDefault="00CF6E40" w:rsidP="004B5CD1">
            <w:pPr>
              <w:pStyle w:val="TableDataEntries"/>
              <w:jc w:val="left"/>
            </w:pPr>
            <w:r w:rsidRPr="004D4096">
              <w:t>Living on same level as entrance: Suitable for short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3ED59812" w14:textId="77777777" w:rsidR="00CF6E40" w:rsidRPr="004D4096" w:rsidRDefault="00CF6E40" w:rsidP="004B5CD1">
            <w:pPr>
              <w:pStyle w:val="TableDataEntries"/>
            </w:pPr>
            <w:r w:rsidRPr="004D4096">
              <w:t>1.4574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337BCAA" w14:textId="77777777" w:rsidR="00CF6E40" w:rsidRPr="004D4096" w:rsidRDefault="00CF6E40" w:rsidP="004B5CD1">
            <w:pPr>
              <w:pStyle w:val="TableDataEntries"/>
            </w:pPr>
            <w:r w:rsidRPr="004D4096">
              <w:t>13.70</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2C4D7C3B" w14:textId="77777777" w:rsidR="00CF6E40" w:rsidRPr="004D4096" w:rsidRDefault="00CF6E40" w:rsidP="004B5CD1">
            <w:pPr>
              <w:pStyle w:val="TableDataEntries"/>
            </w:pPr>
            <w:r w:rsidRPr="004D4096">
              <w:t>0.133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3A3BF4C" w14:textId="77777777" w:rsidR="00CF6E40" w:rsidRPr="004D4096" w:rsidRDefault="00CF6E40" w:rsidP="004B5CD1">
            <w:pPr>
              <w:pStyle w:val="TableDataEntries"/>
            </w:pPr>
            <w:r w:rsidRPr="004D4096">
              <w:t>2.00</w:t>
            </w:r>
          </w:p>
        </w:tc>
      </w:tr>
      <w:tr w:rsidR="00CF6E40" w:rsidRPr="004D4096" w14:paraId="64BADB59"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AC801E1" w14:textId="77777777" w:rsidR="00CF6E40" w:rsidRPr="004D4096" w:rsidRDefault="00CF6E40" w:rsidP="004B5CD1">
            <w:pPr>
              <w:pStyle w:val="TableDataEntries"/>
              <w:jc w:val="left"/>
            </w:pPr>
            <w:r w:rsidRPr="004D4096">
              <w:t>Living on same level as entrance: Suitable for living or overnight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65FD1371" w14:textId="77777777" w:rsidR="00CF6E40" w:rsidRPr="004D4096" w:rsidRDefault="00CF6E40" w:rsidP="004B5CD1">
            <w:pPr>
              <w:pStyle w:val="TableDataEntries"/>
            </w:pPr>
            <w:r w:rsidRPr="004D4096">
              <w:t>2.6255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8DFB5E3" w14:textId="77777777" w:rsidR="00CF6E40" w:rsidRPr="004D4096" w:rsidRDefault="00CF6E40" w:rsidP="004B5CD1">
            <w:pPr>
              <w:pStyle w:val="TableDataEntries"/>
            </w:pPr>
            <w:r w:rsidRPr="004D4096">
              <w:t>15.19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79518527" w14:textId="77777777" w:rsidR="00CF6E40" w:rsidRPr="004D4096" w:rsidRDefault="00CF6E40" w:rsidP="004B5CD1">
            <w:pPr>
              <w:pStyle w:val="TableDataEntries"/>
            </w:pPr>
            <w:r w:rsidRPr="004D4096">
              <w:t>0.037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476E1224" w14:textId="77777777" w:rsidR="00CF6E40" w:rsidRPr="004D4096" w:rsidRDefault="00CF6E40" w:rsidP="004B5CD1">
            <w:pPr>
              <w:pStyle w:val="TableDataEntries"/>
            </w:pPr>
            <w:r w:rsidRPr="004D4096">
              <w:t>0.41</w:t>
            </w:r>
          </w:p>
        </w:tc>
      </w:tr>
      <w:tr w:rsidR="00CF6E40" w:rsidRPr="004D4096" w14:paraId="34A38D78"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6F7DD13A" w14:textId="77777777" w:rsidR="00CF6E40" w:rsidRPr="004D4096" w:rsidRDefault="00CF6E40" w:rsidP="004B5CD1">
            <w:pPr>
              <w:pStyle w:val="TableDataEntries"/>
              <w:jc w:val="left"/>
            </w:pPr>
            <w:r w:rsidRPr="004D4096">
              <w:t>Modification that would be needed: Minimal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48D08D7D" w14:textId="77777777" w:rsidR="00CF6E40" w:rsidRPr="004D4096" w:rsidRDefault="00CF6E40" w:rsidP="004B5CD1">
            <w:pPr>
              <w:pStyle w:val="TableDataEntries"/>
            </w:pPr>
            <w:r w:rsidRPr="004D4096">
              <w:t>0.4764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3D0D226" w14:textId="77777777" w:rsidR="00CF6E40" w:rsidRPr="004D4096" w:rsidRDefault="00CF6E40" w:rsidP="004B5CD1">
            <w:pPr>
              <w:pStyle w:val="TableDataEntries"/>
            </w:pPr>
            <w:r w:rsidRPr="004D4096">
              <w:t>1.80</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7D1AB832" w14:textId="77777777" w:rsidR="00CF6E40" w:rsidRPr="004D4096" w:rsidRDefault="00CF6E40" w:rsidP="004B5CD1">
            <w:pPr>
              <w:pStyle w:val="TableDataEntries"/>
            </w:pPr>
            <w:r w:rsidRPr="004D4096">
              <w:t>0.415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5193F71" w14:textId="77777777" w:rsidR="00CF6E40" w:rsidRPr="004D4096" w:rsidRDefault="00CF6E40" w:rsidP="004B5CD1">
            <w:pPr>
              <w:pStyle w:val="TableDataEntries"/>
            </w:pPr>
            <w:r w:rsidRPr="004D4096">
              <w:t>2.71</w:t>
            </w:r>
          </w:p>
        </w:tc>
      </w:tr>
      <w:tr w:rsidR="00CF6E40" w:rsidRPr="004D4096" w14:paraId="7E189C12" w14:textId="77777777" w:rsidTr="004B5CD1">
        <w:trPr>
          <w:trHeight w:val="50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01771003" w14:textId="77777777" w:rsidR="00CF6E40" w:rsidRPr="004D4096" w:rsidRDefault="00CF6E40" w:rsidP="004B5CD1">
            <w:pPr>
              <w:pStyle w:val="TableDataEntries"/>
              <w:jc w:val="left"/>
            </w:pPr>
            <w:r w:rsidRPr="004D4096">
              <w:t>Total size of home compared to similar homes: 5% larger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4FADE748" w14:textId="77777777" w:rsidR="00CF6E40" w:rsidRPr="004D4096" w:rsidRDefault="00CF6E40" w:rsidP="004B5CD1">
            <w:pPr>
              <w:pStyle w:val="TableDataEntries"/>
            </w:pPr>
            <w:r w:rsidRPr="004D4096">
              <w:t>0.1677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D8E84BB" w14:textId="77777777" w:rsidR="00CF6E40" w:rsidRPr="004D4096" w:rsidRDefault="00CF6E40" w:rsidP="004B5CD1">
            <w:pPr>
              <w:pStyle w:val="TableDataEntries"/>
            </w:pPr>
            <w:r w:rsidRPr="004D4096">
              <w:t>2.49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3F86DB7E" w14:textId="77777777" w:rsidR="00CF6E40" w:rsidRPr="004D4096" w:rsidRDefault="00CF6E40" w:rsidP="004B5CD1">
            <w:pPr>
              <w:pStyle w:val="TableDataEntries"/>
            </w:pPr>
            <w:r w:rsidRPr="004D4096">
              <w:t>0.141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39F3748" w14:textId="77777777" w:rsidR="00CF6E40" w:rsidRPr="004D4096" w:rsidRDefault="00CF6E40" w:rsidP="004B5CD1">
            <w:pPr>
              <w:pStyle w:val="TableDataEntries"/>
            </w:pPr>
            <w:r w:rsidRPr="004D4096">
              <w:t>3.03</w:t>
            </w:r>
          </w:p>
        </w:tc>
      </w:tr>
      <w:tr w:rsidR="00CF6E40" w:rsidRPr="004D4096" w14:paraId="125C507F"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1128535B" w14:textId="77777777" w:rsidR="00CF6E40" w:rsidRPr="004D4096" w:rsidRDefault="00CF6E40" w:rsidP="004B5CD1">
            <w:pPr>
              <w:pStyle w:val="TableDataEntries"/>
              <w:jc w:val="left"/>
            </w:pPr>
            <w:r w:rsidRPr="004D4096">
              <w:t>Space used for corridors, bathroom, kitchen, laundry: 45%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5312846D" w14:textId="77777777" w:rsidR="00CF6E40" w:rsidRPr="004D4096" w:rsidRDefault="00CF6E40" w:rsidP="004B5CD1">
            <w:pPr>
              <w:pStyle w:val="TableDataEntries"/>
            </w:pPr>
            <w:r w:rsidRPr="004D4096">
              <w:t>-0.0225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86F368C" w14:textId="77777777" w:rsidR="00CF6E40" w:rsidRPr="004D4096" w:rsidRDefault="00CF6E40" w:rsidP="004B5CD1">
            <w:pPr>
              <w:pStyle w:val="TableDataEntries"/>
            </w:pPr>
            <w:r w:rsidRPr="004D4096">
              <w:t>-0.25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2D8C5062" w14:textId="77777777" w:rsidR="00CF6E40" w:rsidRPr="004D4096" w:rsidRDefault="00CF6E40" w:rsidP="004B5CD1">
            <w:pPr>
              <w:pStyle w:val="TableDataEntries"/>
            </w:pPr>
            <w:r w:rsidRPr="004D4096">
              <w:t>-0.135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AF489ED" w14:textId="77777777" w:rsidR="00CF6E40" w:rsidRPr="004D4096" w:rsidRDefault="00CF6E40" w:rsidP="004B5CD1">
            <w:pPr>
              <w:pStyle w:val="TableDataEntries"/>
            </w:pPr>
            <w:r w:rsidRPr="004D4096">
              <w:t>-2.33</w:t>
            </w:r>
          </w:p>
        </w:tc>
      </w:tr>
      <w:tr w:rsidR="00CF6E40" w:rsidRPr="004D4096" w14:paraId="4875FCAB"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A88D44D" w14:textId="77777777" w:rsidR="00CF6E40" w:rsidRPr="004D4096" w:rsidRDefault="00CF6E40" w:rsidP="004B5CD1">
            <w:pPr>
              <w:pStyle w:val="TableDataEntries"/>
              <w:jc w:val="left"/>
            </w:pPr>
            <w:r w:rsidRPr="004D4096">
              <w:t>Space used for corridors, bathroom, kitchen, laundry: 50%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6E4588B4" w14:textId="77777777" w:rsidR="00CF6E40" w:rsidRPr="004D4096" w:rsidRDefault="00CF6E40" w:rsidP="004B5CD1">
            <w:pPr>
              <w:pStyle w:val="TableDataEntries"/>
            </w:pPr>
            <w:r w:rsidRPr="004D4096">
              <w:t>0.0367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7C9A4F9B" w14:textId="77777777" w:rsidR="00CF6E40" w:rsidRPr="004D4096" w:rsidRDefault="00CF6E40" w:rsidP="004B5CD1">
            <w:pPr>
              <w:pStyle w:val="TableDataEntries"/>
            </w:pPr>
            <w:r w:rsidRPr="004D4096">
              <w:t>0.43</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46ECF501" w14:textId="77777777" w:rsidR="00CF6E40" w:rsidRPr="004D4096" w:rsidRDefault="00CF6E40" w:rsidP="004B5CD1">
            <w:pPr>
              <w:pStyle w:val="TableDataEntries"/>
            </w:pPr>
            <w:r w:rsidRPr="004D4096">
              <w:t>-0.195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B7FFF68" w14:textId="77777777" w:rsidR="00CF6E40" w:rsidRPr="004D4096" w:rsidRDefault="00CF6E40" w:rsidP="004B5CD1">
            <w:pPr>
              <w:pStyle w:val="TableDataEntries"/>
            </w:pPr>
            <w:r w:rsidRPr="004D4096">
              <w:t>-3.13</w:t>
            </w:r>
          </w:p>
        </w:tc>
      </w:tr>
      <w:tr w:rsidR="00CF6E40" w:rsidRPr="004D4096" w14:paraId="30571C85"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16AF553" w14:textId="77777777" w:rsidR="00CF6E40" w:rsidRPr="004D4096" w:rsidRDefault="00CF6E40" w:rsidP="004B5CD1">
            <w:pPr>
              <w:pStyle w:val="TableDataEntries"/>
              <w:jc w:val="left"/>
            </w:pPr>
            <w:r w:rsidRPr="004D4096">
              <w:t>Class membership parameters: Age (years)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2F525CC0" w14:textId="77777777" w:rsidR="00CF6E40" w:rsidRPr="004D4096" w:rsidRDefault="00CF6E40" w:rsidP="004B5CD1">
            <w:pPr>
              <w:pStyle w:val="TableDataEntries"/>
            </w:pPr>
            <w:r w:rsidRPr="004D4096">
              <w:t>0.0594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5BD054D" w14:textId="77777777" w:rsidR="00CF6E40" w:rsidRPr="004D4096" w:rsidRDefault="00CF6E40" w:rsidP="004B5CD1">
            <w:pPr>
              <w:pStyle w:val="TableDataEntries"/>
            </w:pPr>
            <w:r w:rsidRPr="004D4096">
              <w:t>10.48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3F80FC64"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25F629E" w14:textId="77777777" w:rsidR="00CF6E40" w:rsidRPr="004D4096" w:rsidRDefault="00CF6E40" w:rsidP="004B5CD1">
            <w:pPr>
              <w:pStyle w:val="TableDataEntries"/>
              <w:rPr>
                <w:rFonts w:ascii="Times New Roman" w:hAnsi="Times New Roman"/>
                <w:sz w:val="20"/>
                <w:szCs w:val="20"/>
              </w:rPr>
            </w:pPr>
          </w:p>
        </w:tc>
      </w:tr>
      <w:tr w:rsidR="00CF6E40" w:rsidRPr="004D4096" w14:paraId="3432F75E"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18EDDAFB" w14:textId="77777777" w:rsidR="00CF6E40" w:rsidRPr="004D4096" w:rsidRDefault="00CF6E40" w:rsidP="004B5CD1">
            <w:pPr>
              <w:pStyle w:val="TableDataEntries"/>
              <w:jc w:val="left"/>
            </w:pPr>
            <w:r w:rsidRPr="004D4096">
              <w:t>Class membership parameters: Household with permanent mobility limitation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77F69FA7" w14:textId="77777777" w:rsidR="00CF6E40" w:rsidRPr="004D4096" w:rsidRDefault="00CF6E40" w:rsidP="004B5CD1">
            <w:pPr>
              <w:pStyle w:val="TableDataEntries"/>
            </w:pPr>
            <w:r w:rsidRPr="004D4096">
              <w:t>0.8085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4B57CD04" w14:textId="77777777" w:rsidR="00CF6E40" w:rsidRPr="004D4096" w:rsidRDefault="00CF6E40" w:rsidP="004B5CD1">
            <w:pPr>
              <w:pStyle w:val="TableDataEntries"/>
            </w:pPr>
            <w:r w:rsidRPr="004D4096">
              <w:t>3.92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0260FC55"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DBCEF3E" w14:textId="77777777" w:rsidR="00CF6E40" w:rsidRPr="004D4096" w:rsidRDefault="00CF6E40" w:rsidP="004B5CD1">
            <w:pPr>
              <w:pStyle w:val="TableDataEntries"/>
              <w:rPr>
                <w:rFonts w:ascii="Times New Roman" w:hAnsi="Times New Roman"/>
                <w:sz w:val="20"/>
                <w:szCs w:val="20"/>
              </w:rPr>
            </w:pPr>
          </w:p>
        </w:tc>
      </w:tr>
      <w:tr w:rsidR="00CF6E40" w:rsidRPr="004D4096" w14:paraId="1FBBFC9B"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22489376" w14:textId="77777777" w:rsidR="00CF6E40" w:rsidRPr="004D4096" w:rsidRDefault="00CF6E40" w:rsidP="004B5CD1">
            <w:pPr>
              <w:pStyle w:val="TableDataEntries"/>
              <w:jc w:val="left"/>
            </w:pPr>
            <w:r w:rsidRPr="004D4096">
              <w:t>Class membership parameters: Constant</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554DE630" w14:textId="77777777" w:rsidR="00CF6E40" w:rsidRPr="004D4096" w:rsidRDefault="00CF6E40" w:rsidP="004B5CD1">
            <w:pPr>
              <w:pStyle w:val="TableDataEntries"/>
            </w:pPr>
            <w:r w:rsidRPr="004D4096">
              <w:t>-2.9803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2884B4DA" w14:textId="77777777" w:rsidR="00CF6E40" w:rsidRPr="004D4096" w:rsidRDefault="00CF6E40" w:rsidP="004B5CD1">
            <w:pPr>
              <w:pStyle w:val="TableDataEntries"/>
            </w:pPr>
            <w:r w:rsidRPr="004D4096">
              <w:t>-9.67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061ADAE0" w14:textId="77777777" w:rsidR="00CF6E40" w:rsidRPr="004D4096" w:rsidRDefault="00CF6E40" w:rsidP="004B5CD1">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4F4B8862" w14:textId="77777777" w:rsidR="00CF6E40" w:rsidRPr="004D4096" w:rsidRDefault="00CF6E40" w:rsidP="004B5CD1">
            <w:pPr>
              <w:pStyle w:val="TableDataEntries"/>
              <w:rPr>
                <w:rFonts w:ascii="Times New Roman" w:hAnsi="Times New Roman"/>
                <w:sz w:val="20"/>
                <w:szCs w:val="20"/>
              </w:rPr>
            </w:pPr>
          </w:p>
        </w:tc>
      </w:tr>
      <w:tr w:rsidR="00CF6E40" w:rsidRPr="004D4096" w14:paraId="18224ECC"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09D69A75" w14:textId="77777777" w:rsidR="00CF6E40" w:rsidRPr="004D4096" w:rsidRDefault="00CF6E40" w:rsidP="004B5CD1">
            <w:pPr>
              <w:pStyle w:val="TableDataEntries"/>
              <w:jc w:val="left"/>
            </w:pPr>
            <w:r w:rsidRPr="004D4096">
              <w:t>Model fit: Log likelihood</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08F02D4F" w14:textId="77777777" w:rsidR="00CF6E40" w:rsidRPr="004D4096" w:rsidRDefault="00CF6E40" w:rsidP="004B5CD1">
            <w:pPr>
              <w:pStyle w:val="TableDataEntries"/>
            </w:pPr>
            <w:r w:rsidRPr="004D4096">
              <w:t>-4092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0106E906" w14:textId="77777777" w:rsidR="00CF6E40" w:rsidRPr="004D4096" w:rsidRDefault="00CF6E40" w:rsidP="004B5CD1">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01263CF0"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2FC67AE" w14:textId="77777777" w:rsidR="00CF6E40" w:rsidRPr="004D4096" w:rsidRDefault="00CF6E40" w:rsidP="004B5CD1">
            <w:pPr>
              <w:pStyle w:val="TableDataEntries"/>
              <w:rPr>
                <w:rFonts w:ascii="Times New Roman" w:hAnsi="Times New Roman"/>
                <w:sz w:val="20"/>
                <w:szCs w:val="20"/>
              </w:rPr>
            </w:pPr>
          </w:p>
        </w:tc>
      </w:tr>
      <w:tr w:rsidR="00CF6E40" w:rsidRPr="004D4096" w14:paraId="1B46BA78" w14:textId="77777777" w:rsidTr="004B5CD1">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14:paraId="7735A55C" w14:textId="77777777" w:rsidR="00CF6E40" w:rsidRPr="004D4096" w:rsidRDefault="00CF6E40" w:rsidP="004B5CD1">
            <w:pPr>
              <w:pStyle w:val="TableDataEntries"/>
              <w:jc w:val="left"/>
            </w:pPr>
            <w:r w:rsidRPr="004D4096">
              <w:t>Model fit: Choice observations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14:paraId="6015BA49" w14:textId="77777777" w:rsidR="00CF6E40" w:rsidRPr="004D4096" w:rsidRDefault="00CF6E40" w:rsidP="004B5CD1">
            <w:pPr>
              <w:pStyle w:val="TableDataEntries"/>
            </w:pPr>
            <w:r w:rsidRPr="004D4096">
              <w:t>7032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3C986E7E" w14:textId="77777777" w:rsidR="00CF6E40" w:rsidRPr="004D4096" w:rsidRDefault="00CF6E40" w:rsidP="004B5CD1">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14:paraId="3ED3A7CC"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14:paraId="58D916A6" w14:textId="77777777" w:rsidR="00CF6E40" w:rsidRPr="004D4096" w:rsidRDefault="00CF6E40" w:rsidP="004B5CD1">
            <w:pPr>
              <w:pStyle w:val="TableDataEntries"/>
              <w:rPr>
                <w:rFonts w:ascii="Times New Roman" w:hAnsi="Times New Roman"/>
                <w:sz w:val="20"/>
                <w:szCs w:val="20"/>
              </w:rPr>
            </w:pPr>
          </w:p>
        </w:tc>
      </w:tr>
      <w:tr w:rsidR="00CF6E40" w:rsidRPr="004D4096" w14:paraId="485BC28A" w14:textId="77777777" w:rsidTr="004B5CD1">
        <w:trPr>
          <w:trHeight w:val="250"/>
        </w:trPr>
        <w:tc>
          <w:tcPr>
            <w:tcW w:w="3899" w:type="dxa"/>
            <w:tcBorders>
              <w:top w:val="single" w:sz="8" w:space="0" w:color="FFFFFF" w:themeColor="background1"/>
              <w:bottom w:val="single" w:sz="4" w:space="0" w:color="6F6652" w:themeColor="accent5"/>
            </w:tcBorders>
            <w:shd w:val="clear" w:color="auto" w:fill="E9E8E5" w:themeFill="background2"/>
            <w:hideMark/>
          </w:tcPr>
          <w:p w14:paraId="036C511C" w14:textId="77777777" w:rsidR="00CF6E40" w:rsidRPr="004D4096" w:rsidRDefault="00CF6E40" w:rsidP="004B5CD1">
            <w:pPr>
              <w:pStyle w:val="TableDataEntries"/>
              <w:jc w:val="left"/>
            </w:pPr>
            <w:r w:rsidRPr="004D4096">
              <w:t>Model fit: Individuals</w:t>
            </w:r>
          </w:p>
        </w:tc>
        <w:tc>
          <w:tcPr>
            <w:tcW w:w="1133" w:type="dxa"/>
            <w:tcBorders>
              <w:top w:val="single" w:sz="8" w:space="0" w:color="FFFFFF" w:themeColor="background1"/>
              <w:bottom w:val="single" w:sz="4" w:space="0" w:color="6F6652" w:themeColor="accent5"/>
            </w:tcBorders>
            <w:shd w:val="clear" w:color="auto" w:fill="E9E8E5" w:themeFill="background2"/>
            <w:noWrap/>
            <w:hideMark/>
          </w:tcPr>
          <w:p w14:paraId="6D704588" w14:textId="77777777" w:rsidR="00CF6E40" w:rsidRPr="004D4096" w:rsidRDefault="00CF6E40" w:rsidP="004B5CD1">
            <w:pPr>
              <w:pStyle w:val="TableDataEntries"/>
            </w:pPr>
            <w:r w:rsidRPr="004D4096">
              <w:t>1172</w:t>
            </w:r>
          </w:p>
        </w:tc>
        <w:tc>
          <w:tcPr>
            <w:tcW w:w="839" w:type="dxa"/>
            <w:tcBorders>
              <w:top w:val="single" w:sz="8" w:space="0" w:color="FFFFFF" w:themeColor="background1"/>
              <w:bottom w:val="single" w:sz="4" w:space="0" w:color="6F6652" w:themeColor="accent5"/>
            </w:tcBorders>
            <w:shd w:val="clear" w:color="auto" w:fill="E9E8E5" w:themeFill="background2"/>
            <w:noWrap/>
            <w:hideMark/>
          </w:tcPr>
          <w:p w14:paraId="0728729D" w14:textId="77777777" w:rsidR="00CF6E40" w:rsidRPr="004D4096" w:rsidRDefault="00CF6E40" w:rsidP="004B5CD1">
            <w:pPr>
              <w:pStyle w:val="TableDataEntries"/>
            </w:pPr>
          </w:p>
        </w:tc>
        <w:tc>
          <w:tcPr>
            <w:tcW w:w="1227" w:type="dxa"/>
            <w:tcBorders>
              <w:top w:val="single" w:sz="8" w:space="0" w:color="FFFFFF" w:themeColor="background1"/>
              <w:bottom w:val="single" w:sz="4" w:space="0" w:color="6F6652" w:themeColor="accent5"/>
            </w:tcBorders>
            <w:shd w:val="clear" w:color="auto" w:fill="E9E8E5" w:themeFill="background2"/>
            <w:noWrap/>
            <w:hideMark/>
          </w:tcPr>
          <w:p w14:paraId="35C19C6B" w14:textId="77777777" w:rsidR="00CF6E40" w:rsidRPr="004D4096" w:rsidRDefault="00CF6E40" w:rsidP="004B5CD1">
            <w:pPr>
              <w:pStyle w:val="TableDataEntries"/>
              <w:rPr>
                <w:rFonts w:ascii="Times New Roman" w:hAnsi="Times New Roman"/>
                <w:sz w:val="20"/>
                <w:szCs w:val="20"/>
              </w:rPr>
            </w:pPr>
          </w:p>
        </w:tc>
        <w:tc>
          <w:tcPr>
            <w:tcW w:w="839" w:type="dxa"/>
            <w:tcBorders>
              <w:top w:val="single" w:sz="8" w:space="0" w:color="FFFFFF" w:themeColor="background1"/>
              <w:bottom w:val="single" w:sz="4" w:space="0" w:color="6F6652" w:themeColor="accent5"/>
            </w:tcBorders>
            <w:shd w:val="clear" w:color="auto" w:fill="E9E8E5" w:themeFill="background2"/>
            <w:noWrap/>
            <w:hideMark/>
          </w:tcPr>
          <w:p w14:paraId="5F9A953A" w14:textId="77777777" w:rsidR="00CF6E40" w:rsidRPr="004D4096" w:rsidRDefault="00CF6E40" w:rsidP="004B5CD1">
            <w:pPr>
              <w:pStyle w:val="TableDataEntries"/>
              <w:rPr>
                <w:rFonts w:ascii="Times New Roman" w:hAnsi="Times New Roman"/>
                <w:sz w:val="20"/>
                <w:szCs w:val="20"/>
              </w:rPr>
            </w:pPr>
          </w:p>
        </w:tc>
      </w:tr>
    </w:tbl>
    <w:p w14:paraId="0342F444" w14:textId="77777777" w:rsidR="00CF6E40" w:rsidRPr="00AF30DA" w:rsidRDefault="00CF6E40" w:rsidP="00CF6E40">
      <w:pPr>
        <w:pStyle w:val="Source"/>
      </w:pPr>
      <w:r w:rsidRPr="00AF30DA">
        <w:t>Source: CIE</w:t>
      </w:r>
      <w:r w:rsidR="007D3F40">
        <w:t>.</w:t>
      </w:r>
    </w:p>
    <w:p w14:paraId="3AA176CC" w14:textId="77777777" w:rsidR="00CF6E40" w:rsidRPr="004D4096" w:rsidRDefault="00CF6E40" w:rsidP="00CF6E40">
      <w:pPr>
        <w:pStyle w:val="BodyText"/>
        <w:rPr>
          <w:lang w:eastAsia="en-US"/>
        </w:rPr>
      </w:pPr>
      <w:r w:rsidRPr="004D4096">
        <w:rPr>
          <w:lang w:eastAsia="en-US"/>
        </w:rPr>
        <w:t xml:space="preserve">Estimates of average WTP were derived from this model by calculating WTP at a respondent level using unconditional class probabilities and taking a weighted average accounting for the poststratification weights. The estimates from the models suggest that buyers are willing to pay a higher proportion of housing costs for accessibility features than are renters. The attributes that matter most to Australians are having amenities on the same floor as an entrance (noting that this feature is present in most of the existing housing stock) and a step-free entrance. </w:t>
      </w:r>
    </w:p>
    <w:p w14:paraId="5F573C63" w14:textId="2924A9ED" w:rsidR="00CF6E40" w:rsidRPr="004D4096" w:rsidRDefault="00390CDB" w:rsidP="00CF6E40">
      <w:pPr>
        <w:pStyle w:val="Caption"/>
      </w:pPr>
      <w:bookmarkStart w:id="958" w:name="_Toc34122639"/>
      <w:bookmarkStart w:id="959" w:name="_Toc44598642"/>
      <w:bookmarkStart w:id="960" w:name="_Toc45654273"/>
      <w:bookmarkStart w:id="961" w:name="_Toc57643742"/>
      <w:bookmarkStart w:id="962" w:name="_Toc70505695"/>
      <w:r>
        <w:t>K.12</w:t>
      </w:r>
      <w:r w:rsidR="00CF6E40" w:rsidRPr="004D4096">
        <w:tab/>
        <w:t>Average willingness to pay as a proportion of reference price</w:t>
      </w:r>
      <w:bookmarkEnd w:id="958"/>
      <w:bookmarkEnd w:id="959"/>
      <w:bookmarkEnd w:id="960"/>
      <w:bookmarkEnd w:id="961"/>
      <w:bookmarkEnd w:id="962"/>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2: Average willingness to pay as a proportion of reference price"/>
        <w:tblDescription w:val="Table K.12 lists the average willingness to pay as a proportion of reference price by renters and buyers for a list of changes to housing features to increase accessibility."/>
      </w:tblPr>
      <w:tblGrid>
        <w:gridCol w:w="5954"/>
        <w:gridCol w:w="992"/>
        <w:gridCol w:w="991"/>
      </w:tblGrid>
      <w:tr w:rsidR="00CF6E40" w:rsidRPr="004D4096" w14:paraId="5A045B8B" w14:textId="77777777" w:rsidTr="004B5CD1">
        <w:trPr>
          <w:trHeight w:val="68"/>
          <w:tblHeader/>
        </w:trPr>
        <w:tc>
          <w:tcPr>
            <w:tcW w:w="5954" w:type="dxa"/>
            <w:shd w:val="clear" w:color="auto" w:fill="6F6652" w:themeFill="accent5"/>
            <w:hideMark/>
          </w:tcPr>
          <w:p w14:paraId="30B48F5D" w14:textId="77777777" w:rsidR="00CF6E40" w:rsidRPr="004D4096" w:rsidRDefault="00CF6E40" w:rsidP="004B5CD1">
            <w:pPr>
              <w:pStyle w:val="TableTextColumnHeading"/>
            </w:pPr>
            <w:r w:rsidRPr="004D4096">
              <w:t>Change in housing features</w:t>
            </w:r>
          </w:p>
        </w:tc>
        <w:tc>
          <w:tcPr>
            <w:tcW w:w="992" w:type="dxa"/>
            <w:shd w:val="clear" w:color="auto" w:fill="6F6652" w:themeFill="accent5"/>
            <w:noWrap/>
            <w:hideMark/>
          </w:tcPr>
          <w:p w14:paraId="19EC9DC2" w14:textId="77777777" w:rsidR="00CF6E40" w:rsidRPr="004D4096" w:rsidRDefault="00CF6E40" w:rsidP="004B5CD1">
            <w:pPr>
              <w:pStyle w:val="TableDataColumnHeading"/>
            </w:pPr>
            <w:r w:rsidRPr="004D4096">
              <w:t>Renter model</w:t>
            </w:r>
            <w:r w:rsidRPr="004D4096">
              <w:br/>
              <w:t>(per cent)</w:t>
            </w:r>
          </w:p>
        </w:tc>
        <w:tc>
          <w:tcPr>
            <w:tcW w:w="991" w:type="dxa"/>
            <w:shd w:val="clear" w:color="auto" w:fill="6F6652" w:themeFill="accent5"/>
            <w:noWrap/>
            <w:hideMark/>
          </w:tcPr>
          <w:p w14:paraId="256CCD15" w14:textId="77777777" w:rsidR="00CF6E40" w:rsidRPr="004D4096" w:rsidRDefault="00CF6E40" w:rsidP="004B5CD1">
            <w:pPr>
              <w:pStyle w:val="TableDataColumnHeading"/>
            </w:pPr>
            <w:r w:rsidRPr="004D4096">
              <w:t>Buyer model</w:t>
            </w:r>
            <w:r w:rsidRPr="004D4096">
              <w:br/>
              <w:t>(per cent)</w:t>
            </w:r>
          </w:p>
        </w:tc>
      </w:tr>
      <w:tr w:rsidR="00CF6E40" w:rsidRPr="004D4096" w14:paraId="76F1141A"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7438D72F" w14:textId="77777777" w:rsidR="00CF6E40" w:rsidRPr="004D4096" w:rsidRDefault="00CF6E40" w:rsidP="004B5CD1">
            <w:pPr>
              <w:pStyle w:val="TableDataEntries"/>
              <w:jc w:val="left"/>
            </w:pPr>
            <w:r w:rsidRPr="004D4096">
              <w:t>Getting in and out: 'Several steps' to 'Single step'</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43A4114C" w14:textId="77777777" w:rsidR="00CF6E40" w:rsidRPr="004D4096" w:rsidRDefault="00CF6E40" w:rsidP="004B5CD1">
            <w:pPr>
              <w:pStyle w:val="TableDataEntries"/>
            </w:pPr>
            <w:r w:rsidRPr="004D4096">
              <w:t>8.2</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083867C1" w14:textId="77777777" w:rsidR="00CF6E40" w:rsidRPr="004D4096" w:rsidRDefault="00CF6E40" w:rsidP="004B5CD1">
            <w:pPr>
              <w:pStyle w:val="TableDataEntries"/>
            </w:pPr>
            <w:r w:rsidRPr="004D4096">
              <w:t>18.9</w:t>
            </w:r>
          </w:p>
        </w:tc>
      </w:tr>
      <w:tr w:rsidR="00CF6E40" w:rsidRPr="004D4096" w14:paraId="34D1F6BB"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199D241B" w14:textId="77777777" w:rsidR="00CF6E40" w:rsidRPr="004D4096" w:rsidRDefault="00CF6E40" w:rsidP="004B5CD1">
            <w:pPr>
              <w:pStyle w:val="TableDataEntries"/>
              <w:jc w:val="left"/>
            </w:pPr>
            <w:r w:rsidRPr="004D4096">
              <w:t>Getting in and out: 'Several steps' to 'Step-free'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3C7EE09F" w14:textId="77777777" w:rsidR="00CF6E40" w:rsidRPr="004D4096" w:rsidRDefault="00CF6E40" w:rsidP="004B5CD1">
            <w:pPr>
              <w:pStyle w:val="TableDataEntries"/>
            </w:pPr>
            <w:r w:rsidRPr="004D4096">
              <w:t>12.4</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6A7C122B" w14:textId="77777777" w:rsidR="00CF6E40" w:rsidRPr="004D4096" w:rsidRDefault="00CF6E40" w:rsidP="004B5CD1">
            <w:pPr>
              <w:pStyle w:val="TableDataEntries"/>
            </w:pPr>
            <w:r w:rsidRPr="004D4096">
              <w:t>27.5</w:t>
            </w:r>
          </w:p>
        </w:tc>
      </w:tr>
      <w:tr w:rsidR="00CF6E40" w:rsidRPr="004D4096" w14:paraId="253E75BE"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75F3281E" w14:textId="77777777" w:rsidR="00CF6E40" w:rsidRPr="004D4096" w:rsidRDefault="00CF6E40" w:rsidP="004B5CD1">
            <w:pPr>
              <w:pStyle w:val="TableDataEntries"/>
              <w:jc w:val="left"/>
            </w:pPr>
            <w:r w:rsidRPr="004D4096">
              <w:t>Moving around indoors: 'Regular space' to 'Wide spaces'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0C56EBFB" w14:textId="77777777" w:rsidR="00CF6E40" w:rsidRPr="004D4096" w:rsidRDefault="00CF6E40" w:rsidP="004B5CD1">
            <w:pPr>
              <w:pStyle w:val="TableDataEntries"/>
            </w:pPr>
            <w:r w:rsidRPr="004D4096">
              <w:t>3.9</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7DA7B101" w14:textId="77777777" w:rsidR="00CF6E40" w:rsidRPr="004D4096" w:rsidRDefault="00CF6E40" w:rsidP="004B5CD1">
            <w:pPr>
              <w:pStyle w:val="TableDataEntries"/>
            </w:pPr>
            <w:r w:rsidRPr="004D4096">
              <w:t>8.4</w:t>
            </w:r>
          </w:p>
        </w:tc>
      </w:tr>
      <w:tr w:rsidR="00CF6E40" w:rsidRPr="004D4096" w14:paraId="3BA864C7"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6837AF98" w14:textId="77777777" w:rsidR="00CF6E40" w:rsidRPr="004D4096" w:rsidRDefault="00CF6E40" w:rsidP="004B5CD1">
            <w:pPr>
              <w:pStyle w:val="TableDataEntries"/>
              <w:jc w:val="left"/>
            </w:pPr>
            <w:r w:rsidRPr="004D4096">
              <w:t>Moving around indoors: 'Regular space' to 'Extra-wide spaces'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3B58558D" w14:textId="77777777" w:rsidR="00CF6E40" w:rsidRPr="004D4096" w:rsidRDefault="00CF6E40" w:rsidP="004B5CD1">
            <w:pPr>
              <w:pStyle w:val="TableDataEntries"/>
            </w:pPr>
            <w:r w:rsidRPr="004D4096">
              <w:t>5.5</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46D6DB50" w14:textId="77777777" w:rsidR="00CF6E40" w:rsidRPr="004D4096" w:rsidRDefault="00CF6E40" w:rsidP="004B5CD1">
            <w:pPr>
              <w:pStyle w:val="TableDataEntries"/>
            </w:pPr>
            <w:r w:rsidRPr="004D4096">
              <w:t>9.7</w:t>
            </w:r>
          </w:p>
        </w:tc>
      </w:tr>
      <w:tr w:rsidR="00CF6E40" w:rsidRPr="004D4096" w14:paraId="0AC2D2C2" w14:textId="77777777" w:rsidTr="004B5CD1">
        <w:trPr>
          <w:trHeight w:val="48"/>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462F0288" w14:textId="77777777" w:rsidR="00CF6E40" w:rsidRPr="004D4096" w:rsidRDefault="00CF6E40" w:rsidP="004B5CD1">
            <w:pPr>
              <w:pStyle w:val="TableDataEntries"/>
              <w:jc w:val="left"/>
            </w:pPr>
            <w:r w:rsidRPr="004D4096">
              <w:t>Living on same level as entrance: 'Unsuitable' to 'Suitable for short visits'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480E5E3" w14:textId="77777777" w:rsidR="00CF6E40" w:rsidRPr="004D4096" w:rsidRDefault="00CF6E40" w:rsidP="004B5CD1">
            <w:pPr>
              <w:pStyle w:val="TableDataEntries"/>
            </w:pPr>
            <w:r w:rsidRPr="004D4096">
              <w:t>10.9</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2FFFFE12" w14:textId="77777777" w:rsidR="00CF6E40" w:rsidRPr="004D4096" w:rsidRDefault="00CF6E40" w:rsidP="004B5CD1">
            <w:pPr>
              <w:pStyle w:val="TableDataEntries"/>
            </w:pPr>
            <w:r w:rsidRPr="004D4096">
              <w:t>23.1</w:t>
            </w:r>
          </w:p>
        </w:tc>
      </w:tr>
      <w:tr w:rsidR="00CF6E40" w:rsidRPr="004D4096" w14:paraId="01D10B7B" w14:textId="77777777" w:rsidTr="004B5CD1">
        <w:trPr>
          <w:trHeight w:val="268"/>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6F1C0443" w14:textId="77777777" w:rsidR="00CF6E40" w:rsidRPr="004D4096" w:rsidRDefault="00CF6E40" w:rsidP="004B5CD1">
            <w:pPr>
              <w:pStyle w:val="TableDataEntries"/>
              <w:jc w:val="left"/>
            </w:pPr>
            <w:r w:rsidRPr="004D4096">
              <w:t>Living on same level as entrance: 'Unsuitable' to 'Suitable for living or overnight visits'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20DC697D" w14:textId="77777777" w:rsidR="00CF6E40" w:rsidRPr="004D4096" w:rsidRDefault="00CF6E40" w:rsidP="004B5CD1">
            <w:pPr>
              <w:pStyle w:val="TableDataEntries"/>
            </w:pPr>
            <w:r w:rsidRPr="004D4096">
              <w:t>16.2</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42C7B0A9" w14:textId="77777777" w:rsidR="00CF6E40" w:rsidRPr="004D4096" w:rsidRDefault="00CF6E40" w:rsidP="004B5CD1">
            <w:pPr>
              <w:pStyle w:val="TableDataEntries"/>
            </w:pPr>
            <w:r w:rsidRPr="004D4096">
              <w:t>39.0</w:t>
            </w:r>
          </w:p>
        </w:tc>
      </w:tr>
      <w:tr w:rsidR="00CF6E40" w:rsidRPr="004D4096" w14:paraId="04DB6688"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4BB2171E" w14:textId="77777777" w:rsidR="00CF6E40" w:rsidRPr="004D4096" w:rsidRDefault="00CF6E40" w:rsidP="004B5CD1">
            <w:pPr>
              <w:pStyle w:val="TableDataEntries"/>
              <w:jc w:val="left"/>
            </w:pPr>
            <w:r w:rsidRPr="004D4096">
              <w:t>Modification that would be needed: 'Significant' to 'Minimal'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0A2DC4E7" w14:textId="77777777" w:rsidR="00CF6E40" w:rsidRPr="004D4096" w:rsidRDefault="00CF6E40" w:rsidP="004B5CD1">
            <w:pPr>
              <w:pStyle w:val="TableDataEntries"/>
            </w:pPr>
            <w:r w:rsidRPr="004D4096">
              <w:t>4.4</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18E784B9" w14:textId="77777777" w:rsidR="00CF6E40" w:rsidRPr="004D4096" w:rsidRDefault="00CF6E40" w:rsidP="004B5CD1">
            <w:pPr>
              <w:pStyle w:val="TableDataEntries"/>
            </w:pPr>
            <w:r w:rsidRPr="004D4096">
              <w:t>12.3</w:t>
            </w:r>
          </w:p>
        </w:tc>
      </w:tr>
      <w:tr w:rsidR="00CF6E40" w:rsidRPr="004D4096" w14:paraId="35B92539"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6FF92128" w14:textId="77777777" w:rsidR="00CF6E40" w:rsidRPr="004D4096" w:rsidRDefault="00CF6E40" w:rsidP="004B5CD1">
            <w:pPr>
              <w:pStyle w:val="TableDataEntries"/>
              <w:jc w:val="left"/>
            </w:pPr>
            <w:r w:rsidRPr="004D4096">
              <w:t>Total size of home compared to similar homes: 'Same' to '5% larger'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4379ECBF" w14:textId="77777777" w:rsidR="00CF6E40" w:rsidRPr="004D4096" w:rsidRDefault="00CF6E40" w:rsidP="004B5CD1">
            <w:pPr>
              <w:pStyle w:val="TableDataEntries"/>
            </w:pPr>
            <w:r w:rsidRPr="004D4096">
              <w:t>1.8</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377C46E9" w14:textId="77777777" w:rsidR="00CF6E40" w:rsidRPr="004D4096" w:rsidRDefault="00CF6E40" w:rsidP="004B5CD1">
            <w:pPr>
              <w:pStyle w:val="TableDataEntries"/>
            </w:pPr>
            <w:r w:rsidRPr="004D4096">
              <w:t>4.3</w:t>
            </w:r>
          </w:p>
        </w:tc>
      </w:tr>
      <w:tr w:rsidR="00CF6E40" w:rsidRPr="004D4096" w14:paraId="1821819F" w14:textId="77777777" w:rsidTr="004B5CD1">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14:paraId="1AD5C79D" w14:textId="77777777" w:rsidR="00CF6E40" w:rsidRPr="004D4096" w:rsidRDefault="00CF6E40" w:rsidP="004B5CD1">
            <w:pPr>
              <w:pStyle w:val="TableDataEntries"/>
              <w:jc w:val="left"/>
            </w:pPr>
            <w:r w:rsidRPr="004D4096">
              <w:t>Space used for corridors, bathroom, kitchen, laundry: 40% to 45%</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14:paraId="16578597" w14:textId="77777777" w:rsidR="00CF6E40" w:rsidRPr="004D4096" w:rsidRDefault="00CF6E40" w:rsidP="004B5CD1">
            <w:pPr>
              <w:pStyle w:val="TableDataEntries"/>
            </w:pPr>
            <w:r w:rsidRPr="004D4096">
              <w:t>-0.8</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14:paraId="36ACA422" w14:textId="77777777" w:rsidR="00CF6E40" w:rsidRPr="004D4096" w:rsidRDefault="00CF6E40" w:rsidP="004B5CD1">
            <w:pPr>
              <w:pStyle w:val="TableDataEntries"/>
            </w:pPr>
            <w:r w:rsidRPr="004D4096">
              <w:t>-2.0</w:t>
            </w:r>
          </w:p>
        </w:tc>
      </w:tr>
      <w:tr w:rsidR="00CF6E40" w:rsidRPr="004D4096" w14:paraId="32FD4232" w14:textId="77777777" w:rsidTr="004B5CD1">
        <w:trPr>
          <w:trHeight w:val="250"/>
        </w:trPr>
        <w:tc>
          <w:tcPr>
            <w:tcW w:w="5954" w:type="dxa"/>
            <w:tcBorders>
              <w:top w:val="single" w:sz="8" w:space="0" w:color="FFFFFF" w:themeColor="background1"/>
              <w:bottom w:val="single" w:sz="4" w:space="0" w:color="6F6652" w:themeColor="accent5"/>
            </w:tcBorders>
            <w:shd w:val="clear" w:color="auto" w:fill="E9E8E5" w:themeFill="background2"/>
            <w:hideMark/>
          </w:tcPr>
          <w:p w14:paraId="58767F5C" w14:textId="77777777" w:rsidR="00CF6E40" w:rsidRPr="004D4096" w:rsidRDefault="00CF6E40" w:rsidP="004B5CD1">
            <w:pPr>
              <w:pStyle w:val="TableDataEntries"/>
              <w:jc w:val="left"/>
            </w:pPr>
            <w:r w:rsidRPr="004D4096">
              <w:t>Space used for corridors, bathroom, kitchen, laundry: 40% to 50%</w:t>
            </w:r>
          </w:p>
        </w:tc>
        <w:tc>
          <w:tcPr>
            <w:tcW w:w="992" w:type="dxa"/>
            <w:tcBorders>
              <w:top w:val="single" w:sz="8" w:space="0" w:color="FFFFFF" w:themeColor="background1"/>
              <w:bottom w:val="single" w:sz="4" w:space="0" w:color="6F6652" w:themeColor="accent5"/>
            </w:tcBorders>
            <w:shd w:val="clear" w:color="auto" w:fill="E9E8E5" w:themeFill="background2"/>
            <w:noWrap/>
            <w:hideMark/>
          </w:tcPr>
          <w:p w14:paraId="5500DB04" w14:textId="77777777" w:rsidR="00CF6E40" w:rsidRPr="004D4096" w:rsidRDefault="00CF6E40" w:rsidP="004B5CD1">
            <w:pPr>
              <w:pStyle w:val="TableDataEntries"/>
            </w:pPr>
            <w:r w:rsidRPr="004D4096">
              <w:t>-1.8</w:t>
            </w:r>
          </w:p>
        </w:tc>
        <w:tc>
          <w:tcPr>
            <w:tcW w:w="991" w:type="dxa"/>
            <w:tcBorders>
              <w:top w:val="single" w:sz="8" w:space="0" w:color="FFFFFF" w:themeColor="background1"/>
              <w:bottom w:val="single" w:sz="4" w:space="0" w:color="6F6652" w:themeColor="accent5"/>
            </w:tcBorders>
            <w:shd w:val="clear" w:color="auto" w:fill="E9E8E5" w:themeFill="background2"/>
            <w:noWrap/>
            <w:hideMark/>
          </w:tcPr>
          <w:p w14:paraId="1CDF0631" w14:textId="77777777" w:rsidR="00CF6E40" w:rsidRPr="004D4096" w:rsidRDefault="00CF6E40" w:rsidP="004B5CD1">
            <w:pPr>
              <w:pStyle w:val="TableDataEntries"/>
            </w:pPr>
            <w:r w:rsidRPr="004D4096">
              <w:t>-1.9</w:t>
            </w:r>
          </w:p>
        </w:tc>
      </w:tr>
    </w:tbl>
    <w:p w14:paraId="38E13B13" w14:textId="77777777" w:rsidR="00CF6E40" w:rsidRPr="00AF30DA" w:rsidRDefault="00CF6E40" w:rsidP="00CF6E40">
      <w:pPr>
        <w:pStyle w:val="Source"/>
      </w:pPr>
      <w:r w:rsidRPr="00AF30DA">
        <w:t>Source: CIE</w:t>
      </w:r>
      <w:r w:rsidR="007D3F40">
        <w:t>.</w:t>
      </w:r>
    </w:p>
    <w:p w14:paraId="33A4299C" w14:textId="77777777" w:rsidR="00CF6E40" w:rsidRPr="004D4096" w:rsidRDefault="00CF6E40" w:rsidP="00CF6E40">
      <w:pPr>
        <w:pStyle w:val="BodyText"/>
        <w:rPr>
          <w:lang w:eastAsia="en-US"/>
        </w:rPr>
      </w:pPr>
      <w:r w:rsidRPr="004D4096">
        <w:rPr>
          <w:lang w:eastAsia="en-US"/>
        </w:rPr>
        <w:t xml:space="preserve">Estimates of WTP for accessibility features are higher than </w:t>
      </w:r>
      <w:r w:rsidR="0052020B" w:rsidRPr="004D4096">
        <w:rPr>
          <w:lang w:eastAsia="en-US"/>
        </w:rPr>
        <w:t xml:space="preserve">CIE’s </w:t>
      </w:r>
      <w:r w:rsidRPr="004D4096">
        <w:rPr>
          <w:lang w:eastAsia="en-US"/>
        </w:rPr>
        <w:t xml:space="preserve">prior expectations, particularly for buyers (as distinct from renters). It is prudent to check the results against reference points from real markets, particularly given the hypothetical and inconsequential nature of the choice exercise and the fact that it focused on a relatively small subset of features for a very high-priced and infrequently purchased good. </w:t>
      </w:r>
    </w:p>
    <w:p w14:paraId="3BDD1A1E" w14:textId="77777777" w:rsidR="00CF6E40" w:rsidRPr="004D4096" w:rsidRDefault="00321660" w:rsidP="00CF6E40">
      <w:pPr>
        <w:pStyle w:val="BodyText"/>
      </w:pPr>
      <w:r w:rsidRPr="004D4096">
        <w:t>CIE</w:t>
      </w:r>
      <w:r w:rsidR="00CF6E40" w:rsidRPr="004D4096">
        <w:t xml:space="preserve"> checked the WTP estimates for owner-occupiers with estimated costs of retrofitting the features. The WTP estimates for single step or step-free access, relative to several steps, and the estimates for amenities at entrance level were significantly </w:t>
      </w:r>
      <w:r w:rsidR="00982D83">
        <w:t xml:space="preserve">(in some cases, an order of magnitude) </w:t>
      </w:r>
      <w:r w:rsidR="00CF6E40" w:rsidRPr="004D4096">
        <w:t xml:space="preserve">higher than the estimated cost of retrofitting the features. </w:t>
      </w:r>
    </w:p>
    <w:p w14:paraId="2C3FBF93" w14:textId="77777777" w:rsidR="00CF6E40" w:rsidRPr="004D4096" w:rsidRDefault="00CF6E40" w:rsidP="00CF6E40">
      <w:pPr>
        <w:pStyle w:val="BodyText"/>
        <w:rPr>
          <w:lang w:eastAsia="en-US"/>
        </w:rPr>
      </w:pPr>
      <w:r w:rsidRPr="004D4096">
        <w:rPr>
          <w:lang w:eastAsia="en-US"/>
        </w:rPr>
        <w:t>This result could be caused by:</w:t>
      </w:r>
    </w:p>
    <w:p w14:paraId="24A5399B" w14:textId="77777777" w:rsidR="00CF6E40" w:rsidRPr="004D4096" w:rsidRDefault="00CF6E40" w:rsidP="00CF6E40">
      <w:pPr>
        <w:pStyle w:val="ListBullet"/>
        <w:numPr>
          <w:ilvl w:val="0"/>
          <w:numId w:val="16"/>
        </w:numPr>
        <w:rPr>
          <w:lang w:eastAsia="en-US"/>
        </w:rPr>
      </w:pPr>
      <w:r w:rsidRPr="004D4096">
        <w:rPr>
          <w:lang w:eastAsia="en-US"/>
        </w:rPr>
        <w:t>respondents failing to consider the possibility of purchasing a home without these features at a relatively low price and undertaking a retrofitting exercise</w:t>
      </w:r>
    </w:p>
    <w:p w14:paraId="719FA28F" w14:textId="77777777" w:rsidR="00CF6E40" w:rsidRPr="004D4096" w:rsidRDefault="00CF6E40" w:rsidP="00CF6E40">
      <w:pPr>
        <w:pStyle w:val="ListBullet"/>
        <w:numPr>
          <w:ilvl w:val="0"/>
          <w:numId w:val="16"/>
        </w:numPr>
        <w:rPr>
          <w:lang w:eastAsia="en-US"/>
        </w:rPr>
      </w:pPr>
      <w:r w:rsidRPr="004D4096">
        <w:rPr>
          <w:lang w:eastAsia="en-US"/>
        </w:rPr>
        <w:t>respondents over-estimating the costs of retrofitting</w:t>
      </w:r>
    </w:p>
    <w:p w14:paraId="142C2B15" w14:textId="77777777" w:rsidR="00CF6E40" w:rsidRPr="004D4096" w:rsidRDefault="00CF6E40" w:rsidP="00CF6E40">
      <w:pPr>
        <w:pStyle w:val="ListBullet"/>
        <w:numPr>
          <w:ilvl w:val="0"/>
          <w:numId w:val="16"/>
        </w:numPr>
        <w:rPr>
          <w:lang w:eastAsia="en-US"/>
        </w:rPr>
      </w:pPr>
      <w:r w:rsidRPr="004D4096">
        <w:rPr>
          <w:lang w:eastAsia="en-US"/>
        </w:rPr>
        <w:t>respondents rationally factoring in high non-financial costs of retrofitting associated with time, emotional stress and risk, or</w:t>
      </w:r>
    </w:p>
    <w:p w14:paraId="7D7D8417" w14:textId="77777777" w:rsidR="00CF6E40" w:rsidRPr="004D4096" w:rsidRDefault="00CF6E40" w:rsidP="00CF6E40">
      <w:pPr>
        <w:pStyle w:val="ListBullet"/>
        <w:numPr>
          <w:ilvl w:val="0"/>
          <w:numId w:val="16"/>
        </w:numPr>
        <w:rPr>
          <w:lang w:eastAsia="en-US"/>
        </w:rPr>
      </w:pPr>
      <w:r w:rsidRPr="004D4096">
        <w:rPr>
          <w:lang w:eastAsia="en-US"/>
        </w:rPr>
        <w:t>respondents over-stating their true WTP.</w:t>
      </w:r>
    </w:p>
    <w:p w14:paraId="534160CA" w14:textId="77777777" w:rsidR="00CF6E40" w:rsidRPr="004D4096" w:rsidRDefault="00CF6E40" w:rsidP="00CF6E40">
      <w:pPr>
        <w:pStyle w:val="BodyText"/>
        <w:rPr>
          <w:lang w:eastAsia="en-US"/>
        </w:rPr>
      </w:pPr>
      <w:bookmarkStart w:id="963" w:name="_Hlk34121977"/>
      <w:r w:rsidRPr="004D4096">
        <w:rPr>
          <w:lang w:eastAsia="en-US"/>
        </w:rPr>
        <w:t xml:space="preserve">The home purchase choice appears more susceptible than rental home choice to potential hypothetical bias, since it involves large sums of money and is a transaction that is conducted infrequently. It is also linked to the enhanced social status associated with home ownership. Home purchase decisions involve not only consideration of one’s own use value, but also speculative expectation on capital gains, expectations about others’ preferences and future supply and demand and how those factors may impact on the future sale price of the property. It is not possible for </w:t>
      </w:r>
      <w:r w:rsidR="002070F2" w:rsidRPr="004D4096">
        <w:rPr>
          <w:lang w:eastAsia="en-US"/>
        </w:rPr>
        <w:t>CIE</w:t>
      </w:r>
      <w:r w:rsidRPr="004D4096">
        <w:rPr>
          <w:lang w:eastAsia="en-US"/>
        </w:rPr>
        <w:t xml:space="preserve"> to disentangle these confounding effects on the implied value estimates.</w:t>
      </w:r>
    </w:p>
    <w:p w14:paraId="0E2AF7BB" w14:textId="77777777" w:rsidR="00CF6E40" w:rsidRPr="004D4096" w:rsidRDefault="00CF6E40" w:rsidP="00CF6E40">
      <w:pPr>
        <w:pStyle w:val="BodyText"/>
        <w:rPr>
          <w:lang w:eastAsia="en-US"/>
        </w:rPr>
      </w:pPr>
      <w:r w:rsidRPr="004D4096">
        <w:rPr>
          <w:lang w:eastAsia="en-US"/>
        </w:rPr>
        <w:t xml:space="preserve">For these reasons, </w:t>
      </w:r>
      <w:r w:rsidR="0020646B" w:rsidRPr="004D4096">
        <w:rPr>
          <w:lang w:eastAsia="en-US"/>
        </w:rPr>
        <w:t>CIE’s</w:t>
      </w:r>
      <w:r w:rsidRPr="004D4096">
        <w:rPr>
          <w:lang w:eastAsia="en-US"/>
        </w:rPr>
        <w:t xml:space="preserve"> view is the renter model provides the best estimates of the use value of the accessibility features because it is less confounded by other effects. </w:t>
      </w:r>
      <w:r w:rsidR="00321660" w:rsidRPr="004D4096">
        <w:rPr>
          <w:lang w:eastAsia="en-US"/>
        </w:rPr>
        <w:t>CIE</w:t>
      </w:r>
      <w:r w:rsidRPr="004D4096">
        <w:rPr>
          <w:lang w:eastAsia="en-US"/>
        </w:rPr>
        <w:t xml:space="preserve"> derive use values for owner-occupiers from the renter estimation results by accounting for the impact of demographic differences between owners and renters on both the reference price and WTP as a proportion of the reference price. In particular, </w:t>
      </w:r>
      <w:r w:rsidR="00321660" w:rsidRPr="004D4096">
        <w:rPr>
          <w:lang w:eastAsia="en-US"/>
        </w:rPr>
        <w:t>CIE</w:t>
      </w:r>
      <w:r w:rsidRPr="004D4096">
        <w:rPr>
          <w:lang w:eastAsia="en-US"/>
        </w:rPr>
        <w:t xml:space="preserve"> calculate a reference price for owner-occupiers by applying the rental reference price model to each respondent’s characteristics and calculate unconditional class membership probabilities (and WTP) using their age, mobility and income characteristics. Their WTP is estimated to be higher than renters’ WTP because they tend to be older and shopping for more expensive rental properties (an average reference price of $337 per week compared to $307 per week).</w:t>
      </w:r>
    </w:p>
    <w:bookmarkEnd w:id="963"/>
    <w:p w14:paraId="216E8C50" w14:textId="77777777" w:rsidR="00CF6E40" w:rsidRPr="004D4096" w:rsidRDefault="00CF6E40" w:rsidP="00CF6E40">
      <w:pPr>
        <w:pStyle w:val="BodyText"/>
        <w:rPr>
          <w:lang w:eastAsia="en-US"/>
        </w:rPr>
      </w:pPr>
      <w:r w:rsidRPr="004D4096">
        <w:rPr>
          <w:lang w:eastAsia="en-US"/>
        </w:rPr>
        <w:t>The estimates of average use values for accessibility features for buyers and renters are provided in table K.</w:t>
      </w:r>
      <w:r w:rsidR="00982D83" w:rsidRPr="004D4096">
        <w:rPr>
          <w:lang w:eastAsia="en-US"/>
        </w:rPr>
        <w:t>1</w:t>
      </w:r>
      <w:r w:rsidR="00982D83">
        <w:rPr>
          <w:lang w:eastAsia="en-US"/>
        </w:rPr>
        <w:t>3</w:t>
      </w:r>
      <w:r w:rsidRPr="004D4096">
        <w:rPr>
          <w:lang w:eastAsia="en-US"/>
        </w:rPr>
        <w:t>. The table also provides estimates of the estimated values for respondents in a household with at least one person with permanent mobility limitation.</w:t>
      </w:r>
    </w:p>
    <w:p w14:paraId="2909A890" w14:textId="6DC1412A" w:rsidR="00CF6E40" w:rsidRPr="004D4096" w:rsidRDefault="00390CDB" w:rsidP="00CF6E40">
      <w:pPr>
        <w:pStyle w:val="Caption"/>
      </w:pPr>
      <w:bookmarkStart w:id="964" w:name="_Toc44598645"/>
      <w:bookmarkStart w:id="965" w:name="_Toc45654276"/>
      <w:bookmarkStart w:id="966" w:name="_Toc57643745"/>
      <w:bookmarkStart w:id="967" w:name="_Toc70505696"/>
      <w:r>
        <w:t>K.13</w:t>
      </w:r>
      <w:r w:rsidR="00CF6E40" w:rsidRPr="004D4096">
        <w:tab/>
        <w:t>Estimates of average willingness to pay by tenure type and mobility status</w:t>
      </w:r>
      <w:bookmarkEnd w:id="964"/>
      <w:bookmarkEnd w:id="965"/>
      <w:bookmarkEnd w:id="966"/>
      <w:bookmarkEnd w:id="967"/>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3: Estimates of average willingness to pay by tenure type and mobility status"/>
        <w:tblDescription w:val="Table K.13 presents estimates of average willingness to pay by tenure type (buyers and renters) and mobility status for a list of changes to housing features to increase accessibility."/>
      </w:tblPr>
      <w:tblGrid>
        <w:gridCol w:w="4461"/>
        <w:gridCol w:w="881"/>
        <w:gridCol w:w="814"/>
        <w:gridCol w:w="891"/>
        <w:gridCol w:w="891"/>
      </w:tblGrid>
      <w:tr w:rsidR="00CF6E40" w:rsidRPr="004D4096" w14:paraId="3F40EBC4" w14:textId="77777777" w:rsidTr="004B5CD1">
        <w:trPr>
          <w:trHeight w:val="270"/>
          <w:tblHeader/>
        </w:trPr>
        <w:tc>
          <w:tcPr>
            <w:tcW w:w="4461" w:type="dxa"/>
            <w:shd w:val="clear" w:color="auto" w:fill="6F6652" w:themeFill="accent5"/>
            <w:hideMark/>
          </w:tcPr>
          <w:p w14:paraId="72946B6F" w14:textId="77777777" w:rsidR="00CF6E40" w:rsidRPr="004D4096" w:rsidRDefault="00CF6E40" w:rsidP="004B5CD1">
            <w:pPr>
              <w:pStyle w:val="TableDataColumnHeading"/>
              <w:jc w:val="left"/>
            </w:pPr>
            <w:r w:rsidRPr="004D4096">
              <w:t>Change in housing features</w:t>
            </w:r>
          </w:p>
        </w:tc>
        <w:tc>
          <w:tcPr>
            <w:tcW w:w="881" w:type="dxa"/>
            <w:shd w:val="clear" w:color="auto" w:fill="6F6652" w:themeFill="accent5"/>
            <w:hideMark/>
          </w:tcPr>
          <w:p w14:paraId="42EA7A55" w14:textId="77777777" w:rsidR="00CF6E40" w:rsidRPr="004D4096" w:rsidRDefault="00CF6E40" w:rsidP="005D3F4E">
            <w:pPr>
              <w:pStyle w:val="TableDataColumnHeading"/>
              <w:rPr>
                <w:szCs w:val="16"/>
              </w:rPr>
            </w:pPr>
            <w:r w:rsidRPr="004D4096">
              <w:rPr>
                <w:szCs w:val="16"/>
              </w:rPr>
              <w:t>Buyers</w:t>
            </w:r>
            <w:r w:rsidRPr="004D4096">
              <w:rPr>
                <w:szCs w:val="16"/>
              </w:rPr>
              <w:br/>
              <w:t>($ per week)</w:t>
            </w:r>
          </w:p>
        </w:tc>
        <w:tc>
          <w:tcPr>
            <w:tcW w:w="814" w:type="dxa"/>
            <w:shd w:val="clear" w:color="auto" w:fill="6F6652" w:themeFill="accent5"/>
            <w:noWrap/>
            <w:hideMark/>
          </w:tcPr>
          <w:p w14:paraId="3863F635" w14:textId="77777777" w:rsidR="00CF6E40" w:rsidRPr="004D4096" w:rsidRDefault="00CF6E40" w:rsidP="005D3F4E">
            <w:pPr>
              <w:pStyle w:val="TableDataColumnHeading"/>
              <w:rPr>
                <w:szCs w:val="16"/>
              </w:rPr>
            </w:pPr>
            <w:r w:rsidRPr="004D4096">
              <w:rPr>
                <w:szCs w:val="16"/>
              </w:rPr>
              <w:t>Renters</w:t>
            </w:r>
            <w:r w:rsidRPr="004D4096">
              <w:rPr>
                <w:szCs w:val="16"/>
              </w:rPr>
              <w:br/>
              <w:t>($ per week)</w:t>
            </w:r>
          </w:p>
        </w:tc>
        <w:tc>
          <w:tcPr>
            <w:tcW w:w="891" w:type="dxa"/>
            <w:shd w:val="clear" w:color="auto" w:fill="6F6652" w:themeFill="accent5"/>
            <w:noWrap/>
            <w:hideMark/>
          </w:tcPr>
          <w:p w14:paraId="6DE9153C" w14:textId="77777777" w:rsidR="00CF6E40" w:rsidRPr="004D4096" w:rsidRDefault="00CF6E40" w:rsidP="004B5CD1">
            <w:pPr>
              <w:pStyle w:val="TableDataColumnHeading"/>
              <w:rPr>
                <w:szCs w:val="16"/>
              </w:rPr>
            </w:pPr>
            <w:r w:rsidRPr="004D4096">
              <w:rPr>
                <w:szCs w:val="16"/>
              </w:rPr>
              <w:t>Buyers with mobility limitation</w:t>
            </w:r>
            <w:r w:rsidRPr="004D4096">
              <w:rPr>
                <w:szCs w:val="16"/>
              </w:rPr>
              <w:br/>
              <w:t>($ per week)</w:t>
            </w:r>
          </w:p>
        </w:tc>
        <w:tc>
          <w:tcPr>
            <w:tcW w:w="891" w:type="dxa"/>
            <w:shd w:val="clear" w:color="auto" w:fill="6F6652" w:themeFill="accent5"/>
            <w:noWrap/>
            <w:hideMark/>
          </w:tcPr>
          <w:p w14:paraId="21E091AA" w14:textId="77777777" w:rsidR="00CF6E40" w:rsidRPr="004D4096" w:rsidRDefault="00CF6E40" w:rsidP="004B5CD1">
            <w:pPr>
              <w:pStyle w:val="TableDataColumnHeading"/>
              <w:rPr>
                <w:szCs w:val="16"/>
              </w:rPr>
            </w:pPr>
            <w:r w:rsidRPr="004D4096">
              <w:rPr>
                <w:szCs w:val="16"/>
              </w:rPr>
              <w:t>Renters with mobility limitation</w:t>
            </w:r>
            <w:r w:rsidRPr="004D4096">
              <w:rPr>
                <w:szCs w:val="16"/>
              </w:rPr>
              <w:br/>
              <w:t>($ per week)</w:t>
            </w:r>
          </w:p>
        </w:tc>
      </w:tr>
      <w:tr w:rsidR="00CF6E40" w:rsidRPr="004D4096" w14:paraId="3C9F9C32"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38A1A335" w14:textId="77777777" w:rsidR="00CF6E40" w:rsidRPr="004D4096" w:rsidRDefault="00CF6E40" w:rsidP="004B5CD1">
            <w:pPr>
              <w:pStyle w:val="TableDataEntries"/>
              <w:jc w:val="left"/>
              <w:rPr>
                <w:color w:val="000000"/>
              </w:rPr>
            </w:pPr>
            <w:r w:rsidRPr="004D4096">
              <w:t>Getting in and out: 'Several steps' to 'Single step'</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2BFEFC66" w14:textId="77777777" w:rsidR="00CF6E40" w:rsidRPr="004D4096" w:rsidRDefault="00CF6E40" w:rsidP="004B5CD1">
            <w:pPr>
              <w:pStyle w:val="TableDataEntries"/>
            </w:pPr>
            <w:r w:rsidRPr="004D4096">
              <w:t>32.63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7025AE37" w14:textId="77777777" w:rsidR="00CF6E40" w:rsidRPr="004D4096" w:rsidRDefault="00CF6E40" w:rsidP="004B5CD1">
            <w:pPr>
              <w:pStyle w:val="TableDataEntries"/>
              <w:rPr>
                <w:color w:val="000000"/>
              </w:rPr>
            </w:pPr>
            <w:r w:rsidRPr="004D4096">
              <w:rPr>
                <w:color w:val="000000"/>
              </w:rPr>
              <w:t>25.22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70997A06" w14:textId="77777777" w:rsidR="00CF6E40" w:rsidRPr="004D4096" w:rsidRDefault="00CF6E40" w:rsidP="004B5CD1">
            <w:pPr>
              <w:pStyle w:val="TableDataEntries"/>
              <w:rPr>
                <w:color w:val="000000"/>
              </w:rPr>
            </w:pPr>
            <w:r w:rsidRPr="004D4096">
              <w:rPr>
                <w:color w:val="000000"/>
              </w:rPr>
              <w:t>42.96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4AEB36BC" w14:textId="77777777" w:rsidR="00CF6E40" w:rsidRPr="004D4096" w:rsidRDefault="00CF6E40" w:rsidP="004B5CD1">
            <w:pPr>
              <w:pStyle w:val="TableDataEntries"/>
              <w:rPr>
                <w:color w:val="000000"/>
              </w:rPr>
            </w:pPr>
            <w:r w:rsidRPr="004D4096">
              <w:rPr>
                <w:color w:val="000000"/>
              </w:rPr>
              <w:t>39.74</w:t>
            </w:r>
          </w:p>
        </w:tc>
      </w:tr>
      <w:tr w:rsidR="00CF6E40" w:rsidRPr="004D4096" w14:paraId="005DEF4C"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5237F218" w14:textId="77777777" w:rsidR="00CF6E40" w:rsidRPr="004D4096" w:rsidRDefault="00CF6E40" w:rsidP="004B5CD1">
            <w:pPr>
              <w:pStyle w:val="TableDataEntries"/>
              <w:jc w:val="left"/>
              <w:rPr>
                <w:color w:val="000000"/>
              </w:rPr>
            </w:pPr>
            <w:r w:rsidRPr="004D4096">
              <w:t>Getting in and out: 'Several steps' to 'Step-free'</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474F6AF2" w14:textId="77777777" w:rsidR="00CF6E40" w:rsidRPr="004D4096" w:rsidRDefault="00CF6E40" w:rsidP="004B5CD1">
            <w:pPr>
              <w:pStyle w:val="TableDataEntries"/>
            </w:pPr>
            <w:r w:rsidRPr="004D4096">
              <w:t>49.02</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4CC692CA" w14:textId="77777777" w:rsidR="00CF6E40" w:rsidRPr="004D4096" w:rsidRDefault="00CF6E40" w:rsidP="004B5CD1">
            <w:pPr>
              <w:pStyle w:val="TableDataEntries"/>
              <w:rPr>
                <w:color w:val="000000"/>
              </w:rPr>
            </w:pPr>
            <w:r w:rsidRPr="004D4096">
              <w:rPr>
                <w:color w:val="000000"/>
              </w:rPr>
              <w:t>37.96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78FA3728" w14:textId="77777777" w:rsidR="00CF6E40" w:rsidRPr="004D4096" w:rsidRDefault="00CF6E40" w:rsidP="004B5CD1">
            <w:pPr>
              <w:pStyle w:val="TableDataEntries"/>
              <w:rPr>
                <w:color w:val="000000"/>
              </w:rPr>
            </w:pPr>
            <w:r w:rsidRPr="004D4096">
              <w:rPr>
                <w:color w:val="000000"/>
              </w:rPr>
              <w:t>65.65</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3222E953" w14:textId="77777777" w:rsidR="00CF6E40" w:rsidRPr="004D4096" w:rsidRDefault="00CF6E40" w:rsidP="004B5CD1">
            <w:pPr>
              <w:pStyle w:val="TableDataEntries"/>
              <w:rPr>
                <w:color w:val="000000"/>
              </w:rPr>
            </w:pPr>
            <w:r w:rsidRPr="004D4096">
              <w:rPr>
                <w:color w:val="000000"/>
              </w:rPr>
              <w:t>60.99</w:t>
            </w:r>
          </w:p>
        </w:tc>
      </w:tr>
      <w:tr w:rsidR="00CF6E40" w:rsidRPr="004D4096" w14:paraId="7EB2E699"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2EB1D76E" w14:textId="77777777" w:rsidR="00CF6E40" w:rsidRPr="004D4096" w:rsidRDefault="00CF6E40" w:rsidP="004B5CD1">
            <w:pPr>
              <w:pStyle w:val="TableDataEntries"/>
              <w:jc w:val="left"/>
              <w:rPr>
                <w:color w:val="000000"/>
              </w:rPr>
            </w:pPr>
            <w:r w:rsidRPr="004D4096">
              <w:t>Moving around indoors: 'Regular space' to 'Wide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77A25FDD" w14:textId="77777777" w:rsidR="00CF6E40" w:rsidRPr="004D4096" w:rsidRDefault="00CF6E40" w:rsidP="004B5CD1">
            <w:pPr>
              <w:pStyle w:val="TableDataEntries"/>
            </w:pPr>
            <w:r w:rsidRPr="004D4096">
              <w:t>15.94</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2B44A5C3" w14:textId="77777777" w:rsidR="00CF6E40" w:rsidRPr="004D4096" w:rsidRDefault="00CF6E40" w:rsidP="004B5CD1">
            <w:pPr>
              <w:pStyle w:val="TableDataEntries"/>
              <w:rPr>
                <w:color w:val="000000"/>
              </w:rPr>
            </w:pPr>
            <w:r w:rsidRPr="004D4096">
              <w:rPr>
                <w:color w:val="000000"/>
              </w:rPr>
              <w:t>12.21</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0397E2B7" w14:textId="77777777" w:rsidR="00CF6E40" w:rsidRPr="004D4096" w:rsidRDefault="00CF6E40" w:rsidP="004B5CD1">
            <w:pPr>
              <w:pStyle w:val="TableDataEntries"/>
              <w:rPr>
                <w:color w:val="000000"/>
              </w:rPr>
            </w:pPr>
            <w:r w:rsidRPr="004D4096">
              <w:rPr>
                <w:color w:val="000000"/>
              </w:rPr>
              <w:t>19.39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74E134C9" w14:textId="77777777" w:rsidR="00CF6E40" w:rsidRPr="004D4096" w:rsidRDefault="00CF6E40" w:rsidP="004B5CD1">
            <w:pPr>
              <w:pStyle w:val="TableDataEntries"/>
              <w:rPr>
                <w:color w:val="000000"/>
              </w:rPr>
            </w:pPr>
            <w:r w:rsidRPr="004D4096">
              <w:rPr>
                <w:color w:val="000000"/>
              </w:rPr>
              <w:t>17.57</w:t>
            </w:r>
          </w:p>
        </w:tc>
      </w:tr>
      <w:tr w:rsidR="00CF6E40" w:rsidRPr="004D4096" w14:paraId="3C9A13A0"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304564DC" w14:textId="77777777" w:rsidR="00CF6E40" w:rsidRPr="004D4096" w:rsidRDefault="00CF6E40" w:rsidP="004B5CD1">
            <w:pPr>
              <w:pStyle w:val="TableDataEntries"/>
              <w:jc w:val="left"/>
              <w:rPr>
                <w:color w:val="000000"/>
              </w:rPr>
            </w:pPr>
            <w:r w:rsidRPr="004D4096">
              <w:t>Moving around indoors: 'Regular space' to 'Extra-wide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713B0756" w14:textId="77777777" w:rsidR="00CF6E40" w:rsidRPr="004D4096" w:rsidRDefault="00CF6E40" w:rsidP="004B5CD1">
            <w:pPr>
              <w:pStyle w:val="TableDataEntries"/>
            </w:pPr>
            <w:r w:rsidRPr="004D4096">
              <w:t>21.51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00957006" w14:textId="77777777" w:rsidR="00CF6E40" w:rsidRPr="004D4096" w:rsidRDefault="00CF6E40" w:rsidP="004B5CD1">
            <w:pPr>
              <w:pStyle w:val="TableDataEntries"/>
              <w:rPr>
                <w:color w:val="000000"/>
              </w:rPr>
            </w:pPr>
            <w:r w:rsidRPr="004D4096">
              <w:rPr>
                <w:color w:val="000000"/>
              </w:rPr>
              <w:t>16.66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7FF73A5E" w14:textId="77777777" w:rsidR="00CF6E40" w:rsidRPr="004D4096" w:rsidRDefault="00CF6E40" w:rsidP="004B5CD1">
            <w:pPr>
              <w:pStyle w:val="TableDataEntries"/>
              <w:rPr>
                <w:color w:val="000000"/>
              </w:rPr>
            </w:pPr>
            <w:r w:rsidRPr="004D4096">
              <w:rPr>
                <w:color w:val="000000"/>
              </w:rPr>
              <w:t>28.78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4A871E16" w14:textId="77777777" w:rsidR="00CF6E40" w:rsidRPr="004D4096" w:rsidRDefault="00CF6E40" w:rsidP="004B5CD1">
            <w:pPr>
              <w:pStyle w:val="TableDataEntries"/>
              <w:rPr>
                <w:color w:val="000000"/>
              </w:rPr>
            </w:pPr>
            <w:r w:rsidRPr="004D4096">
              <w:rPr>
                <w:color w:val="000000"/>
              </w:rPr>
              <w:t>26.73</w:t>
            </w:r>
          </w:p>
        </w:tc>
      </w:tr>
      <w:tr w:rsidR="00CF6E40" w:rsidRPr="004D4096" w14:paraId="1427EA14"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7DEFAE99" w14:textId="77777777" w:rsidR="00CF6E40" w:rsidRPr="004D4096" w:rsidRDefault="00CF6E40" w:rsidP="004B5CD1">
            <w:pPr>
              <w:pStyle w:val="TableDataEntries"/>
              <w:jc w:val="left"/>
              <w:rPr>
                <w:color w:val="000000"/>
              </w:rPr>
            </w:pPr>
            <w:r w:rsidRPr="004D4096">
              <w:t>Living on same level as entrance: 'Unsuitable' to 'Suitable for short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6F0A1CBD" w14:textId="77777777" w:rsidR="00CF6E40" w:rsidRPr="004D4096" w:rsidRDefault="00CF6E40" w:rsidP="004B5CD1">
            <w:pPr>
              <w:pStyle w:val="TableDataEntries"/>
            </w:pPr>
            <w:r w:rsidRPr="004D4096">
              <w:t>42.45</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71FD73EC" w14:textId="77777777" w:rsidR="00CF6E40" w:rsidRPr="004D4096" w:rsidRDefault="00CF6E40" w:rsidP="004B5CD1">
            <w:pPr>
              <w:pStyle w:val="TableDataEntries"/>
              <w:rPr>
                <w:color w:val="000000"/>
              </w:rPr>
            </w:pPr>
            <w:r w:rsidRPr="004D4096">
              <w:rPr>
                <w:color w:val="000000"/>
              </w:rPr>
              <w:t>32.97</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235508EA" w14:textId="77777777" w:rsidR="00CF6E40" w:rsidRPr="004D4096" w:rsidRDefault="00CF6E40" w:rsidP="004B5CD1">
            <w:pPr>
              <w:pStyle w:val="TableDataEntries"/>
              <w:rPr>
                <w:color w:val="000000"/>
              </w:rPr>
            </w:pPr>
            <w:r w:rsidRPr="004D4096">
              <w:rPr>
                <w:color w:val="000000"/>
              </w:rPr>
              <w:t>58.18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1043CD4E" w14:textId="77777777" w:rsidR="00CF6E40" w:rsidRPr="004D4096" w:rsidRDefault="00CF6E40" w:rsidP="004B5CD1">
            <w:pPr>
              <w:pStyle w:val="TableDataEntries"/>
              <w:rPr>
                <w:color w:val="000000"/>
              </w:rPr>
            </w:pPr>
            <w:r w:rsidRPr="004D4096">
              <w:rPr>
                <w:color w:val="000000"/>
              </w:rPr>
              <w:t>54.35</w:t>
            </w:r>
          </w:p>
        </w:tc>
      </w:tr>
      <w:tr w:rsidR="00CF6E40" w:rsidRPr="004D4096" w14:paraId="188973E6" w14:textId="77777777" w:rsidTr="004B5CD1">
        <w:trPr>
          <w:trHeight w:val="45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5A4BB258" w14:textId="77777777" w:rsidR="00CF6E40" w:rsidRPr="004D4096" w:rsidRDefault="00CF6E40" w:rsidP="004B5CD1">
            <w:pPr>
              <w:pStyle w:val="TableDataEntries"/>
              <w:jc w:val="left"/>
              <w:rPr>
                <w:color w:val="000000"/>
              </w:rPr>
            </w:pPr>
            <w:r w:rsidRPr="004D4096">
              <w:t>Living on same level as entrance: 'Unsuitable' to 'Suitable for living or overnight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2505B2D6" w14:textId="77777777" w:rsidR="00CF6E40" w:rsidRPr="004D4096" w:rsidRDefault="00CF6E40" w:rsidP="004B5CD1">
            <w:pPr>
              <w:pStyle w:val="TableDataEntries"/>
            </w:pPr>
            <w:r w:rsidRPr="004D4096">
              <w:t>62.01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66AA7F8D" w14:textId="77777777" w:rsidR="00CF6E40" w:rsidRPr="004D4096" w:rsidRDefault="00CF6E40" w:rsidP="004B5CD1">
            <w:pPr>
              <w:pStyle w:val="TableDataEntries"/>
              <w:rPr>
                <w:color w:val="000000"/>
              </w:rPr>
            </w:pPr>
            <w:r w:rsidRPr="004D4096">
              <w:rPr>
                <w:color w:val="000000"/>
              </w:rPr>
              <w:t>48.42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35EC2CD3" w14:textId="77777777" w:rsidR="00CF6E40" w:rsidRPr="004D4096" w:rsidRDefault="00CF6E40" w:rsidP="004B5CD1">
            <w:pPr>
              <w:pStyle w:val="TableDataEntries"/>
              <w:rPr>
                <w:color w:val="000000"/>
              </w:rPr>
            </w:pPr>
            <w:r w:rsidRPr="004D4096">
              <w:rPr>
                <w:color w:val="000000"/>
              </w:rPr>
              <w:t>88.72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40806402" w14:textId="77777777" w:rsidR="00CF6E40" w:rsidRPr="004D4096" w:rsidRDefault="00CF6E40" w:rsidP="004B5CD1">
            <w:pPr>
              <w:pStyle w:val="TableDataEntries"/>
              <w:rPr>
                <w:color w:val="000000"/>
              </w:rPr>
            </w:pPr>
            <w:r w:rsidRPr="004D4096">
              <w:rPr>
                <w:color w:val="000000"/>
              </w:rPr>
              <w:t>83.72</w:t>
            </w:r>
          </w:p>
        </w:tc>
      </w:tr>
      <w:tr w:rsidR="00CF6E40" w:rsidRPr="004D4096" w14:paraId="33F402A9"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6C3009DB" w14:textId="77777777" w:rsidR="00CF6E40" w:rsidRPr="004D4096" w:rsidRDefault="00CF6E40" w:rsidP="004B5CD1">
            <w:pPr>
              <w:pStyle w:val="TableDataEntries"/>
              <w:jc w:val="left"/>
              <w:rPr>
                <w:color w:val="000000"/>
              </w:rPr>
            </w:pPr>
            <w:r w:rsidRPr="004D4096">
              <w:t>Modification that would be needed: 'Significant' to 'Minimal'</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09F70575" w14:textId="77777777" w:rsidR="00CF6E40" w:rsidRPr="004D4096" w:rsidRDefault="00CF6E40" w:rsidP="004B5CD1">
            <w:pPr>
              <w:pStyle w:val="TableDataEntries"/>
            </w:pPr>
            <w:r w:rsidRPr="004D4096">
              <w:t>18.59</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64990662" w14:textId="77777777" w:rsidR="00CF6E40" w:rsidRPr="004D4096" w:rsidRDefault="00CF6E40" w:rsidP="004B5CD1">
            <w:pPr>
              <w:pStyle w:val="TableDataEntries"/>
              <w:rPr>
                <w:color w:val="000000"/>
              </w:rPr>
            </w:pPr>
            <w:r w:rsidRPr="004D4096">
              <w:rPr>
                <w:color w:val="000000"/>
              </w:rPr>
              <w:t>14.08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5D96D63C" w14:textId="77777777" w:rsidR="00CF6E40" w:rsidRPr="004D4096" w:rsidRDefault="00CF6E40" w:rsidP="004B5CD1">
            <w:pPr>
              <w:pStyle w:val="TableDataEntries"/>
              <w:rPr>
                <w:color w:val="000000"/>
              </w:rPr>
            </w:pPr>
            <w:r w:rsidRPr="004D4096">
              <w:rPr>
                <w:color w:val="000000"/>
              </w:rPr>
              <w:t>20.39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7EA5A691" w14:textId="77777777" w:rsidR="00CF6E40" w:rsidRPr="004D4096" w:rsidRDefault="00CF6E40" w:rsidP="004B5CD1">
            <w:pPr>
              <w:pStyle w:val="TableDataEntries"/>
              <w:rPr>
                <w:color w:val="000000"/>
              </w:rPr>
            </w:pPr>
            <w:r w:rsidRPr="004D4096">
              <w:rPr>
                <w:color w:val="000000"/>
              </w:rPr>
              <w:t>17.90</w:t>
            </w:r>
          </w:p>
        </w:tc>
      </w:tr>
      <w:tr w:rsidR="00CF6E40" w:rsidRPr="004D4096" w14:paraId="07096967"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3316DC25" w14:textId="77777777" w:rsidR="00CF6E40" w:rsidRPr="004D4096" w:rsidRDefault="00CF6E40" w:rsidP="004B5CD1">
            <w:pPr>
              <w:pStyle w:val="TableDataEntries"/>
              <w:jc w:val="left"/>
              <w:rPr>
                <w:color w:val="000000"/>
              </w:rPr>
            </w:pPr>
            <w:r w:rsidRPr="004D4096">
              <w:t>Total size of home compared to similar homes: 'Same' to '5% larger'</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0F084D9D" w14:textId="77777777" w:rsidR="00CF6E40" w:rsidRPr="004D4096" w:rsidRDefault="00CF6E40" w:rsidP="004B5CD1">
            <w:pPr>
              <w:pStyle w:val="TableDataEntries"/>
            </w:pPr>
            <w:r w:rsidRPr="004D4096">
              <w:t>7.23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4C962F2A" w14:textId="77777777" w:rsidR="00CF6E40" w:rsidRPr="004D4096" w:rsidRDefault="00CF6E40" w:rsidP="004B5CD1">
            <w:pPr>
              <w:pStyle w:val="TableDataEntries"/>
              <w:rPr>
                <w:color w:val="000000"/>
              </w:rPr>
            </w:pPr>
            <w:r w:rsidRPr="004D4096">
              <w:rPr>
                <w:color w:val="000000"/>
              </w:rPr>
              <w:t>5.54</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389C41C3" w14:textId="77777777" w:rsidR="00CF6E40" w:rsidRPr="004D4096" w:rsidRDefault="00CF6E40" w:rsidP="004B5CD1">
            <w:pPr>
              <w:pStyle w:val="TableDataEntries"/>
              <w:rPr>
                <w:color w:val="000000"/>
              </w:rPr>
            </w:pPr>
            <w:r w:rsidRPr="004D4096">
              <w:rPr>
                <w:color w:val="000000"/>
              </w:rPr>
              <w:t>8.82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5D93B812" w14:textId="77777777" w:rsidR="00CF6E40" w:rsidRPr="004D4096" w:rsidRDefault="00CF6E40" w:rsidP="004B5CD1">
            <w:pPr>
              <w:pStyle w:val="TableDataEntries"/>
              <w:rPr>
                <w:color w:val="000000"/>
              </w:rPr>
            </w:pPr>
            <w:r w:rsidRPr="004D4096">
              <w:rPr>
                <w:color w:val="000000"/>
              </w:rPr>
              <w:t>8.00</w:t>
            </w:r>
          </w:p>
        </w:tc>
      </w:tr>
      <w:tr w:rsidR="00CF6E40" w:rsidRPr="004D4096" w14:paraId="146939D5" w14:textId="77777777" w:rsidTr="004B5CD1">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14:paraId="0F1D4640" w14:textId="77777777" w:rsidR="00CF6E40" w:rsidRPr="004D4096" w:rsidRDefault="00CF6E40" w:rsidP="004B5CD1">
            <w:pPr>
              <w:pStyle w:val="TableDataEntries"/>
              <w:jc w:val="left"/>
              <w:rPr>
                <w:color w:val="000000"/>
              </w:rPr>
            </w:pPr>
            <w:r w:rsidRPr="004D4096">
              <w:t>Space used for corridors, bathroom, kitchen, laundry: 40% to 45%</w:t>
            </w:r>
          </w:p>
        </w:tc>
        <w:tc>
          <w:tcPr>
            <w:tcW w:w="881" w:type="dxa"/>
            <w:tcBorders>
              <w:top w:val="single" w:sz="8" w:space="0" w:color="FFFFFF" w:themeColor="background1"/>
              <w:bottom w:val="single" w:sz="8" w:space="0" w:color="FFFFFF" w:themeColor="background1"/>
            </w:tcBorders>
            <w:shd w:val="clear" w:color="auto" w:fill="E9E8E5" w:themeFill="background2"/>
            <w:hideMark/>
          </w:tcPr>
          <w:p w14:paraId="711CB0B5" w14:textId="77777777" w:rsidR="00CF6E40" w:rsidRPr="004D4096" w:rsidRDefault="00CF6E40" w:rsidP="004B5CD1">
            <w:pPr>
              <w:pStyle w:val="TableDataEntries"/>
            </w:pPr>
            <w:r w:rsidRPr="004D4096">
              <w:t>-3.30</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14:paraId="74B3F714" w14:textId="77777777" w:rsidR="00CF6E40" w:rsidRPr="004D4096" w:rsidRDefault="00CF6E40" w:rsidP="004B5CD1">
            <w:pPr>
              <w:pStyle w:val="TableDataEntries"/>
              <w:rPr>
                <w:color w:val="000000"/>
              </w:rPr>
            </w:pPr>
            <w:r w:rsidRPr="004D4096">
              <w:rPr>
                <w:color w:val="000000"/>
              </w:rPr>
              <w:t>-2.48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371AA6B0" w14:textId="77777777" w:rsidR="00CF6E40" w:rsidRPr="004D4096" w:rsidRDefault="00CF6E40" w:rsidP="004B5CD1">
            <w:pPr>
              <w:pStyle w:val="TableDataEntries"/>
              <w:rPr>
                <w:color w:val="000000"/>
              </w:rPr>
            </w:pPr>
            <w:r w:rsidRPr="004D4096">
              <w:rPr>
                <w:color w:val="000000"/>
              </w:rPr>
              <w:t>-3.33</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14:paraId="1479817C" w14:textId="77777777" w:rsidR="00CF6E40" w:rsidRPr="004D4096" w:rsidRDefault="00CF6E40" w:rsidP="004B5CD1">
            <w:pPr>
              <w:pStyle w:val="TableDataEntries"/>
              <w:rPr>
                <w:color w:val="000000"/>
              </w:rPr>
            </w:pPr>
            <w:r w:rsidRPr="004D4096">
              <w:rPr>
                <w:color w:val="000000"/>
              </w:rPr>
              <w:t>-2.85</w:t>
            </w:r>
          </w:p>
        </w:tc>
      </w:tr>
      <w:tr w:rsidR="00CF6E40" w:rsidRPr="004D4096" w14:paraId="2A29FC31" w14:textId="77777777" w:rsidTr="004B5CD1">
        <w:trPr>
          <w:trHeight w:val="260"/>
        </w:trPr>
        <w:tc>
          <w:tcPr>
            <w:tcW w:w="4461" w:type="dxa"/>
            <w:tcBorders>
              <w:top w:val="single" w:sz="8" w:space="0" w:color="FFFFFF" w:themeColor="background1"/>
              <w:bottom w:val="single" w:sz="4" w:space="0" w:color="6F6652" w:themeColor="accent5"/>
            </w:tcBorders>
            <w:shd w:val="clear" w:color="auto" w:fill="E9E8E5" w:themeFill="background2"/>
            <w:hideMark/>
          </w:tcPr>
          <w:p w14:paraId="23DC544E" w14:textId="77777777" w:rsidR="00CF6E40" w:rsidRPr="004D4096" w:rsidRDefault="00CF6E40" w:rsidP="004B5CD1">
            <w:pPr>
              <w:pStyle w:val="TableDataEntries"/>
              <w:jc w:val="left"/>
              <w:rPr>
                <w:color w:val="000000"/>
              </w:rPr>
            </w:pPr>
            <w:r w:rsidRPr="004D4096">
              <w:t>Space used for corridors, bathroom, kitchen, laundry: 40% to 50%</w:t>
            </w:r>
          </w:p>
        </w:tc>
        <w:tc>
          <w:tcPr>
            <w:tcW w:w="881" w:type="dxa"/>
            <w:tcBorders>
              <w:top w:val="single" w:sz="8" w:space="0" w:color="FFFFFF" w:themeColor="background1"/>
              <w:bottom w:val="single" w:sz="4" w:space="0" w:color="6F6652" w:themeColor="accent5"/>
            </w:tcBorders>
            <w:shd w:val="clear" w:color="auto" w:fill="E9E8E5" w:themeFill="background2"/>
            <w:hideMark/>
          </w:tcPr>
          <w:p w14:paraId="569B0974" w14:textId="77777777" w:rsidR="00CF6E40" w:rsidRPr="004D4096" w:rsidRDefault="00CF6E40" w:rsidP="004B5CD1">
            <w:pPr>
              <w:pStyle w:val="TableDataEntries"/>
            </w:pPr>
            <w:r w:rsidRPr="004D4096">
              <w:t>-7.49</w:t>
            </w:r>
          </w:p>
        </w:tc>
        <w:tc>
          <w:tcPr>
            <w:tcW w:w="814" w:type="dxa"/>
            <w:tcBorders>
              <w:top w:val="single" w:sz="8" w:space="0" w:color="FFFFFF" w:themeColor="background1"/>
              <w:bottom w:val="single" w:sz="4" w:space="0" w:color="6F6652" w:themeColor="accent5"/>
            </w:tcBorders>
            <w:shd w:val="clear" w:color="auto" w:fill="E9E8E5" w:themeFill="background2"/>
            <w:noWrap/>
            <w:hideMark/>
          </w:tcPr>
          <w:p w14:paraId="14C68E2C" w14:textId="77777777" w:rsidR="00CF6E40" w:rsidRPr="004D4096" w:rsidRDefault="00CF6E40" w:rsidP="004B5CD1">
            <w:pPr>
              <w:pStyle w:val="TableDataEntries"/>
              <w:rPr>
                <w:color w:val="000000"/>
              </w:rPr>
            </w:pPr>
            <w:r w:rsidRPr="004D4096">
              <w:rPr>
                <w:color w:val="000000"/>
              </w:rPr>
              <w:t>-5.68</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14:paraId="2048D819" w14:textId="77777777" w:rsidR="00CF6E40" w:rsidRPr="004D4096" w:rsidRDefault="00CF6E40" w:rsidP="004B5CD1">
            <w:pPr>
              <w:pStyle w:val="TableDataEntries"/>
              <w:rPr>
                <w:color w:val="000000"/>
              </w:rPr>
            </w:pPr>
            <w:r w:rsidRPr="004D4096">
              <w:rPr>
                <w:color w:val="000000"/>
              </w:rPr>
              <w:t>-8.36</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14:paraId="2596EDB5" w14:textId="77777777" w:rsidR="00CF6E40" w:rsidRPr="004D4096" w:rsidRDefault="00CF6E40" w:rsidP="004B5CD1">
            <w:pPr>
              <w:pStyle w:val="TableDataEntries"/>
              <w:rPr>
                <w:color w:val="000000"/>
              </w:rPr>
            </w:pPr>
            <w:r w:rsidRPr="004D4096">
              <w:rPr>
                <w:color w:val="000000"/>
              </w:rPr>
              <w:t>-7.39</w:t>
            </w:r>
          </w:p>
        </w:tc>
      </w:tr>
    </w:tbl>
    <w:p w14:paraId="27BCA990" w14:textId="77777777" w:rsidR="00CF6E40" w:rsidRPr="00AF30DA" w:rsidRDefault="00CF6E40" w:rsidP="00CF6E40">
      <w:pPr>
        <w:pStyle w:val="Source"/>
      </w:pPr>
      <w:r w:rsidRPr="00AF30DA">
        <w:t>Source: CIE</w:t>
      </w:r>
      <w:r w:rsidR="007D3F40">
        <w:t>.</w:t>
      </w:r>
    </w:p>
    <w:p w14:paraId="0BC1B0EA" w14:textId="77777777" w:rsidR="00CF6E40" w:rsidRPr="004B79EC" w:rsidRDefault="00CF6E40" w:rsidP="004B79EC">
      <w:pPr>
        <w:pStyle w:val="Heading2-Appendix"/>
      </w:pPr>
      <w:r w:rsidRPr="004B79EC">
        <w:t>Willingness to pay to improve housing outcomes for others</w:t>
      </w:r>
    </w:p>
    <w:p w14:paraId="20ACABF2" w14:textId="77777777" w:rsidR="00CF6E40" w:rsidRDefault="00CF6E40" w:rsidP="00CF6E40">
      <w:pPr>
        <w:pStyle w:val="BodyText"/>
        <w:rPr>
          <w:lang w:eastAsia="en-US"/>
        </w:rPr>
      </w:pPr>
      <w:r>
        <w:rPr>
          <w:lang w:eastAsia="en-US"/>
        </w:rPr>
        <w:t>Responses to the CV question resulted in a downward-sloping demand curve, with around 37 per cent of respondents asked at the $5 cost level indicating they would definitely vote for the policy, compared with 9 per cent of respondents asked at the $500 cost level.</w:t>
      </w:r>
    </w:p>
    <w:p w14:paraId="1B4D1977" w14:textId="43D554D9" w:rsidR="00CF6E40" w:rsidRDefault="00390CDB" w:rsidP="00CF6E40">
      <w:pPr>
        <w:pStyle w:val="Caption"/>
        <w:spacing w:before="240"/>
      </w:pPr>
      <w:bookmarkStart w:id="968" w:name="_Toc44598649"/>
      <w:bookmarkStart w:id="969" w:name="_Toc45654280"/>
      <w:bookmarkStart w:id="970" w:name="_Toc57643749"/>
      <w:bookmarkStart w:id="971" w:name="_Toc70505697"/>
      <w:r>
        <w:t>K.14</w:t>
      </w:r>
      <w:r w:rsidR="00CF6E40" w:rsidRPr="00695C93">
        <w:tab/>
      </w:r>
      <w:bookmarkStart w:id="972" w:name="_Toc32321938"/>
      <w:r w:rsidR="00CF6E40">
        <w:t>Responses to contingent valuation question</w:t>
      </w:r>
      <w:bookmarkEnd w:id="968"/>
      <w:bookmarkEnd w:id="969"/>
      <w:bookmarkEnd w:id="970"/>
      <w:bookmarkEnd w:id="971"/>
      <w:bookmarkEnd w:id="972"/>
    </w:p>
    <w:p w14:paraId="77D6A6B2" w14:textId="77777777" w:rsidR="00CF6E40" w:rsidRDefault="00CF6E40" w:rsidP="00CF6E40">
      <w:pPr>
        <w:pStyle w:val="Subtitlebox"/>
      </w:pPr>
      <w:r w:rsidRPr="002A441B">
        <w:rPr>
          <w:noProof/>
        </w:rPr>
        <w:drawing>
          <wp:inline distT="0" distB="0" distL="0" distR="0" wp14:anchorId="6F773894" wp14:editId="4BC278B5">
            <wp:extent cx="4971429" cy="2504762"/>
            <wp:effectExtent l="57150" t="57150" r="57785" b="48260"/>
            <wp:docPr id="54" name="Picture 54" descr="This graph shows the answers to the question about the willingness to pay a permanent increase in rates and taxes to improve housing outcomes for others. The graph shows a reduction in willingness to pay with an increase in the cost involved." title="Chart K.14: Responses to contingent valu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71429" cy="2504762"/>
                    </a:xfrm>
                    <a:prstGeom prst="rect">
                      <a:avLst/>
                    </a:prstGeom>
                    <a:ln w="57150">
                      <a:solidFill>
                        <a:schemeClr val="bg2"/>
                      </a:solidFill>
                    </a:ln>
                  </pic:spPr>
                </pic:pic>
              </a:graphicData>
            </a:graphic>
          </wp:inline>
        </w:drawing>
      </w:r>
    </w:p>
    <w:p w14:paraId="00C5EAE9" w14:textId="77777777" w:rsidR="00CF6E40" w:rsidRPr="00AF30DA" w:rsidRDefault="00AF30DA" w:rsidP="00CF6E40">
      <w:pPr>
        <w:pStyle w:val="Source"/>
        <w:rPr>
          <w:iCs/>
        </w:rPr>
      </w:pPr>
      <w:r w:rsidRPr="00AF30DA">
        <w:rPr>
          <w:iCs/>
        </w:rPr>
        <w:t>S</w:t>
      </w:r>
      <w:r w:rsidR="00CF6E40" w:rsidRPr="00AF30DA">
        <w:rPr>
          <w:iCs/>
        </w:rPr>
        <w:t>ource: CIE.</w:t>
      </w:r>
    </w:p>
    <w:p w14:paraId="43D1A404" w14:textId="77777777" w:rsidR="00CF6E40" w:rsidRDefault="00CF6E40" w:rsidP="00CF6E40">
      <w:pPr>
        <w:pStyle w:val="BodyText"/>
        <w:rPr>
          <w:lang w:eastAsia="en-US"/>
        </w:rPr>
      </w:pPr>
      <w:r>
        <w:rPr>
          <w:lang w:eastAsia="en-US"/>
        </w:rPr>
        <w:t xml:space="preserve">There was negligible correlation between cost and the extent to which respondents considered others, with average consideration of others of 7.0, 7.1, 7.1 and 7.0 across the $5, $20, $100 and $500 cost levels. There is therefore no need to apply a scaling factor for extent of consideration of others to individual observations in the calculation of WTP and </w:t>
      </w:r>
      <w:r w:rsidR="00321660">
        <w:rPr>
          <w:lang w:eastAsia="en-US"/>
        </w:rPr>
        <w:t xml:space="preserve">one </w:t>
      </w:r>
      <w:r>
        <w:rPr>
          <w:lang w:eastAsia="en-US"/>
        </w:rPr>
        <w:t>can instead apply the scaling factor to the final calculation of average WTP.</w:t>
      </w:r>
    </w:p>
    <w:p w14:paraId="5C8E1035" w14:textId="77777777" w:rsidR="00CF6E40" w:rsidRPr="004D4096" w:rsidRDefault="00CF6E40" w:rsidP="00CF6E40">
      <w:pPr>
        <w:pStyle w:val="BodyText"/>
        <w:rPr>
          <w:lang w:eastAsia="en-US"/>
        </w:rPr>
      </w:pPr>
      <w:r w:rsidRPr="004D4096">
        <w:rPr>
          <w:lang w:eastAsia="en-US"/>
        </w:rPr>
        <w:t>The Turnbull lower bound of expected mean WTP is $58 per year after accounting for the sample reweighting. This is a conservative estimate calculated by treating ‘probably yes’ responses as ‘no’ votes, consistent with the approach typically used for certainty scales in environmental valuation where ‘yea saying’ is a concern. A less conservative approach in which ‘probably yes’ votes are treated as ‘definitely yes’ votes at the next-lowest level in the cost vector gives a Turnbull lower bound expected mean WTP of $100 per year.</w:t>
      </w:r>
    </w:p>
    <w:p w14:paraId="5110B5FE" w14:textId="77777777" w:rsidR="004D4096" w:rsidRDefault="00CF6E40" w:rsidP="00CF6E40">
      <w:pPr>
        <w:pStyle w:val="BodyText"/>
        <w:rPr>
          <w:lang w:eastAsia="en-US"/>
        </w:rPr>
      </w:pPr>
      <w:r w:rsidRPr="004D4096">
        <w:rPr>
          <w:lang w:eastAsia="en-US"/>
        </w:rPr>
        <w:t>Multiplying the $58 figure discussed above by the survey completion rate of 97 per cent and the average extent to which responses were based on consideration of others of 71 per cent gives an adjusted estimate of average WTP of $40 per year.</w:t>
      </w:r>
    </w:p>
    <w:p w14:paraId="0922AAF7" w14:textId="77777777" w:rsidR="005509B8" w:rsidRPr="004B79EC" w:rsidRDefault="005509B8" w:rsidP="004B79EC">
      <w:pPr>
        <w:pStyle w:val="Heading2-Appendix"/>
      </w:pPr>
      <w:bookmarkStart w:id="973" w:name="_Ref61364355"/>
      <w:r w:rsidRPr="004B79EC">
        <w:t>A</w:t>
      </w:r>
      <w:bookmarkEnd w:id="973"/>
      <w:r w:rsidR="00973754" w:rsidRPr="004B79EC">
        <w:t>llocation of accessible housing</w:t>
      </w:r>
    </w:p>
    <w:p w14:paraId="12058978" w14:textId="77777777" w:rsidR="005509B8" w:rsidRDefault="005509B8" w:rsidP="005509B8">
      <w:pPr>
        <w:pStyle w:val="BodyText"/>
        <w:rPr>
          <w:lang w:bidi="fa-IR"/>
        </w:rPr>
      </w:pPr>
      <w:r>
        <w:rPr>
          <w:lang w:bidi="fa-IR"/>
        </w:rPr>
        <w:t xml:space="preserve">People with mobility limitation are more likely to live in homes with accessibility features. CIE’s survey shows that existing rental homes are more likely to have a step-free or single-step entrance and wider door openings, but are less likely to have amenities at entrance level, if they are occupied by someone with limited mobility. Using estimates of </w:t>
      </w:r>
      <w:r w:rsidR="00D568E8">
        <w:rPr>
          <w:lang w:bidi="fa-IR"/>
        </w:rPr>
        <w:t>WTP</w:t>
      </w:r>
      <w:r>
        <w:rPr>
          <w:lang w:bidi="fa-IR"/>
        </w:rPr>
        <w:t xml:space="preserve"> as a weight for individual features, we find that the likelihood of a household having accessibility features is 26 per cent higher if that household contains a member with mobility limitation (see table K.</w:t>
      </w:r>
      <w:r w:rsidR="00982D83">
        <w:rPr>
          <w:lang w:bidi="fa-IR"/>
        </w:rPr>
        <w:t>15</w:t>
      </w:r>
      <w:r>
        <w:rPr>
          <w:lang w:bidi="fa-IR"/>
        </w:rPr>
        <w:t>). If a person with a mobility limitation is moving into a rental home and 10 per cent of the rental stock is accessible, we estimate that there is a 12.6 per cent (26 per cent higher than 10 per cent) probability the person will move into an accessible dwelling.</w:t>
      </w:r>
    </w:p>
    <w:p w14:paraId="79777BDC" w14:textId="1B9A78B2" w:rsidR="005509B8" w:rsidRDefault="00390CDB" w:rsidP="007D3F40">
      <w:pPr>
        <w:pStyle w:val="Caption"/>
        <w:ind w:left="568" w:hanging="568"/>
      </w:pPr>
      <w:bookmarkStart w:id="974" w:name="_Toc70505698"/>
      <w:r>
        <w:t>K.15</w:t>
      </w:r>
      <w:r w:rsidR="005509B8" w:rsidRPr="00695C93">
        <w:tab/>
      </w:r>
      <w:r w:rsidR="005509B8">
        <w:t>Increased likelihood of accessibility features in homes occupied by at least one person with a mobility limitation</w:t>
      </w:r>
      <w:bookmarkEnd w:id="974"/>
    </w:p>
    <w:tbl>
      <w:tblPr>
        <w:tblW w:w="7954" w:type="dxa"/>
        <w:tblLook w:val="04A0" w:firstRow="1" w:lastRow="0" w:firstColumn="1" w:lastColumn="0" w:noHBand="0" w:noVBand="1"/>
        <w:tblCaption w:val="Table K.15: Increased likelihood of accessibility features in homes occupied by at least one person with a mobility limitation"/>
        <w:tblDescription w:val="Table K.15 presents the increased likelihood of accessibility features in homes occupied by at least one person with a mobility limitation. CIE’s survey shows that existing rental homes are more likely to have a step-free or single-step entrance and wider door openings, but are less likely to have amenities at entrance level, if they are occupied by someone with limited mobility."/>
      </w:tblPr>
      <w:tblGrid>
        <w:gridCol w:w="2410"/>
        <w:gridCol w:w="1276"/>
        <w:gridCol w:w="1134"/>
        <w:gridCol w:w="1068"/>
        <w:gridCol w:w="1008"/>
        <w:gridCol w:w="1058"/>
      </w:tblGrid>
      <w:tr w:rsidR="005509B8" w:rsidRPr="002B23A5" w14:paraId="2E59DE12" w14:textId="77777777" w:rsidTr="00527A84">
        <w:trPr>
          <w:trHeight w:val="705"/>
          <w:tblHeader/>
        </w:trPr>
        <w:tc>
          <w:tcPr>
            <w:tcW w:w="2410" w:type="dxa"/>
            <w:shd w:val="clear" w:color="auto" w:fill="6F6652"/>
            <w:tcMar>
              <w:left w:w="57" w:type="dxa"/>
              <w:right w:w="57" w:type="dxa"/>
            </w:tcMar>
            <w:hideMark/>
          </w:tcPr>
          <w:p w14:paraId="77D79AC2" w14:textId="77777777" w:rsidR="005509B8" w:rsidRPr="002B23A5" w:rsidRDefault="005509B8" w:rsidP="001F08C9">
            <w:pPr>
              <w:pStyle w:val="TableDataColumnHeading"/>
              <w:jc w:val="left"/>
            </w:pPr>
            <w:r w:rsidRPr="002B23A5">
              <w:t>Accessible feature</w:t>
            </w:r>
          </w:p>
        </w:tc>
        <w:tc>
          <w:tcPr>
            <w:tcW w:w="1276" w:type="dxa"/>
            <w:shd w:val="clear" w:color="auto" w:fill="6F6652"/>
            <w:tcMar>
              <w:left w:w="57" w:type="dxa"/>
              <w:right w:w="57" w:type="dxa"/>
            </w:tcMar>
            <w:hideMark/>
          </w:tcPr>
          <w:p w14:paraId="2558FDCA" w14:textId="77777777" w:rsidR="005509B8" w:rsidRPr="002B23A5" w:rsidRDefault="005509B8" w:rsidP="001F08C9">
            <w:pPr>
              <w:pStyle w:val="TableDataColumnHeading"/>
            </w:pPr>
            <w:r w:rsidRPr="002B23A5">
              <w:t>Households without mobility limitation (n=414)</w:t>
            </w:r>
          </w:p>
        </w:tc>
        <w:tc>
          <w:tcPr>
            <w:tcW w:w="1134" w:type="dxa"/>
            <w:shd w:val="clear" w:color="auto" w:fill="6F6652"/>
            <w:tcMar>
              <w:left w:w="57" w:type="dxa"/>
              <w:right w:w="57" w:type="dxa"/>
            </w:tcMar>
            <w:hideMark/>
          </w:tcPr>
          <w:p w14:paraId="620CE4DB" w14:textId="77777777" w:rsidR="005509B8" w:rsidRPr="002B23A5" w:rsidRDefault="005509B8" w:rsidP="001F08C9">
            <w:pPr>
              <w:pStyle w:val="TableDataColumnHeading"/>
            </w:pPr>
            <w:r w:rsidRPr="002B23A5">
              <w:t>Households with mobility limitation (n=94)</w:t>
            </w:r>
          </w:p>
        </w:tc>
        <w:tc>
          <w:tcPr>
            <w:tcW w:w="1068" w:type="dxa"/>
            <w:shd w:val="clear" w:color="auto" w:fill="6F6652"/>
            <w:tcMar>
              <w:left w:w="57" w:type="dxa"/>
              <w:right w:w="57" w:type="dxa"/>
            </w:tcMar>
            <w:hideMark/>
          </w:tcPr>
          <w:p w14:paraId="23B4816C" w14:textId="77777777" w:rsidR="005509B8" w:rsidRPr="002B23A5" w:rsidRDefault="005509B8" w:rsidP="001F08C9">
            <w:pPr>
              <w:pStyle w:val="TableDataColumnHeading"/>
            </w:pPr>
            <w:r w:rsidRPr="002B23A5">
              <w:t>Likelihood ratio</w:t>
            </w:r>
          </w:p>
        </w:tc>
        <w:tc>
          <w:tcPr>
            <w:tcW w:w="1008" w:type="dxa"/>
            <w:shd w:val="clear" w:color="auto" w:fill="6F6652"/>
            <w:tcMar>
              <w:left w:w="57" w:type="dxa"/>
              <w:right w:w="57" w:type="dxa"/>
            </w:tcMar>
            <w:hideMark/>
          </w:tcPr>
          <w:p w14:paraId="5ED5DA3C" w14:textId="77777777" w:rsidR="005509B8" w:rsidRPr="002B23A5" w:rsidRDefault="005509B8" w:rsidP="001F08C9">
            <w:pPr>
              <w:pStyle w:val="TableDataColumnHeading"/>
            </w:pPr>
            <w:r w:rsidRPr="002B23A5">
              <w:t>Weight (based on WTP)</w:t>
            </w:r>
          </w:p>
        </w:tc>
        <w:tc>
          <w:tcPr>
            <w:tcW w:w="1058" w:type="dxa"/>
            <w:shd w:val="clear" w:color="auto" w:fill="6F6652"/>
            <w:tcMar>
              <w:left w:w="57" w:type="dxa"/>
              <w:right w:w="57" w:type="dxa"/>
            </w:tcMar>
            <w:hideMark/>
          </w:tcPr>
          <w:p w14:paraId="4D220D02" w14:textId="77777777" w:rsidR="005509B8" w:rsidRPr="002B23A5" w:rsidRDefault="005509B8" w:rsidP="001F08C9">
            <w:pPr>
              <w:pStyle w:val="TableDataColumnHeading"/>
            </w:pPr>
            <w:r w:rsidRPr="002B23A5">
              <w:t>Weight * likelihood ratio</w:t>
            </w:r>
          </w:p>
        </w:tc>
      </w:tr>
      <w:tr w:rsidR="005509B8" w:rsidRPr="002B23A5" w14:paraId="07998095" w14:textId="77777777" w:rsidTr="00527A84">
        <w:trPr>
          <w:trHeight w:val="290"/>
          <w:tblHeader/>
        </w:trPr>
        <w:tc>
          <w:tcPr>
            <w:tcW w:w="2410" w:type="dxa"/>
            <w:tcBorders>
              <w:bottom w:val="single" w:sz="8" w:space="0" w:color="FFFFFF" w:themeColor="background1"/>
            </w:tcBorders>
            <w:shd w:val="clear" w:color="auto" w:fill="auto"/>
            <w:tcMar>
              <w:left w:w="57" w:type="dxa"/>
              <w:right w:w="57" w:type="dxa"/>
            </w:tcMar>
            <w:hideMark/>
          </w:tcPr>
          <w:p w14:paraId="48A911EF" w14:textId="77777777" w:rsidR="005509B8" w:rsidRPr="002B23A5" w:rsidRDefault="005509B8" w:rsidP="001F08C9">
            <w:pPr>
              <w:pStyle w:val="TableUnit"/>
              <w:jc w:val="left"/>
            </w:pPr>
          </w:p>
        </w:tc>
        <w:tc>
          <w:tcPr>
            <w:tcW w:w="1276" w:type="dxa"/>
            <w:tcBorders>
              <w:bottom w:val="single" w:sz="8" w:space="0" w:color="FFFFFF" w:themeColor="background1"/>
            </w:tcBorders>
            <w:shd w:val="clear" w:color="auto" w:fill="auto"/>
            <w:tcMar>
              <w:left w:w="57" w:type="dxa"/>
              <w:right w:w="57" w:type="dxa"/>
            </w:tcMar>
            <w:hideMark/>
          </w:tcPr>
          <w:p w14:paraId="1921DCE9" w14:textId="77777777" w:rsidR="005509B8" w:rsidRPr="002B23A5" w:rsidRDefault="005509B8" w:rsidP="001F08C9">
            <w:pPr>
              <w:pStyle w:val="TableUnit"/>
            </w:pPr>
            <w:r w:rsidRPr="002B23A5">
              <w:t>per cent</w:t>
            </w:r>
          </w:p>
        </w:tc>
        <w:tc>
          <w:tcPr>
            <w:tcW w:w="1134" w:type="dxa"/>
            <w:tcBorders>
              <w:bottom w:val="single" w:sz="8" w:space="0" w:color="FFFFFF" w:themeColor="background1"/>
            </w:tcBorders>
            <w:shd w:val="clear" w:color="auto" w:fill="auto"/>
            <w:tcMar>
              <w:left w:w="57" w:type="dxa"/>
              <w:right w:w="57" w:type="dxa"/>
            </w:tcMar>
            <w:hideMark/>
          </w:tcPr>
          <w:p w14:paraId="43249D61" w14:textId="77777777" w:rsidR="005509B8" w:rsidRPr="002B23A5" w:rsidRDefault="005509B8" w:rsidP="001F08C9">
            <w:pPr>
              <w:pStyle w:val="TableUnit"/>
            </w:pPr>
            <w:r w:rsidRPr="002B23A5">
              <w:t>per cent</w:t>
            </w:r>
          </w:p>
        </w:tc>
        <w:tc>
          <w:tcPr>
            <w:tcW w:w="1068" w:type="dxa"/>
            <w:tcBorders>
              <w:bottom w:val="single" w:sz="8" w:space="0" w:color="FFFFFF" w:themeColor="background1"/>
            </w:tcBorders>
            <w:shd w:val="clear" w:color="auto" w:fill="auto"/>
            <w:tcMar>
              <w:left w:w="57" w:type="dxa"/>
              <w:right w:w="57" w:type="dxa"/>
            </w:tcMar>
            <w:hideMark/>
          </w:tcPr>
          <w:p w14:paraId="6EB657B2" w14:textId="77777777" w:rsidR="005509B8" w:rsidRPr="002B23A5" w:rsidRDefault="005509B8" w:rsidP="001F08C9">
            <w:pPr>
              <w:pStyle w:val="TableUnit"/>
            </w:pPr>
          </w:p>
        </w:tc>
        <w:tc>
          <w:tcPr>
            <w:tcW w:w="1008" w:type="dxa"/>
            <w:tcBorders>
              <w:bottom w:val="single" w:sz="8" w:space="0" w:color="FFFFFF" w:themeColor="background1"/>
            </w:tcBorders>
            <w:shd w:val="clear" w:color="auto" w:fill="auto"/>
            <w:tcMar>
              <w:left w:w="57" w:type="dxa"/>
              <w:right w:w="57" w:type="dxa"/>
            </w:tcMar>
            <w:hideMark/>
          </w:tcPr>
          <w:p w14:paraId="644F301D" w14:textId="77777777" w:rsidR="005509B8" w:rsidRPr="002B23A5" w:rsidRDefault="005509B8" w:rsidP="001F08C9">
            <w:pPr>
              <w:pStyle w:val="TableUnit"/>
              <w:rPr>
                <w:rFonts w:ascii="Times New Roman" w:hAnsi="Times New Roman"/>
                <w:sz w:val="20"/>
                <w:szCs w:val="20"/>
              </w:rPr>
            </w:pPr>
          </w:p>
        </w:tc>
        <w:tc>
          <w:tcPr>
            <w:tcW w:w="1058" w:type="dxa"/>
            <w:tcBorders>
              <w:bottom w:val="single" w:sz="8" w:space="0" w:color="FFFFFF" w:themeColor="background1"/>
            </w:tcBorders>
            <w:shd w:val="clear" w:color="auto" w:fill="auto"/>
            <w:tcMar>
              <w:left w:w="57" w:type="dxa"/>
              <w:right w:w="57" w:type="dxa"/>
            </w:tcMar>
            <w:hideMark/>
          </w:tcPr>
          <w:p w14:paraId="4CF5AA77" w14:textId="77777777" w:rsidR="005509B8" w:rsidRPr="002B23A5" w:rsidRDefault="005509B8" w:rsidP="001F08C9">
            <w:pPr>
              <w:pStyle w:val="TableUnit"/>
              <w:rPr>
                <w:rFonts w:ascii="Times New Roman" w:hAnsi="Times New Roman"/>
                <w:sz w:val="20"/>
                <w:szCs w:val="20"/>
              </w:rPr>
            </w:pPr>
          </w:p>
        </w:tc>
      </w:tr>
      <w:tr w:rsidR="005509B8" w:rsidRPr="002B23A5" w14:paraId="7364252A" w14:textId="77777777" w:rsidTr="00527A84">
        <w:trPr>
          <w:trHeight w:val="523"/>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6E69671" w14:textId="77777777" w:rsidR="005509B8" w:rsidRPr="002B23A5" w:rsidRDefault="005509B8" w:rsidP="001F08C9">
            <w:pPr>
              <w:pStyle w:val="TableDataEntries"/>
              <w:jc w:val="left"/>
            </w:pPr>
            <w:r w:rsidRPr="002B23A5">
              <w:t>No steps or a single step between street/parking and the entrance</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7263D5F" w14:textId="77777777" w:rsidR="005509B8" w:rsidRPr="002B23A5" w:rsidRDefault="005509B8" w:rsidP="001F08C9">
            <w:pPr>
              <w:pStyle w:val="TableDataEntries"/>
            </w:pPr>
            <w:r w:rsidRPr="002B23A5">
              <w:t>57</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10D5AED" w14:textId="77777777" w:rsidR="005509B8" w:rsidRPr="002B23A5" w:rsidRDefault="005509B8" w:rsidP="001F08C9">
            <w:pPr>
              <w:pStyle w:val="TableDataEntries"/>
            </w:pPr>
            <w:r w:rsidRPr="002B23A5">
              <w:t>79</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86601DA" w14:textId="77777777" w:rsidR="005509B8" w:rsidRPr="002B23A5" w:rsidRDefault="005509B8" w:rsidP="001F08C9">
            <w:pPr>
              <w:pStyle w:val="TableDataEntries"/>
            </w:pPr>
            <w:r w:rsidRPr="002B23A5">
              <w:t>1.39</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C61D42D" w14:textId="77777777" w:rsidR="005509B8" w:rsidRPr="002B23A5" w:rsidRDefault="005509B8" w:rsidP="001F08C9">
            <w:pPr>
              <w:pStyle w:val="TableDataEntries"/>
            </w:pPr>
            <w:r w:rsidRPr="002B23A5">
              <w:t>0.29</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0157CDE" w14:textId="77777777" w:rsidR="005509B8" w:rsidRPr="002B23A5" w:rsidRDefault="005509B8" w:rsidP="001F08C9">
            <w:pPr>
              <w:pStyle w:val="TableDataEntries"/>
            </w:pPr>
            <w:r w:rsidRPr="002B23A5">
              <w:t>0.41</w:t>
            </w:r>
          </w:p>
        </w:tc>
      </w:tr>
      <w:tr w:rsidR="005509B8" w:rsidRPr="002B23A5" w14:paraId="7B6FEA2B" w14:textId="77777777" w:rsidTr="00527A84">
        <w:trPr>
          <w:trHeight w:val="250"/>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3F2B843" w14:textId="77777777" w:rsidR="005509B8" w:rsidRPr="002B23A5" w:rsidRDefault="005509B8" w:rsidP="001F08C9">
            <w:pPr>
              <w:pStyle w:val="TableDataEntries"/>
              <w:jc w:val="left"/>
            </w:pPr>
            <w:r w:rsidRPr="002B23A5">
              <w:t>Door openings wider than most other homes</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193D3DA" w14:textId="77777777" w:rsidR="005509B8" w:rsidRPr="002B23A5" w:rsidRDefault="005509B8" w:rsidP="001F08C9">
            <w:pPr>
              <w:pStyle w:val="TableDataEntries"/>
            </w:pPr>
            <w:r w:rsidRPr="002B23A5">
              <w:t>8</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F335984" w14:textId="77777777" w:rsidR="005509B8" w:rsidRPr="002B23A5" w:rsidRDefault="005509B8" w:rsidP="001F08C9">
            <w:pPr>
              <w:pStyle w:val="TableDataEntries"/>
            </w:pPr>
            <w:r w:rsidRPr="002B23A5">
              <w:t>30</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FFDF896" w14:textId="77777777" w:rsidR="005509B8" w:rsidRPr="002B23A5" w:rsidRDefault="005509B8" w:rsidP="001F08C9">
            <w:pPr>
              <w:pStyle w:val="TableDataEntries"/>
            </w:pPr>
            <w:r w:rsidRPr="002B23A5">
              <w:t>3.63</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D369850" w14:textId="77777777" w:rsidR="005509B8" w:rsidRPr="002B23A5" w:rsidRDefault="005509B8" w:rsidP="001F08C9">
            <w:pPr>
              <w:pStyle w:val="TableDataEntries"/>
            </w:pPr>
            <w:r w:rsidRPr="002B23A5">
              <w:t>0.07</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27E1EC9" w14:textId="77777777" w:rsidR="005509B8" w:rsidRPr="002B23A5" w:rsidRDefault="005509B8" w:rsidP="001F08C9">
            <w:pPr>
              <w:pStyle w:val="TableDataEntries"/>
            </w:pPr>
            <w:r w:rsidRPr="002B23A5">
              <w:t>0.26</w:t>
            </w:r>
          </w:p>
        </w:tc>
      </w:tr>
      <w:tr w:rsidR="005509B8" w:rsidRPr="002B23A5" w14:paraId="38889BC0" w14:textId="77777777" w:rsidTr="00527A84">
        <w:trPr>
          <w:trHeight w:val="739"/>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F777C12" w14:textId="77777777" w:rsidR="005509B8" w:rsidRPr="002B23A5" w:rsidRDefault="005509B8" w:rsidP="001F08C9">
            <w:pPr>
              <w:pStyle w:val="TableDataEntries"/>
              <w:jc w:val="left"/>
            </w:pPr>
            <w:r w:rsidRPr="002B23A5">
              <w:t>Some or all corridors, bathrooms, kitchen and laundry have enough space for turning a wheelchair</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5DF692C" w14:textId="77777777" w:rsidR="005509B8" w:rsidRPr="002B23A5" w:rsidRDefault="005509B8" w:rsidP="001F08C9">
            <w:pPr>
              <w:pStyle w:val="TableDataEntries"/>
            </w:pPr>
            <w:r w:rsidRPr="002B23A5">
              <w:t>66</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6D2A463" w14:textId="77777777" w:rsidR="005509B8" w:rsidRPr="002B23A5" w:rsidRDefault="005509B8" w:rsidP="001F08C9">
            <w:pPr>
              <w:pStyle w:val="TableDataEntries"/>
            </w:pPr>
            <w:r w:rsidRPr="002B23A5">
              <w:t>66</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9F936EB" w14:textId="77777777" w:rsidR="005509B8" w:rsidRPr="002B23A5" w:rsidRDefault="005509B8" w:rsidP="001F08C9">
            <w:pPr>
              <w:pStyle w:val="TableDataEntries"/>
            </w:pPr>
            <w:r w:rsidRPr="002B23A5">
              <w:t>1.00</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8BC9DC0" w14:textId="77777777" w:rsidR="005509B8" w:rsidRPr="002B23A5" w:rsidRDefault="005509B8" w:rsidP="001F08C9">
            <w:pPr>
              <w:pStyle w:val="TableDataEntries"/>
            </w:pPr>
            <w:r w:rsidRPr="002B23A5">
              <w:t>0.07</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6FCBA6C" w14:textId="77777777" w:rsidR="005509B8" w:rsidRPr="002B23A5" w:rsidRDefault="005509B8" w:rsidP="001F08C9">
            <w:pPr>
              <w:pStyle w:val="TableDataEntries"/>
            </w:pPr>
            <w:r w:rsidRPr="002B23A5">
              <w:t>0.07</w:t>
            </w:r>
          </w:p>
        </w:tc>
      </w:tr>
      <w:tr w:rsidR="005509B8" w:rsidRPr="002B23A5" w14:paraId="46DB59CB" w14:textId="77777777" w:rsidTr="00527A84">
        <w:trPr>
          <w:trHeight w:val="290"/>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BCBD868" w14:textId="77777777" w:rsidR="005509B8" w:rsidRPr="002B23A5" w:rsidRDefault="005509B8" w:rsidP="001F08C9">
            <w:pPr>
              <w:pStyle w:val="TableDataEntries"/>
              <w:jc w:val="left"/>
            </w:pPr>
            <w:r w:rsidRPr="002B23A5">
              <w:t>Step-free shower entry</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63A0ED0" w14:textId="77777777" w:rsidR="005509B8" w:rsidRPr="002B23A5" w:rsidRDefault="005509B8" w:rsidP="001F08C9">
            <w:pPr>
              <w:pStyle w:val="TableDataEntries"/>
            </w:pPr>
            <w:r w:rsidRPr="002B23A5">
              <w:t>19</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C56ECF1" w14:textId="77777777" w:rsidR="005509B8" w:rsidRPr="002B23A5" w:rsidRDefault="005509B8" w:rsidP="001F08C9">
            <w:pPr>
              <w:pStyle w:val="TableDataEntries"/>
            </w:pPr>
            <w:r w:rsidRPr="002B23A5">
              <w:t>24</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DCCE046" w14:textId="77777777" w:rsidR="005509B8" w:rsidRPr="002B23A5" w:rsidRDefault="005509B8" w:rsidP="001F08C9">
            <w:pPr>
              <w:pStyle w:val="TableDataEntries"/>
            </w:pPr>
            <w:r w:rsidRPr="002B23A5">
              <w:t>1.26</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7C4A7AF" w14:textId="77777777" w:rsidR="005509B8" w:rsidRPr="002B23A5" w:rsidRDefault="005509B8" w:rsidP="001F08C9">
            <w:pPr>
              <w:pStyle w:val="TableDataEntries"/>
            </w:pPr>
            <w:r w:rsidRPr="002B23A5">
              <w:t>0.00</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E61BEA3" w14:textId="77777777" w:rsidR="005509B8" w:rsidRPr="002B23A5" w:rsidRDefault="005509B8" w:rsidP="001F08C9">
            <w:pPr>
              <w:pStyle w:val="TableDataEntries"/>
            </w:pPr>
            <w:r w:rsidRPr="002B23A5">
              <w:t>0.00</w:t>
            </w:r>
          </w:p>
        </w:tc>
      </w:tr>
      <w:tr w:rsidR="005509B8" w:rsidRPr="002B23A5" w14:paraId="741DA67B" w14:textId="77777777" w:rsidTr="00527A84">
        <w:trPr>
          <w:trHeight w:val="374"/>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8108DC5" w14:textId="77777777" w:rsidR="005509B8" w:rsidRPr="002B23A5" w:rsidRDefault="005509B8" w:rsidP="001F08C9">
            <w:pPr>
              <w:pStyle w:val="TableDataEntries"/>
              <w:jc w:val="left"/>
            </w:pPr>
            <w:r w:rsidRPr="002B23A5">
              <w:t>Toilet on the same level as an entrance</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E1BB447" w14:textId="77777777" w:rsidR="005509B8" w:rsidRPr="002B23A5" w:rsidRDefault="005509B8" w:rsidP="001F08C9">
            <w:pPr>
              <w:pStyle w:val="TableDataEntries"/>
            </w:pPr>
            <w:r w:rsidRPr="002B23A5">
              <w:t>83</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7DFEF57" w14:textId="77777777" w:rsidR="005509B8" w:rsidRPr="002B23A5" w:rsidRDefault="005509B8" w:rsidP="001F08C9">
            <w:pPr>
              <w:pStyle w:val="TableDataEntries"/>
            </w:pPr>
            <w:r w:rsidRPr="002B23A5">
              <w:t>74</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4EDDDDC" w14:textId="77777777" w:rsidR="005509B8" w:rsidRPr="002B23A5" w:rsidRDefault="005509B8" w:rsidP="001F08C9">
            <w:pPr>
              <w:pStyle w:val="TableDataEntries"/>
            </w:pPr>
            <w:r w:rsidRPr="002B23A5">
              <w:t>0.90</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4650111" w14:textId="77777777" w:rsidR="005509B8" w:rsidRPr="002B23A5" w:rsidRDefault="005509B8" w:rsidP="001F08C9">
            <w:pPr>
              <w:pStyle w:val="TableDataEntries"/>
            </w:pPr>
            <w:r w:rsidRPr="002B23A5">
              <w:t>0.38</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1E688DF" w14:textId="77777777" w:rsidR="005509B8" w:rsidRPr="002B23A5" w:rsidRDefault="005509B8" w:rsidP="001F08C9">
            <w:pPr>
              <w:pStyle w:val="TableDataEntries"/>
            </w:pPr>
            <w:r w:rsidRPr="002B23A5">
              <w:t>0.35</w:t>
            </w:r>
          </w:p>
        </w:tc>
      </w:tr>
      <w:tr w:rsidR="005509B8" w:rsidRPr="002B23A5" w14:paraId="3BE879CF" w14:textId="77777777" w:rsidTr="00527A84">
        <w:trPr>
          <w:trHeight w:val="310"/>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088A3DC" w14:textId="77777777" w:rsidR="005509B8" w:rsidRPr="002B23A5" w:rsidRDefault="005509B8" w:rsidP="001F08C9">
            <w:pPr>
              <w:pStyle w:val="TableDataEntries"/>
              <w:jc w:val="left"/>
            </w:pPr>
            <w:r w:rsidRPr="002B23A5">
              <w:t>Shower on the same level as an entrance</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5030D69" w14:textId="77777777" w:rsidR="005509B8" w:rsidRPr="002B23A5" w:rsidRDefault="005509B8" w:rsidP="001F08C9">
            <w:pPr>
              <w:pStyle w:val="TableDataEntries"/>
            </w:pPr>
            <w:r w:rsidRPr="002B23A5">
              <w:t>70</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1262A7E" w14:textId="77777777" w:rsidR="005509B8" w:rsidRPr="002B23A5" w:rsidRDefault="005509B8" w:rsidP="001F08C9">
            <w:pPr>
              <w:pStyle w:val="TableDataEntries"/>
            </w:pPr>
            <w:r w:rsidRPr="002B23A5">
              <w:t>67</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0390A34" w14:textId="77777777" w:rsidR="005509B8" w:rsidRPr="002B23A5" w:rsidRDefault="005509B8" w:rsidP="001F08C9">
            <w:pPr>
              <w:pStyle w:val="TableDataEntries"/>
            </w:pPr>
            <w:r w:rsidRPr="002B23A5">
              <w:t>0.96</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7492BFA" w14:textId="77777777" w:rsidR="005509B8" w:rsidRPr="002B23A5" w:rsidRDefault="005509B8" w:rsidP="001F08C9">
            <w:pPr>
              <w:pStyle w:val="TableDataEntries"/>
            </w:pPr>
            <w:r w:rsidRPr="002B23A5">
              <w:t>0.18</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D2913C6" w14:textId="77777777" w:rsidR="005509B8" w:rsidRPr="002B23A5" w:rsidRDefault="005509B8" w:rsidP="001F08C9">
            <w:pPr>
              <w:pStyle w:val="TableDataEntries"/>
            </w:pPr>
            <w:r w:rsidRPr="002B23A5">
              <w:t>0.17</w:t>
            </w:r>
          </w:p>
        </w:tc>
      </w:tr>
      <w:tr w:rsidR="005509B8" w:rsidRPr="002B23A5" w14:paraId="78521917" w14:textId="77777777" w:rsidTr="00527A84">
        <w:trPr>
          <w:trHeight w:val="374"/>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095BCBC" w14:textId="77777777" w:rsidR="005509B8" w:rsidRPr="002B23A5" w:rsidRDefault="005509B8" w:rsidP="001F08C9">
            <w:pPr>
              <w:pStyle w:val="TableDataEntries"/>
              <w:jc w:val="left"/>
            </w:pPr>
            <w:r w:rsidRPr="002B23A5">
              <w:t>No indoor stairs or straight indoor stairs</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B765D86" w14:textId="77777777" w:rsidR="005509B8" w:rsidRPr="002B23A5" w:rsidRDefault="005509B8" w:rsidP="001F08C9">
            <w:pPr>
              <w:pStyle w:val="TableDataEntries"/>
            </w:pPr>
            <w:r w:rsidRPr="002B23A5">
              <w:t>85</w:t>
            </w:r>
          </w:p>
        </w:tc>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6EEC6BB" w14:textId="77777777" w:rsidR="005509B8" w:rsidRPr="002B23A5" w:rsidRDefault="005509B8" w:rsidP="001F08C9">
            <w:pPr>
              <w:pStyle w:val="TableDataEntries"/>
            </w:pPr>
            <w:r w:rsidRPr="002B23A5">
              <w:t>72</w:t>
            </w:r>
          </w:p>
        </w:tc>
        <w:tc>
          <w:tcPr>
            <w:tcW w:w="10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14AC0E4" w14:textId="77777777" w:rsidR="005509B8" w:rsidRPr="002B23A5" w:rsidRDefault="005509B8" w:rsidP="001F08C9">
            <w:pPr>
              <w:pStyle w:val="TableDataEntries"/>
            </w:pPr>
            <w:r w:rsidRPr="002B23A5">
              <w:t>0.85</w:t>
            </w:r>
          </w:p>
        </w:tc>
        <w:tc>
          <w:tcPr>
            <w:tcW w:w="100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BD68CD9" w14:textId="77777777" w:rsidR="005509B8" w:rsidRPr="002B23A5" w:rsidRDefault="005509B8" w:rsidP="001F08C9">
            <w:pPr>
              <w:pStyle w:val="TableDataEntries"/>
            </w:pPr>
            <w:r w:rsidRPr="002B23A5">
              <w:t>0.00</w:t>
            </w:r>
          </w:p>
        </w:tc>
        <w:tc>
          <w:tcPr>
            <w:tcW w:w="10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0E62624" w14:textId="77777777" w:rsidR="005509B8" w:rsidRPr="002B23A5" w:rsidRDefault="005509B8" w:rsidP="001F08C9">
            <w:pPr>
              <w:pStyle w:val="TableDataEntries"/>
            </w:pPr>
            <w:r w:rsidRPr="002B23A5">
              <w:t>0.00</w:t>
            </w:r>
          </w:p>
        </w:tc>
      </w:tr>
      <w:tr w:rsidR="005509B8" w:rsidRPr="002B23A5" w14:paraId="161DD29E" w14:textId="77777777" w:rsidTr="00527A84">
        <w:trPr>
          <w:trHeight w:val="290"/>
        </w:trPr>
        <w:tc>
          <w:tcPr>
            <w:tcW w:w="2410"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00997FFF" w14:textId="77777777" w:rsidR="005509B8" w:rsidRPr="002B23A5" w:rsidRDefault="005509B8" w:rsidP="001F08C9">
            <w:pPr>
              <w:pStyle w:val="TableDataEntries"/>
              <w:jc w:val="left"/>
              <w:rPr>
                <w:rFonts w:ascii="Franklin Gothic Demi" w:hAnsi="Franklin Gothic Demi"/>
              </w:rPr>
            </w:pPr>
            <w:r w:rsidRPr="002B23A5">
              <w:rPr>
                <w:rFonts w:ascii="Franklin Gothic Demi" w:hAnsi="Franklin Gothic Demi"/>
              </w:rPr>
              <w:t>Total</w:t>
            </w:r>
          </w:p>
        </w:tc>
        <w:tc>
          <w:tcPr>
            <w:tcW w:w="1276"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1BCFF7D6" w14:textId="77777777" w:rsidR="005509B8" w:rsidRPr="002B23A5" w:rsidRDefault="005509B8" w:rsidP="001F08C9">
            <w:pPr>
              <w:pStyle w:val="TableDataEntries"/>
              <w:rPr>
                <w:rFonts w:ascii="Franklin Gothic Demi" w:hAnsi="Franklin Gothic Demi"/>
              </w:rPr>
            </w:pPr>
          </w:p>
        </w:tc>
        <w:tc>
          <w:tcPr>
            <w:tcW w:w="1134"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146387F1" w14:textId="77777777" w:rsidR="005509B8" w:rsidRPr="002B23A5" w:rsidRDefault="005509B8" w:rsidP="001F08C9">
            <w:pPr>
              <w:pStyle w:val="TableDataEntries"/>
              <w:rPr>
                <w:rFonts w:ascii="Franklin Gothic Demi" w:hAnsi="Franklin Gothic Demi"/>
                <w:szCs w:val="20"/>
              </w:rPr>
            </w:pPr>
          </w:p>
        </w:tc>
        <w:tc>
          <w:tcPr>
            <w:tcW w:w="1068"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4962D432" w14:textId="77777777" w:rsidR="005509B8" w:rsidRPr="002B23A5" w:rsidRDefault="005509B8" w:rsidP="001F08C9">
            <w:pPr>
              <w:pStyle w:val="TableDataEntries"/>
              <w:rPr>
                <w:rFonts w:ascii="Franklin Gothic Demi" w:hAnsi="Franklin Gothic Demi"/>
                <w:szCs w:val="20"/>
              </w:rPr>
            </w:pPr>
          </w:p>
        </w:tc>
        <w:tc>
          <w:tcPr>
            <w:tcW w:w="1008"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6F7367BA" w14:textId="77777777" w:rsidR="005509B8" w:rsidRPr="002B23A5" w:rsidRDefault="005509B8" w:rsidP="001F08C9">
            <w:pPr>
              <w:pStyle w:val="TableDataEntries"/>
              <w:rPr>
                <w:rFonts w:ascii="Franklin Gothic Demi" w:hAnsi="Franklin Gothic Demi"/>
              </w:rPr>
            </w:pPr>
            <w:r w:rsidRPr="002B23A5">
              <w:rPr>
                <w:rFonts w:ascii="Franklin Gothic Demi" w:hAnsi="Franklin Gothic Demi"/>
              </w:rPr>
              <w:t>1.00</w:t>
            </w:r>
          </w:p>
        </w:tc>
        <w:tc>
          <w:tcPr>
            <w:tcW w:w="1058"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395F3FC2" w14:textId="77777777" w:rsidR="005509B8" w:rsidRPr="002B23A5" w:rsidRDefault="005509B8" w:rsidP="001F08C9">
            <w:pPr>
              <w:pStyle w:val="TableDataEntries"/>
              <w:rPr>
                <w:rFonts w:ascii="Franklin Gothic Demi" w:hAnsi="Franklin Gothic Demi"/>
              </w:rPr>
            </w:pPr>
            <w:r w:rsidRPr="002B23A5">
              <w:rPr>
                <w:rFonts w:ascii="Franklin Gothic Demi" w:hAnsi="Franklin Gothic Demi"/>
              </w:rPr>
              <w:t>1.26</w:t>
            </w:r>
          </w:p>
        </w:tc>
      </w:tr>
    </w:tbl>
    <w:p w14:paraId="1125A269" w14:textId="77777777" w:rsidR="005509B8" w:rsidRPr="00AF30DA" w:rsidRDefault="005509B8" w:rsidP="001F17FE">
      <w:pPr>
        <w:pStyle w:val="Source"/>
        <w:rPr>
          <w:iCs/>
        </w:rPr>
      </w:pPr>
      <w:r w:rsidRPr="00AF30DA">
        <w:rPr>
          <w:iCs/>
          <w:lang w:bidi="fa-IR"/>
        </w:rPr>
        <w:t>Source: CIE</w:t>
      </w:r>
      <w:r w:rsidR="007D3F40">
        <w:rPr>
          <w:iCs/>
          <w:lang w:bidi="fa-IR"/>
        </w:rPr>
        <w:t>.</w:t>
      </w:r>
    </w:p>
    <w:p w14:paraId="6BD453A9" w14:textId="77777777" w:rsidR="00521C6D" w:rsidRPr="004B79EC" w:rsidRDefault="00521C6D" w:rsidP="004B79EC">
      <w:pPr>
        <w:pStyle w:val="Heading2-Appendix"/>
      </w:pPr>
      <w:r w:rsidRPr="004B79EC">
        <w:t>Features provided in the baseline</w:t>
      </w:r>
    </w:p>
    <w:p w14:paraId="4B9A591A" w14:textId="77777777" w:rsidR="00521C6D" w:rsidRDefault="00521C6D" w:rsidP="00521C6D">
      <w:pPr>
        <w:pStyle w:val="BodyText"/>
        <w:rPr>
          <w:lang w:eastAsia="en-US"/>
        </w:rPr>
      </w:pPr>
      <w:r>
        <w:rPr>
          <w:lang w:eastAsia="en-US"/>
        </w:rPr>
        <w:t>In order to account for the accessibility features provided in the baseline, WTP for different features under different options are weighted by the non-impact scenario weightings assumed by DCWC</w:t>
      </w:r>
      <w:r w:rsidR="00A43A96">
        <w:rPr>
          <w:lang w:eastAsia="en-US"/>
        </w:rPr>
        <w:t xml:space="preserve"> (2020)</w:t>
      </w:r>
      <w:r>
        <w:rPr>
          <w:lang w:eastAsia="en-US"/>
        </w:rPr>
        <w:t>.</w:t>
      </w:r>
    </w:p>
    <w:p w14:paraId="7B592B0F" w14:textId="77777777" w:rsidR="00A43A96" w:rsidRDefault="00A43A96" w:rsidP="00521C6D">
      <w:pPr>
        <w:pStyle w:val="BodyText"/>
        <w:rPr>
          <w:lang w:eastAsia="en-US"/>
        </w:rPr>
      </w:pPr>
      <w:r>
        <w:rPr>
          <w:lang w:eastAsia="en-US"/>
        </w:rPr>
        <w:t>DCWC (2020) provides weightings of zero impact scenario for each accessible feature for the following archetypes:</w:t>
      </w:r>
    </w:p>
    <w:p w14:paraId="26D5DEE1" w14:textId="77777777" w:rsidR="00A43A96" w:rsidRDefault="00A43A96" w:rsidP="00A43A96">
      <w:pPr>
        <w:pStyle w:val="ListBullet"/>
        <w:rPr>
          <w:lang w:eastAsia="en-US"/>
        </w:rPr>
      </w:pPr>
      <w:r>
        <w:rPr>
          <w:lang w:eastAsia="en-US"/>
        </w:rPr>
        <w:t>volume built house</w:t>
      </w:r>
    </w:p>
    <w:p w14:paraId="75D41E19" w14:textId="77777777" w:rsidR="00A43A96" w:rsidRDefault="00A43A96" w:rsidP="00A43A96">
      <w:pPr>
        <w:pStyle w:val="ListBullet"/>
        <w:rPr>
          <w:lang w:eastAsia="en-US"/>
        </w:rPr>
      </w:pPr>
      <w:r>
        <w:rPr>
          <w:lang w:eastAsia="en-US"/>
        </w:rPr>
        <w:t>custom built house</w:t>
      </w:r>
    </w:p>
    <w:p w14:paraId="6593A668" w14:textId="77777777" w:rsidR="00A43A96" w:rsidRDefault="00A43A96" w:rsidP="00A43A96">
      <w:pPr>
        <w:pStyle w:val="ListBullet"/>
        <w:rPr>
          <w:lang w:eastAsia="en-US"/>
        </w:rPr>
      </w:pPr>
      <w:r>
        <w:rPr>
          <w:lang w:eastAsia="en-US"/>
        </w:rPr>
        <w:t>townhouse</w:t>
      </w:r>
    </w:p>
    <w:p w14:paraId="6C63D166" w14:textId="77777777" w:rsidR="00A43A96" w:rsidRDefault="00A43A96" w:rsidP="00A43A96">
      <w:pPr>
        <w:pStyle w:val="ListBullet"/>
        <w:rPr>
          <w:lang w:eastAsia="en-US"/>
        </w:rPr>
      </w:pPr>
      <w:r>
        <w:rPr>
          <w:lang w:eastAsia="en-US"/>
        </w:rPr>
        <w:t>three-storey or less apartment with walkups</w:t>
      </w:r>
      <w:r w:rsidR="007D3F40">
        <w:rPr>
          <w:lang w:eastAsia="en-US"/>
        </w:rPr>
        <w:t>,</w:t>
      </w:r>
      <w:r>
        <w:rPr>
          <w:lang w:eastAsia="en-US"/>
        </w:rPr>
        <w:t xml:space="preserve"> and</w:t>
      </w:r>
    </w:p>
    <w:p w14:paraId="4C652C4B" w14:textId="77777777" w:rsidR="00A43A96" w:rsidRDefault="00A43A96" w:rsidP="00A43A96">
      <w:pPr>
        <w:pStyle w:val="ListBullet"/>
        <w:rPr>
          <w:lang w:eastAsia="en-US"/>
        </w:rPr>
      </w:pPr>
      <w:r>
        <w:rPr>
          <w:lang w:eastAsia="en-US"/>
        </w:rPr>
        <w:t>apartments with four- or more storeys.</w:t>
      </w:r>
    </w:p>
    <w:p w14:paraId="606104FF" w14:textId="77777777" w:rsidR="00521C6D" w:rsidRDefault="00A43A96" w:rsidP="00521C6D">
      <w:pPr>
        <w:pStyle w:val="BodyText"/>
        <w:rPr>
          <w:lang w:bidi="fa-IR"/>
        </w:rPr>
      </w:pPr>
      <w:r>
        <w:rPr>
          <w:lang w:bidi="fa-IR"/>
        </w:rPr>
        <w:t>These archetypes account for 32 per cent, 24 per cent, 15 per cent, 2 per cent and 27 per cent, respectively, of total new built dwellings. Applying these share</w:t>
      </w:r>
      <w:r w:rsidR="00851917">
        <w:rPr>
          <w:lang w:bidi="fa-IR"/>
        </w:rPr>
        <w:t>s</w:t>
      </w:r>
      <w:r>
        <w:rPr>
          <w:lang w:bidi="fa-IR"/>
        </w:rPr>
        <w:t xml:space="preserve"> to the zero-impact weightings of each feature for relevant archetypes gives the average share</w:t>
      </w:r>
      <w:r w:rsidR="00E674BB">
        <w:rPr>
          <w:lang w:bidi="fa-IR"/>
        </w:rPr>
        <w:t>s</w:t>
      </w:r>
      <w:r>
        <w:rPr>
          <w:lang w:bidi="fa-IR"/>
        </w:rPr>
        <w:t xml:space="preserve"> of features provided in the baseline (t</w:t>
      </w:r>
      <w:r w:rsidR="00521C6D">
        <w:rPr>
          <w:lang w:bidi="fa-IR"/>
        </w:rPr>
        <w:t>able</w:t>
      </w:r>
      <w:r w:rsidR="00E847D5">
        <w:rPr>
          <w:lang w:bidi="fa-IR"/>
        </w:rPr>
        <w:t> K.</w:t>
      </w:r>
      <w:r w:rsidR="006036AF">
        <w:rPr>
          <w:lang w:bidi="fa-IR"/>
        </w:rPr>
        <w:t>16</w:t>
      </w:r>
      <w:r>
        <w:rPr>
          <w:lang w:bidi="fa-IR"/>
        </w:rPr>
        <w:t>).</w:t>
      </w:r>
    </w:p>
    <w:p w14:paraId="05099CFB" w14:textId="4B6E6453" w:rsidR="00521C6D" w:rsidRDefault="00390CDB" w:rsidP="00521C6D">
      <w:pPr>
        <w:pStyle w:val="Caption"/>
      </w:pPr>
      <w:bookmarkStart w:id="975" w:name="_Toc70505699"/>
      <w:r>
        <w:t>K.16</w:t>
      </w:r>
      <w:r w:rsidR="00521C6D" w:rsidRPr="00695C93">
        <w:tab/>
      </w:r>
      <w:r w:rsidR="00521C6D">
        <w:t>Average share of accessible features provided in the baseline</w:t>
      </w:r>
      <w:bookmarkEnd w:id="975"/>
    </w:p>
    <w:tbl>
      <w:tblPr>
        <w:tblW w:w="7936" w:type="dxa"/>
        <w:tblLayout w:type="fixed"/>
        <w:tblLook w:val="04A0" w:firstRow="1" w:lastRow="0" w:firstColumn="1" w:lastColumn="0" w:noHBand="0" w:noVBand="1"/>
        <w:tblCaption w:val="Table K.16: Average share of accessible features provided in the baseline"/>
        <w:tblDescription w:val="Table K.16 lists the average share of accessible features provided in the baseline, by Silver, Gold and Gold+ standards."/>
      </w:tblPr>
      <w:tblGrid>
        <w:gridCol w:w="3402"/>
        <w:gridCol w:w="1511"/>
        <w:gridCol w:w="1511"/>
        <w:gridCol w:w="1512"/>
      </w:tblGrid>
      <w:tr w:rsidR="00521C6D" w:rsidRPr="004B386D" w14:paraId="0400A883" w14:textId="77777777" w:rsidTr="000A49B2">
        <w:trPr>
          <w:trHeight w:val="252"/>
          <w:tblHeader/>
        </w:trPr>
        <w:tc>
          <w:tcPr>
            <w:tcW w:w="3402" w:type="dxa"/>
            <w:tcBorders>
              <w:bottom w:val="single" w:sz="8" w:space="0" w:color="FFFFFF" w:themeColor="background1"/>
            </w:tcBorders>
            <w:shd w:val="clear" w:color="auto" w:fill="6F6652"/>
            <w:noWrap/>
            <w:tcMar>
              <w:left w:w="57" w:type="dxa"/>
              <w:right w:w="57" w:type="dxa"/>
            </w:tcMar>
            <w:hideMark/>
          </w:tcPr>
          <w:p w14:paraId="5CD803B3" w14:textId="77777777" w:rsidR="00521C6D" w:rsidRPr="004B386D" w:rsidRDefault="00DE5490" w:rsidP="00CE479D">
            <w:pPr>
              <w:pStyle w:val="TableDataColumnHeading"/>
              <w:jc w:val="left"/>
              <w:rPr>
                <w:szCs w:val="16"/>
              </w:rPr>
            </w:pPr>
            <w:r>
              <w:rPr>
                <w:szCs w:val="16"/>
              </w:rPr>
              <w:t>Accessible f</w:t>
            </w:r>
            <w:r w:rsidR="006F21C3">
              <w:rPr>
                <w:szCs w:val="16"/>
              </w:rPr>
              <w:t>eature</w:t>
            </w:r>
          </w:p>
        </w:tc>
        <w:tc>
          <w:tcPr>
            <w:tcW w:w="1511" w:type="dxa"/>
            <w:tcBorders>
              <w:bottom w:val="single" w:sz="8" w:space="0" w:color="FFFFFF" w:themeColor="background1"/>
            </w:tcBorders>
            <w:shd w:val="clear" w:color="auto" w:fill="6F6652"/>
            <w:noWrap/>
            <w:tcMar>
              <w:left w:w="57" w:type="dxa"/>
              <w:right w:w="57" w:type="dxa"/>
            </w:tcMar>
            <w:hideMark/>
          </w:tcPr>
          <w:p w14:paraId="6612E4E8" w14:textId="77777777" w:rsidR="00521C6D" w:rsidRPr="004B386D" w:rsidRDefault="00521C6D" w:rsidP="00CE479D">
            <w:pPr>
              <w:pStyle w:val="TableDataColumnHeading"/>
              <w:rPr>
                <w:szCs w:val="16"/>
              </w:rPr>
            </w:pPr>
            <w:r w:rsidRPr="004B386D">
              <w:rPr>
                <w:szCs w:val="16"/>
              </w:rPr>
              <w:t>Silver</w:t>
            </w:r>
            <w:r w:rsidR="006F21C3">
              <w:rPr>
                <w:szCs w:val="16"/>
              </w:rPr>
              <w:br/>
              <w:t>(%)</w:t>
            </w:r>
          </w:p>
        </w:tc>
        <w:tc>
          <w:tcPr>
            <w:tcW w:w="1511" w:type="dxa"/>
            <w:tcBorders>
              <w:bottom w:val="single" w:sz="8" w:space="0" w:color="FFFFFF" w:themeColor="background1"/>
            </w:tcBorders>
            <w:shd w:val="clear" w:color="auto" w:fill="6F6652"/>
            <w:noWrap/>
            <w:tcMar>
              <w:left w:w="57" w:type="dxa"/>
              <w:right w:w="57" w:type="dxa"/>
            </w:tcMar>
            <w:hideMark/>
          </w:tcPr>
          <w:p w14:paraId="7DE49449" w14:textId="77777777" w:rsidR="00521C6D" w:rsidRPr="004B386D" w:rsidRDefault="00521C6D" w:rsidP="00CE479D">
            <w:pPr>
              <w:pStyle w:val="TableDataColumnHeading"/>
              <w:rPr>
                <w:szCs w:val="16"/>
              </w:rPr>
            </w:pPr>
            <w:r w:rsidRPr="004B386D">
              <w:rPr>
                <w:szCs w:val="16"/>
              </w:rPr>
              <w:t>Gold</w:t>
            </w:r>
            <w:r w:rsidR="006F21C3">
              <w:rPr>
                <w:szCs w:val="16"/>
              </w:rPr>
              <w:br/>
              <w:t>(%)</w:t>
            </w:r>
          </w:p>
        </w:tc>
        <w:tc>
          <w:tcPr>
            <w:tcW w:w="1512" w:type="dxa"/>
            <w:tcBorders>
              <w:bottom w:val="single" w:sz="8" w:space="0" w:color="FFFFFF" w:themeColor="background1"/>
            </w:tcBorders>
            <w:shd w:val="clear" w:color="auto" w:fill="6F6652"/>
            <w:noWrap/>
            <w:tcMar>
              <w:left w:w="57" w:type="dxa"/>
              <w:right w:w="57" w:type="dxa"/>
            </w:tcMar>
            <w:hideMark/>
          </w:tcPr>
          <w:p w14:paraId="4519A5F6" w14:textId="77777777" w:rsidR="00521C6D" w:rsidRPr="004B386D" w:rsidRDefault="00521C6D" w:rsidP="00CE479D">
            <w:pPr>
              <w:pStyle w:val="TableDataColumnHeading"/>
              <w:rPr>
                <w:szCs w:val="16"/>
              </w:rPr>
            </w:pPr>
            <w:r w:rsidRPr="004B386D">
              <w:rPr>
                <w:szCs w:val="16"/>
              </w:rPr>
              <w:t>Gold+</w:t>
            </w:r>
            <w:r w:rsidR="006F21C3">
              <w:rPr>
                <w:szCs w:val="16"/>
              </w:rPr>
              <w:br/>
              <w:t>(%)</w:t>
            </w:r>
          </w:p>
        </w:tc>
      </w:tr>
      <w:tr w:rsidR="00167811" w:rsidRPr="004B386D" w14:paraId="781DA5B2"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4D4A69" w14:textId="77777777" w:rsidR="00167811" w:rsidRPr="004B386D" w:rsidRDefault="00167811" w:rsidP="00167811">
            <w:pPr>
              <w:pStyle w:val="TableDataEntries"/>
              <w:jc w:val="left"/>
            </w:pPr>
            <w:r>
              <w:t>Step free access path</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2C670D" w14:textId="77777777" w:rsidR="00167811" w:rsidRPr="004B386D" w:rsidRDefault="00167811" w:rsidP="00167811">
            <w:pPr>
              <w:pStyle w:val="TableDataEntries"/>
            </w:pPr>
            <w:r w:rsidRPr="004B386D">
              <w:t>45.1</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7A2D73" w14:textId="77777777" w:rsidR="00167811" w:rsidRPr="004B386D" w:rsidRDefault="00167811" w:rsidP="00167811">
            <w:pPr>
              <w:pStyle w:val="TableDataEntries"/>
            </w:pPr>
            <w:r w:rsidRPr="004B386D">
              <w:t>28.2</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2E5271" w14:textId="77777777" w:rsidR="00167811" w:rsidRPr="004B386D" w:rsidRDefault="00167811" w:rsidP="00167811">
            <w:pPr>
              <w:pStyle w:val="TableDataEntries"/>
            </w:pPr>
            <w:r w:rsidRPr="004B386D">
              <w:t>28.2</w:t>
            </w:r>
          </w:p>
        </w:tc>
      </w:tr>
      <w:tr w:rsidR="00167811" w:rsidRPr="004B386D" w14:paraId="03244BCE"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6A860B" w14:textId="77777777" w:rsidR="00167811" w:rsidRPr="004B386D" w:rsidRDefault="00167811" w:rsidP="00167811">
            <w:pPr>
              <w:pStyle w:val="TableDataEntries"/>
              <w:jc w:val="left"/>
            </w:pPr>
            <w:r>
              <w:t xml:space="preserve">Step free access to outdoor area </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A50886"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44BCD1" w14:textId="77777777" w:rsidR="00167811" w:rsidRPr="004B386D" w:rsidRDefault="00167811" w:rsidP="00167811">
            <w:pPr>
              <w:pStyle w:val="TableDataEntries"/>
            </w:pPr>
            <w:r w:rsidRPr="004B386D">
              <w:t>0.0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C8A59" w14:textId="77777777" w:rsidR="00167811" w:rsidRPr="004B386D" w:rsidRDefault="00167811" w:rsidP="00167811">
            <w:pPr>
              <w:pStyle w:val="TableDataEntries"/>
            </w:pPr>
            <w:r w:rsidRPr="004B386D">
              <w:t>18.4</w:t>
            </w:r>
          </w:p>
        </w:tc>
      </w:tr>
      <w:tr w:rsidR="00167811" w:rsidRPr="004B386D" w14:paraId="2CB91D34"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7CDEA7" w14:textId="77777777" w:rsidR="00167811" w:rsidRPr="004B386D" w:rsidRDefault="00167811" w:rsidP="00167811">
            <w:pPr>
              <w:pStyle w:val="TableDataEntries"/>
              <w:jc w:val="left"/>
            </w:pPr>
            <w:r>
              <w:t>Dwelling entrance</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7664B8" w14:textId="77777777" w:rsidR="00167811" w:rsidRPr="004B386D" w:rsidRDefault="00167811" w:rsidP="00167811">
            <w:pPr>
              <w:pStyle w:val="TableDataEntries"/>
            </w:pPr>
            <w:r w:rsidRPr="004B386D">
              <w:t>26.1</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2AC39" w14:textId="77777777" w:rsidR="00167811" w:rsidRPr="004B386D" w:rsidRDefault="00167811" w:rsidP="00167811">
            <w:pPr>
              <w:pStyle w:val="TableDataEntries"/>
            </w:pPr>
            <w:r w:rsidRPr="004B386D">
              <w:t>6.2</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960E8E" w14:textId="77777777" w:rsidR="00167811" w:rsidRPr="004B386D" w:rsidRDefault="00167811" w:rsidP="00167811">
            <w:pPr>
              <w:pStyle w:val="TableDataEntries"/>
            </w:pPr>
            <w:r w:rsidRPr="004B386D">
              <w:t>6.2</w:t>
            </w:r>
          </w:p>
        </w:tc>
      </w:tr>
      <w:tr w:rsidR="00167811" w:rsidRPr="004B386D" w14:paraId="26CED7AA"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A20F88" w14:textId="77777777" w:rsidR="00167811" w:rsidRPr="004B386D" w:rsidRDefault="00167811" w:rsidP="00167811">
            <w:pPr>
              <w:pStyle w:val="TableDataEntries"/>
              <w:jc w:val="left"/>
            </w:pPr>
            <w:r>
              <w:t>Internal doors and corridors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3AC4B9" w14:textId="77777777" w:rsidR="00167811" w:rsidRPr="004B386D" w:rsidRDefault="00167811" w:rsidP="00167811">
            <w:pPr>
              <w:pStyle w:val="TableDataEntries"/>
            </w:pPr>
            <w:r w:rsidRPr="004B386D">
              <w:t>20.0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99D1C3" w14:textId="77777777" w:rsidR="00167811" w:rsidRPr="004B386D" w:rsidRDefault="00167811" w:rsidP="00167811">
            <w:pPr>
              <w:pStyle w:val="TableDataEntries"/>
            </w:pPr>
            <w:r w:rsidRPr="004B386D">
              <w:t>2.8</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10F689" w14:textId="77777777" w:rsidR="00167811" w:rsidRPr="004B386D" w:rsidRDefault="00167811" w:rsidP="00167811">
            <w:pPr>
              <w:pStyle w:val="TableDataEntries"/>
            </w:pPr>
            <w:r w:rsidRPr="004B386D">
              <w:t>2.8</w:t>
            </w:r>
          </w:p>
        </w:tc>
      </w:tr>
      <w:tr w:rsidR="00167811" w:rsidRPr="004B386D" w14:paraId="3FBBCD65"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344BD4" w14:textId="77777777" w:rsidR="00167811" w:rsidRPr="004B386D" w:rsidRDefault="00167811" w:rsidP="00167811">
            <w:pPr>
              <w:pStyle w:val="TableDataEntries"/>
              <w:jc w:val="left"/>
            </w:pPr>
            <w:r>
              <w:t>Toilet</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4DF143" w14:textId="77777777" w:rsidR="00167811" w:rsidRPr="004B386D" w:rsidRDefault="00167811" w:rsidP="00167811">
            <w:pPr>
              <w:pStyle w:val="TableDataEntries"/>
            </w:pPr>
            <w:r w:rsidRPr="004B386D">
              <w:t>9.8</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2D6ABB" w14:textId="77777777" w:rsidR="00167811" w:rsidRPr="004B386D" w:rsidRDefault="00167811" w:rsidP="00167811">
            <w:pPr>
              <w:pStyle w:val="TableDataEntries"/>
            </w:pPr>
            <w:r w:rsidRPr="004B386D">
              <w:t>1.2</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648E82" w14:textId="77777777" w:rsidR="00167811" w:rsidRPr="004B386D" w:rsidRDefault="00167811" w:rsidP="00167811">
            <w:pPr>
              <w:pStyle w:val="TableDataEntries"/>
            </w:pPr>
            <w:r w:rsidRPr="004B386D">
              <w:t>1.2</w:t>
            </w:r>
          </w:p>
        </w:tc>
      </w:tr>
      <w:tr w:rsidR="00167811" w:rsidRPr="004B386D" w14:paraId="775390CA"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C37010" w14:textId="77777777" w:rsidR="00167811" w:rsidRPr="004B386D" w:rsidRDefault="00167811" w:rsidP="00167811">
            <w:pPr>
              <w:pStyle w:val="TableDataEntries"/>
              <w:jc w:val="left"/>
            </w:pPr>
            <w:r>
              <w:t>Shower</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EDD85" w14:textId="77777777" w:rsidR="00167811" w:rsidRPr="004B386D" w:rsidRDefault="00167811" w:rsidP="00167811">
            <w:pPr>
              <w:pStyle w:val="TableDataEntries"/>
            </w:pPr>
            <w:r w:rsidRPr="004B386D">
              <w:t>8.5</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750AA3" w14:textId="77777777" w:rsidR="00167811" w:rsidRPr="004B386D" w:rsidRDefault="00167811" w:rsidP="00167811">
            <w:pPr>
              <w:pStyle w:val="TableDataEntries"/>
            </w:pPr>
            <w:r w:rsidRPr="004B386D">
              <w:t>2.7</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25E875" w14:textId="77777777" w:rsidR="00167811" w:rsidRPr="004B386D" w:rsidRDefault="00167811" w:rsidP="00167811">
            <w:pPr>
              <w:pStyle w:val="TableDataEntries"/>
            </w:pPr>
            <w:r w:rsidRPr="004B386D">
              <w:t>2.7</w:t>
            </w:r>
          </w:p>
        </w:tc>
      </w:tr>
      <w:tr w:rsidR="00167811" w:rsidRPr="004B386D" w14:paraId="79CE7994"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E68FBD" w14:textId="77777777" w:rsidR="00167811" w:rsidRPr="004B386D" w:rsidRDefault="00167811" w:rsidP="00167811">
            <w:pPr>
              <w:pStyle w:val="TableDataEntries"/>
              <w:jc w:val="left"/>
            </w:pPr>
            <w:r>
              <w:t>Reinforcement of bathroom and toilet walls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253754" w14:textId="77777777" w:rsidR="00167811" w:rsidRPr="004B386D" w:rsidRDefault="00167811" w:rsidP="00167811">
            <w:pPr>
              <w:pStyle w:val="TableDataEntries"/>
            </w:pPr>
            <w:r w:rsidRPr="004B386D">
              <w:t>5.0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C85A0C" w14:textId="77777777" w:rsidR="00167811" w:rsidRPr="004B386D" w:rsidRDefault="00167811" w:rsidP="00167811">
            <w:pPr>
              <w:pStyle w:val="TableDataEntries"/>
            </w:pPr>
            <w:r w:rsidRPr="004B386D">
              <w:t>5.0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33519C" w14:textId="77777777" w:rsidR="00167811" w:rsidRPr="004B386D" w:rsidRDefault="00167811" w:rsidP="00167811">
            <w:pPr>
              <w:pStyle w:val="TableDataEntries"/>
            </w:pPr>
            <w:r w:rsidRPr="004B386D">
              <w:t>5.0</w:t>
            </w:r>
          </w:p>
        </w:tc>
      </w:tr>
      <w:tr w:rsidR="00167811" w:rsidRPr="004B386D" w14:paraId="2AE26618"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1B0D8B" w14:textId="77777777" w:rsidR="00167811" w:rsidRPr="004B386D" w:rsidRDefault="00167811" w:rsidP="00167811">
            <w:pPr>
              <w:pStyle w:val="TableDataEntries"/>
              <w:jc w:val="left"/>
            </w:pPr>
            <w:r>
              <w:t>Internal stairways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E33AD5"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54ACBB" w14:textId="77777777" w:rsidR="00167811" w:rsidRPr="004B386D" w:rsidRDefault="00167811" w:rsidP="00167811">
            <w:pPr>
              <w:pStyle w:val="TableDataEntries"/>
            </w:pPr>
            <w:r w:rsidRPr="004B386D">
              <w:t>1.5</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7385D7" w14:textId="77777777" w:rsidR="00167811" w:rsidRPr="004B386D" w:rsidRDefault="00167811" w:rsidP="00167811">
            <w:pPr>
              <w:pStyle w:val="TableDataEntries"/>
            </w:pPr>
            <w:r w:rsidRPr="004B386D">
              <w:t>1.5</w:t>
            </w:r>
          </w:p>
        </w:tc>
      </w:tr>
      <w:tr w:rsidR="00167811" w:rsidRPr="004B386D" w14:paraId="64DE4130"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736A27" w14:textId="77777777" w:rsidR="00167811" w:rsidRPr="004B386D" w:rsidRDefault="00167811" w:rsidP="00167811">
            <w:pPr>
              <w:pStyle w:val="TableDataEntries"/>
              <w:jc w:val="left"/>
            </w:pPr>
            <w:r>
              <w:t>Kitchen space</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BC464A"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E162D7" w14:textId="77777777" w:rsidR="00167811" w:rsidRPr="004B386D" w:rsidRDefault="00167811" w:rsidP="00167811">
            <w:pPr>
              <w:pStyle w:val="TableDataEntries"/>
            </w:pPr>
            <w:r w:rsidRPr="004B386D">
              <w:t>53.0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99C9C4" w14:textId="77777777" w:rsidR="00167811" w:rsidRPr="004B386D" w:rsidRDefault="00167811" w:rsidP="00167811">
            <w:pPr>
              <w:pStyle w:val="TableDataEntries"/>
            </w:pPr>
            <w:r w:rsidRPr="004B386D">
              <w:t>38.1</w:t>
            </w:r>
          </w:p>
        </w:tc>
      </w:tr>
      <w:tr w:rsidR="00167811" w:rsidRPr="004B386D" w14:paraId="4BEC7342"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77B83D" w14:textId="77777777" w:rsidR="00167811" w:rsidRPr="004B386D" w:rsidRDefault="00167811" w:rsidP="00167811">
            <w:pPr>
              <w:pStyle w:val="TableDataEntries"/>
              <w:jc w:val="left"/>
            </w:pPr>
            <w:r>
              <w:t>Laundry space</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E3C1EB"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933255" w14:textId="77777777" w:rsidR="00167811" w:rsidRPr="004B386D" w:rsidRDefault="00167811" w:rsidP="00167811">
            <w:pPr>
              <w:pStyle w:val="TableDataEntries"/>
            </w:pPr>
            <w:r w:rsidRPr="004B386D">
              <w:t>30.8</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FEB82D" w14:textId="77777777" w:rsidR="00167811" w:rsidRPr="004B386D" w:rsidRDefault="00167811" w:rsidP="00167811">
            <w:pPr>
              <w:pStyle w:val="TableDataEntries"/>
            </w:pPr>
            <w:r w:rsidRPr="004B386D">
              <w:t>14.8</w:t>
            </w:r>
          </w:p>
        </w:tc>
      </w:tr>
      <w:tr w:rsidR="00167811" w:rsidRPr="004B386D" w14:paraId="52A3C89B"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0E8DCF" w14:textId="77777777" w:rsidR="00167811" w:rsidRPr="004B386D" w:rsidRDefault="00167811" w:rsidP="00167811">
            <w:pPr>
              <w:pStyle w:val="TableDataEntries"/>
              <w:jc w:val="left"/>
            </w:pPr>
            <w:r>
              <w:t>Space on entry level suitable for bedroom</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630814"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39C4DA" w14:textId="77777777" w:rsidR="00167811" w:rsidRPr="004B386D" w:rsidRDefault="00167811" w:rsidP="00167811">
            <w:pPr>
              <w:pStyle w:val="TableDataEntries"/>
            </w:pPr>
            <w:r w:rsidRPr="004B386D">
              <w:t>0.0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41B403" w14:textId="77777777" w:rsidR="00167811" w:rsidRPr="004B386D" w:rsidRDefault="00167811" w:rsidP="00167811">
            <w:pPr>
              <w:pStyle w:val="TableDataEntries"/>
            </w:pPr>
            <w:r w:rsidRPr="004B386D">
              <w:t>0.0</w:t>
            </w:r>
          </w:p>
        </w:tc>
      </w:tr>
      <w:tr w:rsidR="00167811" w:rsidRPr="004B386D" w14:paraId="0601CAEE"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53C357" w14:textId="77777777" w:rsidR="00167811" w:rsidRPr="004B386D" w:rsidRDefault="00167811" w:rsidP="00167811">
            <w:pPr>
              <w:pStyle w:val="TableDataEntries"/>
              <w:jc w:val="left"/>
            </w:pPr>
            <w:r>
              <w:t>Light switches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79C30F"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3D0A5D" w14:textId="77777777" w:rsidR="00167811" w:rsidRPr="004B386D" w:rsidRDefault="00167811" w:rsidP="00167811">
            <w:pPr>
              <w:pStyle w:val="TableDataEntries"/>
            </w:pPr>
            <w:r w:rsidRPr="004B386D">
              <w:t>0.0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C36B8E" w14:textId="77777777" w:rsidR="00167811" w:rsidRPr="004B386D" w:rsidRDefault="00167811" w:rsidP="00167811">
            <w:pPr>
              <w:pStyle w:val="TableDataEntries"/>
            </w:pPr>
            <w:r w:rsidRPr="004B386D">
              <w:t>0.0</w:t>
            </w:r>
          </w:p>
        </w:tc>
      </w:tr>
      <w:tr w:rsidR="00167811" w:rsidRPr="004B386D" w14:paraId="6F65CAB7" w14:textId="77777777" w:rsidTr="00167811">
        <w:trPr>
          <w:trHeight w:val="252"/>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D2C39D" w14:textId="77777777" w:rsidR="00167811" w:rsidRPr="004B386D" w:rsidRDefault="00167811" w:rsidP="00167811">
            <w:pPr>
              <w:pStyle w:val="TableDataEntries"/>
              <w:jc w:val="left"/>
            </w:pPr>
            <w:r>
              <w:t>Door handles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A70585"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8BB4F4" w14:textId="77777777" w:rsidR="00167811" w:rsidRPr="004B386D" w:rsidRDefault="00167811" w:rsidP="00167811">
            <w:pPr>
              <w:pStyle w:val="TableDataEntries"/>
            </w:pPr>
            <w:r w:rsidRPr="004B386D">
              <w:t>0.0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A9D539" w14:textId="77777777" w:rsidR="00167811" w:rsidRPr="004B386D" w:rsidRDefault="00167811" w:rsidP="00167811">
            <w:pPr>
              <w:pStyle w:val="TableDataEntries"/>
            </w:pPr>
            <w:r w:rsidRPr="004B386D">
              <w:t>0.0</w:t>
            </w:r>
          </w:p>
        </w:tc>
      </w:tr>
      <w:tr w:rsidR="00167811" w:rsidRPr="004B386D" w14:paraId="13AB005D" w14:textId="77777777" w:rsidTr="00167811">
        <w:trPr>
          <w:trHeight w:val="252"/>
        </w:trPr>
        <w:tc>
          <w:tcPr>
            <w:tcW w:w="340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F1EB49C" w14:textId="77777777" w:rsidR="00167811" w:rsidRPr="004B386D" w:rsidRDefault="00167811" w:rsidP="00167811">
            <w:pPr>
              <w:pStyle w:val="TableDataEntries"/>
              <w:jc w:val="left"/>
            </w:pPr>
            <w:r>
              <w:t>Window sills</w:t>
            </w:r>
          </w:p>
        </w:tc>
        <w:tc>
          <w:tcPr>
            <w:tcW w:w="151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8038E54" w14:textId="77777777" w:rsidR="00167811" w:rsidRPr="004B386D" w:rsidRDefault="00167811" w:rsidP="00167811">
            <w:pPr>
              <w:pStyle w:val="TableDataEntries"/>
            </w:pPr>
            <w:r w:rsidRPr="004B386D">
              <w:t>0.0</w:t>
            </w:r>
          </w:p>
        </w:tc>
        <w:tc>
          <w:tcPr>
            <w:tcW w:w="151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B77F532" w14:textId="77777777" w:rsidR="00167811" w:rsidRPr="004B386D" w:rsidRDefault="00167811" w:rsidP="00167811">
            <w:pPr>
              <w:pStyle w:val="TableDataEntries"/>
            </w:pPr>
            <w:r w:rsidRPr="004B386D">
              <w:t>0.0</w:t>
            </w:r>
          </w:p>
        </w:tc>
        <w:tc>
          <w:tcPr>
            <w:tcW w:w="151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4066058" w14:textId="77777777" w:rsidR="00167811" w:rsidRPr="004B386D" w:rsidRDefault="00167811" w:rsidP="00167811">
            <w:pPr>
              <w:pStyle w:val="TableDataEntries"/>
            </w:pPr>
            <w:r w:rsidRPr="004B386D">
              <w:t>5.0</w:t>
            </w:r>
          </w:p>
        </w:tc>
      </w:tr>
    </w:tbl>
    <w:p w14:paraId="2239B4F2" w14:textId="77777777" w:rsidR="00521C6D" w:rsidRPr="00AF30DA" w:rsidRDefault="00521C6D" w:rsidP="00521C6D">
      <w:pPr>
        <w:pStyle w:val="Source"/>
        <w:rPr>
          <w:iCs/>
          <w:lang w:bidi="fa-IR"/>
        </w:rPr>
      </w:pPr>
      <w:r w:rsidRPr="00AF30DA">
        <w:rPr>
          <w:iCs/>
          <w:lang w:bidi="fa-IR"/>
        </w:rPr>
        <w:t>Source: CIE estimate based on DCWC weightings</w:t>
      </w:r>
      <w:r w:rsidR="007D3F40">
        <w:rPr>
          <w:iCs/>
          <w:lang w:bidi="fa-IR"/>
        </w:rPr>
        <w:t>.</w:t>
      </w:r>
    </w:p>
    <w:p w14:paraId="1ADF747E" w14:textId="77777777" w:rsidR="00521C6D" w:rsidRDefault="006E4F00" w:rsidP="00521C6D">
      <w:pPr>
        <w:pStyle w:val="BodyText"/>
        <w:rPr>
          <w:lang w:eastAsia="en-US"/>
        </w:rPr>
      </w:pPr>
      <w:r>
        <w:rPr>
          <w:lang w:eastAsia="en-US"/>
        </w:rPr>
        <w:t xml:space="preserve">The WTP study has estimated WTP for some broader features – getting in and out, moving around indoors, living on same level as entrance. The WTP for these broad features are then mapped into the 13 proposed features in the NCC using the </w:t>
      </w:r>
      <w:r w:rsidR="000126AD">
        <w:rPr>
          <w:lang w:eastAsia="en-US"/>
        </w:rPr>
        <w:t xml:space="preserve">weighted construction </w:t>
      </w:r>
      <w:r>
        <w:rPr>
          <w:lang w:eastAsia="en-US"/>
        </w:rPr>
        <w:t>cost</w:t>
      </w:r>
      <w:r w:rsidR="000126AD">
        <w:rPr>
          <w:lang w:eastAsia="en-US"/>
        </w:rPr>
        <w:t xml:space="preserve"> of providing each feature estimated by DCWC. Table </w:t>
      </w:r>
      <w:r>
        <w:rPr>
          <w:lang w:eastAsia="en-US"/>
        </w:rPr>
        <w:t>K.</w:t>
      </w:r>
      <w:r w:rsidR="006036AF">
        <w:rPr>
          <w:lang w:eastAsia="en-US"/>
        </w:rPr>
        <w:t xml:space="preserve">17 </w:t>
      </w:r>
      <w:r w:rsidR="000126AD">
        <w:rPr>
          <w:lang w:eastAsia="en-US"/>
        </w:rPr>
        <w:t>presents the average WTP ($ per week) for each of the accessible features.</w:t>
      </w:r>
    </w:p>
    <w:p w14:paraId="0984D1AE" w14:textId="6E04032B" w:rsidR="006E4F00" w:rsidRDefault="00390CDB" w:rsidP="006E4F00">
      <w:pPr>
        <w:pStyle w:val="Caption"/>
      </w:pPr>
      <w:bookmarkStart w:id="976" w:name="_Toc70505700"/>
      <w:r>
        <w:t>K.17</w:t>
      </w:r>
      <w:r w:rsidR="006E4F00" w:rsidRPr="00695C93">
        <w:tab/>
      </w:r>
      <w:r w:rsidR="006E4F00">
        <w:t>Average WTP for accessible features</w:t>
      </w:r>
      <w:bookmarkEnd w:id="976"/>
    </w:p>
    <w:tbl>
      <w:tblPr>
        <w:tblW w:w="7937" w:type="dxa"/>
        <w:tblLayout w:type="fixed"/>
        <w:tblLook w:val="04A0" w:firstRow="1" w:lastRow="0" w:firstColumn="1" w:lastColumn="0" w:noHBand="0" w:noVBand="1"/>
        <w:tblCaption w:val="Table K.17: Average WTP for accessible features"/>
        <w:tblDescription w:val="Table K.17 presents the average willingness to pay for accessible features, by Silver, Gold and Gold+ standards. The total for all features listed ranges from $81.80 per week (Silver) to $177.30 per week (Gold and Gold+)."/>
      </w:tblPr>
      <w:tblGrid>
        <w:gridCol w:w="3239"/>
        <w:gridCol w:w="1566"/>
        <w:gridCol w:w="1566"/>
        <w:gridCol w:w="1566"/>
      </w:tblGrid>
      <w:tr w:rsidR="006E4F00" w:rsidRPr="0015405E" w14:paraId="00FFA8C2" w14:textId="77777777" w:rsidTr="00167811">
        <w:trPr>
          <w:trHeight w:val="252"/>
        </w:trPr>
        <w:tc>
          <w:tcPr>
            <w:tcW w:w="3239" w:type="dxa"/>
            <w:tcBorders>
              <w:bottom w:val="single" w:sz="8" w:space="0" w:color="FFFFFF" w:themeColor="background1"/>
            </w:tcBorders>
            <w:shd w:val="clear" w:color="auto" w:fill="6F6652"/>
            <w:noWrap/>
            <w:tcMar>
              <w:left w:w="57" w:type="dxa"/>
              <w:right w:w="57" w:type="dxa"/>
            </w:tcMar>
            <w:hideMark/>
          </w:tcPr>
          <w:p w14:paraId="476CB3C3" w14:textId="77777777" w:rsidR="006E4F00" w:rsidRPr="0015405E" w:rsidRDefault="00DE5490" w:rsidP="00CE479D">
            <w:pPr>
              <w:pStyle w:val="TableDataColumnHeading"/>
              <w:jc w:val="left"/>
              <w:rPr>
                <w:szCs w:val="16"/>
              </w:rPr>
            </w:pPr>
            <w:r>
              <w:rPr>
                <w:szCs w:val="16"/>
              </w:rPr>
              <w:t>Accessible feature</w:t>
            </w:r>
          </w:p>
        </w:tc>
        <w:tc>
          <w:tcPr>
            <w:tcW w:w="1566" w:type="dxa"/>
            <w:tcBorders>
              <w:bottom w:val="single" w:sz="8" w:space="0" w:color="FFFFFF" w:themeColor="background1"/>
            </w:tcBorders>
            <w:shd w:val="clear" w:color="auto" w:fill="6F6652"/>
            <w:noWrap/>
            <w:tcMar>
              <w:left w:w="57" w:type="dxa"/>
              <w:right w:w="57" w:type="dxa"/>
            </w:tcMar>
            <w:hideMark/>
          </w:tcPr>
          <w:p w14:paraId="3039187B" w14:textId="77777777" w:rsidR="006E4F00" w:rsidRPr="0015405E" w:rsidRDefault="006E4F00" w:rsidP="00CE479D">
            <w:pPr>
              <w:pStyle w:val="TableDataColumnHeading"/>
              <w:rPr>
                <w:szCs w:val="16"/>
              </w:rPr>
            </w:pPr>
            <w:r w:rsidRPr="0015405E">
              <w:rPr>
                <w:szCs w:val="16"/>
              </w:rPr>
              <w:t>Silver</w:t>
            </w:r>
            <w:r>
              <w:rPr>
                <w:szCs w:val="16"/>
              </w:rPr>
              <w:br/>
              <w:t>($/week)</w:t>
            </w:r>
          </w:p>
        </w:tc>
        <w:tc>
          <w:tcPr>
            <w:tcW w:w="1566" w:type="dxa"/>
            <w:tcBorders>
              <w:bottom w:val="single" w:sz="8" w:space="0" w:color="FFFFFF" w:themeColor="background1"/>
            </w:tcBorders>
            <w:shd w:val="clear" w:color="auto" w:fill="6F6652"/>
            <w:noWrap/>
            <w:tcMar>
              <w:left w:w="57" w:type="dxa"/>
              <w:right w:w="57" w:type="dxa"/>
            </w:tcMar>
            <w:hideMark/>
          </w:tcPr>
          <w:p w14:paraId="196CFBF4" w14:textId="77777777" w:rsidR="006E4F00" w:rsidRPr="0015405E" w:rsidRDefault="006E4F00" w:rsidP="00CE479D">
            <w:pPr>
              <w:pStyle w:val="TableDataColumnHeading"/>
              <w:rPr>
                <w:szCs w:val="16"/>
              </w:rPr>
            </w:pPr>
            <w:r w:rsidRPr="0015405E">
              <w:rPr>
                <w:szCs w:val="16"/>
              </w:rPr>
              <w:t>Gold</w:t>
            </w:r>
            <w:r>
              <w:rPr>
                <w:szCs w:val="16"/>
              </w:rPr>
              <w:br/>
              <w:t>($/week)</w:t>
            </w:r>
          </w:p>
        </w:tc>
        <w:tc>
          <w:tcPr>
            <w:tcW w:w="1566" w:type="dxa"/>
            <w:tcBorders>
              <w:bottom w:val="single" w:sz="8" w:space="0" w:color="FFFFFF" w:themeColor="background1"/>
            </w:tcBorders>
            <w:shd w:val="clear" w:color="auto" w:fill="6F6652"/>
            <w:noWrap/>
            <w:tcMar>
              <w:left w:w="57" w:type="dxa"/>
              <w:right w:w="57" w:type="dxa"/>
            </w:tcMar>
            <w:hideMark/>
          </w:tcPr>
          <w:p w14:paraId="050A8E3F" w14:textId="77777777" w:rsidR="006E4F00" w:rsidRPr="0015405E" w:rsidRDefault="006E4F00" w:rsidP="00CE479D">
            <w:pPr>
              <w:pStyle w:val="TableDataColumnHeading"/>
              <w:rPr>
                <w:szCs w:val="16"/>
              </w:rPr>
            </w:pPr>
            <w:r w:rsidRPr="0015405E">
              <w:rPr>
                <w:szCs w:val="16"/>
              </w:rPr>
              <w:t>Gold+</w:t>
            </w:r>
            <w:r>
              <w:rPr>
                <w:szCs w:val="16"/>
              </w:rPr>
              <w:br/>
              <w:t>($/week)</w:t>
            </w:r>
          </w:p>
        </w:tc>
      </w:tr>
      <w:tr w:rsidR="00167811" w:rsidRPr="004B386D" w14:paraId="3FAA1140"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F9D1D9" w14:textId="77777777" w:rsidR="00167811" w:rsidRPr="004B386D" w:rsidRDefault="00167811" w:rsidP="00167811">
            <w:pPr>
              <w:pStyle w:val="TableDataEntries"/>
              <w:jc w:val="left"/>
            </w:pPr>
            <w:r>
              <w:t>Step free access path</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F45498" w14:textId="77777777" w:rsidR="00167811" w:rsidRPr="004B386D" w:rsidRDefault="00167811" w:rsidP="00167811">
            <w:pPr>
              <w:pStyle w:val="TableDataEntries"/>
            </w:pPr>
            <w:r w:rsidRPr="004B386D">
              <w:t>48.3</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5DF34F" w14:textId="77777777" w:rsidR="00167811" w:rsidRPr="004B386D" w:rsidRDefault="00167811" w:rsidP="00167811">
            <w:pPr>
              <w:pStyle w:val="TableDataEntries"/>
            </w:pPr>
            <w:r w:rsidRPr="004B386D">
              <w:t>50.6</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4BD7FE" w14:textId="77777777" w:rsidR="00167811" w:rsidRPr="004B386D" w:rsidRDefault="00167811" w:rsidP="00167811">
            <w:pPr>
              <w:pStyle w:val="TableDataEntries"/>
            </w:pPr>
            <w:r w:rsidRPr="004B386D">
              <w:t>21.0</w:t>
            </w:r>
          </w:p>
        </w:tc>
      </w:tr>
      <w:tr w:rsidR="00167811" w:rsidRPr="004B386D" w14:paraId="57914224"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64A654" w14:textId="77777777" w:rsidR="00167811" w:rsidRPr="004B386D" w:rsidRDefault="00167811" w:rsidP="00167811">
            <w:pPr>
              <w:pStyle w:val="TableDataEntries"/>
              <w:jc w:val="left"/>
            </w:pPr>
            <w:r>
              <w:t xml:space="preserve">Step free access to outdoor area </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4DDBCE"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F627E7"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65C05C" w14:textId="77777777" w:rsidR="00167811" w:rsidRPr="004B386D" w:rsidRDefault="00167811" w:rsidP="00167811">
            <w:pPr>
              <w:pStyle w:val="TableDataEntries"/>
            </w:pPr>
            <w:r w:rsidRPr="004B386D">
              <w:t>37.5</w:t>
            </w:r>
          </w:p>
        </w:tc>
      </w:tr>
      <w:tr w:rsidR="00167811" w:rsidRPr="004B386D" w14:paraId="1C1AF347"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A34C2C" w14:textId="77777777" w:rsidR="00167811" w:rsidRPr="004B386D" w:rsidRDefault="00167811" w:rsidP="00167811">
            <w:pPr>
              <w:pStyle w:val="TableDataEntries"/>
              <w:jc w:val="left"/>
            </w:pPr>
            <w:r>
              <w:t>Dwelling entrance</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AE1FCE" w14:textId="77777777" w:rsidR="00167811" w:rsidRPr="004B386D" w:rsidRDefault="00167811" w:rsidP="00167811">
            <w:pPr>
              <w:pStyle w:val="TableDataEntries"/>
            </w:pPr>
            <w:r w:rsidRPr="004B386D">
              <w:t>15.0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070A5C" w14:textId="77777777" w:rsidR="00167811" w:rsidRPr="004B386D" w:rsidRDefault="00167811" w:rsidP="00167811">
            <w:pPr>
              <w:pStyle w:val="TableDataEntries"/>
            </w:pPr>
            <w:r w:rsidRPr="004B386D">
              <w:t>12.7</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25542B" w14:textId="77777777" w:rsidR="00167811" w:rsidRPr="004B386D" w:rsidRDefault="00167811" w:rsidP="00167811">
            <w:pPr>
              <w:pStyle w:val="TableDataEntries"/>
            </w:pPr>
            <w:r w:rsidRPr="004B386D">
              <w:t>4.9</w:t>
            </w:r>
          </w:p>
        </w:tc>
      </w:tr>
      <w:tr w:rsidR="00167811" w:rsidRPr="004B386D" w14:paraId="404E720B"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F3B5CC" w14:textId="77777777" w:rsidR="00167811" w:rsidRPr="004B386D" w:rsidRDefault="00167811" w:rsidP="00167811">
            <w:pPr>
              <w:pStyle w:val="TableDataEntries"/>
              <w:jc w:val="left"/>
            </w:pPr>
            <w:r>
              <w:t>Internal doors and corridors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922622" w14:textId="77777777" w:rsidR="00167811" w:rsidRPr="004B386D" w:rsidRDefault="00167811" w:rsidP="00167811">
            <w:pPr>
              <w:pStyle w:val="TableDataEntries"/>
            </w:pPr>
            <w:r w:rsidRPr="004B386D">
              <w:t>5.4</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CDA3B7" w14:textId="77777777" w:rsidR="00167811" w:rsidRPr="004B386D" w:rsidRDefault="00167811" w:rsidP="00167811">
            <w:pPr>
              <w:pStyle w:val="TableDataEntries"/>
            </w:pPr>
            <w:r w:rsidRPr="004B386D">
              <w:t>28.6</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0E9A9D" w14:textId="77777777" w:rsidR="00167811" w:rsidRPr="004B386D" w:rsidRDefault="00167811" w:rsidP="00167811">
            <w:pPr>
              <w:pStyle w:val="TableDataEntries"/>
            </w:pPr>
            <w:r w:rsidRPr="004B386D">
              <w:t>23.8</w:t>
            </w:r>
          </w:p>
        </w:tc>
      </w:tr>
      <w:tr w:rsidR="00167811" w:rsidRPr="004B386D" w14:paraId="4BC8BED4"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79F753" w14:textId="77777777" w:rsidR="00167811" w:rsidRPr="004B386D" w:rsidRDefault="00167811" w:rsidP="00167811">
            <w:pPr>
              <w:pStyle w:val="TableDataEntries"/>
              <w:jc w:val="left"/>
            </w:pPr>
            <w:r>
              <w:t>Toilet</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11F124" w14:textId="77777777" w:rsidR="00167811" w:rsidRPr="004B386D" w:rsidRDefault="00167811" w:rsidP="00167811">
            <w:pPr>
              <w:pStyle w:val="TableDataEntries"/>
            </w:pPr>
            <w:r w:rsidRPr="004B386D">
              <w:t>9.0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5C9837" w14:textId="77777777" w:rsidR="00167811" w:rsidRPr="004B386D" w:rsidRDefault="00167811" w:rsidP="00167811">
            <w:pPr>
              <w:pStyle w:val="TableDataEntries"/>
            </w:pPr>
            <w:r w:rsidRPr="004B386D">
              <w:t>32.3</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486147" w14:textId="77777777" w:rsidR="00167811" w:rsidRPr="004B386D" w:rsidRDefault="00167811" w:rsidP="00167811">
            <w:pPr>
              <w:pStyle w:val="TableDataEntries"/>
            </w:pPr>
            <w:r w:rsidRPr="004B386D">
              <w:t>26.3</w:t>
            </w:r>
          </w:p>
        </w:tc>
      </w:tr>
      <w:tr w:rsidR="00167811" w:rsidRPr="004B386D" w14:paraId="3000C1A2"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4DA347" w14:textId="77777777" w:rsidR="00167811" w:rsidRPr="004B386D" w:rsidRDefault="00167811" w:rsidP="00167811">
            <w:pPr>
              <w:pStyle w:val="TableDataEntries"/>
              <w:jc w:val="left"/>
            </w:pPr>
            <w:r>
              <w:t>Shower</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7DD9F3" w14:textId="77777777" w:rsidR="00167811" w:rsidRPr="004B386D" w:rsidRDefault="00167811" w:rsidP="00167811">
            <w:pPr>
              <w:pStyle w:val="TableDataEntries"/>
            </w:pPr>
            <w:r w:rsidRPr="004B386D">
              <w:t>1.5</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1EFC32" w14:textId="77777777" w:rsidR="00167811" w:rsidRPr="004B386D" w:rsidRDefault="00167811" w:rsidP="00167811">
            <w:pPr>
              <w:pStyle w:val="TableDataEntries"/>
            </w:pPr>
            <w:r w:rsidRPr="004B386D">
              <w:t>29.2</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BDD77E" w14:textId="77777777" w:rsidR="00167811" w:rsidRPr="004B386D" w:rsidRDefault="00167811" w:rsidP="00167811">
            <w:pPr>
              <w:pStyle w:val="TableDataEntries"/>
            </w:pPr>
            <w:r w:rsidRPr="004B386D">
              <w:t>23.8</w:t>
            </w:r>
          </w:p>
        </w:tc>
      </w:tr>
      <w:tr w:rsidR="00167811" w:rsidRPr="004B386D" w14:paraId="779AC28C"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113AEC" w14:textId="77777777" w:rsidR="00167811" w:rsidRPr="004B386D" w:rsidRDefault="00167811" w:rsidP="00167811">
            <w:pPr>
              <w:pStyle w:val="TableDataEntries"/>
              <w:jc w:val="left"/>
            </w:pPr>
            <w:r>
              <w:t>Reinforcement of bathroom and toilet walls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0E25C2" w14:textId="77777777" w:rsidR="00167811" w:rsidRPr="004B386D" w:rsidRDefault="00167811" w:rsidP="00167811">
            <w:pPr>
              <w:pStyle w:val="TableDataEntries"/>
            </w:pPr>
            <w:r w:rsidRPr="004B386D">
              <w:t>2.5</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B5BE5" w14:textId="77777777" w:rsidR="00167811" w:rsidRPr="004B386D" w:rsidRDefault="00167811" w:rsidP="00167811">
            <w:pPr>
              <w:pStyle w:val="TableDataEntries"/>
            </w:pPr>
            <w:r w:rsidRPr="004B386D">
              <w:t>4.2</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91208E" w14:textId="77777777" w:rsidR="00167811" w:rsidRPr="004B386D" w:rsidRDefault="00167811" w:rsidP="00167811">
            <w:pPr>
              <w:pStyle w:val="TableDataEntries"/>
            </w:pPr>
            <w:r w:rsidRPr="004B386D">
              <w:t>3.4</w:t>
            </w:r>
          </w:p>
        </w:tc>
      </w:tr>
      <w:tr w:rsidR="00167811" w:rsidRPr="004B386D" w14:paraId="240D4EB7"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266255" w14:textId="77777777" w:rsidR="00167811" w:rsidRPr="004B386D" w:rsidRDefault="00167811" w:rsidP="00167811">
            <w:pPr>
              <w:pStyle w:val="TableDataEntries"/>
              <w:jc w:val="left"/>
            </w:pPr>
            <w:r>
              <w:t>Internal stairways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9718E4"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A2BDA4" w14:textId="77777777" w:rsidR="00167811" w:rsidRPr="004B386D" w:rsidRDefault="00167811" w:rsidP="00167811">
            <w:pPr>
              <w:pStyle w:val="TableDataEntries"/>
            </w:pPr>
            <w:r w:rsidRPr="004B386D">
              <w:t>2.9</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521C1C" w14:textId="77777777" w:rsidR="00167811" w:rsidRPr="004B386D" w:rsidRDefault="00167811" w:rsidP="00167811">
            <w:pPr>
              <w:pStyle w:val="TableDataEntries"/>
            </w:pPr>
            <w:r w:rsidRPr="004B386D">
              <w:t>2.4</w:t>
            </w:r>
          </w:p>
        </w:tc>
      </w:tr>
      <w:tr w:rsidR="00167811" w:rsidRPr="004B386D" w14:paraId="060FE32D"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9195BA" w14:textId="77777777" w:rsidR="00167811" w:rsidRPr="004B386D" w:rsidRDefault="00167811" w:rsidP="00167811">
            <w:pPr>
              <w:pStyle w:val="TableDataEntries"/>
              <w:jc w:val="left"/>
            </w:pPr>
            <w:r>
              <w:t>Kitchen space</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29D2D7"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8A6CE0" w14:textId="77777777" w:rsidR="00167811" w:rsidRPr="004B386D" w:rsidRDefault="00167811" w:rsidP="00167811">
            <w:pPr>
              <w:pStyle w:val="TableDataEntries"/>
            </w:pPr>
            <w:r w:rsidRPr="004B386D">
              <w:t>9.6</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7FC75D" w14:textId="77777777" w:rsidR="00167811" w:rsidRPr="004B386D" w:rsidRDefault="00167811" w:rsidP="00167811">
            <w:pPr>
              <w:pStyle w:val="TableDataEntries"/>
            </w:pPr>
            <w:r w:rsidRPr="004B386D">
              <w:t>18.0</w:t>
            </w:r>
          </w:p>
        </w:tc>
      </w:tr>
      <w:tr w:rsidR="00167811" w:rsidRPr="004B386D" w14:paraId="46800EE1"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8AE527" w14:textId="77777777" w:rsidR="00167811" w:rsidRPr="004B386D" w:rsidRDefault="00167811" w:rsidP="00167811">
            <w:pPr>
              <w:pStyle w:val="TableDataEntries"/>
              <w:jc w:val="left"/>
            </w:pPr>
            <w:r>
              <w:t>Laundry space</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85DEAA"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BBDCE7" w14:textId="77777777" w:rsidR="00167811" w:rsidRPr="004B386D" w:rsidRDefault="00167811" w:rsidP="00167811">
            <w:pPr>
              <w:pStyle w:val="TableDataEntries"/>
            </w:pPr>
            <w:r w:rsidRPr="004B386D">
              <w:t>7.3</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1645C9" w14:textId="77777777" w:rsidR="00167811" w:rsidRPr="004B386D" w:rsidRDefault="00167811" w:rsidP="00167811">
            <w:pPr>
              <w:pStyle w:val="TableDataEntries"/>
            </w:pPr>
            <w:r w:rsidRPr="004B386D">
              <w:t>14.4</w:t>
            </w:r>
          </w:p>
        </w:tc>
      </w:tr>
      <w:tr w:rsidR="00167811" w:rsidRPr="004B386D" w14:paraId="2B6E2869"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C7A5EE" w14:textId="77777777" w:rsidR="00167811" w:rsidRPr="004B386D" w:rsidRDefault="00167811" w:rsidP="00167811">
            <w:pPr>
              <w:pStyle w:val="TableDataEntries"/>
              <w:jc w:val="left"/>
            </w:pPr>
            <w:r>
              <w:t>Space on entry level suitable for bedroom</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356D49"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AE4A7C"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6C3D08" w14:textId="77777777" w:rsidR="00167811" w:rsidRPr="004B386D" w:rsidRDefault="00167811" w:rsidP="00167811">
            <w:pPr>
              <w:pStyle w:val="TableDataEntries"/>
            </w:pPr>
            <w:r w:rsidRPr="004B386D">
              <w:t>0.0</w:t>
            </w:r>
          </w:p>
        </w:tc>
      </w:tr>
      <w:tr w:rsidR="00167811" w:rsidRPr="004B386D" w14:paraId="3199353A"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110914" w14:textId="77777777" w:rsidR="00167811" w:rsidRPr="004B386D" w:rsidRDefault="00167811" w:rsidP="00167811">
            <w:pPr>
              <w:pStyle w:val="TableDataEntries"/>
              <w:jc w:val="left"/>
            </w:pPr>
            <w:r>
              <w:t>Light switches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96224C"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EBC3D"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784919" w14:textId="77777777" w:rsidR="00167811" w:rsidRPr="004B386D" w:rsidRDefault="00167811" w:rsidP="00167811">
            <w:pPr>
              <w:pStyle w:val="TableDataEntries"/>
            </w:pPr>
            <w:r w:rsidRPr="004B386D">
              <w:t>0.0</w:t>
            </w:r>
          </w:p>
        </w:tc>
      </w:tr>
      <w:tr w:rsidR="00167811" w:rsidRPr="004B386D" w14:paraId="70B94064"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9BB02F" w14:textId="77777777" w:rsidR="00167811" w:rsidRPr="004B386D" w:rsidRDefault="00167811" w:rsidP="00167811">
            <w:pPr>
              <w:pStyle w:val="TableDataEntries"/>
              <w:jc w:val="left"/>
            </w:pPr>
            <w:r>
              <w:t>Door handles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C2EB2B"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C4A046"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455421" w14:textId="77777777" w:rsidR="00167811" w:rsidRPr="004B386D" w:rsidRDefault="00167811" w:rsidP="00167811">
            <w:pPr>
              <w:pStyle w:val="TableDataEntries"/>
            </w:pPr>
            <w:r w:rsidRPr="004B386D">
              <w:t>0.0</w:t>
            </w:r>
          </w:p>
        </w:tc>
      </w:tr>
      <w:tr w:rsidR="00167811" w:rsidRPr="004B386D" w14:paraId="2358B58C" w14:textId="77777777" w:rsidTr="00167811">
        <w:trPr>
          <w:trHeight w:val="252"/>
        </w:trPr>
        <w:tc>
          <w:tcPr>
            <w:tcW w:w="323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E82455" w14:textId="77777777" w:rsidR="00167811" w:rsidRPr="004B386D" w:rsidRDefault="00167811" w:rsidP="00167811">
            <w:pPr>
              <w:pStyle w:val="TableDataEntries"/>
              <w:jc w:val="left"/>
            </w:pPr>
            <w:r>
              <w:t>Window sills</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C688DA"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7CE0F8" w14:textId="77777777" w:rsidR="00167811" w:rsidRPr="004B386D" w:rsidRDefault="00167811" w:rsidP="00167811">
            <w:pPr>
              <w:pStyle w:val="TableDataEntries"/>
            </w:pPr>
            <w:r w:rsidRPr="004B386D">
              <w:t>0.0</w:t>
            </w:r>
          </w:p>
        </w:tc>
        <w:tc>
          <w:tcPr>
            <w:tcW w:w="156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CF78C4" w14:textId="77777777" w:rsidR="00167811" w:rsidRPr="004B386D" w:rsidRDefault="00167811" w:rsidP="00167811">
            <w:pPr>
              <w:pStyle w:val="TableDataEntries"/>
            </w:pPr>
            <w:r w:rsidRPr="004B386D">
              <w:t>1.9</w:t>
            </w:r>
          </w:p>
        </w:tc>
      </w:tr>
      <w:tr w:rsidR="006E4F00" w:rsidRPr="0015405E" w14:paraId="65F9A586" w14:textId="77777777" w:rsidTr="00167811">
        <w:trPr>
          <w:trHeight w:val="252"/>
        </w:trPr>
        <w:tc>
          <w:tcPr>
            <w:tcW w:w="323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D397422" w14:textId="77777777" w:rsidR="006E4F00" w:rsidRPr="0015405E" w:rsidRDefault="006E4F00" w:rsidP="00CE479D">
            <w:pPr>
              <w:pStyle w:val="TableDataEntries"/>
              <w:jc w:val="left"/>
              <w:rPr>
                <w:rFonts w:ascii="Franklin Gothic Demi" w:hAnsi="Franklin Gothic Demi"/>
              </w:rPr>
            </w:pPr>
            <w:r>
              <w:rPr>
                <w:rFonts w:ascii="Franklin Gothic Demi" w:hAnsi="Franklin Gothic Demi"/>
              </w:rPr>
              <w:t>Total</w:t>
            </w:r>
          </w:p>
        </w:tc>
        <w:tc>
          <w:tcPr>
            <w:tcW w:w="156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028FFA3" w14:textId="77777777" w:rsidR="006E4F00" w:rsidRPr="0015405E" w:rsidRDefault="006E4F00" w:rsidP="00CE479D">
            <w:pPr>
              <w:pStyle w:val="TableDataEntries"/>
              <w:rPr>
                <w:rFonts w:ascii="Franklin Gothic Demi" w:hAnsi="Franklin Gothic Demi"/>
              </w:rPr>
            </w:pPr>
            <w:r w:rsidRPr="0015405E">
              <w:rPr>
                <w:rFonts w:ascii="Franklin Gothic Demi" w:hAnsi="Franklin Gothic Demi"/>
              </w:rPr>
              <w:t>81.8</w:t>
            </w:r>
          </w:p>
        </w:tc>
        <w:tc>
          <w:tcPr>
            <w:tcW w:w="156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FE3EE65" w14:textId="77777777" w:rsidR="006E4F00" w:rsidRPr="0015405E" w:rsidRDefault="006E4F00" w:rsidP="00CE479D">
            <w:pPr>
              <w:pStyle w:val="TableDataEntries"/>
              <w:rPr>
                <w:rFonts w:ascii="Franklin Gothic Demi" w:hAnsi="Franklin Gothic Demi"/>
              </w:rPr>
            </w:pPr>
            <w:r w:rsidRPr="0015405E">
              <w:rPr>
                <w:rFonts w:ascii="Franklin Gothic Demi" w:hAnsi="Franklin Gothic Demi"/>
              </w:rPr>
              <w:t>177.3</w:t>
            </w:r>
          </w:p>
        </w:tc>
        <w:tc>
          <w:tcPr>
            <w:tcW w:w="156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63DA541" w14:textId="77777777" w:rsidR="006E4F00" w:rsidRPr="0015405E" w:rsidRDefault="006E4F00" w:rsidP="00CE479D">
            <w:pPr>
              <w:pStyle w:val="TableDataEntries"/>
              <w:rPr>
                <w:rFonts w:ascii="Franklin Gothic Demi" w:hAnsi="Franklin Gothic Demi"/>
              </w:rPr>
            </w:pPr>
            <w:r w:rsidRPr="0015405E">
              <w:rPr>
                <w:rFonts w:ascii="Franklin Gothic Demi" w:hAnsi="Franklin Gothic Demi"/>
              </w:rPr>
              <w:t>177.3</w:t>
            </w:r>
          </w:p>
        </w:tc>
      </w:tr>
    </w:tbl>
    <w:p w14:paraId="354FE9A3" w14:textId="77777777" w:rsidR="006E4F00" w:rsidRPr="00AF30DA" w:rsidRDefault="006E4F00" w:rsidP="006E4F00">
      <w:pPr>
        <w:pStyle w:val="Source"/>
        <w:rPr>
          <w:iCs/>
          <w:lang w:bidi="fa-IR"/>
        </w:rPr>
      </w:pPr>
      <w:r w:rsidRPr="00AF30DA">
        <w:rPr>
          <w:iCs/>
          <w:lang w:bidi="fa-IR"/>
        </w:rPr>
        <w:t>Source: CIE estimates</w:t>
      </w:r>
      <w:r w:rsidR="007D3F40">
        <w:rPr>
          <w:iCs/>
          <w:lang w:bidi="fa-IR"/>
        </w:rPr>
        <w:t>.</w:t>
      </w:r>
    </w:p>
    <w:p w14:paraId="55C2D187" w14:textId="77777777" w:rsidR="00521C6D" w:rsidRDefault="000126AD" w:rsidP="00521C6D">
      <w:pPr>
        <w:pStyle w:val="BodyText"/>
        <w:rPr>
          <w:lang w:eastAsia="en-US"/>
        </w:rPr>
      </w:pPr>
      <w:r>
        <w:rPr>
          <w:lang w:eastAsia="en-US"/>
        </w:rPr>
        <w:t>Multiplying the shares in table K.</w:t>
      </w:r>
      <w:r w:rsidR="006036AF">
        <w:rPr>
          <w:lang w:eastAsia="en-US"/>
        </w:rPr>
        <w:t xml:space="preserve">16 </w:t>
      </w:r>
      <w:r>
        <w:rPr>
          <w:lang w:eastAsia="en-US"/>
        </w:rPr>
        <w:t>by the average WTP in table K.</w:t>
      </w:r>
      <w:r w:rsidR="006036AF">
        <w:rPr>
          <w:lang w:eastAsia="en-US"/>
        </w:rPr>
        <w:t xml:space="preserve">17 </w:t>
      </w:r>
      <w:r>
        <w:rPr>
          <w:lang w:eastAsia="en-US"/>
        </w:rPr>
        <w:t>and summing up, give</w:t>
      </w:r>
      <w:r w:rsidR="00E674BB">
        <w:rPr>
          <w:lang w:eastAsia="en-US"/>
        </w:rPr>
        <w:t>s</w:t>
      </w:r>
      <w:r>
        <w:rPr>
          <w:lang w:eastAsia="en-US"/>
        </w:rPr>
        <w:t xml:space="preserve"> the weighted average share of accessible features provided in the baseline:</w:t>
      </w:r>
    </w:p>
    <w:p w14:paraId="2DED148A" w14:textId="77777777" w:rsidR="00521C6D" w:rsidRDefault="000126AD" w:rsidP="000126AD">
      <w:pPr>
        <w:pStyle w:val="ListBullet"/>
        <w:rPr>
          <w:lang w:eastAsia="en-US"/>
        </w:rPr>
      </w:pPr>
      <w:r>
        <w:rPr>
          <w:lang w:eastAsia="en-US"/>
        </w:rPr>
        <w:t>34.1 per cent of Silver features on average have been provided in the baseline</w:t>
      </w:r>
    </w:p>
    <w:p w14:paraId="7B39CC91" w14:textId="77777777" w:rsidR="000126AD" w:rsidRDefault="009C43E0" w:rsidP="000126AD">
      <w:pPr>
        <w:pStyle w:val="ListBullet"/>
        <w:rPr>
          <w:lang w:eastAsia="en-US"/>
        </w:rPr>
      </w:pPr>
      <w:r>
        <w:rPr>
          <w:lang w:eastAsia="en-US"/>
        </w:rPr>
        <w:t>13.9</w:t>
      </w:r>
      <w:r w:rsidR="000126AD">
        <w:rPr>
          <w:lang w:eastAsia="en-US"/>
        </w:rPr>
        <w:t xml:space="preserve"> per cent of Gold features on average have been provided in the baseline</w:t>
      </w:r>
      <w:r w:rsidR="007D3F40">
        <w:rPr>
          <w:lang w:eastAsia="en-US"/>
        </w:rPr>
        <w:t>,</w:t>
      </w:r>
      <w:r w:rsidR="000126AD">
        <w:rPr>
          <w:lang w:eastAsia="en-US"/>
        </w:rPr>
        <w:t xml:space="preserve"> and</w:t>
      </w:r>
    </w:p>
    <w:p w14:paraId="7369E017" w14:textId="77777777" w:rsidR="000126AD" w:rsidRPr="00521C6D" w:rsidRDefault="009C43E0" w:rsidP="000126AD">
      <w:pPr>
        <w:pStyle w:val="ListBullet"/>
        <w:rPr>
          <w:lang w:eastAsia="en-US"/>
        </w:rPr>
      </w:pPr>
      <w:r>
        <w:rPr>
          <w:lang w:eastAsia="en-US"/>
        </w:rPr>
        <w:t>13</w:t>
      </w:r>
      <w:r w:rsidR="000126AD">
        <w:rPr>
          <w:lang w:eastAsia="en-US"/>
        </w:rPr>
        <w:t>.</w:t>
      </w:r>
      <w:r>
        <w:rPr>
          <w:lang w:eastAsia="en-US"/>
        </w:rPr>
        <w:t>6</w:t>
      </w:r>
      <w:r w:rsidR="000126AD">
        <w:rPr>
          <w:lang w:eastAsia="en-US"/>
        </w:rPr>
        <w:t xml:space="preserve"> per cent of Gold+ features on average have been provided in the baseline.</w:t>
      </w:r>
    </w:p>
    <w:p w14:paraId="3FC6D7A7" w14:textId="77777777" w:rsidR="00CF6E40" w:rsidRPr="004B79EC" w:rsidRDefault="00CF6E40" w:rsidP="004B79EC">
      <w:pPr>
        <w:pStyle w:val="Heading2-Appendix"/>
      </w:pPr>
      <w:r w:rsidRPr="004B79EC">
        <w:t>Debriefing questions</w:t>
      </w:r>
    </w:p>
    <w:p w14:paraId="4A4C00E7" w14:textId="77777777" w:rsidR="00CF6E40" w:rsidRDefault="00CF6E40" w:rsidP="00CF6E40">
      <w:pPr>
        <w:pStyle w:val="BodyText"/>
        <w:rPr>
          <w:lang w:eastAsia="en-US"/>
        </w:rPr>
      </w:pPr>
      <w:r>
        <w:rPr>
          <w:lang w:eastAsia="en-US"/>
        </w:rPr>
        <w:t xml:space="preserve">Respondents that did not indicate they would definitely or probably vote for the policy to increase accessible housing were asked the reason for their decision. The most common reasons given were that governments should deliver the outcomes without imposing a cost on the respondent and a concern that governments may not deliver the outcomes. There is a question as to whether the responses to the valuation question by these respondents should be excluded as ‘protest responses’ that are not a true measure of the respondent’s preferences over delivered outcomes. </w:t>
      </w:r>
      <w:r w:rsidR="00321660">
        <w:rPr>
          <w:lang w:eastAsia="en-US"/>
        </w:rPr>
        <w:t xml:space="preserve">CIE </w:t>
      </w:r>
      <w:r>
        <w:rPr>
          <w:lang w:eastAsia="en-US"/>
        </w:rPr>
        <w:t>prefer</w:t>
      </w:r>
      <w:r w:rsidR="00321660">
        <w:rPr>
          <w:lang w:eastAsia="en-US"/>
        </w:rPr>
        <w:t>s</w:t>
      </w:r>
      <w:r>
        <w:rPr>
          <w:lang w:eastAsia="en-US"/>
        </w:rPr>
        <w:t xml:space="preserve"> to retain these responses, as excluding them may bias the results where there is correlation between underlying WTP and mistrust of governments. </w:t>
      </w:r>
    </w:p>
    <w:p w14:paraId="60CB7296" w14:textId="2FE2FF54" w:rsidR="00CF6E40" w:rsidRDefault="00390CDB" w:rsidP="00CF6E40">
      <w:pPr>
        <w:pStyle w:val="Caption"/>
        <w:spacing w:before="240"/>
      </w:pPr>
      <w:bookmarkStart w:id="977" w:name="_Toc32321940"/>
      <w:bookmarkStart w:id="978" w:name="_Toc44598651"/>
      <w:bookmarkStart w:id="979" w:name="_Toc45654282"/>
      <w:bookmarkStart w:id="980" w:name="_Toc57643751"/>
      <w:bookmarkStart w:id="981" w:name="_Toc70505701"/>
      <w:r>
        <w:t>K.18</w:t>
      </w:r>
      <w:r w:rsidR="00CF6E40" w:rsidRPr="00017849">
        <w:tab/>
        <w:t>Reasons for not voting for the policy to increase accessible housing</w:t>
      </w:r>
      <w:bookmarkEnd w:id="977"/>
      <w:bookmarkEnd w:id="978"/>
      <w:bookmarkEnd w:id="979"/>
      <w:bookmarkEnd w:id="980"/>
      <w:bookmarkEnd w:id="981"/>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8: Reasons for not voting for the policy to increase accessible housing"/>
        <w:tblDescription w:val="Table K.18 list the answers to the question 'What were the main reasons for your choice [to not vote for the policy to increase accessible housing]?'. The highest ranking answers were 'I think governments should improve accessible housing without increasing taxes' (41.5%), 'I'm concerned that governments might put taxes up without improving accessible housing' (37.3%) and 'I would prefer to spend my money on something else' (27.4%)."/>
      </w:tblPr>
      <w:tblGrid>
        <w:gridCol w:w="6521"/>
        <w:gridCol w:w="1416"/>
      </w:tblGrid>
      <w:tr w:rsidR="00CF6E40" w:rsidRPr="00B069EA" w14:paraId="438615B2" w14:textId="77777777" w:rsidTr="004B5CD1">
        <w:trPr>
          <w:trHeight w:val="500"/>
          <w:tblHeader/>
        </w:trPr>
        <w:tc>
          <w:tcPr>
            <w:tcW w:w="6521" w:type="dxa"/>
            <w:shd w:val="clear" w:color="auto" w:fill="6F6652" w:themeFill="accent5"/>
            <w:hideMark/>
          </w:tcPr>
          <w:p w14:paraId="77F7C812" w14:textId="77777777" w:rsidR="00CF6E40" w:rsidRPr="00B069EA" w:rsidRDefault="00CF6E40" w:rsidP="004B5CD1">
            <w:pPr>
              <w:pStyle w:val="TableDataColumnHeading"/>
              <w:jc w:val="left"/>
            </w:pPr>
            <w:r>
              <w:t>Answer to question: What were the main reasons for your decision?</w:t>
            </w:r>
          </w:p>
        </w:tc>
        <w:tc>
          <w:tcPr>
            <w:tcW w:w="1416" w:type="dxa"/>
            <w:shd w:val="clear" w:color="auto" w:fill="6F6652" w:themeFill="accent5"/>
            <w:hideMark/>
          </w:tcPr>
          <w:p w14:paraId="77C343BC" w14:textId="77777777" w:rsidR="00CF6E40" w:rsidRDefault="00CF6E40" w:rsidP="004B5CD1">
            <w:pPr>
              <w:pStyle w:val="TableDataColumnHeading"/>
            </w:pPr>
            <w:r w:rsidRPr="00B069EA">
              <w:t>Sample reweighted</w:t>
            </w:r>
          </w:p>
          <w:p w14:paraId="190A8467" w14:textId="77777777" w:rsidR="00CF6E40" w:rsidRPr="00B069EA" w:rsidRDefault="00CF6E40" w:rsidP="004B5CD1">
            <w:pPr>
              <w:pStyle w:val="TableDataColumnHeading"/>
            </w:pPr>
            <w:r>
              <w:t>(per cent)</w:t>
            </w:r>
          </w:p>
        </w:tc>
      </w:tr>
      <w:tr w:rsidR="00CF6E40" w:rsidRPr="00B069EA" w14:paraId="4FA892D4" w14:textId="77777777" w:rsidTr="004B5CD1">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09FB22F0" w14:textId="77777777" w:rsidR="00CF6E40" w:rsidRPr="00B069EA" w:rsidRDefault="00CF6E40" w:rsidP="004B5CD1">
            <w:pPr>
              <w:pStyle w:val="TableDataEntries"/>
              <w:jc w:val="left"/>
            </w:pPr>
            <w:r w:rsidRPr="00B069EA">
              <w:t>I would prefer to spend my money on something else</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0277F96E" w14:textId="77777777" w:rsidR="00CF6E40" w:rsidRPr="00B069EA" w:rsidRDefault="00CF6E40" w:rsidP="004B5CD1">
            <w:pPr>
              <w:pStyle w:val="TableDataEntries"/>
            </w:pPr>
            <w:r w:rsidRPr="00B069EA">
              <w:t>27.4%</w:t>
            </w:r>
          </w:p>
        </w:tc>
      </w:tr>
      <w:tr w:rsidR="00CF6E40" w:rsidRPr="00B069EA" w14:paraId="69A4CA6F" w14:textId="77777777" w:rsidTr="004B5CD1">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1115ACC2" w14:textId="77777777" w:rsidR="00CF6E40" w:rsidRPr="00B069EA" w:rsidRDefault="00CF6E40" w:rsidP="004B5CD1">
            <w:pPr>
              <w:pStyle w:val="TableDataEntries"/>
              <w:jc w:val="left"/>
            </w:pPr>
            <w:r w:rsidRPr="00B069EA">
              <w:t>The question was confusing</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07913B83" w14:textId="77777777" w:rsidR="00CF6E40" w:rsidRPr="00B069EA" w:rsidRDefault="00CF6E40" w:rsidP="004B5CD1">
            <w:pPr>
              <w:pStyle w:val="TableDataEntries"/>
            </w:pPr>
            <w:r w:rsidRPr="00B069EA">
              <w:t>6.5%</w:t>
            </w:r>
          </w:p>
        </w:tc>
      </w:tr>
      <w:tr w:rsidR="00CF6E40" w:rsidRPr="00B069EA" w14:paraId="1DEBF952" w14:textId="77777777" w:rsidTr="004B5CD1">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71F6E6DA" w14:textId="77777777" w:rsidR="00CF6E40" w:rsidRPr="00B069EA" w:rsidRDefault="00CF6E40" w:rsidP="004B5CD1">
            <w:pPr>
              <w:pStyle w:val="TableDataEntries"/>
              <w:jc w:val="left"/>
            </w:pPr>
            <w:r w:rsidRPr="00B069EA">
              <w:t>I didn’t have enough information about the policy</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280333EE" w14:textId="77777777" w:rsidR="00CF6E40" w:rsidRPr="00B069EA" w:rsidRDefault="00CF6E40" w:rsidP="004B5CD1">
            <w:pPr>
              <w:pStyle w:val="TableDataEntries"/>
            </w:pPr>
            <w:r w:rsidRPr="00B069EA">
              <w:t>21.5%</w:t>
            </w:r>
          </w:p>
        </w:tc>
      </w:tr>
      <w:tr w:rsidR="00CF6E40" w:rsidRPr="00B069EA" w14:paraId="29896B71" w14:textId="77777777" w:rsidTr="004B5CD1">
        <w:trPr>
          <w:trHeight w:val="48"/>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00C879B0" w14:textId="77777777" w:rsidR="00CF6E40" w:rsidRPr="00B069EA" w:rsidRDefault="00CF6E40" w:rsidP="004B5CD1">
            <w:pPr>
              <w:pStyle w:val="TableDataEntries"/>
              <w:jc w:val="left"/>
            </w:pPr>
            <w:r w:rsidRPr="00B069EA">
              <w:t>I’m concerned that governments might put taxes up without improving accessible housing</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25F0FF93" w14:textId="77777777" w:rsidR="00CF6E40" w:rsidRPr="00B069EA" w:rsidRDefault="00CF6E40" w:rsidP="004B5CD1">
            <w:pPr>
              <w:pStyle w:val="TableDataEntries"/>
            </w:pPr>
            <w:r w:rsidRPr="00B069EA">
              <w:t>37.3%</w:t>
            </w:r>
          </w:p>
        </w:tc>
      </w:tr>
      <w:tr w:rsidR="00CF6E40" w:rsidRPr="00B069EA" w14:paraId="57D40BE9" w14:textId="77777777" w:rsidTr="004B5CD1">
        <w:trPr>
          <w:trHeight w:val="48"/>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17EBA682" w14:textId="77777777" w:rsidR="00CF6E40" w:rsidRPr="00B069EA" w:rsidRDefault="00CF6E40" w:rsidP="004B5CD1">
            <w:pPr>
              <w:pStyle w:val="TableDataEntries"/>
              <w:jc w:val="left"/>
            </w:pPr>
            <w:r w:rsidRPr="00B069EA">
              <w:t>I think governments should improve accessible housing without increasing taxes</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465F79E4" w14:textId="77777777" w:rsidR="00CF6E40" w:rsidRPr="00B069EA" w:rsidRDefault="00CF6E40" w:rsidP="004B5CD1">
            <w:pPr>
              <w:pStyle w:val="TableDataEntries"/>
            </w:pPr>
            <w:r w:rsidRPr="00B069EA">
              <w:t>41.5%</w:t>
            </w:r>
          </w:p>
        </w:tc>
      </w:tr>
      <w:tr w:rsidR="00CF6E40" w:rsidRPr="00B069EA" w14:paraId="0E893256" w14:textId="77777777" w:rsidTr="004B5CD1">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14:paraId="7CD9D756" w14:textId="77777777" w:rsidR="00CF6E40" w:rsidRPr="00B069EA" w:rsidRDefault="00CF6E40" w:rsidP="004B5CD1">
            <w:pPr>
              <w:pStyle w:val="TableDataEntries"/>
              <w:jc w:val="left"/>
            </w:pPr>
            <w:r w:rsidRPr="00B069EA">
              <w:t>Other peoples’ housing should not be my problem</w:t>
            </w:r>
          </w:p>
        </w:tc>
        <w:tc>
          <w:tcPr>
            <w:tcW w:w="1416" w:type="dxa"/>
            <w:tcBorders>
              <w:top w:val="single" w:sz="8" w:space="0" w:color="FFFFFF" w:themeColor="background1"/>
              <w:bottom w:val="single" w:sz="8" w:space="0" w:color="FFFFFF" w:themeColor="background1"/>
            </w:tcBorders>
            <w:shd w:val="clear" w:color="auto" w:fill="E9E8E5" w:themeFill="background2"/>
            <w:hideMark/>
          </w:tcPr>
          <w:p w14:paraId="4C26FB72" w14:textId="77777777" w:rsidR="00CF6E40" w:rsidRPr="00B069EA" w:rsidRDefault="00CF6E40" w:rsidP="004B5CD1">
            <w:pPr>
              <w:pStyle w:val="TableDataEntries"/>
            </w:pPr>
            <w:r w:rsidRPr="00B069EA">
              <w:t>15.7%</w:t>
            </w:r>
          </w:p>
        </w:tc>
      </w:tr>
      <w:tr w:rsidR="00CF6E40" w:rsidRPr="00B069EA" w14:paraId="2DF49136" w14:textId="77777777" w:rsidTr="004B5CD1">
        <w:trPr>
          <w:trHeight w:val="250"/>
        </w:trPr>
        <w:tc>
          <w:tcPr>
            <w:tcW w:w="6521" w:type="dxa"/>
            <w:tcBorders>
              <w:top w:val="single" w:sz="8" w:space="0" w:color="FFFFFF" w:themeColor="background1"/>
              <w:bottom w:val="single" w:sz="4" w:space="0" w:color="6F6652" w:themeColor="accent5"/>
            </w:tcBorders>
            <w:shd w:val="clear" w:color="auto" w:fill="E9E8E5" w:themeFill="background2"/>
            <w:hideMark/>
          </w:tcPr>
          <w:p w14:paraId="405CD2A0" w14:textId="77777777" w:rsidR="00CF6E40" w:rsidRPr="00B069EA" w:rsidRDefault="00CF6E40" w:rsidP="004B5CD1">
            <w:pPr>
              <w:pStyle w:val="TableDataEntries"/>
              <w:jc w:val="left"/>
            </w:pPr>
            <w:r w:rsidRPr="00B069EA">
              <w:t>Other (Please specify:)</w:t>
            </w:r>
          </w:p>
        </w:tc>
        <w:tc>
          <w:tcPr>
            <w:tcW w:w="1416" w:type="dxa"/>
            <w:tcBorders>
              <w:top w:val="single" w:sz="8" w:space="0" w:color="FFFFFF" w:themeColor="background1"/>
              <w:bottom w:val="single" w:sz="4" w:space="0" w:color="6F6652" w:themeColor="accent5"/>
            </w:tcBorders>
            <w:shd w:val="clear" w:color="auto" w:fill="E9E8E5" w:themeFill="background2"/>
            <w:hideMark/>
          </w:tcPr>
          <w:p w14:paraId="4409259B" w14:textId="77777777" w:rsidR="00CF6E40" w:rsidRPr="00B069EA" w:rsidRDefault="00CF6E40" w:rsidP="004B5CD1">
            <w:pPr>
              <w:pStyle w:val="TableDataEntries"/>
            </w:pPr>
            <w:r w:rsidRPr="00B069EA">
              <w:t>6.3%</w:t>
            </w:r>
          </w:p>
        </w:tc>
      </w:tr>
    </w:tbl>
    <w:p w14:paraId="1A739FA8" w14:textId="77777777" w:rsidR="00CF6E40" w:rsidRPr="00AF30DA" w:rsidRDefault="00CF6E40" w:rsidP="00CF6E40">
      <w:pPr>
        <w:pStyle w:val="Source"/>
        <w:rPr>
          <w:iCs/>
        </w:rPr>
      </w:pPr>
      <w:r w:rsidRPr="00AF30DA">
        <w:rPr>
          <w:iCs/>
        </w:rPr>
        <w:t>Source: CIE.</w:t>
      </w:r>
    </w:p>
    <w:p w14:paraId="60C0BE1B" w14:textId="77777777" w:rsidR="00CF6E40" w:rsidRDefault="00CF6E40" w:rsidP="00CF6E40">
      <w:pPr>
        <w:pStyle w:val="BodyText"/>
        <w:rPr>
          <w:lang w:eastAsia="en-US"/>
        </w:rPr>
      </w:pPr>
      <w:r>
        <w:rPr>
          <w:lang w:eastAsia="en-US"/>
        </w:rPr>
        <w:t>Roughly six in ten respondents believed the survey would be at least somewhat likely to affect government action on accessible housing and the rates and taxes they pay. Models run with and without the respondents that did not believe the survey would be consequential did not find a dramatic difference in stated preferences. The estimated mean WTP was slightly higher for respondents indicating they believed the survey would be at least somewhat likely to affect the rates and taxes they pay.</w:t>
      </w:r>
    </w:p>
    <w:p w14:paraId="5D49F5FC" w14:textId="7463804E" w:rsidR="00CF6E40" w:rsidRDefault="00390CDB" w:rsidP="00CF6E40">
      <w:pPr>
        <w:pStyle w:val="Caption"/>
      </w:pPr>
      <w:bookmarkStart w:id="982" w:name="_Toc32321941"/>
      <w:bookmarkStart w:id="983" w:name="_Toc44598652"/>
      <w:bookmarkStart w:id="984" w:name="_Toc45654283"/>
      <w:bookmarkStart w:id="985" w:name="_Toc57643752"/>
      <w:bookmarkStart w:id="986" w:name="_Toc70505702"/>
      <w:r>
        <w:t>K.19</w:t>
      </w:r>
      <w:r w:rsidR="00CF6E40" w:rsidRPr="00CC5E74">
        <w:tab/>
        <w:t>Consequentiality of the survey</w:t>
      </w:r>
      <w:bookmarkEnd w:id="982"/>
      <w:bookmarkEnd w:id="983"/>
      <w:bookmarkEnd w:id="984"/>
      <w:bookmarkEnd w:id="985"/>
      <w:bookmarkEnd w:id="98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9: Consequentiality of the survey"/>
        <w:tblDescription w:val="Table K.19 presents the answers to the questions about consequentiality of the survey - whether the survey will affect government action and affect rates and taxes. Nearly 60% of respondents thought that the survey  would be somewhat likely or very likely to affect government action and rates and taxes."/>
      </w:tblPr>
      <w:tblGrid>
        <w:gridCol w:w="1276"/>
        <w:gridCol w:w="5360"/>
        <w:gridCol w:w="1301"/>
      </w:tblGrid>
      <w:tr w:rsidR="00CF6E40" w:rsidRPr="00DE63DE" w14:paraId="4A1380AA" w14:textId="77777777" w:rsidTr="004B5CD1">
        <w:trPr>
          <w:trHeight w:val="500"/>
          <w:tblHeader/>
        </w:trPr>
        <w:tc>
          <w:tcPr>
            <w:tcW w:w="1276" w:type="dxa"/>
            <w:shd w:val="clear" w:color="auto" w:fill="6F6652" w:themeFill="accent5"/>
            <w:hideMark/>
          </w:tcPr>
          <w:p w14:paraId="796EBF20" w14:textId="77777777" w:rsidR="00CF6E40" w:rsidRPr="00DE63DE" w:rsidRDefault="00CF6E40" w:rsidP="004B5CD1">
            <w:pPr>
              <w:pStyle w:val="TableDataColumnHeading"/>
              <w:jc w:val="left"/>
            </w:pPr>
            <w:r>
              <w:t>Question</w:t>
            </w:r>
          </w:p>
        </w:tc>
        <w:tc>
          <w:tcPr>
            <w:tcW w:w="5360" w:type="dxa"/>
            <w:shd w:val="clear" w:color="auto" w:fill="6F6652" w:themeFill="accent5"/>
          </w:tcPr>
          <w:p w14:paraId="28A7351F" w14:textId="77777777" w:rsidR="00CF6E40" w:rsidRPr="00DE63DE" w:rsidRDefault="00CF6E40" w:rsidP="004B5CD1">
            <w:pPr>
              <w:pStyle w:val="TableDataColumnHeading"/>
              <w:jc w:val="left"/>
            </w:pPr>
            <w:r>
              <w:t>Answer</w:t>
            </w:r>
          </w:p>
        </w:tc>
        <w:tc>
          <w:tcPr>
            <w:tcW w:w="1301" w:type="dxa"/>
            <w:shd w:val="clear" w:color="auto" w:fill="6F6652" w:themeFill="accent5"/>
            <w:hideMark/>
          </w:tcPr>
          <w:p w14:paraId="31ADC1E6" w14:textId="77777777" w:rsidR="00CF6E40" w:rsidRDefault="00CF6E40" w:rsidP="004B5CD1">
            <w:pPr>
              <w:pStyle w:val="TableDataColumnHeading"/>
            </w:pPr>
            <w:r w:rsidRPr="00DE63DE">
              <w:t>Sample reweighted</w:t>
            </w:r>
          </w:p>
          <w:p w14:paraId="71F47403" w14:textId="77777777" w:rsidR="00CF6E40" w:rsidRPr="00DE63DE" w:rsidRDefault="00CF6E40" w:rsidP="004B5CD1">
            <w:pPr>
              <w:pStyle w:val="TableDataColumnHeading"/>
            </w:pPr>
            <w:r>
              <w:t>(per cent)</w:t>
            </w:r>
          </w:p>
        </w:tc>
      </w:tr>
      <w:tr w:rsidR="00CF6E40" w:rsidRPr="00DE63DE" w14:paraId="44A03EB2" w14:textId="77777777" w:rsidTr="004B5CD1">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14:paraId="693BD10C" w14:textId="77777777" w:rsidR="00CF6E40" w:rsidRPr="00DE63DE" w:rsidRDefault="00CF6E40" w:rsidP="004B5CD1">
            <w:pPr>
              <w:pStyle w:val="TableDataEntries"/>
              <w:jc w:val="left"/>
            </w:pPr>
            <w:r>
              <w:t>Q1</w:t>
            </w:r>
          </w:p>
        </w:tc>
        <w:tc>
          <w:tcPr>
            <w:tcW w:w="5360" w:type="dxa"/>
            <w:tcBorders>
              <w:top w:val="single" w:sz="8" w:space="0" w:color="FFFFFF" w:themeColor="background1"/>
              <w:bottom w:val="single" w:sz="8" w:space="0" w:color="FFFFFF" w:themeColor="background1"/>
            </w:tcBorders>
            <w:shd w:val="clear" w:color="auto" w:fill="E9E8E5" w:themeFill="background2"/>
          </w:tcPr>
          <w:p w14:paraId="36CFAAA7" w14:textId="77777777" w:rsidR="00CF6E40" w:rsidRPr="00DE63DE" w:rsidRDefault="00CF6E40" w:rsidP="004B5CD1">
            <w:pPr>
              <w:pStyle w:val="TableDataEntries"/>
              <w:jc w:val="left"/>
            </w:pPr>
            <w:r w:rsidRPr="00DE63DE">
              <w:t>I believe it is very likely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14:paraId="57D294B8" w14:textId="77777777" w:rsidR="00CF6E40" w:rsidRPr="00DE63DE" w:rsidRDefault="00CF6E40" w:rsidP="004B5CD1">
            <w:pPr>
              <w:pStyle w:val="TableDataEntries"/>
            </w:pPr>
            <w:r w:rsidRPr="00DE63DE">
              <w:t>13.3%</w:t>
            </w:r>
          </w:p>
        </w:tc>
      </w:tr>
      <w:tr w:rsidR="00CF6E40" w:rsidRPr="00DE63DE" w14:paraId="478FC892" w14:textId="77777777" w:rsidTr="004B5CD1">
        <w:trPr>
          <w:trHeight w:val="67"/>
        </w:trPr>
        <w:tc>
          <w:tcPr>
            <w:tcW w:w="1276" w:type="dxa"/>
            <w:tcBorders>
              <w:top w:val="single" w:sz="8" w:space="0" w:color="FFFFFF" w:themeColor="background1"/>
              <w:bottom w:val="single" w:sz="8" w:space="0" w:color="FFFFFF" w:themeColor="background1"/>
            </w:tcBorders>
            <w:shd w:val="clear" w:color="auto" w:fill="E9E8E5" w:themeFill="background2"/>
          </w:tcPr>
          <w:p w14:paraId="52920310" w14:textId="77777777" w:rsidR="00CF6E40" w:rsidRPr="00DE63DE" w:rsidRDefault="00CF6E40" w:rsidP="004B5CD1">
            <w:pPr>
              <w:pStyle w:val="TableDataEntries"/>
              <w:jc w:val="left"/>
            </w:pPr>
            <w:r w:rsidRPr="00BC22CE">
              <w:t>Q1</w:t>
            </w:r>
          </w:p>
        </w:tc>
        <w:tc>
          <w:tcPr>
            <w:tcW w:w="5360" w:type="dxa"/>
            <w:tcBorders>
              <w:top w:val="single" w:sz="8" w:space="0" w:color="FFFFFF" w:themeColor="background1"/>
              <w:bottom w:val="single" w:sz="8" w:space="0" w:color="FFFFFF" w:themeColor="background1"/>
            </w:tcBorders>
            <w:shd w:val="clear" w:color="auto" w:fill="E9E8E5" w:themeFill="background2"/>
          </w:tcPr>
          <w:p w14:paraId="468C52D5" w14:textId="77777777" w:rsidR="00CF6E40" w:rsidRPr="00DE63DE" w:rsidRDefault="00CF6E40" w:rsidP="004B5CD1">
            <w:pPr>
              <w:pStyle w:val="TableDataEntries"/>
              <w:jc w:val="left"/>
            </w:pPr>
            <w:r w:rsidRPr="00DE63DE">
              <w:t>I believe it is somewhat likely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14:paraId="10527CF0" w14:textId="77777777" w:rsidR="00CF6E40" w:rsidRPr="00DE63DE" w:rsidRDefault="00CF6E40" w:rsidP="004B5CD1">
            <w:pPr>
              <w:pStyle w:val="TableDataEntries"/>
            </w:pPr>
            <w:r w:rsidRPr="00DE63DE">
              <w:t>42.4%</w:t>
            </w:r>
          </w:p>
        </w:tc>
      </w:tr>
      <w:tr w:rsidR="00CF6E40" w:rsidRPr="00DE63DE" w14:paraId="298FE6AE" w14:textId="77777777" w:rsidTr="004B5CD1">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14:paraId="720E6A85" w14:textId="77777777" w:rsidR="00CF6E40" w:rsidRPr="00DE63DE" w:rsidRDefault="00CF6E40" w:rsidP="004B5CD1">
            <w:pPr>
              <w:pStyle w:val="TableDataEntries"/>
              <w:jc w:val="left"/>
            </w:pPr>
            <w:r w:rsidRPr="00BC22CE">
              <w:t>Q1</w:t>
            </w:r>
          </w:p>
        </w:tc>
        <w:tc>
          <w:tcPr>
            <w:tcW w:w="5360" w:type="dxa"/>
            <w:tcBorders>
              <w:top w:val="single" w:sz="8" w:space="0" w:color="FFFFFF" w:themeColor="background1"/>
              <w:bottom w:val="single" w:sz="8" w:space="0" w:color="FFFFFF" w:themeColor="background1"/>
            </w:tcBorders>
            <w:shd w:val="clear" w:color="auto" w:fill="E9E8E5" w:themeFill="background2"/>
          </w:tcPr>
          <w:p w14:paraId="2E195638" w14:textId="77777777" w:rsidR="00CF6E40" w:rsidRPr="00DE63DE" w:rsidRDefault="00CF6E40" w:rsidP="004B5CD1">
            <w:pPr>
              <w:pStyle w:val="TableDataEntries"/>
              <w:jc w:val="left"/>
            </w:pPr>
            <w:r w:rsidRPr="00DE63DE">
              <w:t>I don’t think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14:paraId="1D0D7D62" w14:textId="77777777" w:rsidR="00CF6E40" w:rsidRPr="00DE63DE" w:rsidRDefault="00CF6E40" w:rsidP="004B5CD1">
            <w:pPr>
              <w:pStyle w:val="TableDataEntries"/>
            </w:pPr>
            <w:r w:rsidRPr="00DE63DE">
              <w:t>44.3%</w:t>
            </w:r>
          </w:p>
        </w:tc>
      </w:tr>
      <w:tr w:rsidR="00CF6E40" w:rsidRPr="00DE63DE" w14:paraId="07609F06" w14:textId="77777777" w:rsidTr="004B5CD1">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14:paraId="10915F08" w14:textId="77777777" w:rsidR="00CF6E40" w:rsidRPr="00DE63DE" w:rsidRDefault="00CF6E40" w:rsidP="004B5CD1">
            <w:pPr>
              <w:pStyle w:val="TableDataEntries"/>
              <w:jc w:val="left"/>
            </w:pPr>
            <w:r w:rsidRPr="00BC22CE">
              <w:t>Q</w:t>
            </w:r>
            <w:r>
              <w:t>2</w:t>
            </w:r>
          </w:p>
        </w:tc>
        <w:tc>
          <w:tcPr>
            <w:tcW w:w="5360" w:type="dxa"/>
            <w:tcBorders>
              <w:top w:val="single" w:sz="8" w:space="0" w:color="FFFFFF" w:themeColor="background1"/>
              <w:bottom w:val="single" w:sz="8" w:space="0" w:color="FFFFFF" w:themeColor="background1"/>
            </w:tcBorders>
            <w:shd w:val="clear" w:color="auto" w:fill="E9E8E5" w:themeFill="background2"/>
          </w:tcPr>
          <w:p w14:paraId="33F763C3" w14:textId="77777777" w:rsidR="00CF6E40" w:rsidRPr="00DE63DE" w:rsidRDefault="00CF6E40" w:rsidP="004B5CD1">
            <w:pPr>
              <w:pStyle w:val="TableDataEntries"/>
              <w:jc w:val="left"/>
            </w:pPr>
            <w:r w:rsidRPr="00DE63DE">
              <w:t>I believe it is very likely the survey will affect my rates and taxes</w:t>
            </w:r>
          </w:p>
        </w:tc>
        <w:tc>
          <w:tcPr>
            <w:tcW w:w="1301" w:type="dxa"/>
            <w:tcBorders>
              <w:top w:val="single" w:sz="8" w:space="0" w:color="FFFFFF" w:themeColor="background1"/>
              <w:bottom w:val="single" w:sz="8" w:space="0" w:color="FFFFFF" w:themeColor="background1"/>
            </w:tcBorders>
            <w:shd w:val="clear" w:color="auto" w:fill="E9E8E5" w:themeFill="background2"/>
            <w:hideMark/>
          </w:tcPr>
          <w:p w14:paraId="34BB0FF9" w14:textId="77777777" w:rsidR="00CF6E40" w:rsidRPr="00DE63DE" w:rsidRDefault="00CF6E40" w:rsidP="004B5CD1">
            <w:pPr>
              <w:pStyle w:val="TableDataEntries"/>
            </w:pPr>
            <w:r w:rsidRPr="00DE63DE">
              <w:t>13.9%</w:t>
            </w:r>
          </w:p>
        </w:tc>
      </w:tr>
      <w:tr w:rsidR="00CF6E40" w:rsidRPr="00DE63DE" w14:paraId="0D71A73C" w14:textId="77777777" w:rsidTr="004B5CD1">
        <w:trPr>
          <w:trHeight w:val="48"/>
        </w:trPr>
        <w:tc>
          <w:tcPr>
            <w:tcW w:w="1276" w:type="dxa"/>
            <w:tcBorders>
              <w:top w:val="single" w:sz="8" w:space="0" w:color="FFFFFF" w:themeColor="background1"/>
              <w:bottom w:val="single" w:sz="8" w:space="0" w:color="FFFFFF" w:themeColor="background1"/>
            </w:tcBorders>
            <w:shd w:val="clear" w:color="auto" w:fill="E9E8E5" w:themeFill="background2"/>
          </w:tcPr>
          <w:p w14:paraId="20C15B4F" w14:textId="77777777" w:rsidR="00CF6E40" w:rsidRPr="00DE63DE" w:rsidRDefault="00CF6E40" w:rsidP="004B5CD1">
            <w:pPr>
              <w:pStyle w:val="TableDataEntries"/>
              <w:jc w:val="left"/>
            </w:pPr>
            <w:r w:rsidRPr="007C587E">
              <w:t>Q2</w:t>
            </w:r>
          </w:p>
        </w:tc>
        <w:tc>
          <w:tcPr>
            <w:tcW w:w="5360" w:type="dxa"/>
            <w:tcBorders>
              <w:top w:val="single" w:sz="8" w:space="0" w:color="FFFFFF" w:themeColor="background1"/>
              <w:bottom w:val="single" w:sz="8" w:space="0" w:color="FFFFFF" w:themeColor="background1"/>
            </w:tcBorders>
            <w:shd w:val="clear" w:color="auto" w:fill="E9E8E5" w:themeFill="background2"/>
          </w:tcPr>
          <w:p w14:paraId="34D8AD08" w14:textId="77777777" w:rsidR="00CF6E40" w:rsidRPr="00DE63DE" w:rsidRDefault="00CF6E40" w:rsidP="004B5CD1">
            <w:pPr>
              <w:pStyle w:val="TableDataEntries"/>
              <w:jc w:val="left"/>
            </w:pPr>
            <w:r w:rsidRPr="00DE63DE">
              <w:t>I believe it is somewhat likely the survey will affect my rates and taxes</w:t>
            </w:r>
          </w:p>
        </w:tc>
        <w:tc>
          <w:tcPr>
            <w:tcW w:w="1301" w:type="dxa"/>
            <w:tcBorders>
              <w:top w:val="single" w:sz="8" w:space="0" w:color="FFFFFF" w:themeColor="background1"/>
              <w:bottom w:val="single" w:sz="8" w:space="0" w:color="FFFFFF" w:themeColor="background1"/>
            </w:tcBorders>
            <w:shd w:val="clear" w:color="auto" w:fill="E9E8E5" w:themeFill="background2"/>
            <w:hideMark/>
          </w:tcPr>
          <w:p w14:paraId="7772E2BF" w14:textId="77777777" w:rsidR="00CF6E40" w:rsidRPr="00DE63DE" w:rsidRDefault="00CF6E40" w:rsidP="004B5CD1">
            <w:pPr>
              <w:pStyle w:val="TableDataEntries"/>
            </w:pPr>
            <w:r w:rsidRPr="00DE63DE">
              <w:t>44.2%</w:t>
            </w:r>
          </w:p>
        </w:tc>
      </w:tr>
      <w:tr w:rsidR="00CF6E40" w:rsidRPr="00DE63DE" w14:paraId="30E316FA" w14:textId="77777777" w:rsidTr="004B5CD1">
        <w:trPr>
          <w:trHeight w:val="250"/>
        </w:trPr>
        <w:tc>
          <w:tcPr>
            <w:tcW w:w="1276" w:type="dxa"/>
            <w:tcBorders>
              <w:top w:val="single" w:sz="8" w:space="0" w:color="FFFFFF" w:themeColor="background1"/>
              <w:bottom w:val="single" w:sz="4" w:space="0" w:color="6F6652" w:themeColor="accent5"/>
            </w:tcBorders>
            <w:shd w:val="clear" w:color="auto" w:fill="E9E8E5" w:themeFill="background2"/>
          </w:tcPr>
          <w:p w14:paraId="5C29675C" w14:textId="77777777" w:rsidR="00CF6E40" w:rsidRPr="00DE63DE" w:rsidRDefault="00CF6E40" w:rsidP="004B5CD1">
            <w:pPr>
              <w:pStyle w:val="TableDataEntries"/>
              <w:jc w:val="left"/>
            </w:pPr>
            <w:r w:rsidRPr="007C587E">
              <w:t>Q2</w:t>
            </w:r>
          </w:p>
        </w:tc>
        <w:tc>
          <w:tcPr>
            <w:tcW w:w="5360" w:type="dxa"/>
            <w:tcBorders>
              <w:top w:val="single" w:sz="8" w:space="0" w:color="FFFFFF" w:themeColor="background1"/>
              <w:bottom w:val="single" w:sz="4" w:space="0" w:color="6F6652" w:themeColor="accent5"/>
            </w:tcBorders>
            <w:shd w:val="clear" w:color="auto" w:fill="E9E8E5" w:themeFill="background2"/>
          </w:tcPr>
          <w:p w14:paraId="3B6F27F6" w14:textId="77777777" w:rsidR="00CF6E40" w:rsidRPr="00DE63DE" w:rsidRDefault="00CF6E40" w:rsidP="004B5CD1">
            <w:pPr>
              <w:pStyle w:val="TableDataEntries"/>
              <w:jc w:val="left"/>
            </w:pPr>
            <w:r w:rsidRPr="00DE63DE">
              <w:t>I don’t think the survey will affect my rates and taxes</w:t>
            </w:r>
          </w:p>
        </w:tc>
        <w:tc>
          <w:tcPr>
            <w:tcW w:w="1301" w:type="dxa"/>
            <w:tcBorders>
              <w:top w:val="single" w:sz="8" w:space="0" w:color="FFFFFF" w:themeColor="background1"/>
              <w:bottom w:val="single" w:sz="4" w:space="0" w:color="6F6652" w:themeColor="accent5"/>
            </w:tcBorders>
            <w:shd w:val="clear" w:color="auto" w:fill="E9E8E5" w:themeFill="background2"/>
            <w:hideMark/>
          </w:tcPr>
          <w:p w14:paraId="325CE5A7" w14:textId="77777777" w:rsidR="00CF6E40" w:rsidRPr="00DE63DE" w:rsidRDefault="00CF6E40" w:rsidP="004B5CD1">
            <w:pPr>
              <w:pStyle w:val="TableDataEntries"/>
            </w:pPr>
            <w:r w:rsidRPr="00DE63DE">
              <w:t>41.9%</w:t>
            </w:r>
          </w:p>
        </w:tc>
      </w:tr>
    </w:tbl>
    <w:p w14:paraId="12F55076" w14:textId="77777777" w:rsidR="00CF6E40" w:rsidRPr="00AF30DA" w:rsidRDefault="00CF6E40" w:rsidP="00CF6E40">
      <w:pPr>
        <w:pStyle w:val="Note"/>
        <w:rPr>
          <w:iCs/>
          <w:lang w:bidi="fa-IR"/>
        </w:rPr>
      </w:pPr>
      <w:r w:rsidRPr="00AF30DA">
        <w:rPr>
          <w:iCs/>
        </w:rPr>
        <w:t xml:space="preserve">Note: </w:t>
      </w:r>
    </w:p>
    <w:p w14:paraId="681C77F6" w14:textId="77777777" w:rsidR="00CF6E40" w:rsidRPr="00AF30DA" w:rsidRDefault="00CF6E40" w:rsidP="00CF6E40">
      <w:pPr>
        <w:pStyle w:val="TableListBullet"/>
        <w:rPr>
          <w:iCs/>
        </w:rPr>
      </w:pPr>
      <w:r w:rsidRPr="00AF30DA">
        <w:rPr>
          <w:iCs/>
        </w:rPr>
        <w:t>Q1: To what degree do you expect the results of this survey will affect government action on accessible housing?</w:t>
      </w:r>
    </w:p>
    <w:p w14:paraId="273301F1" w14:textId="77777777" w:rsidR="00CF6E40" w:rsidRPr="00AF30DA" w:rsidRDefault="00CF6E40" w:rsidP="00CF6E40">
      <w:pPr>
        <w:pStyle w:val="TableListBullet"/>
        <w:rPr>
          <w:iCs/>
        </w:rPr>
      </w:pPr>
      <w:r w:rsidRPr="00AF30DA">
        <w:rPr>
          <w:iCs/>
        </w:rPr>
        <w:t>Q2: To what degree do you expect the results of this survey will affect your rates and taxes?</w:t>
      </w:r>
    </w:p>
    <w:p w14:paraId="6ADE51C4" w14:textId="77777777" w:rsidR="00CF6E40" w:rsidRPr="00AF30DA" w:rsidRDefault="00CF6E40" w:rsidP="00CF6E40">
      <w:pPr>
        <w:pStyle w:val="Source"/>
        <w:rPr>
          <w:iCs/>
        </w:rPr>
      </w:pPr>
      <w:r w:rsidRPr="00AF30DA">
        <w:rPr>
          <w:iCs/>
        </w:rPr>
        <w:t>Source: CIE.</w:t>
      </w:r>
    </w:p>
    <w:p w14:paraId="6DF3B686" w14:textId="77777777" w:rsidR="006036AF" w:rsidRPr="004B79EC" w:rsidRDefault="006036AF" w:rsidP="004B79EC">
      <w:pPr>
        <w:pStyle w:val="Heading2-Appendix"/>
      </w:pPr>
      <w:r w:rsidRPr="004B79EC">
        <w:t>Peer review of stated preference research</w:t>
      </w:r>
    </w:p>
    <w:p w14:paraId="39AE294B" w14:textId="77777777" w:rsidR="006036AF" w:rsidRDefault="006036AF" w:rsidP="006036AF">
      <w:pPr>
        <w:pStyle w:val="BodyText"/>
        <w:rPr>
          <w:lang w:bidi="fa-IR"/>
        </w:rPr>
      </w:pPr>
      <w:r>
        <w:rPr>
          <w:lang w:bidi="fa-IR"/>
        </w:rPr>
        <w:t>The expert peer reviewer of the survey method and data analysis, Professor Riccardo Scarpa, provided the following statement on the research.</w:t>
      </w:r>
    </w:p>
    <w:p w14:paraId="6972EA66" w14:textId="7100E4B9" w:rsidR="006036AF" w:rsidRDefault="00390CDB" w:rsidP="006036AF">
      <w:pPr>
        <w:pStyle w:val="Caption"/>
        <w:spacing w:before="240"/>
      </w:pPr>
      <w:bookmarkStart w:id="987" w:name="_Toc70505703"/>
      <w:r>
        <w:t>K.20</w:t>
      </w:r>
      <w:r w:rsidR="006036AF" w:rsidRPr="00695C93">
        <w:tab/>
      </w:r>
      <w:r w:rsidR="006036AF">
        <w:t>Expert statement from Professor Riccardo Scarpa</w:t>
      </w:r>
      <w:bookmarkEnd w:id="987"/>
    </w:p>
    <w:p w14:paraId="7897482F" w14:textId="77777777" w:rsidR="006036AF" w:rsidRDefault="006036AF" w:rsidP="006036AF">
      <w:pPr>
        <w:pStyle w:val="Subtitlebox"/>
      </w:pPr>
      <w:r>
        <w:rPr>
          <w:noProof/>
        </w:rPr>
        <w:drawing>
          <wp:inline distT="0" distB="0" distL="0" distR="0" wp14:anchorId="7E9D83CD" wp14:editId="7BD65DAF">
            <wp:extent cx="5039995" cy="7134225"/>
            <wp:effectExtent l="19050" t="19050" r="27305" b="28575"/>
            <wp:docPr id="8" name="Picture 8" descr="This is a letter from Professor Riccardo Scarpa from the NZ Institute of Business Research of the Waikato Management School, University of Waikato, New Zealand, stating his involvement as an expert in the peer review study undertaken by the Centre for International Economics. The letter is signed and dated 11 March 2020." title="Item K.20: Expert statement from Professor Riccardo Sc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a:ln>
                      <a:solidFill>
                        <a:schemeClr val="tx2"/>
                      </a:solidFill>
                    </a:ln>
                  </pic:spPr>
                </pic:pic>
              </a:graphicData>
            </a:graphic>
          </wp:inline>
        </w:drawing>
      </w:r>
    </w:p>
    <w:p w14:paraId="5EB919F3" w14:textId="77777777" w:rsidR="00197CC1" w:rsidRDefault="00197CC1" w:rsidP="006C5856">
      <w:pPr>
        <w:pStyle w:val="BodyText"/>
        <w:rPr>
          <w:lang w:bidi="fa-IR"/>
        </w:rPr>
        <w:sectPr w:rsidR="00197CC1" w:rsidSect="00233C02">
          <w:headerReference w:type="even" r:id="rId103"/>
          <w:headerReference w:type="default" r:id="rId104"/>
          <w:footerReference w:type="even" r:id="rId105"/>
          <w:footerReference w:type="default" r:id="rId106"/>
          <w:headerReference w:type="first" r:id="rId107"/>
          <w:type w:val="oddPage"/>
          <w:pgSz w:w="11906" w:h="16838" w:code="9"/>
          <w:pgMar w:top="2268" w:right="1701" w:bottom="1418" w:left="2268" w:header="680" w:footer="680" w:gutter="0"/>
          <w:pgNumType w:start="1"/>
          <w:cols w:space="708"/>
          <w:docGrid w:linePitch="360"/>
        </w:sectPr>
      </w:pPr>
    </w:p>
    <w:p w14:paraId="7E256840" w14:textId="77777777" w:rsidR="00197CC1" w:rsidRDefault="00197CC1" w:rsidP="000D6979">
      <w:pPr>
        <w:rPr>
          <w:lang w:bidi="fa-IR"/>
        </w:rPr>
      </w:pPr>
      <w:r>
        <w:rPr>
          <w:noProof/>
        </w:rPr>
        <w:drawing>
          <wp:anchor distT="0" distB="0" distL="114300" distR="114300" simplePos="0" relativeHeight="251658241" behindDoc="1" locked="1" layoutInCell="0" allowOverlap="1" wp14:anchorId="69D4F97C" wp14:editId="2A73EE14">
            <wp:simplePos x="0" y="0"/>
            <wp:positionH relativeFrom="page">
              <wp:align>left</wp:align>
            </wp:positionH>
            <wp:positionV relativeFrom="page">
              <wp:align>top</wp:align>
            </wp:positionV>
            <wp:extent cx="7560000" cy="10692000"/>
            <wp:effectExtent l="0" t="0" r="3175" b="0"/>
            <wp:wrapNone/>
            <wp:docPr id="19" name="Picture 19" descr="The CIE Logo" title="The CIE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D4B71" w14:textId="77777777" w:rsidR="00197CC1" w:rsidRPr="003822C2" w:rsidRDefault="008A7D48" w:rsidP="006C5856">
      <w:pPr>
        <w:pStyle w:val="BodyText"/>
        <w:rPr>
          <w:lang w:bidi="fa-IR"/>
        </w:rPr>
      </w:pPr>
      <w:r w:rsidRPr="004A1BA1">
        <w:rPr>
          <w:noProof/>
        </w:rPr>
        <mc:AlternateContent>
          <mc:Choice Requires="wps">
            <w:drawing>
              <wp:anchor distT="45720" distB="45720" distL="114300" distR="114300" simplePos="0" relativeHeight="251665409" behindDoc="0" locked="0" layoutInCell="1" allowOverlap="1" wp14:anchorId="3C813B8D" wp14:editId="07E283DD">
                <wp:simplePos x="0" y="0"/>
                <wp:positionH relativeFrom="column">
                  <wp:posOffset>-240030</wp:posOffset>
                </wp:positionH>
                <wp:positionV relativeFrom="paragraph">
                  <wp:posOffset>5430520</wp:posOffset>
                </wp:positionV>
                <wp:extent cx="3333750" cy="742950"/>
                <wp:effectExtent l="0" t="0" r="0" b="0"/>
                <wp:wrapSquare wrapText="bothSides"/>
                <wp:docPr id="227" name="Text Box 2" descr="&#10;This is the back cover of the Regulation Impact Statement&#10;" title="THE CENTRE FOR INTERNATIONAL ECONOMIC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42950"/>
                        </a:xfrm>
                        <a:prstGeom prst="rect">
                          <a:avLst/>
                        </a:prstGeom>
                        <a:solidFill>
                          <a:srgbClr val="FFFFFF"/>
                        </a:solidFill>
                        <a:ln w="9525">
                          <a:noFill/>
                          <a:miter lim="800000"/>
                          <a:headEnd/>
                          <a:tailEnd/>
                        </a:ln>
                      </wps:spPr>
                      <wps:txbx>
                        <w:txbxContent>
                          <w:p w14:paraId="1A720822" w14:textId="77777777" w:rsidR="003235DB" w:rsidRDefault="003235DB"/>
                          <w:p w14:paraId="23AEB002" w14:textId="77777777" w:rsidR="003235DB" w:rsidRPr="003E1F01" w:rsidRDefault="003235DB" w:rsidP="008A7D48">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7FA30448" w14:textId="77777777" w:rsidR="003235DB" w:rsidRPr="003E1F01" w:rsidRDefault="003235DB" w:rsidP="008A7D48">
                            <w:pPr>
                              <w:pStyle w:val="BodyText"/>
                              <w:spacing w:before="0"/>
                              <w:rPr>
                                <w:i/>
                                <w:sz w:val="22"/>
                              </w:rPr>
                            </w:pPr>
                            <w:r w:rsidRPr="003E1F01">
                              <w:rPr>
                                <w:i/>
                                <w:sz w:val="22"/>
                              </w:rPr>
                              <w:t>www.TheCIE.com.au</w:t>
                            </w:r>
                          </w:p>
                          <w:p w14:paraId="2BE829E8" w14:textId="77777777" w:rsidR="003235DB" w:rsidRDefault="0032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13B8D" id="_x0000_s1029" type="#_x0000_t202" alt="Title: THE CENTRE FOR INTERNATIONAL ECONOMICS - Description: &#10;This is the back cover of the Regulation Impact Statement&#10;" style="position:absolute;margin-left:-18.9pt;margin-top:427.6pt;width:262.5pt;height:58.5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" stroked="f">
                <v:textbox>
                  <w:txbxContent>
                    <w:p w14:paraId="1A720822" w14:textId="77777777" w:rsidR="003235DB" w:rsidRDefault="003235DB"/>
                    <w:p w14:paraId="23AEB002" w14:textId="77777777" w:rsidR="003235DB" w:rsidRPr="003E1F01" w:rsidRDefault="003235DB" w:rsidP="008A7D48">
                      <w:pPr>
                        <w:pStyle w:val="BodyText"/>
                        <w:spacing w:before="0"/>
                        <w:rPr>
                          <w:rFonts w:ascii="Franklin Gothic Demi" w:hAnsi="Franklin Gothic Demi"/>
                          <w:caps/>
                          <w:spacing w:val="10"/>
                          <w:sz w:val="18"/>
                        </w:rPr>
                      </w:pPr>
                      <w:bookmarkStart w:id="988" w:name="_GoBack"/>
                      <w:r w:rsidRPr="003E1F01">
                        <w:rPr>
                          <w:rFonts w:ascii="Franklin Gothic Demi" w:hAnsi="Franklin Gothic Demi"/>
                          <w:caps/>
                          <w:spacing w:val="10"/>
                          <w:sz w:val="18"/>
                        </w:rPr>
                        <w:t>The Centre for International Economics</w:t>
                      </w:r>
                    </w:p>
                    <w:p w14:paraId="7FA30448" w14:textId="77777777" w:rsidR="003235DB" w:rsidRPr="003E1F01" w:rsidRDefault="003235DB" w:rsidP="008A7D48">
                      <w:pPr>
                        <w:pStyle w:val="BodyText"/>
                        <w:spacing w:before="0"/>
                        <w:rPr>
                          <w:i/>
                          <w:sz w:val="22"/>
                        </w:rPr>
                      </w:pPr>
                      <w:r w:rsidRPr="003E1F01">
                        <w:rPr>
                          <w:i/>
                          <w:sz w:val="22"/>
                        </w:rPr>
                        <w:t>www.TheCIE.com.au</w:t>
                      </w:r>
                    </w:p>
                    <w:bookmarkEnd w:id="988"/>
                    <w:p w14:paraId="2BE829E8" w14:textId="77777777" w:rsidR="003235DB" w:rsidRDefault="003235DB"/>
                  </w:txbxContent>
                </v:textbox>
                <w10:wrap type="square"/>
              </v:shape>
            </w:pict>
          </mc:Fallback>
        </mc:AlternateContent>
      </w:r>
    </w:p>
    <w:sectPr w:rsidR="00197CC1" w:rsidRPr="003822C2" w:rsidSect="00197CC1">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0E88B" w14:textId="77777777" w:rsidR="003235DB" w:rsidRDefault="003235DB" w:rsidP="00996DC5">
      <w:pPr>
        <w:spacing w:line="240" w:lineRule="auto"/>
      </w:pPr>
      <w:r>
        <w:separator/>
      </w:r>
    </w:p>
  </w:endnote>
  <w:endnote w:type="continuationSeparator" w:id="0">
    <w:p w14:paraId="34C9777F" w14:textId="77777777" w:rsidR="003235DB" w:rsidRDefault="003235DB" w:rsidP="00996DC5">
      <w:pPr>
        <w:spacing w:line="240" w:lineRule="auto"/>
      </w:pPr>
      <w:r>
        <w:continuationSeparator/>
      </w:r>
    </w:p>
  </w:endnote>
  <w:endnote w:type="continuationNotice" w:id="1">
    <w:p w14:paraId="2A72A645" w14:textId="77777777" w:rsidR="003235DB" w:rsidRDefault="003235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8D72D" w14:textId="77777777" w:rsidR="003235DB" w:rsidRDefault="003235DB">
    <w:pPr>
      <w:pStyle w:val="Footer"/>
    </w:pPr>
    <w:r>
      <w:t>www.TheCIE.com.au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8DED" w14:textId="77777777" w:rsidR="003235DB" w:rsidRPr="00380C8F" w:rsidRDefault="00EA1F73" w:rsidP="00ED7A25">
    <w:pPr>
      <w:pStyle w:val="Footer"/>
      <w:rPr>
        <w:i w:val="0"/>
        <w:iCs/>
      </w:rPr>
    </w:pPr>
    <w:hyperlink r:id="rId1" w:tooltip="CIE website" w:history="1">
      <w:r w:rsidR="003235DB" w:rsidRPr="00662962">
        <w:rPr>
          <w:rStyle w:val="Hyperlink"/>
        </w:rPr>
        <w:t>www.TheCIE.com.au</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6F61F" w14:textId="77777777" w:rsidR="003235DB" w:rsidRDefault="003235DB" w:rsidP="00380C8F">
    <w:pPr>
      <w:pStyle w:val="Footer"/>
    </w:pPr>
    <w:r>
      <w:t>www.TheCIE.com.au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4A90" w14:textId="77777777" w:rsidR="003235DB" w:rsidRPr="0073712F" w:rsidRDefault="00EA1F73" w:rsidP="00380C8F">
    <w:pPr>
      <w:pStyle w:val="Footer"/>
      <w:rPr>
        <w:i w:val="0"/>
        <w:iCs/>
      </w:rPr>
    </w:pPr>
    <w:hyperlink r:id="rId1" w:tooltip="CIE website" w:history="1">
      <w:r w:rsidR="003235DB" w:rsidRPr="00662962">
        <w:rPr>
          <w:rStyle w:val="Hyperlink"/>
        </w:rPr>
        <w:t>www.TheCIE.com.au</w:t>
      </w:r>
    </w:hyperlink>
    <w:r w:rsidR="003235DB">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9ABF" w14:textId="77777777" w:rsidR="003235DB" w:rsidRPr="00197CC1" w:rsidRDefault="003235DB" w:rsidP="00197CC1">
    <w:pPr>
      <w:pStyle w:val="Footer"/>
    </w:pPr>
    <w:r>
      <w:t>www.TheCIE.com.au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C8FA5" w14:textId="77777777" w:rsidR="003235DB" w:rsidRDefault="003235DB" w:rsidP="00996DC5">
      <w:pPr>
        <w:spacing w:line="240" w:lineRule="auto"/>
      </w:pPr>
      <w:r w:rsidRPr="00B75719">
        <w:rPr>
          <w:color w:val="6F6652" w:themeColor="text2"/>
        </w:rPr>
        <w:separator/>
      </w:r>
    </w:p>
  </w:footnote>
  <w:footnote w:type="continuationSeparator" w:id="0">
    <w:p w14:paraId="17C7DCCD" w14:textId="77777777" w:rsidR="003235DB" w:rsidRDefault="003235DB" w:rsidP="00996DC5">
      <w:pPr>
        <w:spacing w:line="240" w:lineRule="auto"/>
      </w:pPr>
      <w:r>
        <w:continuationSeparator/>
      </w:r>
    </w:p>
  </w:footnote>
  <w:footnote w:type="continuationNotice" w:id="1">
    <w:p w14:paraId="4ACEC453" w14:textId="77777777" w:rsidR="003235DB" w:rsidRDefault="003235DB">
      <w:pPr>
        <w:spacing w:line="240" w:lineRule="auto"/>
      </w:pPr>
    </w:p>
  </w:footnote>
  <w:footnote w:id="2">
    <w:p w14:paraId="350D0DC7" w14:textId="77777777" w:rsidR="003235DB" w:rsidRDefault="003235DB">
      <w:pPr>
        <w:pStyle w:val="FootnoteText"/>
      </w:pPr>
      <w:r>
        <w:rPr>
          <w:rStyle w:val="FootnoteReference"/>
        </w:rPr>
        <w:footnoteRef/>
      </w:r>
      <w:r>
        <w:t xml:space="preserve"> </w:t>
      </w:r>
      <w:r>
        <w:tab/>
      </w:r>
      <w:r>
        <w:rPr>
          <w:i/>
          <w:iCs/>
        </w:rPr>
        <w:t xml:space="preserve">Anonymous Submission 90458024, accessed 11 November 2020, </w:t>
      </w:r>
      <w:hyperlink r:id="rId1" w:tooltip="Avaliable at the ABCB website" w:history="1">
        <w:r w:rsidRPr="00F36D18">
          <w:rPr>
            <w:rStyle w:val="Hyperlink"/>
            <w:i/>
            <w:iCs/>
          </w:rPr>
          <w:t>https://consultation.abcb.gov.au/engagement/consult-ris-accessible-housing/consultation/view_respondent?uuId=90458024</w:t>
        </w:r>
      </w:hyperlink>
    </w:p>
  </w:footnote>
  <w:footnote w:id="3">
    <w:p w14:paraId="50D66714" w14:textId="77777777" w:rsidR="003235DB" w:rsidRDefault="003235DB" w:rsidP="0001348D">
      <w:pPr>
        <w:pStyle w:val="FootnoteText"/>
      </w:pPr>
      <w:r>
        <w:rPr>
          <w:rStyle w:val="FootnoteReference"/>
        </w:rPr>
        <w:footnoteRef/>
      </w:r>
      <w:r>
        <w:t xml:space="preserve"> </w:t>
      </w:r>
      <w:r>
        <w:tab/>
        <w:t>Based on data from the 2018 Survey of Disabilities, Ageing and Carers.</w:t>
      </w:r>
      <w:r>
        <w:tab/>
      </w:r>
    </w:p>
  </w:footnote>
  <w:footnote w:id="4">
    <w:p w14:paraId="4C3D57A9" w14:textId="77777777" w:rsidR="003235DB" w:rsidRPr="00764D08" w:rsidRDefault="003235DB" w:rsidP="0001348D">
      <w:pPr>
        <w:pStyle w:val="FootnoteText"/>
        <w:rPr>
          <w:rStyle w:val="Hyperlink"/>
          <w:i/>
          <w:iCs/>
        </w:rPr>
      </w:pPr>
      <w:r>
        <w:rPr>
          <w:rStyle w:val="FootnoteReference"/>
        </w:rPr>
        <w:footnoteRef/>
      </w:r>
      <w:r>
        <w:t xml:space="preserve"> </w:t>
      </w:r>
      <w:r>
        <w:tab/>
        <w:t xml:space="preserve">Submission by Associate Professor Libby Callaway for ARATA, p.10-12, accessed 1 December 2020, </w:t>
      </w:r>
      <w:r w:rsidRPr="00764D08">
        <w:rPr>
          <w:rStyle w:val="Hyperlink"/>
          <w:i/>
          <w:iCs/>
        </w:rPr>
        <w:t>https://consultation.abcb.gov.au/engagement/consult-ris-accessible-housing/consultation/view_respondent?show_all_questions=0&amp;sort=submitted&amp;order=ascending&amp;_q__text=callaway&amp;uuId=522000197</w:t>
      </w:r>
    </w:p>
  </w:footnote>
  <w:footnote w:id="5">
    <w:p w14:paraId="6858CFB9" w14:textId="77777777" w:rsidR="003235DB" w:rsidRDefault="003235DB" w:rsidP="0001348D">
      <w:pPr>
        <w:pStyle w:val="FootnoteText"/>
      </w:pPr>
      <w:r>
        <w:rPr>
          <w:rStyle w:val="FootnoteReference"/>
        </w:rPr>
        <w:footnoteRef/>
      </w:r>
      <w:r>
        <w:t xml:space="preserve"> </w:t>
      </w:r>
      <w:r>
        <w:tab/>
        <w:t xml:space="preserve">Anonymous Submission 90458024, accessed 11 November 2020, </w:t>
      </w:r>
      <w:r w:rsidRPr="002C3F8C">
        <w:rPr>
          <w:rStyle w:val="Hyperlink"/>
          <w:i/>
          <w:iCs/>
        </w:rPr>
        <w:t>https://consultation.abcb.gov.au/engagement/consult-ris-accessible-housing/consultation/view_respondent?uuId=90458024</w:t>
      </w:r>
    </w:p>
  </w:footnote>
  <w:footnote w:id="6">
    <w:p w14:paraId="3225EA8A" w14:textId="77777777" w:rsidR="003235DB" w:rsidRDefault="003235DB">
      <w:pPr>
        <w:pStyle w:val="FootnoteText"/>
      </w:pPr>
      <w:r>
        <w:rPr>
          <w:rStyle w:val="FootnoteReference"/>
        </w:rPr>
        <w:footnoteRef/>
      </w:r>
      <w:r>
        <w:t xml:space="preserve"> </w:t>
      </w:r>
      <w:r>
        <w:tab/>
        <w:t xml:space="preserve">Submission by Amelia Condi for Summer Foundation, p. 4, accessed 13 November 2020, </w:t>
      </w:r>
      <w:r w:rsidRPr="00DF367E">
        <w:rPr>
          <w:rStyle w:val="Hyperlink"/>
          <w:i/>
          <w:iCs/>
        </w:rPr>
        <w:t>https://consultation.abcb.gov.au/engagement/consult-ris-accessible-housing/consultation/view_respondent?show_all_questions=0&amp;sort=submitted&amp;order=ascending&amp;_q__text=condi&amp;uuId=51249680</w:t>
      </w:r>
    </w:p>
  </w:footnote>
  <w:footnote w:id="7">
    <w:p w14:paraId="73A36D0C" w14:textId="77777777" w:rsidR="003235DB" w:rsidRDefault="003235DB" w:rsidP="0001348D">
      <w:pPr>
        <w:pStyle w:val="FootnoteText"/>
        <w:rPr>
          <w:lang w:val="en-US"/>
        </w:rPr>
      </w:pPr>
      <w:r>
        <w:rPr>
          <w:rStyle w:val="FootnoteReference"/>
        </w:rPr>
        <w:footnoteRef/>
      </w:r>
      <w:r>
        <w:t xml:space="preserve"> </w:t>
      </w:r>
      <w:r>
        <w:tab/>
      </w:r>
      <w:r>
        <w:rPr>
          <w:lang w:val="en-US"/>
        </w:rPr>
        <w:t xml:space="preserve">Building Ministers’ Forum 2017, </w:t>
      </w:r>
      <w:r>
        <w:rPr>
          <w:i/>
          <w:iCs/>
          <w:lang w:val="en-US"/>
        </w:rPr>
        <w:t>Communique</w:t>
      </w:r>
      <w:r>
        <w:rPr>
          <w:lang w:val="en-US"/>
        </w:rPr>
        <w:t>, 21 April 2017.</w:t>
      </w:r>
    </w:p>
  </w:footnote>
  <w:footnote w:id="8">
    <w:p w14:paraId="5F9B590C" w14:textId="77777777" w:rsidR="003235DB" w:rsidRDefault="003235DB" w:rsidP="0001348D">
      <w:pPr>
        <w:pStyle w:val="FootnoteText"/>
      </w:pPr>
      <w:r>
        <w:rPr>
          <w:rStyle w:val="FootnoteReference"/>
        </w:rPr>
        <w:footnoteRef/>
      </w:r>
      <w:r>
        <w:t xml:space="preserve"> </w:t>
      </w:r>
      <w:r>
        <w:tab/>
        <w:t>Other similar (but not identical) terms include ‘visitable’, ‘adaptable’ and ‘livable’.</w:t>
      </w:r>
    </w:p>
  </w:footnote>
  <w:footnote w:id="9">
    <w:p w14:paraId="65B40C94" w14:textId="77777777" w:rsidR="003235DB" w:rsidRDefault="003235DB" w:rsidP="0001348D">
      <w:pPr>
        <w:pStyle w:val="FootnoteText"/>
        <w:rPr>
          <w:lang w:val="en-US"/>
        </w:rPr>
      </w:pPr>
      <w:r>
        <w:rPr>
          <w:rStyle w:val="FootnoteReference"/>
        </w:rPr>
        <w:footnoteRef/>
      </w:r>
      <w:r>
        <w:t xml:space="preserve"> </w:t>
      </w:r>
      <w:r>
        <w:tab/>
        <w:t xml:space="preserve">Commonwealth of Australia 2011, </w:t>
      </w:r>
      <w:r>
        <w:rPr>
          <w:i/>
          <w:iCs/>
          <w:lang w:val="en-US"/>
        </w:rPr>
        <w:t>National Disability Strategy 2010</w:t>
      </w:r>
      <w:r>
        <w:rPr>
          <w:i/>
          <w:iCs/>
          <w:lang w:val="en-US"/>
        </w:rPr>
        <w:noBreakHyphen/>
        <w:t>2020: An initiative of the Council of Australian Governments</w:t>
      </w:r>
      <w:r>
        <w:rPr>
          <w:lang w:val="en-US"/>
        </w:rPr>
        <w:t>, p. 32.</w:t>
      </w:r>
    </w:p>
  </w:footnote>
  <w:footnote w:id="10">
    <w:p w14:paraId="47538732" w14:textId="77777777" w:rsidR="003235DB" w:rsidRDefault="003235DB">
      <w:pPr>
        <w:pStyle w:val="FootnoteText"/>
      </w:pPr>
      <w:r>
        <w:rPr>
          <w:rStyle w:val="FootnoteReference"/>
        </w:rPr>
        <w:footnoteRef/>
      </w:r>
      <w:r>
        <w:t xml:space="preserve"> </w:t>
      </w:r>
      <w:r>
        <w:tab/>
        <w:t>Submission by Hayley Stone for Physical Disability Council of NSW, p. 6, accessed 13 November 2020,</w:t>
      </w:r>
      <w:r w:rsidRPr="00E33EB4">
        <w:t xml:space="preserve"> </w:t>
      </w:r>
      <w:hyperlink r:id="rId2" w:tooltip="Available at the ABCB webiste" w:history="1">
        <w:r w:rsidRPr="00E33EB4">
          <w:rPr>
            <w:rStyle w:val="Hyperlink"/>
            <w:i/>
            <w:iCs/>
          </w:rPr>
          <w:t>https://consultation.abcb.gov.au/engagement/consult-ris-accessible-housing/consultation/view_respondent?show_all_questions=0&amp;sort=submitted&amp;order=ascending&amp;_q__text=hayley+stone&amp;uuId=686843897</w:t>
        </w:r>
      </w:hyperlink>
    </w:p>
  </w:footnote>
  <w:footnote w:id="11">
    <w:p w14:paraId="6A76658C" w14:textId="77777777" w:rsidR="003235DB" w:rsidRPr="0075769D" w:rsidRDefault="003235DB" w:rsidP="00486B43">
      <w:pPr>
        <w:pStyle w:val="FootnoteText"/>
        <w:rPr>
          <w:lang w:val="en-US"/>
        </w:rPr>
      </w:pPr>
      <w:r>
        <w:rPr>
          <w:rStyle w:val="FootnoteReference"/>
        </w:rPr>
        <w:footnoteRef/>
      </w:r>
      <w:r>
        <w:t xml:space="preserve"> </w:t>
      </w:r>
      <w:r>
        <w:tab/>
      </w:r>
      <w:r>
        <w:rPr>
          <w:lang w:val="en-US"/>
        </w:rPr>
        <w:t xml:space="preserve">National Dialogue on Universal Housing Design 2010, </w:t>
      </w:r>
      <w:r w:rsidRPr="007340AE">
        <w:rPr>
          <w:i/>
          <w:iCs/>
          <w:lang w:val="en-US"/>
        </w:rPr>
        <w:t>Strategic Plan</w:t>
      </w:r>
      <w:r>
        <w:rPr>
          <w:lang w:val="en-US"/>
        </w:rPr>
        <w:t>, July 2010, pp. 1</w:t>
      </w:r>
      <w:r>
        <w:rPr>
          <w:lang w:val="en-US"/>
        </w:rPr>
        <w:noBreakHyphen/>
        <w:t>2.</w:t>
      </w:r>
    </w:p>
  </w:footnote>
  <w:footnote w:id="12">
    <w:p w14:paraId="5B22AAA3" w14:textId="77777777" w:rsidR="003235DB" w:rsidRPr="0085412A" w:rsidRDefault="003235DB" w:rsidP="00486B43">
      <w:pPr>
        <w:pStyle w:val="FootnoteText"/>
        <w:rPr>
          <w:lang w:val="en-US"/>
        </w:rPr>
      </w:pPr>
      <w:r>
        <w:rPr>
          <w:rStyle w:val="FootnoteReference"/>
        </w:rPr>
        <w:footnoteRef/>
      </w:r>
      <w:r>
        <w:t xml:space="preserve"> </w:t>
      </w:r>
      <w:r>
        <w:rPr>
          <w:lang w:val="en-US"/>
        </w:rPr>
        <w:t>Australian Building Codes Board, Accessible Housing Options Paper, Consultation Report, April 2019, pp. 16</w:t>
      </w:r>
      <w:r>
        <w:rPr>
          <w:lang w:val="en-US"/>
        </w:rPr>
        <w:noBreakHyphen/>
        <w:t>17.</w:t>
      </w:r>
    </w:p>
  </w:footnote>
  <w:footnote w:id="13">
    <w:p w14:paraId="5BF915F1" w14:textId="77777777" w:rsidR="003235DB" w:rsidRPr="00A600F2" w:rsidRDefault="003235DB" w:rsidP="00486B43">
      <w:pPr>
        <w:pStyle w:val="FootnoteText"/>
        <w:rPr>
          <w:lang w:val="en-US"/>
        </w:rPr>
      </w:pPr>
      <w:r>
        <w:rPr>
          <w:rStyle w:val="FootnoteReference"/>
        </w:rPr>
        <w:footnoteRef/>
      </w:r>
      <w:r>
        <w:t xml:space="preserve"> United Nations website, </w:t>
      </w:r>
      <w:hyperlink r:id="rId3" w:tooltip="United Nations website" w:history="1">
        <w:r w:rsidRPr="00A543E9">
          <w:rPr>
            <w:rStyle w:val="Hyperlink"/>
            <w:i/>
            <w:iCs/>
          </w:rPr>
          <w:t>https://www.un.org/development/desa/disabilities/convention-on-the-rights-of-persons-with-disabilities/article-9-accessibility.html</w:t>
        </w:r>
      </w:hyperlink>
      <w:r w:rsidRPr="00A543E9">
        <w:rPr>
          <w:rStyle w:val="Hyperlink"/>
          <w:i/>
          <w:iCs/>
        </w:rPr>
        <w:t>,</w:t>
      </w:r>
      <w:r>
        <w:t xml:space="preserve"> accessed 6 February 2020.</w:t>
      </w:r>
    </w:p>
  </w:footnote>
  <w:footnote w:id="14">
    <w:p w14:paraId="7DCB9983" w14:textId="77777777" w:rsidR="003235DB" w:rsidRPr="003F66F0" w:rsidRDefault="003235DB" w:rsidP="00486B43">
      <w:pPr>
        <w:pStyle w:val="FootnoteText"/>
        <w:rPr>
          <w:lang w:val="en-US"/>
        </w:rPr>
      </w:pPr>
      <w:r>
        <w:rPr>
          <w:rStyle w:val="FootnoteReference"/>
        </w:rPr>
        <w:footnoteRef/>
      </w:r>
      <w:r>
        <w:t xml:space="preserve"> </w:t>
      </w:r>
      <w:r>
        <w:tab/>
      </w:r>
      <w:r>
        <w:rPr>
          <w:lang w:val="en-US"/>
        </w:rPr>
        <w:t xml:space="preserve">Building Ministers’ Forum 2017, </w:t>
      </w:r>
      <w:r w:rsidRPr="007340AE">
        <w:rPr>
          <w:i/>
          <w:iCs/>
          <w:lang w:val="en-US"/>
        </w:rPr>
        <w:t>Communique</w:t>
      </w:r>
      <w:r>
        <w:rPr>
          <w:lang w:val="en-US"/>
        </w:rPr>
        <w:t>, 21 April 2017.</w:t>
      </w:r>
    </w:p>
  </w:footnote>
  <w:footnote w:id="15">
    <w:p w14:paraId="06CD2410" w14:textId="77777777" w:rsidR="003235DB" w:rsidRDefault="003235DB" w:rsidP="00486B43">
      <w:pPr>
        <w:pStyle w:val="FootnoteText"/>
      </w:pPr>
      <w:r>
        <w:rPr>
          <w:rStyle w:val="FootnoteReference"/>
        </w:rPr>
        <w:footnoteRef/>
      </w:r>
      <w:r>
        <w:t xml:space="preserve"> </w:t>
      </w:r>
      <w:r>
        <w:tab/>
        <w:t xml:space="preserve">Based on the Commonwealth’s position found at </w:t>
      </w:r>
      <w:hyperlink r:id="rId4" w:tooltip="The Commonwealth’s position found at this link" w:history="1">
        <w:r w:rsidRPr="00A543E9">
          <w:rPr>
            <w:rStyle w:val="Hyperlink"/>
            <w:i/>
            <w:iCs/>
          </w:rPr>
          <w:t>https://www.ag.gov.au/rights-and-protections/human-rights-and-anti-discrimination/united-nations-human-rights-reporting</w:t>
        </w:r>
      </w:hyperlink>
      <w:r w:rsidRPr="00A543E9">
        <w:rPr>
          <w:rStyle w:val="Hyperlink"/>
          <w:i/>
          <w:iCs/>
        </w:rPr>
        <w:t>.</w:t>
      </w:r>
    </w:p>
  </w:footnote>
  <w:footnote w:id="16">
    <w:p w14:paraId="06ED3BD4" w14:textId="77777777" w:rsidR="003235DB" w:rsidRPr="00FF3C3B" w:rsidRDefault="003235DB" w:rsidP="00486B43">
      <w:pPr>
        <w:pStyle w:val="FootnoteText"/>
        <w:rPr>
          <w:lang w:val="en-US"/>
        </w:rPr>
      </w:pPr>
      <w:r>
        <w:rPr>
          <w:rStyle w:val="FootnoteReference"/>
        </w:rPr>
        <w:footnoteRef/>
      </w:r>
      <w:r>
        <w:t xml:space="preserve"> </w:t>
      </w:r>
      <w:r>
        <w:tab/>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 p. 4.</w:t>
      </w:r>
    </w:p>
  </w:footnote>
  <w:footnote w:id="17">
    <w:p w14:paraId="561CE877" w14:textId="77777777" w:rsidR="003235DB" w:rsidRDefault="003235DB">
      <w:pPr>
        <w:pStyle w:val="FootnoteText"/>
      </w:pPr>
      <w:r>
        <w:rPr>
          <w:rStyle w:val="FootnoteReference"/>
        </w:rPr>
        <w:footnoteRef/>
      </w:r>
      <w:r>
        <w:t xml:space="preserve"> </w:t>
      </w:r>
      <w:r>
        <w:tab/>
      </w:r>
      <w:hyperlink r:id="rId5" w:tooltip="Available at the ABCB website" w:history="1">
        <w:r w:rsidRPr="00A543E9">
          <w:rPr>
            <w:rStyle w:val="Hyperlink"/>
            <w:i/>
            <w:iCs/>
          </w:rPr>
          <w:t>https://consultation.abcb.gov.au/engagement/consult-ris-accessible-housing/</w:t>
        </w:r>
      </w:hyperlink>
    </w:p>
  </w:footnote>
  <w:footnote w:id="18">
    <w:p w14:paraId="2E0EFCC4" w14:textId="77777777" w:rsidR="003235DB" w:rsidRPr="00F36A14" w:rsidRDefault="003235DB" w:rsidP="007D6A63">
      <w:pPr>
        <w:pStyle w:val="FootnoteText"/>
        <w:rPr>
          <w:lang w:val="en-US"/>
        </w:rPr>
      </w:pPr>
      <w:r>
        <w:rPr>
          <w:rStyle w:val="FootnoteReference"/>
        </w:rPr>
        <w:footnoteRef/>
      </w:r>
      <w:r>
        <w:t xml:space="preserve"> </w:t>
      </w:r>
      <w:r>
        <w:tab/>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w:t>
      </w:r>
    </w:p>
  </w:footnote>
  <w:footnote w:id="19">
    <w:p w14:paraId="1003B563" w14:textId="77777777" w:rsidR="003235DB" w:rsidRDefault="003235DB">
      <w:pPr>
        <w:pStyle w:val="FootnoteText"/>
      </w:pPr>
      <w:r>
        <w:rPr>
          <w:rStyle w:val="FootnoteReference"/>
        </w:rPr>
        <w:footnoteRef/>
      </w:r>
      <w:r>
        <w:t xml:space="preserve"> </w:t>
      </w:r>
      <w:r>
        <w:tab/>
        <w:t xml:space="preserve">Australian Government, Office of Best Practice Regulation, Guidance Note, </w:t>
      </w:r>
      <w:r w:rsidRPr="00822345">
        <w:rPr>
          <w:i/>
          <w:iCs/>
        </w:rPr>
        <w:t>Cost-Benefit Analysis</w:t>
      </w:r>
      <w:r>
        <w:t>, February 2016, p. 12.</w:t>
      </w:r>
    </w:p>
  </w:footnote>
  <w:footnote w:id="20">
    <w:p w14:paraId="795243B2" w14:textId="77777777" w:rsidR="003235DB" w:rsidRPr="00DD569B" w:rsidRDefault="003235DB" w:rsidP="00DE277A">
      <w:pPr>
        <w:pStyle w:val="FootnoteText"/>
        <w:rPr>
          <w:lang w:val="en-US"/>
        </w:rPr>
      </w:pPr>
      <w:r>
        <w:rPr>
          <w:rStyle w:val="FootnoteReference"/>
        </w:rPr>
        <w:footnoteRef/>
      </w:r>
      <w:r>
        <w:t xml:space="preserve"> </w:t>
      </w:r>
      <w:r>
        <w:tab/>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 p. 26.</w:t>
      </w:r>
    </w:p>
  </w:footnote>
  <w:footnote w:id="21">
    <w:p w14:paraId="63FBEE5C" w14:textId="77777777" w:rsidR="003235DB" w:rsidRDefault="003235DB">
      <w:pPr>
        <w:pStyle w:val="FootnoteText"/>
      </w:pPr>
      <w:r>
        <w:rPr>
          <w:rStyle w:val="FootnoteReference"/>
        </w:rPr>
        <w:footnoteRef/>
      </w:r>
      <w:r>
        <w:t xml:space="preserve"> </w:t>
      </w:r>
      <w:r>
        <w:tab/>
        <w:t xml:space="preserve">See: Australian Government, Office of Best Practice Regulation, Guidance Note, Cost-Benefit Analysis, February 2016, p. 12; and </w:t>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 p. 26.</w:t>
      </w:r>
    </w:p>
  </w:footnote>
  <w:footnote w:id="22">
    <w:p w14:paraId="52F43270" w14:textId="77777777" w:rsidR="003235DB" w:rsidRDefault="003235DB" w:rsidP="00DE277A">
      <w:pPr>
        <w:pStyle w:val="FootnoteText"/>
      </w:pPr>
      <w:r>
        <w:rPr>
          <w:rStyle w:val="FootnoteReference"/>
        </w:rPr>
        <w:footnoteRef/>
      </w:r>
      <w:r>
        <w:t xml:space="preserve"> </w:t>
      </w:r>
      <w:r>
        <w:tab/>
        <w:t xml:space="preserve">Australian Government, Office of Best Practice Regulation, Guidance Note, </w:t>
      </w:r>
      <w:r w:rsidRPr="00822345">
        <w:rPr>
          <w:i/>
          <w:iCs/>
        </w:rPr>
        <w:t>Cost-Benefit Analysis</w:t>
      </w:r>
      <w:r>
        <w:t>, February 2016, p. 13.</w:t>
      </w:r>
    </w:p>
  </w:footnote>
  <w:footnote w:id="23">
    <w:p w14:paraId="7D3FC58E" w14:textId="77777777" w:rsidR="003235DB" w:rsidRDefault="003235DB">
      <w:pPr>
        <w:pStyle w:val="FootnoteText"/>
      </w:pPr>
      <w:r>
        <w:rPr>
          <w:rStyle w:val="FootnoteReference"/>
        </w:rPr>
        <w:footnoteRef/>
      </w:r>
      <w:r>
        <w:t xml:space="preserve"> </w:t>
      </w:r>
      <w:r>
        <w:tab/>
        <w:t xml:space="preserve">Australian Government, Office of Best Practice Regulation, Guidance Note, </w:t>
      </w:r>
      <w:r w:rsidRPr="00822345">
        <w:rPr>
          <w:i/>
          <w:iCs/>
        </w:rPr>
        <w:t>Cost-Benefit Analysis</w:t>
      </w:r>
      <w:r>
        <w:t>, February 2016, p. 13.</w:t>
      </w:r>
    </w:p>
  </w:footnote>
  <w:footnote w:id="24">
    <w:p w14:paraId="128AD4BF" w14:textId="77777777" w:rsidR="003235DB" w:rsidRDefault="003235DB" w:rsidP="00E417A5">
      <w:pPr>
        <w:pStyle w:val="FootnoteText"/>
      </w:pPr>
      <w:r>
        <w:rPr>
          <w:rStyle w:val="FootnoteReference"/>
        </w:rPr>
        <w:footnoteRef/>
      </w:r>
      <w:r>
        <w:t xml:space="preserve"> </w:t>
      </w:r>
      <w:r>
        <w:tab/>
      </w:r>
      <w:r w:rsidRPr="00D519CE">
        <w:t>Other similar (but not identical) terms include 'visitable', 'adaptable'</w:t>
      </w:r>
      <w:r>
        <w:t xml:space="preserve"> and</w:t>
      </w:r>
      <w:r w:rsidRPr="00D519CE">
        <w:t xml:space="preserve"> 'livable'</w:t>
      </w:r>
      <w:r>
        <w:t>.</w:t>
      </w:r>
    </w:p>
  </w:footnote>
  <w:footnote w:id="25">
    <w:p w14:paraId="7310561C" w14:textId="77777777" w:rsidR="003235DB" w:rsidRPr="009B373C" w:rsidRDefault="003235DB" w:rsidP="00DD5DAA">
      <w:pPr>
        <w:pStyle w:val="FootnoteText"/>
      </w:pPr>
      <w:r>
        <w:rPr>
          <w:rStyle w:val="FootnoteReference"/>
        </w:rPr>
        <w:footnoteRef/>
      </w:r>
      <w:r>
        <w:t xml:space="preserve"> </w:t>
      </w:r>
      <w:r>
        <w:tab/>
        <w:t xml:space="preserve">CIE 2020, </w:t>
      </w:r>
      <w:r w:rsidRPr="00B231EF">
        <w:t>Proposal to include minimum accessibility standards for housing in the National Construction Code: Consultation Regulation Impact Statement,</w:t>
      </w:r>
      <w:r>
        <w:t xml:space="preserve"> July 2020, </w:t>
      </w:r>
      <w:hyperlink r:id="rId6" w:tooltip="Available at the ABCB webiste" w:history="1">
        <w:r w:rsidRPr="00A543E9">
          <w:rPr>
            <w:rStyle w:val="Hyperlink"/>
            <w:i/>
            <w:iCs/>
          </w:rPr>
          <w:t>https://consultation.abcb.gov.au/engagement/consult-ris-accessible-housing/supporting_documents/Consultation_RIS_Proposal_to_include_minimum_accessibility_standards_for_housing_in_the_NCC.pdf</w:t>
        </w:r>
      </w:hyperlink>
    </w:p>
  </w:footnote>
  <w:footnote w:id="26">
    <w:p w14:paraId="54C46F40" w14:textId="77777777" w:rsidR="003235DB" w:rsidRDefault="003235DB" w:rsidP="00DD5DAA">
      <w:pPr>
        <w:pStyle w:val="FootnoteText"/>
      </w:pPr>
      <w:r>
        <w:rPr>
          <w:rStyle w:val="FootnoteReference"/>
        </w:rPr>
        <w:footnoteRef/>
      </w:r>
      <w:r>
        <w:t xml:space="preserve"> </w:t>
      </w:r>
      <w:r>
        <w:tab/>
      </w:r>
      <w:hyperlink r:id="rId7" w:tooltip="Available at the ABCB webiste" w:history="1">
        <w:r w:rsidRPr="00A543E9">
          <w:rPr>
            <w:rStyle w:val="Hyperlink"/>
            <w:i/>
            <w:iCs/>
          </w:rPr>
          <w:t>https://consultation.abcb.gov.au/engagement/consult-ris-accessible-housing/</w:t>
        </w:r>
      </w:hyperlink>
    </w:p>
  </w:footnote>
  <w:footnote w:id="27">
    <w:p w14:paraId="0EECC67D" w14:textId="77777777" w:rsidR="003235DB" w:rsidRDefault="003235DB" w:rsidP="00DD5DAA">
      <w:pPr>
        <w:pStyle w:val="FootnoteText"/>
      </w:pPr>
      <w:r>
        <w:rPr>
          <w:rStyle w:val="FootnoteReference"/>
        </w:rPr>
        <w:footnoteRef/>
      </w:r>
      <w:r>
        <w:t xml:space="preserve"> </w:t>
      </w:r>
      <w:r>
        <w:tab/>
        <w:t xml:space="preserve">Dalton, Andrew and Rob Carter 2020a, </w:t>
      </w:r>
      <w:r>
        <w:rPr>
          <w:i/>
          <w:iCs/>
        </w:rPr>
        <w:t>Economic advice prepared to assist with responses to the Consultation Regulation Impact Statement on minimum accessibility standards for housing in the National Construction Code</w:t>
      </w:r>
      <w:r>
        <w:t>, prepared for the Melbourne Disability Institute, University of Melbourne and the Summer Foundation, 18 August 2020, as Appendix 1 of the submission by Melbourne Disability Institute (MDI) and Summer Foundation to the public consultation.</w:t>
      </w:r>
    </w:p>
  </w:footnote>
  <w:footnote w:id="28">
    <w:p w14:paraId="2C8773E4" w14:textId="77777777" w:rsidR="003235DB" w:rsidRDefault="003235DB" w:rsidP="00DD5DAA">
      <w:pPr>
        <w:pStyle w:val="FootnoteText"/>
      </w:pPr>
      <w:r>
        <w:rPr>
          <w:rStyle w:val="FootnoteReference"/>
        </w:rPr>
        <w:footnoteRef/>
      </w:r>
      <w:r>
        <w:t xml:space="preserve"> </w:t>
      </w:r>
      <w:r>
        <w:tab/>
        <w:t>ibid, p.6</w:t>
      </w:r>
    </w:p>
  </w:footnote>
  <w:footnote w:id="29">
    <w:p w14:paraId="6375BA6F" w14:textId="77777777" w:rsidR="003235DB" w:rsidRDefault="003235DB" w:rsidP="00DD5DAA">
      <w:pPr>
        <w:pStyle w:val="FootnoteText"/>
      </w:pPr>
      <w:r>
        <w:rPr>
          <w:rStyle w:val="FootnoteReference"/>
        </w:rPr>
        <w:footnoteRef/>
      </w:r>
      <w:r>
        <w:t xml:space="preserve"> </w:t>
      </w:r>
      <w:r>
        <w:tab/>
        <w:t xml:space="preserve">Dalton, Andrew and Rob Carter 2020b, </w:t>
      </w:r>
      <w:r>
        <w:rPr>
          <w:i/>
          <w:iCs/>
        </w:rPr>
        <w:t>Economic advice prepared to assist with responses to the Consultation Regulation Impact Statement on minimum accessibility standards for housing in the National Construction Code</w:t>
      </w:r>
      <w:r>
        <w:t>, supplementary information prepared for The Melbourne Disability Institute, University of Melbourne and the Summer Foundation, 6 October 2020. The supplementary information does not provide specific overlapping ratios for the calculation. If using the same calculation in the original submission in Dalton and Carter (2020a), these four items of benefits in the problem reduction approach would be equivalent to 21.3 per cent, 9 per cent, 9.4 per cent, 9.8 per cent and 12.6 per cent overlapping, respectively, for Options 1 through 5.</w:t>
      </w:r>
    </w:p>
  </w:footnote>
  <w:footnote w:id="30">
    <w:p w14:paraId="367E0E8A" w14:textId="77777777" w:rsidR="003235DB" w:rsidRDefault="003235DB" w:rsidP="002C37AB">
      <w:pPr>
        <w:pStyle w:val="FootnoteText"/>
        <w:rPr>
          <w:lang w:val="en-US"/>
        </w:rPr>
      </w:pPr>
      <w:r>
        <w:rPr>
          <w:rStyle w:val="FootnoteReference"/>
        </w:rPr>
        <w:footnoteRef/>
      </w:r>
      <w:r>
        <w:t xml:space="preserve"> </w:t>
      </w:r>
      <w:r>
        <w:tab/>
      </w:r>
      <w:r>
        <w:rPr>
          <w:lang w:val="en-US"/>
        </w:rPr>
        <w:t xml:space="preserve">Provan, B. Buchardt, T and Suh, E. 2016, </w:t>
      </w:r>
      <w:r w:rsidRPr="00B233A1">
        <w:rPr>
          <w:i/>
          <w:iCs/>
          <w:lang w:val="en-US"/>
        </w:rPr>
        <w:t>No Place Like an Accessible Home, Quality of life and opportunity for disabled people with accessible housing needs</w:t>
      </w:r>
      <w:r>
        <w:rPr>
          <w:lang w:val="en-US"/>
        </w:rPr>
        <w:t>, London School of Economics and Political Science and Centre for Analysis of Social Exclusion, CASE report 109, July 2016, pp. 5</w:t>
      </w:r>
      <w:r>
        <w:rPr>
          <w:lang w:val="en-US"/>
        </w:rPr>
        <w:noBreakHyphen/>
        <w:t>6.</w:t>
      </w:r>
    </w:p>
  </w:footnote>
  <w:footnote w:id="31">
    <w:p w14:paraId="1D009249" w14:textId="77777777" w:rsidR="003235DB" w:rsidRDefault="003235DB" w:rsidP="00E02E2F">
      <w:pPr>
        <w:pStyle w:val="FootnoteText"/>
      </w:pPr>
      <w:r>
        <w:rPr>
          <w:rStyle w:val="FootnoteReference"/>
        </w:rPr>
        <w:footnoteRef/>
      </w:r>
      <w:r>
        <w:t xml:space="preserve"> </w:t>
      </w:r>
      <w:r>
        <w:tab/>
        <w:t xml:space="preserve">Submission by Professor Bruce Bonyhady and Dr Di Winkler for MDI and Summer Foundation, Appendix 2, case studies for wheelchair users (all or some of the time) on pages 19, 25, 27, 30, 35, 36 and 39, accessed 1 December 2020, </w:t>
      </w:r>
      <w:r w:rsidRPr="00A543E9">
        <w:rPr>
          <w:rStyle w:val="Hyperlink"/>
          <w:i/>
          <w:iCs/>
        </w:rPr>
        <w:t>https://consultation.abcb.gov.au/engagement/consult-ris-accessible-housing/consultation/published_select_respondent</w:t>
      </w:r>
    </w:p>
  </w:footnote>
  <w:footnote w:id="32">
    <w:p w14:paraId="39F8BF4E" w14:textId="77777777" w:rsidR="003235DB" w:rsidRDefault="003235DB" w:rsidP="00DD5DAA">
      <w:pPr>
        <w:pStyle w:val="FootnoteText"/>
      </w:pPr>
      <w:r>
        <w:rPr>
          <w:rStyle w:val="FootnoteReference"/>
        </w:rPr>
        <w:footnoteRef/>
      </w:r>
      <w:r>
        <w:t xml:space="preserve"> </w:t>
      </w:r>
      <w:r>
        <w:tab/>
        <w:t xml:space="preserve">Submission by Margret Ward for ANUHD, p.11, accessed 1 December 2020, </w:t>
      </w:r>
      <w:r w:rsidRPr="00A543E9">
        <w:rPr>
          <w:rStyle w:val="Hyperlink"/>
          <w:i/>
          <w:iCs/>
        </w:rPr>
        <w:t>https://consultation.abcb.gov.au/engagement/consult-ris-accessible-housing/consultation/published_select_respondent</w:t>
      </w:r>
    </w:p>
  </w:footnote>
  <w:footnote w:id="33">
    <w:p w14:paraId="16CFE370" w14:textId="77777777" w:rsidR="003235DB" w:rsidRDefault="003235DB" w:rsidP="00DD5DAA">
      <w:pPr>
        <w:pStyle w:val="FootnoteText"/>
      </w:pPr>
      <w:r>
        <w:rPr>
          <w:rStyle w:val="FootnoteReference"/>
        </w:rPr>
        <w:footnoteRef/>
      </w:r>
      <w:r>
        <w:t xml:space="preserve"> </w:t>
      </w:r>
      <w:r>
        <w:tab/>
        <w:t>Professor Bruce Bonyhady and Dr Di Winkler, op.cit., p.3</w:t>
      </w:r>
    </w:p>
  </w:footnote>
  <w:footnote w:id="34">
    <w:p w14:paraId="4054F9D5" w14:textId="77777777" w:rsidR="003235DB" w:rsidRDefault="003235DB">
      <w:pPr>
        <w:pStyle w:val="FootnoteText"/>
      </w:pPr>
      <w:r>
        <w:rPr>
          <w:rStyle w:val="FootnoteReference"/>
        </w:rPr>
        <w:footnoteRef/>
      </w:r>
      <w:r>
        <w:t xml:space="preserve"> </w:t>
      </w:r>
      <w:r>
        <w:tab/>
      </w:r>
      <w:r>
        <w:rPr>
          <w:lang w:bidi="fa-IR"/>
        </w:rPr>
        <w:t>S</w:t>
      </w:r>
      <w:r w:rsidRPr="00FD206C">
        <w:rPr>
          <w:lang w:bidi="fa-IR"/>
        </w:rPr>
        <w:t>ection 2.2, p.14 and section 2.3.1, p.15</w:t>
      </w:r>
    </w:p>
  </w:footnote>
  <w:footnote w:id="35">
    <w:p w14:paraId="1701386C" w14:textId="77777777" w:rsidR="003235DB" w:rsidRPr="00A543E9" w:rsidRDefault="003235DB" w:rsidP="0065798A">
      <w:pPr>
        <w:ind w:left="284" w:hanging="284"/>
        <w:rPr>
          <w:rStyle w:val="Hyperlink"/>
          <w:rFonts w:asciiTheme="minorHAnsi" w:eastAsia="Times New Roman" w:hAnsiTheme="minorHAnsi"/>
          <w:i/>
          <w:iCs/>
          <w:sz w:val="19"/>
          <w:szCs w:val="18"/>
        </w:rPr>
      </w:pPr>
      <w:r>
        <w:rPr>
          <w:rStyle w:val="FootnoteReference"/>
        </w:rPr>
        <w:footnoteRef/>
      </w:r>
      <w:r w:rsidRPr="0065798A">
        <w:rPr>
          <w:rFonts w:asciiTheme="minorHAnsi" w:eastAsia="Times New Roman" w:hAnsiTheme="minorHAnsi"/>
          <w:sz w:val="19"/>
          <w:szCs w:val="18"/>
        </w:rPr>
        <w:t xml:space="preserve"> </w:t>
      </w:r>
      <w:r>
        <w:rPr>
          <w:rFonts w:asciiTheme="minorHAnsi" w:eastAsia="Times New Roman" w:hAnsiTheme="minorHAnsi"/>
          <w:sz w:val="19"/>
          <w:szCs w:val="18"/>
        </w:rPr>
        <w:tab/>
      </w:r>
      <w:r w:rsidRPr="0065798A">
        <w:rPr>
          <w:rFonts w:asciiTheme="minorHAnsi" w:eastAsia="Times New Roman" w:hAnsiTheme="minorHAnsi"/>
          <w:sz w:val="19"/>
          <w:szCs w:val="18"/>
        </w:rPr>
        <w:t>Council of Australian Governments, Best Practice Regulation, A Guide for Ministerial Councils and National Standard Setting Bodies, October 2007.</w:t>
      </w:r>
      <w:r>
        <w:rPr>
          <w:rFonts w:asciiTheme="minorHAnsi" w:eastAsia="Times New Roman" w:hAnsiTheme="minorHAnsi"/>
          <w:sz w:val="19"/>
          <w:szCs w:val="18"/>
        </w:rPr>
        <w:t xml:space="preserve"> </w:t>
      </w:r>
      <w:hyperlink r:id="rId8" w:tooltip="More information can be found at the website via this link" w:history="1">
        <w:r w:rsidRPr="00A543E9">
          <w:rPr>
            <w:rStyle w:val="Hyperlink"/>
            <w:rFonts w:asciiTheme="minorHAnsi" w:eastAsia="Times New Roman" w:hAnsiTheme="minorHAnsi"/>
            <w:i/>
            <w:iCs/>
            <w:sz w:val="19"/>
            <w:szCs w:val="18"/>
          </w:rPr>
          <w:t>https://pmc.gov.au/sites/default/files/publications/COAG_best_practice_guide_2007.pdf</w:t>
        </w:r>
      </w:hyperlink>
    </w:p>
  </w:footnote>
  <w:footnote w:id="36">
    <w:p w14:paraId="24DE4B1F" w14:textId="77777777" w:rsidR="003235DB" w:rsidRDefault="003235DB" w:rsidP="00DD5DAA">
      <w:pPr>
        <w:pStyle w:val="FootnoteText"/>
      </w:pPr>
      <w:r>
        <w:rPr>
          <w:rStyle w:val="FootnoteReference"/>
        </w:rPr>
        <w:footnoteRef/>
      </w:r>
      <w:r>
        <w:t xml:space="preserve"> </w:t>
      </w:r>
      <w:r>
        <w:tab/>
        <w:t xml:space="preserve">Submission by Emily Hobbs for SGS Economics and Planning, p.2, accessed 1 December 2020, </w:t>
      </w:r>
      <w:r w:rsidRPr="00A543E9">
        <w:rPr>
          <w:rStyle w:val="Hyperlink"/>
          <w:i/>
          <w:iCs/>
        </w:rPr>
        <w:t>https://consultation.abcb.gov.au/engagement/consult-ris-accessible-housing/consultation/published_select_respondent</w:t>
      </w:r>
    </w:p>
  </w:footnote>
  <w:footnote w:id="37">
    <w:p w14:paraId="7EF4AD77" w14:textId="77777777" w:rsidR="003235DB" w:rsidRPr="00341499" w:rsidRDefault="003235DB" w:rsidP="00DD5DAA">
      <w:pPr>
        <w:pStyle w:val="FootnoteText"/>
      </w:pPr>
      <w:r>
        <w:rPr>
          <w:rStyle w:val="FootnoteReference"/>
        </w:rPr>
        <w:footnoteRef/>
      </w:r>
      <w:r>
        <w:t xml:space="preserve"> </w:t>
      </w:r>
      <w:r>
        <w:tab/>
        <w:t xml:space="preserve">See Sen, A. 1992, </w:t>
      </w:r>
      <w:r w:rsidRPr="00341499">
        <w:rPr>
          <w:i/>
          <w:iCs/>
        </w:rPr>
        <w:t>In</w:t>
      </w:r>
      <w:r>
        <w:rPr>
          <w:i/>
          <w:iCs/>
        </w:rPr>
        <w:t>equality Reexamined</w:t>
      </w:r>
      <w:r>
        <w:t xml:space="preserve">, Oxford University Press, Oxford; and Sen, A. 1999, </w:t>
      </w:r>
      <w:r>
        <w:rPr>
          <w:i/>
          <w:iCs/>
        </w:rPr>
        <w:t>Development as Freedom</w:t>
      </w:r>
      <w:r>
        <w:t>, Oxford University Press, Oxford, for an outline</w:t>
      </w:r>
    </w:p>
  </w:footnote>
  <w:footnote w:id="38">
    <w:p w14:paraId="0BAF99D5" w14:textId="77777777" w:rsidR="003235DB" w:rsidRPr="00582310" w:rsidRDefault="003235DB" w:rsidP="00DD5DAA">
      <w:pPr>
        <w:pStyle w:val="FootnoteText"/>
      </w:pPr>
      <w:r>
        <w:rPr>
          <w:rStyle w:val="FootnoteReference"/>
        </w:rPr>
        <w:footnoteRef/>
      </w:r>
      <w:r>
        <w:t xml:space="preserve"> </w:t>
      </w:r>
      <w:r>
        <w:tab/>
        <w:t xml:space="preserve">Mitra, S. 2006, “The Capability Approach and Disability”, </w:t>
      </w:r>
      <w:r>
        <w:rPr>
          <w:i/>
          <w:iCs/>
        </w:rPr>
        <w:t>Journal of Disability Policy Studies</w:t>
      </w:r>
      <w:r>
        <w:t xml:space="preserve">, </w:t>
      </w:r>
      <w:r w:rsidRPr="00582310">
        <w:rPr>
          <w:b/>
          <w:bCs/>
        </w:rPr>
        <w:t>16</w:t>
      </w:r>
      <w:r>
        <w:t>(4), p.236-247</w:t>
      </w:r>
    </w:p>
  </w:footnote>
  <w:footnote w:id="39">
    <w:p w14:paraId="6AAD2D8F" w14:textId="77777777" w:rsidR="003235DB" w:rsidRPr="00F34096" w:rsidRDefault="003235DB" w:rsidP="00DD5DAA">
      <w:pPr>
        <w:pStyle w:val="FootnoteText"/>
      </w:pPr>
      <w:r>
        <w:rPr>
          <w:rStyle w:val="FootnoteReference"/>
        </w:rPr>
        <w:footnoteRef/>
      </w:r>
      <w:r>
        <w:t xml:space="preserve"> </w:t>
      </w:r>
      <w:r>
        <w:tab/>
        <w:t xml:space="preserve">Gandjour, A. 2014, “Cost-Effectiveness Analysis in Health Care Based on the Capability Approach”, </w:t>
      </w:r>
      <w:r>
        <w:rPr>
          <w:i/>
          <w:iCs/>
        </w:rPr>
        <w:t>Gesundheitswensen (Healthcare)</w:t>
      </w:r>
      <w:r>
        <w:t xml:space="preserve"> 2014: 76, p.39-43</w:t>
      </w:r>
    </w:p>
  </w:footnote>
  <w:footnote w:id="40">
    <w:p w14:paraId="10B9B519" w14:textId="77777777" w:rsidR="003235DB" w:rsidRDefault="003235DB" w:rsidP="00DD5DAA">
      <w:pPr>
        <w:pStyle w:val="FootnoteText"/>
      </w:pPr>
      <w:r>
        <w:rPr>
          <w:rStyle w:val="FootnoteReference"/>
        </w:rPr>
        <w:footnoteRef/>
      </w:r>
      <w:r>
        <w:t xml:space="preserve"> </w:t>
      </w:r>
      <w:r>
        <w:tab/>
        <w:t>Mitra (2006), p.245</w:t>
      </w:r>
    </w:p>
  </w:footnote>
  <w:footnote w:id="41">
    <w:p w14:paraId="3F653402" w14:textId="77777777" w:rsidR="003235DB" w:rsidRDefault="003235DB" w:rsidP="00DD5DAA">
      <w:pPr>
        <w:pStyle w:val="FootnoteText"/>
      </w:pPr>
      <w:r>
        <w:rPr>
          <w:rStyle w:val="FootnoteReference"/>
        </w:rPr>
        <w:footnoteRef/>
      </w:r>
      <w:r>
        <w:t xml:space="preserve"> </w:t>
      </w:r>
      <w:r>
        <w:tab/>
        <w:t xml:space="preserve">Harnacke, C. 2013, “Disability and capability: exploring the usefulness of Martha Nussbaum’s capabilities approach for the UN disability rights convention”, </w:t>
      </w:r>
      <w:r w:rsidRPr="009E7021">
        <w:rPr>
          <w:i/>
          <w:iCs/>
        </w:rPr>
        <w:t>Journal of Law</w:t>
      </w:r>
      <w:r>
        <w:rPr>
          <w:i/>
          <w:iCs/>
        </w:rPr>
        <w:t>,</w:t>
      </w:r>
      <w:r w:rsidRPr="009E7021">
        <w:rPr>
          <w:i/>
          <w:iCs/>
        </w:rPr>
        <w:t xml:space="preserve"> Medic</w:t>
      </w:r>
      <w:r>
        <w:rPr>
          <w:i/>
          <w:iCs/>
        </w:rPr>
        <w:t>ine &amp;</w:t>
      </w:r>
      <w:r w:rsidRPr="009E7021">
        <w:rPr>
          <w:i/>
          <w:iCs/>
        </w:rPr>
        <w:t xml:space="preserve"> Ethics</w:t>
      </w:r>
      <w:r>
        <w:t xml:space="preserve">, </w:t>
      </w:r>
      <w:r w:rsidRPr="009E7021">
        <w:rPr>
          <w:b/>
          <w:bCs/>
        </w:rPr>
        <w:t>41</w:t>
      </w:r>
      <w:r>
        <w:t>(4), p.768-80.</w:t>
      </w:r>
    </w:p>
  </w:footnote>
  <w:footnote w:id="42">
    <w:p w14:paraId="288905D9" w14:textId="77777777" w:rsidR="003235DB" w:rsidRDefault="003235DB" w:rsidP="00DD5DAA">
      <w:pPr>
        <w:pStyle w:val="FootnoteText"/>
      </w:pPr>
      <w:r>
        <w:rPr>
          <w:rStyle w:val="FootnoteReference"/>
        </w:rPr>
        <w:footnoteRef/>
      </w:r>
      <w:r>
        <w:t xml:space="preserve"> </w:t>
      </w:r>
      <w:r>
        <w:tab/>
        <w:t xml:space="preserve">Submission by Barbary Clarke for Post-Polio Victoria, p.6, accessed 1 December 2020, </w:t>
      </w:r>
      <w:r w:rsidRPr="00A543E9">
        <w:rPr>
          <w:rStyle w:val="Hyperlink"/>
          <w:i/>
          <w:iCs/>
        </w:rPr>
        <w:t>https://consultation.abcb.gov.au/engagement/consult-ris-accessible-housing/consultation/published_select_respondent</w:t>
      </w:r>
    </w:p>
  </w:footnote>
  <w:footnote w:id="43">
    <w:p w14:paraId="2BB2167F" w14:textId="77777777" w:rsidR="003235DB" w:rsidRDefault="003235DB" w:rsidP="00DD5DAA">
      <w:pPr>
        <w:pStyle w:val="FootnoteText"/>
      </w:pPr>
      <w:r>
        <w:rPr>
          <w:rStyle w:val="FootnoteReference"/>
        </w:rPr>
        <w:footnoteRef/>
      </w:r>
      <w:r>
        <w:t xml:space="preserve"> </w:t>
      </w:r>
      <w:r>
        <w:tab/>
        <w:t>Margret Ward, op.cit., p.6</w:t>
      </w:r>
    </w:p>
  </w:footnote>
  <w:footnote w:id="44">
    <w:p w14:paraId="6A15D69C" w14:textId="77777777" w:rsidR="003235DB" w:rsidRDefault="003235DB" w:rsidP="00DD5DAA">
      <w:pPr>
        <w:pStyle w:val="FootnoteText"/>
      </w:pPr>
      <w:r>
        <w:rPr>
          <w:rStyle w:val="FootnoteReference"/>
        </w:rPr>
        <w:footnoteRef/>
      </w:r>
      <w:r>
        <w:t xml:space="preserve"> </w:t>
      </w:r>
      <w:r>
        <w:tab/>
        <w:t>Professor Bruce Bonyhady and Dr Di Winkler, op.cit., p.4</w:t>
      </w:r>
    </w:p>
  </w:footnote>
  <w:footnote w:id="45">
    <w:p w14:paraId="62D6FBA8" w14:textId="77777777" w:rsidR="003235DB" w:rsidRDefault="003235DB" w:rsidP="00DD5DAA">
      <w:pPr>
        <w:pStyle w:val="FootnoteText"/>
      </w:pPr>
      <w:r>
        <w:rPr>
          <w:rStyle w:val="FootnoteReference"/>
        </w:rPr>
        <w:footnoteRef/>
      </w:r>
      <w:r>
        <w:t xml:space="preserve"> </w:t>
      </w:r>
      <w:r>
        <w:tab/>
        <w:t xml:space="preserve">Submission by Associate Professor Libby Callaway for ARATA, p.3, accessed 1 December 2020, </w:t>
      </w:r>
      <w:r w:rsidRPr="00A543E9">
        <w:rPr>
          <w:rStyle w:val="Hyperlink"/>
          <w:i/>
          <w:iCs/>
        </w:rPr>
        <w:t>https://consultation.abcb.gov.au/engagement/consult-ris-accessible-housing/consultation/published_select_respondent</w:t>
      </w:r>
    </w:p>
  </w:footnote>
  <w:footnote w:id="46">
    <w:p w14:paraId="6C8145D4" w14:textId="77777777" w:rsidR="003235DB" w:rsidRDefault="003235DB" w:rsidP="00DD5DAA">
      <w:pPr>
        <w:pStyle w:val="FootnoteText"/>
      </w:pPr>
      <w:r>
        <w:rPr>
          <w:rStyle w:val="FootnoteReference"/>
        </w:rPr>
        <w:footnoteRef/>
      </w:r>
      <w:r>
        <w:t xml:space="preserve"> </w:t>
      </w:r>
      <w:r>
        <w:tab/>
        <w:t xml:space="preserve">Submission by Professor Catherine Bridge for Home Modification Information Clearinghouse, p.5, accessed 1 December 2020, </w:t>
      </w:r>
      <w:r w:rsidRPr="00A543E9">
        <w:rPr>
          <w:rStyle w:val="Hyperlink"/>
          <w:i/>
          <w:iCs/>
        </w:rPr>
        <w:t>https://consultation.abcb.gov.au/engagement/consult-ris-accessible-housing/consultation/published_select_respondent</w:t>
      </w:r>
    </w:p>
  </w:footnote>
  <w:footnote w:id="47">
    <w:p w14:paraId="3660C223" w14:textId="77777777" w:rsidR="003235DB" w:rsidRDefault="003235DB">
      <w:pPr>
        <w:pStyle w:val="FootnoteText"/>
      </w:pPr>
      <w:r>
        <w:rPr>
          <w:rStyle w:val="FootnoteReference"/>
        </w:rPr>
        <w:footnoteRef/>
      </w:r>
      <w:r>
        <w:t xml:space="preserve"> DCWC 2020, </w:t>
      </w:r>
      <w:r>
        <w:rPr>
          <w:i/>
          <w:iCs/>
        </w:rPr>
        <w:t xml:space="preserve">Accessible housing: Estimated cost impact of proposed changes to </w:t>
      </w:r>
      <w:r w:rsidRPr="00967EE8">
        <w:t>NCC</w:t>
      </w:r>
      <w:r>
        <w:t>, Report Version V2.0 – 14 December 2020, see Table 2.1 and appendices.</w:t>
      </w:r>
    </w:p>
  </w:footnote>
  <w:footnote w:id="48">
    <w:p w14:paraId="390496C0" w14:textId="77777777" w:rsidR="003235DB" w:rsidRDefault="003235DB" w:rsidP="00DD5DAA">
      <w:pPr>
        <w:pStyle w:val="FootnoteText"/>
      </w:pPr>
      <w:r>
        <w:rPr>
          <w:rStyle w:val="FootnoteReference"/>
        </w:rPr>
        <w:footnoteRef/>
      </w:r>
      <w:r>
        <w:t xml:space="preserve"> </w:t>
      </w:r>
      <w:r>
        <w:tab/>
        <w:t>Dalton and Carter (2020a), p.10</w:t>
      </w:r>
    </w:p>
  </w:footnote>
  <w:footnote w:id="49">
    <w:p w14:paraId="00181C05" w14:textId="77777777" w:rsidR="003235DB" w:rsidRDefault="003235DB" w:rsidP="00DD5DAA">
      <w:pPr>
        <w:pStyle w:val="FootnoteText"/>
      </w:pPr>
      <w:r>
        <w:rPr>
          <w:rStyle w:val="FootnoteReference"/>
        </w:rPr>
        <w:footnoteRef/>
      </w:r>
      <w:r>
        <w:t xml:space="preserve"> </w:t>
      </w:r>
      <w:r>
        <w:tab/>
        <w:t xml:space="preserve">OBPR 2014, </w:t>
      </w:r>
      <w:r>
        <w:rPr>
          <w:i/>
          <w:iCs/>
        </w:rPr>
        <w:t>Value of statistical life</w:t>
      </w:r>
      <w:r>
        <w:t xml:space="preserve">, Best Practice Regulation Guidance Note, Office of Best Practice Regulation, Department of the Prime Minister and Cabinet, December 2014, </w:t>
      </w:r>
      <w:hyperlink r:id="rId9" w:tooltip="More information can be found at the website via this link" w:history="1">
        <w:r w:rsidRPr="00A543E9">
          <w:rPr>
            <w:rStyle w:val="Hyperlink"/>
            <w:i/>
            <w:iCs/>
          </w:rPr>
          <w:t>https://www.pmc.gov.au/sites/default/files/publications/Value_of_Statistical_Life_guidance_note.pdf</w:t>
        </w:r>
      </w:hyperlink>
    </w:p>
  </w:footnote>
  <w:footnote w:id="50">
    <w:p w14:paraId="37F79E3E" w14:textId="77777777" w:rsidR="003235DB" w:rsidRDefault="003235DB" w:rsidP="00DD5DAA">
      <w:pPr>
        <w:pStyle w:val="FootnoteText"/>
      </w:pPr>
      <w:r>
        <w:rPr>
          <w:rStyle w:val="FootnoteReference"/>
        </w:rPr>
        <w:footnoteRef/>
      </w:r>
      <w:r>
        <w:t xml:space="preserve"> </w:t>
      </w:r>
      <w:r>
        <w:tab/>
        <w:t xml:space="preserve">OBPR 2020, </w:t>
      </w:r>
      <w:r>
        <w:rPr>
          <w:i/>
          <w:iCs/>
        </w:rPr>
        <w:t>Cost-benefit analysis</w:t>
      </w:r>
      <w:r>
        <w:t xml:space="preserve">, Guidance Note, March 2020, Office of Best Practice Regulation, Australian Government Department of the Prime Minister and Cabinet, </w:t>
      </w:r>
      <w:hyperlink r:id="rId10" w:anchor=":~:text=A%20CBA%20involves%20a%20systematic,or%20effects%20on%20one%20group" w:history="1">
        <w:r w:rsidRPr="00A543E9">
          <w:rPr>
            <w:rStyle w:val="Hyperlink"/>
            <w:i/>
            <w:iCs/>
          </w:rPr>
          <w:t>https://www.pmc.gov.au/resource-centre/regulation/cost-benefit-analysis-guidance-note#:~:text=A%20CBA%20involves%20a%20systematic,or%20effects%20on%20one%20group</w:t>
        </w:r>
      </w:hyperlink>
      <w:r w:rsidRPr="00A543E9">
        <w:rPr>
          <w:rStyle w:val="Hyperlink"/>
          <w:i/>
          <w:iCs/>
        </w:rPr>
        <w:t>.,</w:t>
      </w:r>
      <w:r>
        <w:t xml:space="preserve"> p10.</w:t>
      </w:r>
    </w:p>
  </w:footnote>
  <w:footnote w:id="51">
    <w:p w14:paraId="317E93BB" w14:textId="77777777" w:rsidR="003235DB" w:rsidRPr="00C95A7F" w:rsidRDefault="003235DB" w:rsidP="00845C06">
      <w:pPr>
        <w:pStyle w:val="FootnoteText"/>
      </w:pPr>
      <w:r>
        <w:rPr>
          <w:rStyle w:val="FootnoteReference"/>
        </w:rPr>
        <w:footnoteRef/>
      </w:r>
      <w:r>
        <w:t xml:space="preserve"> </w:t>
      </w:r>
      <w:r>
        <w:tab/>
        <w:t xml:space="preserve">Dalton, Andrew and Rob Carter 2020a, </w:t>
      </w:r>
      <w:r>
        <w:rPr>
          <w:i/>
          <w:iCs/>
        </w:rPr>
        <w:t>Economic advice prepared to assist with responses to the Consultation Regulation Impact Statement on minimum accessibility standards for housing in the National Construction Code</w:t>
      </w:r>
      <w:r>
        <w:t>, prepared for the Melbourne Disability Institute, University of Melbourne and the Summer Foundation, 18 August 2020, as Appendix 1 of the submission by Melbourne Disability Institute (MDI) and Summer Foundation to the public consultation.</w:t>
      </w:r>
    </w:p>
  </w:footnote>
  <w:footnote w:id="52">
    <w:p w14:paraId="5FF640ED" w14:textId="77777777" w:rsidR="003235DB" w:rsidRDefault="003235DB" w:rsidP="00DD5DAA">
      <w:pPr>
        <w:pStyle w:val="FootnoteText"/>
      </w:pPr>
      <w:r>
        <w:rPr>
          <w:rStyle w:val="FootnoteReference"/>
        </w:rPr>
        <w:footnoteRef/>
      </w:r>
      <w:r>
        <w:t xml:space="preserve"> </w:t>
      </w:r>
      <w:r>
        <w:tab/>
        <w:t>OBPR (2020), p.12</w:t>
      </w:r>
    </w:p>
  </w:footnote>
  <w:footnote w:id="53">
    <w:p w14:paraId="0525B5B1" w14:textId="77777777" w:rsidR="003235DB" w:rsidRDefault="003235DB" w:rsidP="00DD5DAA">
      <w:pPr>
        <w:pStyle w:val="FootnoteText"/>
      </w:pPr>
      <w:r>
        <w:rPr>
          <w:rStyle w:val="FootnoteReference"/>
        </w:rPr>
        <w:footnoteRef/>
      </w:r>
      <w:r>
        <w:t xml:space="preserve"> </w:t>
      </w:r>
      <w:r>
        <w:tab/>
        <w:t xml:space="preserve">Ernst &amp; Young 2018, </w:t>
      </w:r>
      <w:r>
        <w:rPr>
          <w:i/>
          <w:iCs/>
        </w:rPr>
        <w:t>Accessible Adult Change Facilities in Public Buildings: Final Regulation Impact Statement</w:t>
      </w:r>
      <w:r>
        <w:t>, September 2018, p.47</w:t>
      </w:r>
    </w:p>
  </w:footnote>
  <w:footnote w:id="54">
    <w:p w14:paraId="12B808DE" w14:textId="77777777" w:rsidR="003235DB" w:rsidRDefault="003235DB" w:rsidP="00DD5DAA">
      <w:pPr>
        <w:pStyle w:val="FootnoteText"/>
      </w:pPr>
      <w:r>
        <w:rPr>
          <w:rStyle w:val="FootnoteReference"/>
        </w:rPr>
        <w:footnoteRef/>
      </w:r>
      <w:r>
        <w:t xml:space="preserve"> </w:t>
      </w:r>
      <w:r>
        <w:tab/>
        <w:t xml:space="preserve">OBPR 2020, </w:t>
      </w:r>
      <w:r>
        <w:rPr>
          <w:i/>
          <w:iCs/>
        </w:rPr>
        <w:t>Cost-benefit analysis</w:t>
      </w:r>
      <w:r>
        <w:t xml:space="preserve">, Guidance Note, March 2020, Office of Best Practice Regulation, Australian Government Department of the Prime Minister and Cabinet, </w:t>
      </w:r>
      <w:hyperlink r:id="rId11" w:anchor=":~:text=A%20CBA%20involves%20a%20systematic,or%20effects%20on%20one%20group" w:history="1">
        <w:r w:rsidRPr="00A543E9">
          <w:rPr>
            <w:rStyle w:val="Hyperlink"/>
            <w:i/>
            <w:iCs/>
          </w:rPr>
          <w:t>https://www.pmc.gov.au/resource-centre/regulation/cost-benefit-analysis-guidance-note#:~:text=A%20CBA%20involves%20a%20systematic,or%20effects%20on%20one%20group</w:t>
        </w:r>
      </w:hyperlink>
      <w:r w:rsidRPr="00A543E9">
        <w:rPr>
          <w:rStyle w:val="Hyperlink"/>
          <w:i/>
          <w:iCs/>
        </w:rPr>
        <w:t>.,</w:t>
      </w:r>
      <w:r>
        <w:t xml:space="preserve"> p.7</w:t>
      </w:r>
    </w:p>
  </w:footnote>
  <w:footnote w:id="55">
    <w:p w14:paraId="3938DDA7" w14:textId="77777777" w:rsidR="003235DB" w:rsidRPr="001F2D35" w:rsidRDefault="003235DB" w:rsidP="00DD5DAA">
      <w:pPr>
        <w:pStyle w:val="FootnoteText"/>
      </w:pPr>
      <w:r>
        <w:rPr>
          <w:rStyle w:val="FootnoteReference"/>
        </w:rPr>
        <w:footnoteRef/>
      </w:r>
      <w:r>
        <w:t xml:space="preserve"> </w:t>
      </w:r>
      <w:r>
        <w:tab/>
        <w:t xml:space="preserve">CIE 2017, </w:t>
      </w:r>
      <w:r>
        <w:rPr>
          <w:i/>
          <w:iCs/>
        </w:rPr>
        <w:t>Real social discount rates for Australian infrastructure projects: Policy discussion paper</w:t>
      </w:r>
      <w:r>
        <w:t>, final report for Infrastructure Australia, February 2017.</w:t>
      </w:r>
    </w:p>
  </w:footnote>
  <w:footnote w:id="56">
    <w:p w14:paraId="559C2190" w14:textId="77777777" w:rsidR="003235DB" w:rsidRDefault="003235DB" w:rsidP="00DD5DAA">
      <w:pPr>
        <w:pStyle w:val="FootnoteText"/>
      </w:pPr>
      <w:r>
        <w:rPr>
          <w:rStyle w:val="FootnoteReference"/>
        </w:rPr>
        <w:footnoteRef/>
      </w:r>
      <w:r>
        <w:t xml:space="preserve"> </w:t>
      </w:r>
      <w:r>
        <w:tab/>
      </w:r>
      <w:r>
        <w:rPr>
          <w:lang w:bidi="fa-IR"/>
        </w:rPr>
        <w:t>p.17 of Appendix 2 of Summer Foundation and MDI submission</w:t>
      </w:r>
    </w:p>
  </w:footnote>
  <w:footnote w:id="57">
    <w:p w14:paraId="61C07F9B" w14:textId="77777777" w:rsidR="003235DB" w:rsidRPr="00CF5CEB" w:rsidRDefault="003235DB" w:rsidP="00DD5DAA">
      <w:pPr>
        <w:pStyle w:val="FootnoteText"/>
        <w:rPr>
          <w:lang w:val="en-US"/>
        </w:rPr>
      </w:pPr>
      <w:r>
        <w:rPr>
          <w:rStyle w:val="FootnoteReference"/>
        </w:rPr>
        <w:footnoteRef/>
      </w:r>
      <w:r>
        <w:t xml:space="preserve"> </w:t>
      </w:r>
      <w:r>
        <w:tab/>
        <w:t>Submission by Simon Croft for HIA</w:t>
      </w:r>
      <w:r>
        <w:rPr>
          <w:lang w:val="en-US"/>
        </w:rPr>
        <w:t>, p. 21</w:t>
      </w:r>
      <w:r>
        <w:t xml:space="preserve">, accessed 1 December 2020, </w:t>
      </w:r>
      <w:r w:rsidRPr="00A543E9">
        <w:rPr>
          <w:rStyle w:val="Hyperlink"/>
          <w:i/>
          <w:iCs/>
        </w:rPr>
        <w:t>https://consultation.abcb.gov.au/engagement/consult-ris-accessible-housing/consultation/published_select_respondent.</w:t>
      </w:r>
    </w:p>
  </w:footnote>
  <w:footnote w:id="58">
    <w:p w14:paraId="30EC4589" w14:textId="77777777" w:rsidR="003235DB" w:rsidRDefault="003235DB" w:rsidP="007F3C6B">
      <w:pPr>
        <w:pStyle w:val="FootnoteText"/>
      </w:pPr>
      <w:r>
        <w:rPr>
          <w:rStyle w:val="FootnoteReference"/>
        </w:rPr>
        <w:footnoteRef/>
      </w:r>
      <w:r>
        <w:t xml:space="preserve"> </w:t>
      </w:r>
      <w:r>
        <w:tab/>
        <w:t xml:space="preserve">SGS Economics and Planning 2019, </w:t>
      </w:r>
      <w:r>
        <w:rPr>
          <w:i/>
          <w:iCs/>
        </w:rPr>
        <w:t xml:space="preserve">Planning Schemes Research, </w:t>
      </w:r>
      <w:r>
        <w:t>Draft Report V2, June 2019, Table 7, p.38</w:t>
      </w:r>
    </w:p>
  </w:footnote>
  <w:footnote w:id="59">
    <w:p w14:paraId="733465A5" w14:textId="77777777" w:rsidR="003235DB" w:rsidRDefault="003235DB" w:rsidP="007F3C6B">
      <w:pPr>
        <w:pStyle w:val="FootnoteText"/>
      </w:pPr>
      <w:r>
        <w:rPr>
          <w:rStyle w:val="FootnoteReference"/>
        </w:rPr>
        <w:footnoteRef/>
      </w:r>
      <w:r>
        <w:t xml:space="preserve"> </w:t>
      </w:r>
      <w:r>
        <w:tab/>
        <w:t xml:space="preserve">UDIA 2020, </w:t>
      </w:r>
      <w:r>
        <w:rPr>
          <w:i/>
          <w:iCs/>
        </w:rPr>
        <w:t>State of the Land 2020 National Residential Greenfield and Apartment Market Study</w:t>
      </w:r>
      <w:r>
        <w:t>, p. 46</w:t>
      </w:r>
      <w:r>
        <w:tab/>
        <w:t xml:space="preserve">See: </w:t>
      </w:r>
      <w:hyperlink r:id="rId12" w:tooltip="More information can be found at the website via this link" w:history="1">
        <w:r w:rsidRPr="00A543E9">
          <w:rPr>
            <w:rStyle w:val="Hyperlink"/>
            <w:i/>
            <w:iCs/>
          </w:rPr>
          <w:t>https://udia.com.au/research/udia-state-of-the-land-2020/</w:t>
        </w:r>
      </w:hyperlink>
      <w:r>
        <w:t>, accessed January 2021</w:t>
      </w:r>
    </w:p>
  </w:footnote>
  <w:footnote w:id="60">
    <w:p w14:paraId="3C2C52B8" w14:textId="77777777" w:rsidR="003235DB" w:rsidRDefault="003235DB">
      <w:pPr>
        <w:pStyle w:val="FootnoteText"/>
      </w:pPr>
      <w:r>
        <w:rPr>
          <w:rStyle w:val="FootnoteReference"/>
        </w:rPr>
        <w:footnoteRef/>
      </w:r>
      <w:r>
        <w:t xml:space="preserve"> </w:t>
      </w:r>
      <w:r>
        <w:tab/>
        <w:t>DCWC (2020), Table 4, p.10; p.16</w:t>
      </w:r>
    </w:p>
  </w:footnote>
  <w:footnote w:id="61">
    <w:p w14:paraId="0B6E265A" w14:textId="77777777" w:rsidR="003235DB" w:rsidRDefault="003235DB">
      <w:pPr>
        <w:pStyle w:val="FootnoteText"/>
      </w:pPr>
      <w:r>
        <w:rPr>
          <w:rStyle w:val="FootnoteReference"/>
        </w:rPr>
        <w:footnoteRef/>
      </w:r>
      <w:r>
        <w:t xml:space="preserve"> </w:t>
      </w:r>
      <w:r>
        <w:tab/>
        <w:t>DCWC (2020), p.14</w:t>
      </w:r>
    </w:p>
  </w:footnote>
  <w:footnote w:id="62">
    <w:p w14:paraId="1BC20571" w14:textId="77777777" w:rsidR="003235DB" w:rsidRPr="00442D4F" w:rsidRDefault="003235DB" w:rsidP="00DD5DAA">
      <w:pPr>
        <w:pStyle w:val="FootnoteText"/>
      </w:pPr>
      <w:r>
        <w:rPr>
          <w:rStyle w:val="FootnoteReference"/>
        </w:rPr>
        <w:footnoteRef/>
      </w:r>
      <w:r>
        <w:t xml:space="preserve"> </w:t>
      </w:r>
      <w:r>
        <w:tab/>
        <w:t xml:space="preserve">Carnemolla, P. and C. Bridge 2019, “Housing Design and Community Care: How Home Modifications Reduce Care Needs of Older People and People with Disability”, </w:t>
      </w:r>
      <w:r>
        <w:rPr>
          <w:i/>
          <w:iCs/>
        </w:rPr>
        <w:t>International Journal of Environmental Research and Public Health</w:t>
      </w:r>
      <w:r>
        <w:t xml:space="preserve">, </w:t>
      </w:r>
      <w:r w:rsidRPr="00442D4F">
        <w:rPr>
          <w:b/>
          <w:bCs/>
        </w:rPr>
        <w:t>16</w:t>
      </w:r>
      <w:r>
        <w:t>(11), p.7-8</w:t>
      </w:r>
    </w:p>
  </w:footnote>
  <w:footnote w:id="63">
    <w:p w14:paraId="7D57831C" w14:textId="77777777" w:rsidR="003235DB" w:rsidRPr="00AB1065" w:rsidRDefault="003235DB" w:rsidP="00DD5DAA">
      <w:pPr>
        <w:pStyle w:val="FootnoteText"/>
        <w:rPr>
          <w:lang w:val="en-US"/>
        </w:rPr>
      </w:pPr>
      <w:r>
        <w:rPr>
          <w:rStyle w:val="FootnoteReference"/>
        </w:rPr>
        <w:footnoteRef/>
      </w:r>
      <w:r>
        <w:t xml:space="preserve"> </w:t>
      </w:r>
      <w:r>
        <w:tab/>
      </w:r>
      <w:r>
        <w:rPr>
          <w:lang w:val="en-US"/>
        </w:rPr>
        <w:t xml:space="preserve">ABS website, </w:t>
      </w:r>
      <w:hyperlink r:id="rId13" w:tooltip="More information can be found at the website via this link" w:history="1">
        <w:r w:rsidRPr="00755EF2">
          <w:rPr>
            <w:rStyle w:val="Hyperlink"/>
            <w:lang w:val="en-US"/>
          </w:rPr>
          <w:t>https:</w:t>
        </w:r>
        <w:r w:rsidRPr="00A543E9">
          <w:rPr>
            <w:rStyle w:val="Hyperlink"/>
            <w:i/>
            <w:iCs/>
          </w:rPr>
          <w:t>//www.abs.gov.au/AUSSTATS/abs@.nsf/Latestproducts/4430.0Main%20Features52018?opendocument&amp;tabname=Summary&amp;prodno=4430.0&amp;issue=2018&amp;num=&amp;view=</w:t>
        </w:r>
      </w:hyperlink>
      <w:r>
        <w:rPr>
          <w:lang w:val="en-US"/>
        </w:rPr>
        <w:t>, accessed 7 September 2020</w:t>
      </w:r>
    </w:p>
  </w:footnote>
  <w:footnote w:id="64">
    <w:p w14:paraId="214DB8D1" w14:textId="77777777" w:rsidR="003235DB" w:rsidRDefault="003235DB" w:rsidP="00DD5DAA">
      <w:pPr>
        <w:pStyle w:val="FootnoteText"/>
      </w:pPr>
      <w:r>
        <w:rPr>
          <w:rStyle w:val="FootnoteReference"/>
        </w:rPr>
        <w:footnoteRef/>
      </w:r>
      <w:r>
        <w:t xml:space="preserve"> </w:t>
      </w:r>
      <w:r>
        <w:tab/>
        <w:t xml:space="preserve">AIHW 2019, </w:t>
      </w:r>
      <w:r>
        <w:rPr>
          <w:i/>
          <w:iCs/>
        </w:rPr>
        <w:t xml:space="preserve">Trends in hospitalised injury, Australia, 2007-08 to 2016-17, </w:t>
      </w:r>
      <w:r>
        <w:t xml:space="preserve">Injury Research and Statistics Series Number 124, </w:t>
      </w:r>
      <w:hyperlink r:id="rId14" w:tooltip="More information can be found at the website via this link" w:history="1">
        <w:r w:rsidRPr="00A543E9">
          <w:rPr>
            <w:rStyle w:val="Hyperlink"/>
            <w:i/>
            <w:iCs/>
          </w:rPr>
          <w:t>https://www.aihw.gov.au/getmedia/6cef34e2-2422-4f11-a9f3-06e336edac3f/aihw-injcat-204.pdf.aspx?inline=true</w:t>
        </w:r>
      </w:hyperlink>
    </w:p>
  </w:footnote>
  <w:footnote w:id="65">
    <w:p w14:paraId="3DB7F647" w14:textId="77777777" w:rsidR="003235DB" w:rsidRPr="00A26959" w:rsidRDefault="003235DB" w:rsidP="00DD5DAA">
      <w:pPr>
        <w:pStyle w:val="FootnoteText"/>
      </w:pPr>
      <w:r>
        <w:rPr>
          <w:rStyle w:val="FootnoteReference"/>
        </w:rPr>
        <w:footnoteRef/>
      </w:r>
      <w:r>
        <w:t xml:space="preserve"> </w:t>
      </w:r>
      <w:r>
        <w:tab/>
        <w:t xml:space="preserve">NHS 2020, </w:t>
      </w:r>
      <w:r>
        <w:rPr>
          <w:i/>
          <w:iCs/>
        </w:rPr>
        <w:t>Broken leg</w:t>
      </w:r>
      <w:r>
        <w:t xml:space="preserve">, </w:t>
      </w:r>
      <w:hyperlink r:id="rId15" w:anchor=":~:text=It%20takes%20around%206%20to,weight%20on%20the%20leg%20again" w:history="1">
        <w:r w:rsidRPr="00A543E9">
          <w:rPr>
            <w:rStyle w:val="Hyperlink"/>
            <w:i/>
            <w:iCs/>
          </w:rPr>
          <w:t>https://www.nhs.uk/conditions/broken-leg/#:~:text=It%20takes%20around%206%20to,weight%20on%20the%20leg%20again</w:t>
        </w:r>
      </w:hyperlink>
    </w:p>
  </w:footnote>
  <w:footnote w:id="66">
    <w:p w14:paraId="556FDF27" w14:textId="77777777" w:rsidR="003235DB" w:rsidRPr="00443E68" w:rsidRDefault="003235DB" w:rsidP="00DD5DAA">
      <w:pPr>
        <w:pStyle w:val="FootnoteText"/>
      </w:pPr>
      <w:r>
        <w:rPr>
          <w:rStyle w:val="FootnoteReference"/>
        </w:rPr>
        <w:footnoteRef/>
      </w:r>
      <w:r>
        <w:t xml:space="preserve"> </w:t>
      </w:r>
      <w:r>
        <w:tab/>
        <w:t xml:space="preserve">Safe Work Australia 2020, </w:t>
      </w:r>
      <w:r>
        <w:rPr>
          <w:i/>
          <w:iCs/>
        </w:rPr>
        <w:t>Australian Workers Compensation Statistics 2017-18</w:t>
      </w:r>
      <w:r>
        <w:t xml:space="preserve">, 10 January 2020, </w:t>
      </w:r>
      <w:hyperlink r:id="rId16" w:tooltip="More information can be found at the website via this link" w:history="1">
        <w:r w:rsidRPr="00A543E9">
          <w:rPr>
            <w:rStyle w:val="Hyperlink"/>
            <w:i/>
            <w:iCs/>
          </w:rPr>
          <w:t>https://www.safeworkaustralia.gov.au/doc/australian-workers-compensation-statistics-2017-18</w:t>
        </w:r>
      </w:hyperlink>
      <w:r>
        <w:t>, Table 37, p.48</w:t>
      </w:r>
    </w:p>
  </w:footnote>
  <w:footnote w:id="67">
    <w:p w14:paraId="3FD0C172" w14:textId="77777777" w:rsidR="003235DB" w:rsidRPr="00525717" w:rsidRDefault="003235DB" w:rsidP="00DD5DAA">
      <w:pPr>
        <w:pStyle w:val="FootnoteText"/>
      </w:pPr>
      <w:r>
        <w:rPr>
          <w:rStyle w:val="FootnoteReference"/>
        </w:rPr>
        <w:footnoteRef/>
      </w:r>
      <w:r>
        <w:t xml:space="preserve"> </w:t>
      </w:r>
      <w:r>
        <w:tab/>
        <w:t xml:space="preserve">NHS 2020, </w:t>
      </w:r>
      <w:r>
        <w:rPr>
          <w:i/>
          <w:iCs/>
        </w:rPr>
        <w:t>Dislocated kneecap</w:t>
      </w:r>
      <w:r>
        <w:t xml:space="preserve">, </w:t>
      </w:r>
      <w:hyperlink r:id="rId17" w:anchor=":~:text=A%20dislocated%20kneecap%20is%20a,the%20front%20of%20the%20knee" w:history="1">
        <w:r w:rsidRPr="00A543E9">
          <w:rPr>
            <w:rStyle w:val="Hyperlink"/>
            <w:i/>
            <w:iCs/>
          </w:rPr>
          <w:t>https://www.nhs.uk/conditions/dislocated-kneecap/#:~:text=A%20dislocated%20kneecap%20is%20a,the%20front%20of%20the%20knee</w:t>
        </w:r>
      </w:hyperlink>
      <w:r>
        <w:t xml:space="preserve"> </w:t>
      </w:r>
    </w:p>
  </w:footnote>
  <w:footnote w:id="68">
    <w:p w14:paraId="469A09EE" w14:textId="77777777" w:rsidR="003235DB" w:rsidRPr="00622782" w:rsidRDefault="003235DB" w:rsidP="00DD5DAA">
      <w:pPr>
        <w:pStyle w:val="FootnoteText"/>
        <w:rPr>
          <w:i/>
          <w:iCs/>
        </w:rPr>
      </w:pPr>
      <w:r>
        <w:rPr>
          <w:rStyle w:val="FootnoteReference"/>
        </w:rPr>
        <w:footnoteRef/>
      </w:r>
      <w:r>
        <w:t xml:space="preserve"> </w:t>
      </w:r>
      <w:r>
        <w:tab/>
        <w:t xml:space="preserve">AIHW 2020, </w:t>
      </w:r>
      <w:r>
        <w:rPr>
          <w:i/>
          <w:iCs/>
        </w:rPr>
        <w:t xml:space="preserve">Expenditure on mental health-related services, </w:t>
      </w:r>
      <w:hyperlink r:id="rId18" w:tooltip="More information can be found at the website via this link" w:history="1">
        <w:r w:rsidRPr="00A543E9">
          <w:rPr>
            <w:rStyle w:val="Hyperlink"/>
            <w:i/>
            <w:iCs/>
          </w:rPr>
          <w:t>https://www.aihw.gov.au/reports/mental-health-services/mental-health-services-in-australia/report-contents/expenditure-on-mental-health-related-services?request=smoothstate</w:t>
        </w:r>
      </w:hyperlink>
    </w:p>
  </w:footnote>
  <w:footnote w:id="69">
    <w:p w14:paraId="1E7BCF4C" w14:textId="77777777" w:rsidR="003235DB" w:rsidRPr="00ED4963" w:rsidRDefault="003235DB" w:rsidP="00DD5DAA">
      <w:pPr>
        <w:pStyle w:val="FootnoteText"/>
      </w:pPr>
      <w:r>
        <w:rPr>
          <w:rStyle w:val="FootnoteReference"/>
        </w:rPr>
        <w:footnoteRef/>
      </w:r>
      <w:r>
        <w:tab/>
        <w:t xml:space="preserve">Victoria Institute of Strategic Economic Studies 2016, </w:t>
      </w:r>
      <w:r>
        <w:rPr>
          <w:i/>
          <w:iCs/>
        </w:rPr>
        <w:t>The economic cost of serious mental illness and comorbidities in Australia and New Zealand</w:t>
      </w:r>
      <w:r>
        <w:t xml:space="preserve">, report prepared for the Royal Australian &amp; New Zealand College of Psychiatrists and the Australian Health Policy Collaboration, </w:t>
      </w:r>
      <w:hyperlink r:id="rId19" w:tooltip="More information can be found at the website via this link" w:history="1">
        <w:r w:rsidRPr="00A543E9">
          <w:rPr>
            <w:rStyle w:val="Hyperlink"/>
            <w:i/>
            <w:iCs/>
          </w:rPr>
          <w:t>https://www.ranzcp.org/files/resources/reports/ranzcp-serious-mental-illness.aspx</w:t>
        </w:r>
      </w:hyperlink>
    </w:p>
  </w:footnote>
  <w:footnote w:id="70">
    <w:p w14:paraId="0ECC564D" w14:textId="77777777" w:rsidR="003235DB" w:rsidRPr="00B977B2" w:rsidRDefault="003235DB" w:rsidP="00DD5DAA">
      <w:pPr>
        <w:pStyle w:val="FootnoteText"/>
      </w:pPr>
      <w:r>
        <w:rPr>
          <w:rStyle w:val="FootnoteReference"/>
        </w:rPr>
        <w:footnoteRef/>
      </w:r>
      <w:r>
        <w:t xml:space="preserve"> </w:t>
      </w:r>
      <w:r>
        <w:tab/>
        <w:t xml:space="preserve">The National Mental Health Commission 2016, </w:t>
      </w:r>
      <w:r>
        <w:rPr>
          <w:i/>
          <w:iCs/>
        </w:rPr>
        <w:t>Economics of Mental Health in Australia</w:t>
      </w:r>
      <w:r>
        <w:t xml:space="preserve">, 08 December 2016, </w:t>
      </w:r>
      <w:hyperlink r:id="rId20" w:tooltip="More information can be found at the website via this link" w:history="1">
        <w:r w:rsidRPr="00A543E9">
          <w:rPr>
            <w:rStyle w:val="Hyperlink"/>
            <w:i/>
            <w:iCs/>
          </w:rPr>
          <w:t>https://www.mentalhealthcommission.gov.au/news/2016/december/economics-of-mental-health-in-australia</w:t>
        </w:r>
      </w:hyperlink>
    </w:p>
  </w:footnote>
  <w:footnote w:id="71">
    <w:p w14:paraId="50178A95" w14:textId="77777777" w:rsidR="003235DB" w:rsidRPr="00B977B2" w:rsidRDefault="003235DB" w:rsidP="00DD5DAA">
      <w:pPr>
        <w:pStyle w:val="FootnoteText"/>
      </w:pPr>
      <w:r>
        <w:rPr>
          <w:rStyle w:val="FootnoteReference"/>
        </w:rPr>
        <w:footnoteRef/>
      </w:r>
      <w:r>
        <w:t xml:space="preserve"> </w:t>
      </w:r>
      <w:r>
        <w:tab/>
        <w:t xml:space="preserve">KPMG and Mental Health Australia 2018, </w:t>
      </w:r>
      <w:r>
        <w:rPr>
          <w:i/>
          <w:iCs/>
        </w:rPr>
        <w:t>Investing to Save: The economic benefits for Australia of investment in mental health reform</w:t>
      </w:r>
      <w:r>
        <w:t xml:space="preserve">, 1 May 2018, </w:t>
      </w:r>
      <w:hyperlink r:id="rId21" w:tooltip="More information can be found at the website via this link" w:history="1">
        <w:r w:rsidRPr="00A543E9">
          <w:rPr>
            <w:rStyle w:val="Hyperlink"/>
            <w:i/>
            <w:iCs/>
          </w:rPr>
          <w:t>https://mhaustralia.org/publication/investing-save-kpmg-and-mental-health-australia-report-may-2018</w:t>
        </w:r>
      </w:hyperlink>
    </w:p>
  </w:footnote>
  <w:footnote w:id="72">
    <w:p w14:paraId="322C6254" w14:textId="77777777" w:rsidR="003235DB" w:rsidRDefault="003235DB" w:rsidP="00DD5DAA">
      <w:pPr>
        <w:pStyle w:val="FootnoteText"/>
      </w:pPr>
      <w:r>
        <w:rPr>
          <w:rStyle w:val="FootnoteReference"/>
        </w:rPr>
        <w:footnoteRef/>
      </w:r>
      <w:r>
        <w:t xml:space="preserve"> </w:t>
      </w:r>
      <w:r>
        <w:tab/>
      </w:r>
      <w:r>
        <w:rPr>
          <w:lang w:val="en-US"/>
        </w:rPr>
        <w:t xml:space="preserve">Australian Institute for Health and Welfare, </w:t>
      </w:r>
      <w:hyperlink r:id="rId22" w:tooltip="More information can be found at the website via this link" w:history="1">
        <w:r>
          <w:rPr>
            <w:rStyle w:val="Hyperlink"/>
          </w:rPr>
          <w:t>h</w:t>
        </w:r>
        <w:r w:rsidRPr="00A543E9">
          <w:rPr>
            <w:rStyle w:val="Hyperlink"/>
            <w:i/>
            <w:iCs/>
          </w:rPr>
          <w:t>ttps://www.aihw.gov.au/reports/australias-welfare/social-isolation-and-loneliness</w:t>
        </w:r>
      </w:hyperlink>
    </w:p>
  </w:footnote>
  <w:footnote w:id="73">
    <w:p w14:paraId="6BC4EF14" w14:textId="77777777" w:rsidR="003235DB" w:rsidRPr="00AD5CA7" w:rsidRDefault="003235DB" w:rsidP="00DD5DAA">
      <w:pPr>
        <w:pStyle w:val="FootnoteText"/>
      </w:pPr>
      <w:r>
        <w:rPr>
          <w:rStyle w:val="FootnoteReference"/>
        </w:rPr>
        <w:footnoteRef/>
      </w:r>
      <w:r>
        <w:t xml:space="preserve"> </w:t>
      </w:r>
      <w:r>
        <w:tab/>
        <w:t xml:space="preserve">Carnemolla, P. and C. Bridge 2016, “Accessible Housing and Health-Related Quality of Life: Measurements of Wellbeing Outcomes Following Home Modifications”, </w:t>
      </w:r>
      <w:r>
        <w:rPr>
          <w:i/>
          <w:iCs/>
        </w:rPr>
        <w:t>International Journal of Architectural Research</w:t>
      </w:r>
      <w:r>
        <w:t xml:space="preserve"> </w:t>
      </w:r>
      <w:r w:rsidRPr="00AD5CA7">
        <w:rPr>
          <w:b/>
          <w:bCs/>
        </w:rPr>
        <w:t>10</w:t>
      </w:r>
      <w:r>
        <w:t>(2), p.38-51</w:t>
      </w:r>
    </w:p>
  </w:footnote>
  <w:footnote w:id="74">
    <w:p w14:paraId="7D14C5CD" w14:textId="77777777" w:rsidR="003235DB" w:rsidRPr="00F5386C" w:rsidRDefault="003235DB" w:rsidP="00DD5DAA">
      <w:pPr>
        <w:pStyle w:val="FootnoteText"/>
      </w:pPr>
      <w:r>
        <w:rPr>
          <w:rStyle w:val="FootnoteReference"/>
        </w:rPr>
        <w:footnoteRef/>
      </w:r>
      <w:r>
        <w:t xml:space="preserve"> </w:t>
      </w:r>
      <w:r>
        <w:tab/>
        <w:t xml:space="preserve">Deloitte Access Economics and Cares Australia 2020, </w:t>
      </w:r>
      <w:r>
        <w:rPr>
          <w:i/>
          <w:iCs/>
        </w:rPr>
        <w:t>The value of informal care in 2020</w:t>
      </w:r>
      <w:r>
        <w:t>, May 2020, p.iii</w:t>
      </w:r>
    </w:p>
  </w:footnote>
  <w:footnote w:id="75">
    <w:p w14:paraId="20F54D46" w14:textId="77777777" w:rsidR="003235DB" w:rsidRDefault="003235DB" w:rsidP="00DD5DAA">
      <w:pPr>
        <w:pStyle w:val="FootnoteText"/>
      </w:pPr>
      <w:r>
        <w:rPr>
          <w:rStyle w:val="FootnoteReference"/>
        </w:rPr>
        <w:footnoteRef/>
      </w:r>
      <w:r>
        <w:t xml:space="preserve"> </w:t>
      </w:r>
      <w:r>
        <w:tab/>
        <w:t>ibid, Table 2.3, p.18</w:t>
      </w:r>
    </w:p>
  </w:footnote>
  <w:footnote w:id="76">
    <w:p w14:paraId="7DA23D62" w14:textId="77777777" w:rsidR="003235DB" w:rsidRDefault="003235DB" w:rsidP="00DD5DAA">
      <w:pPr>
        <w:pStyle w:val="FootnoteText"/>
      </w:pPr>
      <w:r>
        <w:rPr>
          <w:rStyle w:val="FootnoteReference"/>
        </w:rPr>
        <w:footnoteRef/>
      </w:r>
      <w:r>
        <w:tab/>
        <w:t xml:space="preserve">Payscale 2020, </w:t>
      </w:r>
      <w:r>
        <w:rPr>
          <w:i/>
          <w:iCs/>
        </w:rPr>
        <w:t>Average Aged Care Worker Hourly Pay in Sydney, New South Wales</w:t>
      </w:r>
      <w:r>
        <w:t xml:space="preserve">, </w:t>
      </w:r>
      <w:r w:rsidRPr="00A543E9">
        <w:rPr>
          <w:rStyle w:val="Hyperlink"/>
          <w:i/>
          <w:iCs/>
        </w:rPr>
        <w:t>https://www.payscale.com/research/AU/Job=Aged_Care_Worker/Hourly_Rate/999a3db7/Sydney</w:t>
      </w:r>
    </w:p>
  </w:footnote>
  <w:footnote w:id="77">
    <w:p w14:paraId="5419D954" w14:textId="77777777" w:rsidR="003235DB" w:rsidRDefault="003235DB">
      <w:pPr>
        <w:pStyle w:val="FootnoteText"/>
      </w:pPr>
      <w:r>
        <w:rPr>
          <w:rStyle w:val="FootnoteReference"/>
        </w:rPr>
        <w:footnoteRef/>
      </w:r>
      <w:r>
        <w:t xml:space="preserve"> </w:t>
      </w:r>
      <w:r>
        <w:tab/>
      </w:r>
      <w:r w:rsidRPr="00B54D48">
        <w:rPr>
          <w:rStyle w:val="Hyperlink"/>
          <w:i/>
          <w:iCs/>
        </w:rPr>
        <w:t>https://www.aihw.gov.au/reports-data/health-conditions-disability-deaths/disability/glossary</w:t>
      </w:r>
    </w:p>
  </w:footnote>
  <w:footnote w:id="78">
    <w:p w14:paraId="7EB347C0" w14:textId="77777777" w:rsidR="003235DB" w:rsidRPr="00692247" w:rsidRDefault="003235DB" w:rsidP="00E4023A">
      <w:pPr>
        <w:pStyle w:val="FootnoteText"/>
        <w:rPr>
          <w:lang w:val="en-US"/>
        </w:rPr>
      </w:pPr>
      <w:r>
        <w:rPr>
          <w:rStyle w:val="FootnoteReference"/>
        </w:rPr>
        <w:footnoteRef/>
      </w:r>
      <w:r>
        <w:t xml:space="preserve"> </w:t>
      </w:r>
      <w:r>
        <w:tab/>
        <w:t xml:space="preserve">Commonwealth of Australia 2011, </w:t>
      </w:r>
      <w:r w:rsidRPr="007340AE">
        <w:rPr>
          <w:i/>
          <w:iCs/>
          <w:lang w:val="en-US"/>
        </w:rPr>
        <w:t>National Disability Strategy 2010</w:t>
      </w:r>
      <w:r w:rsidRPr="007340AE">
        <w:rPr>
          <w:i/>
          <w:iCs/>
          <w:lang w:val="en-US"/>
        </w:rPr>
        <w:noBreakHyphen/>
        <w:t>2020</w:t>
      </w:r>
      <w:r>
        <w:rPr>
          <w:i/>
          <w:iCs/>
          <w:lang w:val="en-US"/>
        </w:rPr>
        <w:t>:</w:t>
      </w:r>
      <w:r w:rsidRPr="007340AE">
        <w:rPr>
          <w:i/>
          <w:iCs/>
          <w:lang w:val="en-US"/>
        </w:rPr>
        <w:t xml:space="preserve"> An initiative of the Council of Australian Governments</w:t>
      </w:r>
      <w:r>
        <w:rPr>
          <w:lang w:val="en-US"/>
        </w:rPr>
        <w:t>, p. 32.</w:t>
      </w:r>
    </w:p>
  </w:footnote>
  <w:footnote w:id="79">
    <w:p w14:paraId="3ED48198" w14:textId="77777777" w:rsidR="003235DB" w:rsidRPr="008070D1" w:rsidRDefault="003235DB" w:rsidP="00E4023A">
      <w:pPr>
        <w:pStyle w:val="FootnoteText"/>
        <w:rPr>
          <w:lang w:val="en-US"/>
        </w:rPr>
      </w:pPr>
      <w:r>
        <w:rPr>
          <w:rStyle w:val="FootnoteReference"/>
        </w:rPr>
        <w:footnoteRef/>
      </w:r>
      <w:r>
        <w:t xml:space="preserve"> </w:t>
      </w:r>
      <w:r>
        <w:tab/>
      </w:r>
      <w:r>
        <w:rPr>
          <w:lang w:val="en-US"/>
        </w:rPr>
        <w:t xml:space="preserve">ABCB 2018, </w:t>
      </w:r>
      <w:r w:rsidRPr="00403AB1">
        <w:rPr>
          <w:i/>
          <w:iCs/>
          <w:lang w:val="en-US"/>
        </w:rPr>
        <w:t>Accessible Housing: Options Paper</w:t>
      </w:r>
      <w:r>
        <w:rPr>
          <w:lang w:val="en-US"/>
        </w:rPr>
        <w:t>, September 2018, p.4</w:t>
      </w:r>
    </w:p>
  </w:footnote>
  <w:footnote w:id="80">
    <w:p w14:paraId="797C6CF9" w14:textId="77777777" w:rsidR="003235DB" w:rsidRPr="00B54D48" w:rsidRDefault="003235DB">
      <w:pPr>
        <w:pStyle w:val="FootnoteText"/>
        <w:rPr>
          <w:rStyle w:val="Hyperlink"/>
          <w:i/>
          <w:iCs/>
        </w:rPr>
      </w:pPr>
      <w:r>
        <w:rPr>
          <w:rStyle w:val="FootnoteReference"/>
        </w:rPr>
        <w:footnoteRef/>
      </w:r>
      <w:r>
        <w:t xml:space="preserve"> </w:t>
      </w:r>
      <w:r>
        <w:tab/>
      </w:r>
      <w:r w:rsidRPr="00F915C5">
        <w:t>Anonymous Submission 570905003</w:t>
      </w:r>
      <w:r>
        <w:t>,</w:t>
      </w:r>
      <w:r w:rsidRPr="00F915C5">
        <w:t xml:space="preserve"> </w:t>
      </w:r>
      <w:r>
        <w:t>a</w:t>
      </w:r>
      <w:r w:rsidRPr="00F915C5">
        <w:t xml:space="preserve">ccessed </w:t>
      </w:r>
      <w:r>
        <w:t>13 November 2020,</w:t>
      </w:r>
      <w:r w:rsidRPr="00F915C5">
        <w:t xml:space="preserve"> </w:t>
      </w:r>
      <w:r w:rsidRPr="00B54D48">
        <w:rPr>
          <w:rStyle w:val="Hyperlink"/>
          <w:i/>
          <w:iCs/>
        </w:rPr>
        <w:t>https://consultation.abcb.gov.au/engagement/consult-ris-accessible-housing/consultation/published_select_respondent</w:t>
      </w:r>
    </w:p>
  </w:footnote>
  <w:footnote w:id="81">
    <w:p w14:paraId="356D749C" w14:textId="77777777" w:rsidR="003235DB" w:rsidRDefault="003235DB">
      <w:pPr>
        <w:pStyle w:val="FootnoteText"/>
      </w:pPr>
      <w:r>
        <w:rPr>
          <w:rStyle w:val="FootnoteReference"/>
        </w:rPr>
        <w:footnoteRef/>
      </w:r>
      <w:r>
        <w:t xml:space="preserve"> </w:t>
      </w:r>
      <w:r>
        <w:tab/>
      </w:r>
      <w:r w:rsidRPr="000D0051">
        <w:t>Submission by Raelene West</w:t>
      </w:r>
      <w:r>
        <w:t>,</w:t>
      </w:r>
      <w:r w:rsidRPr="000D0051">
        <w:t xml:space="preserve"> </w:t>
      </w:r>
      <w:r>
        <w:t>a</w:t>
      </w:r>
      <w:r w:rsidRPr="000D0051">
        <w:t xml:space="preserve">ccessed </w:t>
      </w:r>
      <w:r>
        <w:t>13 November 2020,</w:t>
      </w:r>
      <w:r w:rsidRPr="000D0051">
        <w:t xml:space="preserve"> </w:t>
      </w:r>
      <w:r w:rsidRPr="00B54D48">
        <w:rPr>
          <w:rStyle w:val="Hyperlink"/>
          <w:i/>
          <w:iCs/>
        </w:rPr>
        <w:t>https://consultation.abcb.gov.au/engagement/consult-ris-accessible-housing/consultation/published_select_respondent</w:t>
      </w:r>
    </w:p>
  </w:footnote>
  <w:footnote w:id="82">
    <w:p w14:paraId="431F4ABB" w14:textId="77777777" w:rsidR="003235DB" w:rsidRDefault="003235DB">
      <w:pPr>
        <w:pStyle w:val="FootnoteText"/>
      </w:pPr>
      <w:r>
        <w:rPr>
          <w:rStyle w:val="FootnoteReference"/>
        </w:rPr>
        <w:footnoteRef/>
      </w:r>
      <w:r>
        <w:t xml:space="preserve"> </w:t>
      </w:r>
      <w:r>
        <w:tab/>
      </w:r>
      <w:r w:rsidRPr="00CB397A">
        <w:t>Submission by Hayley Stone</w:t>
      </w:r>
      <w:r>
        <w:t xml:space="preserve"> for</w:t>
      </w:r>
      <w:r w:rsidRPr="00CB397A">
        <w:t xml:space="preserve"> Physical Disability Council of NSW</w:t>
      </w:r>
      <w:r>
        <w:t>,</w:t>
      </w:r>
      <w:r w:rsidRPr="00CB397A">
        <w:t xml:space="preserve"> p</w:t>
      </w:r>
      <w:r>
        <w:t>.</w:t>
      </w:r>
      <w:r w:rsidRPr="00CB397A">
        <w:t xml:space="preserve"> 6</w:t>
      </w:r>
      <w:r>
        <w:t>,</w:t>
      </w:r>
      <w:r w:rsidRPr="00CB397A">
        <w:t xml:space="preserve"> </w:t>
      </w:r>
      <w:r>
        <w:t>a</w:t>
      </w:r>
      <w:r w:rsidRPr="00CB397A">
        <w:t xml:space="preserve">ccessed </w:t>
      </w:r>
      <w:r>
        <w:t>13 November 2020,</w:t>
      </w:r>
      <w:r w:rsidRPr="00CB397A">
        <w:t xml:space="preserve"> </w:t>
      </w:r>
      <w:r w:rsidRPr="00B54D48">
        <w:rPr>
          <w:rStyle w:val="Hyperlink"/>
          <w:i/>
          <w:iCs/>
        </w:rPr>
        <w:t>https://consultation.abcb.gov.au/engagement/consult-ris-accessible-housing/consultation/published_select_respondent</w:t>
      </w:r>
    </w:p>
  </w:footnote>
  <w:footnote w:id="83">
    <w:p w14:paraId="2282BB68" w14:textId="77777777" w:rsidR="003235DB" w:rsidRPr="00F85B59" w:rsidRDefault="003235DB" w:rsidP="00E4023A">
      <w:pPr>
        <w:pStyle w:val="FootnoteText"/>
        <w:rPr>
          <w:lang w:val="en-US"/>
        </w:rPr>
      </w:pPr>
      <w:r>
        <w:rPr>
          <w:rStyle w:val="FootnoteReference"/>
        </w:rPr>
        <w:footnoteRef/>
      </w:r>
      <w:r>
        <w:t xml:space="preserve"> </w:t>
      </w:r>
      <w:r>
        <w:tab/>
      </w:r>
      <w:r>
        <w:rPr>
          <w:lang w:val="en-US"/>
        </w:rPr>
        <w:t xml:space="preserve">Bringolf, J. 2011, </w:t>
      </w:r>
      <w:r w:rsidRPr="00323164">
        <w:rPr>
          <w:i/>
          <w:iCs/>
          <w:lang w:val="en-US"/>
        </w:rPr>
        <w:t>Barriers to Universal Design in Housing</w:t>
      </w:r>
      <w:r>
        <w:rPr>
          <w:lang w:val="en-US"/>
        </w:rPr>
        <w:t>, A thesis submitted for the degree of Doctor of Philosophy, Urban Research Centre, College of Health and Science, University of Western Sydney, September 2011, p.54</w:t>
      </w:r>
    </w:p>
  </w:footnote>
  <w:footnote w:id="84">
    <w:p w14:paraId="0C5C4599" w14:textId="77777777" w:rsidR="003235DB" w:rsidRPr="00EB0160" w:rsidRDefault="003235DB" w:rsidP="00E4023A">
      <w:pPr>
        <w:pStyle w:val="FootnoteText"/>
        <w:rPr>
          <w:lang w:val="en-US"/>
        </w:rPr>
      </w:pPr>
      <w:r>
        <w:rPr>
          <w:rStyle w:val="FootnoteReference"/>
        </w:rPr>
        <w:footnoteRef/>
      </w:r>
      <w:r>
        <w:t xml:space="preserve"> </w:t>
      </w:r>
      <w:r>
        <w:tab/>
      </w:r>
      <w:r>
        <w:rPr>
          <w:lang w:val="en-US"/>
        </w:rPr>
        <w:t>These features are consistent with the Livable Housing Design Guidelines definition of ‘livable’ housing.</w:t>
      </w:r>
    </w:p>
  </w:footnote>
  <w:footnote w:id="85">
    <w:p w14:paraId="4AE6B6A1" w14:textId="77777777" w:rsidR="003235DB" w:rsidRPr="00692247" w:rsidRDefault="003235DB" w:rsidP="00E4023A">
      <w:pPr>
        <w:pStyle w:val="FootnoteText"/>
        <w:rPr>
          <w:lang w:val="en-US"/>
        </w:rPr>
      </w:pPr>
      <w:r>
        <w:rPr>
          <w:rStyle w:val="FootnoteReference"/>
        </w:rPr>
        <w:footnoteRef/>
      </w:r>
      <w:r>
        <w:t xml:space="preserve"> </w:t>
      </w:r>
      <w:r>
        <w:tab/>
        <w:t xml:space="preserve">Commonwealth of Australia 2011, </w:t>
      </w:r>
      <w:r w:rsidRPr="00403AB1">
        <w:rPr>
          <w:i/>
          <w:iCs/>
          <w:lang w:val="en-US"/>
        </w:rPr>
        <w:t>National Disability Strategy 2010</w:t>
      </w:r>
      <w:r w:rsidRPr="00403AB1">
        <w:rPr>
          <w:i/>
          <w:iCs/>
          <w:lang w:val="en-US"/>
        </w:rPr>
        <w:noBreakHyphen/>
        <w:t>2020</w:t>
      </w:r>
      <w:r>
        <w:rPr>
          <w:i/>
          <w:iCs/>
          <w:lang w:val="en-US"/>
        </w:rPr>
        <w:t>:</w:t>
      </w:r>
      <w:r w:rsidRPr="00403AB1">
        <w:rPr>
          <w:i/>
          <w:iCs/>
          <w:lang w:val="en-US"/>
        </w:rPr>
        <w:t xml:space="preserve"> An initiative of the Council of Australian Governments</w:t>
      </w:r>
      <w:r>
        <w:rPr>
          <w:lang w:val="en-US"/>
        </w:rPr>
        <w:t>, p.32</w:t>
      </w:r>
    </w:p>
  </w:footnote>
  <w:footnote w:id="86">
    <w:p w14:paraId="0FF9133C" w14:textId="77777777" w:rsidR="003235DB" w:rsidRDefault="003235DB">
      <w:pPr>
        <w:pStyle w:val="FootnoteText"/>
      </w:pPr>
      <w:r>
        <w:rPr>
          <w:rStyle w:val="FootnoteReference"/>
        </w:rPr>
        <w:footnoteRef/>
      </w:r>
      <w:r>
        <w:t xml:space="preserve"> </w:t>
      </w:r>
      <w:r>
        <w:tab/>
        <w:t xml:space="preserve">See for example, anonymous submission </w:t>
      </w:r>
      <w:r w:rsidRPr="00777C4D">
        <w:t>284174932</w:t>
      </w:r>
      <w:r>
        <w:t>.</w:t>
      </w:r>
    </w:p>
  </w:footnote>
  <w:footnote w:id="87">
    <w:p w14:paraId="6163A8FB" w14:textId="77777777" w:rsidR="003235DB" w:rsidRDefault="003235DB">
      <w:pPr>
        <w:pStyle w:val="FootnoteText"/>
      </w:pPr>
      <w:r>
        <w:rPr>
          <w:rStyle w:val="FootnoteReference"/>
        </w:rPr>
        <w:footnoteRef/>
      </w:r>
      <w:r>
        <w:t xml:space="preserve"> </w:t>
      </w:r>
      <w:r>
        <w:tab/>
        <w:t xml:space="preserve">ABS website, </w:t>
      </w:r>
      <w:hyperlink r:id="rId23" w:tooltip="More information can be found at the website via this link" w:history="1">
        <w:r w:rsidRPr="00D35224">
          <w:rPr>
            <w:rStyle w:val="Hyperlink"/>
            <w:i/>
            <w:iCs/>
          </w:rPr>
          <w:t>https://www.abs.gov.au/ausstats/abs@.nsf/Latestproducts/4431.0.55.002Main%20Features72012%20-%202016?opendocument&amp;tabname=Summary&amp;prodno=4431.0.55.002&amp;issue=2012%20-%202016&amp;num=&amp;view=</w:t>
        </w:r>
      </w:hyperlink>
      <w:r>
        <w:t>, accessed 28 October 2020.</w:t>
      </w:r>
    </w:p>
  </w:footnote>
  <w:footnote w:id="88">
    <w:p w14:paraId="47568A43" w14:textId="77777777" w:rsidR="003235DB" w:rsidRDefault="003235DB" w:rsidP="000B3706">
      <w:pPr>
        <w:pStyle w:val="FootnoteText"/>
      </w:pPr>
      <w:r>
        <w:rPr>
          <w:rStyle w:val="FootnoteReference"/>
        </w:rPr>
        <w:footnoteRef/>
      </w:r>
      <w:r>
        <w:t xml:space="preserve"> </w:t>
      </w:r>
      <w:r>
        <w:tab/>
        <w:t>Submission by Margret Ward for ANUHD, p.14, accessed 1 December 2020,</w:t>
      </w:r>
      <w:r>
        <w:tab/>
        <w:t xml:space="preserve"> </w:t>
      </w:r>
      <w:hyperlink r:id="rId24" w:tooltip="Available at the ABCB website" w:history="1">
        <w:r w:rsidRPr="003F21A2">
          <w:rPr>
            <w:rStyle w:val="Hyperlink"/>
          </w:rPr>
          <w:t>h</w:t>
        </w:r>
        <w:r w:rsidRPr="00D35224">
          <w:rPr>
            <w:rStyle w:val="Hyperlink"/>
            <w:i/>
            <w:iCs/>
          </w:rPr>
          <w:t>ttps://consultation.abcb.gov.au/engagement/consult-ris-accessible-housing/consultation/published_select_respondent</w:t>
        </w:r>
      </w:hyperlink>
    </w:p>
  </w:footnote>
  <w:footnote w:id="89">
    <w:p w14:paraId="5E030773" w14:textId="77777777" w:rsidR="003235DB" w:rsidRPr="00E74687" w:rsidRDefault="003235DB">
      <w:pPr>
        <w:pStyle w:val="FootnoteText"/>
      </w:pPr>
      <w:r>
        <w:rPr>
          <w:rStyle w:val="FootnoteReference"/>
        </w:rPr>
        <w:footnoteRef/>
      </w:r>
      <w:r>
        <w:t xml:space="preserve"> </w:t>
      </w:r>
      <w:r>
        <w:tab/>
        <w:t xml:space="preserve">DCWC 2020, </w:t>
      </w:r>
      <w:r>
        <w:rPr>
          <w:i/>
          <w:iCs/>
        </w:rPr>
        <w:t>Accessible Housing: Estimated Cost Impact of Proposed Changes to NCC</w:t>
      </w:r>
      <w:r>
        <w:t>, Report Revision V2.2 to ABCB, 23 December 2020.</w:t>
      </w:r>
    </w:p>
  </w:footnote>
  <w:footnote w:id="90">
    <w:p w14:paraId="3541C22F" w14:textId="77777777" w:rsidR="003235DB" w:rsidRPr="005A2131" w:rsidRDefault="003235DB" w:rsidP="00E4023A">
      <w:pPr>
        <w:pStyle w:val="FootnoteText"/>
        <w:rPr>
          <w:lang w:val="en-US"/>
        </w:rPr>
      </w:pPr>
      <w:r>
        <w:rPr>
          <w:rStyle w:val="FootnoteReference"/>
        </w:rPr>
        <w:footnoteRef/>
      </w:r>
      <w:r>
        <w:t xml:space="preserve"> </w:t>
      </w:r>
      <w:r>
        <w:tab/>
      </w:r>
      <w:r>
        <w:rPr>
          <w:lang w:val="en-US"/>
        </w:rPr>
        <w:t>NDIS website</w:t>
      </w:r>
      <w:r w:rsidRPr="00094DAB">
        <w:rPr>
          <w:szCs w:val="19"/>
          <w:lang w:val="en-US"/>
        </w:rPr>
        <w:t xml:space="preserve">, </w:t>
      </w:r>
      <w:hyperlink r:id="rId25" w:tooltip="More information can be found at the website via this link" w:history="1">
        <w:r w:rsidRPr="00D35224">
          <w:rPr>
            <w:rStyle w:val="Hyperlink"/>
            <w:rFonts w:eastAsiaTheme="minorEastAsia"/>
            <w:i/>
          </w:rPr>
          <w:t>https://www.ndis.gov.au/providers/essentials-providers-working-ndia/specialist-disability-accommodation</w:t>
        </w:r>
      </w:hyperlink>
      <w:r w:rsidRPr="00D35224">
        <w:rPr>
          <w:rStyle w:val="Hyperlink"/>
          <w:rFonts w:eastAsiaTheme="minorEastAsia"/>
          <w:i/>
        </w:rPr>
        <w:t>,</w:t>
      </w:r>
      <w:r w:rsidRPr="00094DAB">
        <w:rPr>
          <w:rFonts w:ascii="Calisto MT" w:eastAsiaTheme="minorEastAsia" w:hAnsi="Calisto MT"/>
          <w:szCs w:val="19"/>
        </w:rPr>
        <w:t xml:space="preserve"> accessed 11 October 2019</w:t>
      </w:r>
    </w:p>
  </w:footnote>
  <w:footnote w:id="91">
    <w:p w14:paraId="36C36522" w14:textId="77777777" w:rsidR="003235DB" w:rsidRPr="00AF797D" w:rsidRDefault="003235DB" w:rsidP="008849D5">
      <w:pPr>
        <w:pStyle w:val="FootnoteText"/>
      </w:pPr>
      <w:r>
        <w:rPr>
          <w:rStyle w:val="FootnoteReference"/>
        </w:rPr>
        <w:footnoteRef/>
      </w:r>
      <w:r>
        <w:t xml:space="preserve"> </w:t>
      </w:r>
      <w:r>
        <w:tab/>
        <w:t xml:space="preserve">National Disability Insurance Agency (NDIA) 2018, </w:t>
      </w:r>
      <w:r>
        <w:rPr>
          <w:i/>
          <w:iCs/>
        </w:rPr>
        <w:t>Specialist Disability Accommodation Provider and Investor Brief</w:t>
      </w:r>
      <w:r>
        <w:t xml:space="preserve">, April 2018, p. 8, </w:t>
      </w:r>
      <w:hyperlink r:id="rId26" w:tooltip="More information can be found at the website via this link" w:history="1">
        <w:r w:rsidRPr="00D35224">
          <w:rPr>
            <w:rStyle w:val="Hyperlink"/>
            <w:i/>
            <w:iCs/>
          </w:rPr>
          <w:t>https://www.ndis.gov.au/providers/housing-and-living-supports-and-services/housing/specialist-disability-accommodation</w:t>
        </w:r>
      </w:hyperlink>
      <w:r w:rsidRPr="00D35224">
        <w:rPr>
          <w:rStyle w:val="Hyperlink"/>
          <w:i/>
          <w:iCs/>
        </w:rPr>
        <w:t>,</w:t>
      </w:r>
      <w:r>
        <w:t xml:space="preserve"> accessed 3 December 2020</w:t>
      </w:r>
    </w:p>
  </w:footnote>
  <w:footnote w:id="92">
    <w:p w14:paraId="010B9DF3" w14:textId="77777777" w:rsidR="003235DB" w:rsidRPr="003C2069" w:rsidRDefault="003235DB" w:rsidP="00E4023A">
      <w:pPr>
        <w:pStyle w:val="FootnoteText"/>
        <w:rPr>
          <w:lang w:val="en-US"/>
        </w:rPr>
      </w:pPr>
      <w:r>
        <w:rPr>
          <w:rStyle w:val="FootnoteReference"/>
        </w:rPr>
        <w:footnoteRef/>
      </w:r>
      <w:r>
        <w:t xml:space="preserve"> </w:t>
      </w:r>
      <w:r>
        <w:tab/>
      </w:r>
      <w:r>
        <w:rPr>
          <w:lang w:val="en-US"/>
        </w:rPr>
        <w:t xml:space="preserve">Australian Government My Aged Care website, </w:t>
      </w:r>
      <w:hyperlink r:id="rId27" w:tooltip="More information can be found at the website via this link" w:history="1">
        <w:r w:rsidRPr="00D35224">
          <w:rPr>
            <w:rStyle w:val="Hyperlink"/>
            <w:i/>
            <w:iCs/>
          </w:rPr>
          <w:t>https://www.myagedcare.gov.au/help-at-home/commonwealth-home-support-programme</w:t>
        </w:r>
      </w:hyperlink>
      <w:r w:rsidRPr="00D35224">
        <w:rPr>
          <w:rStyle w:val="Hyperlink"/>
          <w:i/>
          <w:iCs/>
        </w:rPr>
        <w:t>,</w:t>
      </w:r>
      <w:r>
        <w:t xml:space="preserve"> accessed 13 January 2020</w:t>
      </w:r>
    </w:p>
  </w:footnote>
  <w:footnote w:id="93">
    <w:p w14:paraId="35B72987" w14:textId="77777777" w:rsidR="003235DB" w:rsidRDefault="003235DB">
      <w:pPr>
        <w:pStyle w:val="FootnoteText"/>
      </w:pPr>
      <w:r>
        <w:rPr>
          <w:rStyle w:val="FootnoteReference"/>
        </w:rPr>
        <w:footnoteRef/>
      </w:r>
      <w:r>
        <w:t xml:space="preserve"> </w:t>
      </w:r>
      <w:r>
        <w:tab/>
        <w:t xml:space="preserve">Duckett, Stephen, Anika Stobart and Hal Swerissen 2020, </w:t>
      </w:r>
      <w:r>
        <w:rPr>
          <w:i/>
          <w:iCs/>
        </w:rPr>
        <w:t>Reforming aged care: a practical plan for a rights-based system</w:t>
      </w:r>
      <w:r>
        <w:t xml:space="preserve">, Grattan Institute, 29 November 2020, </w:t>
      </w:r>
      <w:r w:rsidRPr="005A0B2B">
        <w:t>https://grattan.edu.au/report/reforming-aged-care-a-practical-plan-for-a-rights-based-system/</w:t>
      </w:r>
    </w:p>
  </w:footnote>
  <w:footnote w:id="94">
    <w:p w14:paraId="4EC0E700" w14:textId="77777777" w:rsidR="003235DB" w:rsidRPr="00960C5B" w:rsidRDefault="003235DB" w:rsidP="00E4023A">
      <w:pPr>
        <w:pStyle w:val="FootnoteText"/>
        <w:rPr>
          <w:lang w:val="en-GB"/>
        </w:rPr>
      </w:pPr>
      <w:r>
        <w:rPr>
          <w:rStyle w:val="FootnoteReference"/>
        </w:rPr>
        <w:footnoteRef/>
      </w:r>
      <w:r>
        <w:t xml:space="preserve"> </w:t>
      </w:r>
      <w:r>
        <w:tab/>
      </w:r>
      <w:r>
        <w:rPr>
          <w:lang w:val="en-GB"/>
        </w:rPr>
        <w:t xml:space="preserve">Department of Social Security website, </w:t>
      </w:r>
      <w:hyperlink r:id="rId28" w:tooltip="More information can be found at the website via this link" w:history="1">
        <w:r w:rsidRPr="00D35224">
          <w:rPr>
            <w:rStyle w:val="Hyperlink"/>
            <w:rFonts w:eastAsiaTheme="minorEastAsia"/>
            <w:i/>
          </w:rPr>
          <w:t>https://www.dss.gov.au/housing-support/programmes-services/commonwealth-rent-assistance</w:t>
        </w:r>
      </w:hyperlink>
      <w:r w:rsidRPr="00094DAB">
        <w:rPr>
          <w:rFonts w:ascii="Calisto MT" w:eastAsiaTheme="minorEastAsia" w:hAnsi="Calisto MT"/>
          <w:szCs w:val="19"/>
        </w:rPr>
        <w:t xml:space="preserve">, </w:t>
      </w:r>
      <w:r w:rsidRPr="00094DAB">
        <w:rPr>
          <w:lang w:val="en-GB"/>
        </w:rPr>
        <w:t>accessed 11 October 2019</w:t>
      </w:r>
    </w:p>
  </w:footnote>
  <w:footnote w:id="95">
    <w:p w14:paraId="596AD0D4" w14:textId="77777777" w:rsidR="003235DB" w:rsidRDefault="003235DB" w:rsidP="00E4023A">
      <w:pPr>
        <w:pStyle w:val="FootnoteText"/>
      </w:pPr>
      <w:r w:rsidRPr="00F57C28">
        <w:rPr>
          <w:rStyle w:val="FootnoteReference"/>
        </w:rPr>
        <w:footnoteRef/>
      </w:r>
      <w:r w:rsidRPr="00F57C28">
        <w:t xml:space="preserve"> </w:t>
      </w:r>
      <w:r w:rsidRPr="00F57C28">
        <w:tab/>
      </w:r>
      <w:r>
        <w:rPr>
          <w:lang w:val="en-US"/>
        </w:rPr>
        <w:t xml:space="preserve">ABCB 2018, </w:t>
      </w:r>
      <w:r w:rsidRPr="00403AB1">
        <w:rPr>
          <w:i/>
          <w:iCs/>
          <w:lang w:val="en-US"/>
        </w:rPr>
        <w:t>Accessible Housing: Options Paper</w:t>
      </w:r>
      <w:r>
        <w:rPr>
          <w:lang w:val="en-US"/>
        </w:rPr>
        <w:t>, September 2018</w:t>
      </w:r>
    </w:p>
  </w:footnote>
  <w:footnote w:id="96">
    <w:p w14:paraId="71DA2915" w14:textId="77777777" w:rsidR="003235DB" w:rsidRPr="00CF0F21" w:rsidRDefault="003235DB" w:rsidP="00E4023A">
      <w:pPr>
        <w:pStyle w:val="FootnoteText"/>
        <w:rPr>
          <w:lang w:val="en-US"/>
        </w:rPr>
      </w:pPr>
      <w:r>
        <w:rPr>
          <w:rStyle w:val="FootnoteReference"/>
        </w:rPr>
        <w:footnoteRef/>
      </w:r>
      <w:r>
        <w:t xml:space="preserve"> </w:t>
      </w:r>
      <w:r>
        <w:tab/>
        <w:t xml:space="preserve">PwC and Property Council 2018, </w:t>
      </w:r>
      <w:r w:rsidRPr="00094DAB">
        <w:rPr>
          <w:i/>
          <w:iCs/>
          <w:lang w:val="en-US"/>
        </w:rPr>
        <w:t>2018 PwC/Property Council Retirement Census</w:t>
      </w:r>
      <w:r>
        <w:rPr>
          <w:lang w:val="en-US"/>
        </w:rPr>
        <w:t>, November 2018, p.6.</w:t>
      </w:r>
    </w:p>
  </w:footnote>
  <w:footnote w:id="97">
    <w:p w14:paraId="59670330" w14:textId="77777777" w:rsidR="003235DB" w:rsidRPr="003C340C" w:rsidRDefault="003235DB" w:rsidP="00E4023A">
      <w:pPr>
        <w:pStyle w:val="FootnoteText"/>
        <w:rPr>
          <w:lang w:val="en-US"/>
        </w:rPr>
      </w:pPr>
      <w:r>
        <w:rPr>
          <w:rStyle w:val="FootnoteReference"/>
        </w:rPr>
        <w:footnoteRef/>
      </w:r>
      <w:r>
        <w:t xml:space="preserve"> </w:t>
      </w:r>
      <w:r>
        <w:tab/>
      </w:r>
      <w:r>
        <w:rPr>
          <w:lang w:val="en-US"/>
        </w:rPr>
        <w:t>Australian Institute of Health and Welfare website</w:t>
      </w:r>
      <w:r w:rsidRPr="00094DAB">
        <w:rPr>
          <w:szCs w:val="19"/>
          <w:lang w:val="en-US"/>
        </w:rPr>
        <w:t xml:space="preserve">, </w:t>
      </w:r>
      <w:hyperlink r:id="rId29" w:tooltip="More information can be found at the website via this link" w:history="1">
        <w:r w:rsidRPr="00D35224">
          <w:rPr>
            <w:rStyle w:val="Hyperlink"/>
            <w:rFonts w:eastAsiaTheme="minorEastAsia"/>
            <w:i/>
          </w:rPr>
          <w:t>https://www.gen-agedcaredata.gov.au/Resources/Access-data/2019/September/Aged-care-data-snapshot%E2%80%942019</w:t>
        </w:r>
      </w:hyperlink>
      <w:r w:rsidRPr="00094DAB">
        <w:rPr>
          <w:rFonts w:ascii="Calisto MT" w:eastAsiaTheme="minorEastAsia" w:hAnsi="Calisto MT"/>
          <w:szCs w:val="19"/>
        </w:rPr>
        <w:t>, accessed 22 December 2019.</w:t>
      </w:r>
    </w:p>
  </w:footnote>
  <w:footnote w:id="98">
    <w:p w14:paraId="5FF22C51" w14:textId="77777777" w:rsidR="003235DB" w:rsidRPr="00031075" w:rsidRDefault="003235DB" w:rsidP="00E4023A">
      <w:pPr>
        <w:pStyle w:val="FootnoteText"/>
        <w:rPr>
          <w:szCs w:val="19"/>
          <w:lang w:val="en-US"/>
        </w:rPr>
      </w:pPr>
      <w:r>
        <w:rPr>
          <w:rStyle w:val="FootnoteReference"/>
        </w:rPr>
        <w:footnoteRef/>
      </w:r>
      <w:r>
        <w:t xml:space="preserve"> </w:t>
      </w:r>
      <w:r>
        <w:tab/>
      </w:r>
      <w:r>
        <w:rPr>
          <w:lang w:val="en-US"/>
        </w:rPr>
        <w:t>Australian Institute of Health and Welfare website</w:t>
      </w:r>
      <w:r w:rsidRPr="00031075">
        <w:rPr>
          <w:szCs w:val="19"/>
          <w:lang w:val="en-US"/>
        </w:rPr>
        <w:t xml:space="preserve">, </w:t>
      </w:r>
      <w:hyperlink r:id="rId30" w:tooltip="More information can be found at the website via this link" w:history="1">
        <w:r w:rsidRPr="00D35224">
          <w:rPr>
            <w:rStyle w:val="Hyperlink"/>
            <w:rFonts w:eastAsiaTheme="minorEastAsia"/>
            <w:i/>
          </w:rPr>
          <w:t>https://www.gen-agedcaredata.gov.au/Resources/Access-data/2019/September/Aged-care-data-snapshot%E2%80%942019</w:t>
        </w:r>
      </w:hyperlink>
      <w:r w:rsidRPr="00D35224">
        <w:rPr>
          <w:rStyle w:val="Hyperlink"/>
          <w:rFonts w:eastAsiaTheme="minorEastAsia"/>
          <w:i/>
        </w:rPr>
        <w:t xml:space="preserve">, </w:t>
      </w:r>
      <w:r w:rsidRPr="00031075">
        <w:rPr>
          <w:rFonts w:ascii="Calisto MT" w:eastAsiaTheme="minorEastAsia" w:hAnsi="Calisto MT"/>
          <w:szCs w:val="19"/>
        </w:rPr>
        <w:t>accessed 22 December 2019.</w:t>
      </w:r>
    </w:p>
  </w:footnote>
  <w:footnote w:id="99">
    <w:p w14:paraId="689AFE22" w14:textId="77777777" w:rsidR="003235DB" w:rsidRPr="00D35224" w:rsidRDefault="003235DB" w:rsidP="00F02BD2">
      <w:pPr>
        <w:ind w:left="284" w:hanging="284"/>
        <w:rPr>
          <w:rStyle w:val="Hyperlink"/>
          <w:rFonts w:asciiTheme="minorHAnsi" w:eastAsia="Times New Roman" w:hAnsiTheme="minorHAnsi"/>
          <w:i/>
          <w:iCs/>
          <w:sz w:val="19"/>
          <w:szCs w:val="18"/>
        </w:rPr>
      </w:pPr>
      <w:r>
        <w:rPr>
          <w:rStyle w:val="FootnoteReference"/>
        </w:rPr>
        <w:footnoteRef/>
      </w:r>
      <w:r>
        <w:t xml:space="preserve"> </w:t>
      </w:r>
      <w:r>
        <w:tab/>
      </w:r>
      <w:r w:rsidRPr="00F02BD2">
        <w:rPr>
          <w:rFonts w:asciiTheme="minorHAnsi" w:eastAsia="Times New Roman" w:hAnsiTheme="minorHAnsi"/>
          <w:sz w:val="19"/>
          <w:szCs w:val="18"/>
        </w:rPr>
        <w:t xml:space="preserve">NDIS Quarterly Report to disability ministers, 31 December 2020, pp. 526-550. </w:t>
      </w:r>
      <w:hyperlink r:id="rId31" w:tooltip="More information can be found at the website via this link" w:history="1">
        <w:r w:rsidRPr="00D35224">
          <w:rPr>
            <w:rStyle w:val="Hyperlink"/>
            <w:rFonts w:asciiTheme="minorHAnsi" w:eastAsia="Times New Roman" w:hAnsiTheme="minorHAnsi"/>
            <w:i/>
            <w:iCs/>
            <w:sz w:val="19"/>
            <w:szCs w:val="18"/>
          </w:rPr>
          <w:t>https://www.ndis.gov.au/about-us/publications/quarterly-reports</w:t>
        </w:r>
      </w:hyperlink>
    </w:p>
  </w:footnote>
  <w:footnote w:id="100">
    <w:p w14:paraId="1D144EF9" w14:textId="77777777" w:rsidR="003235DB" w:rsidRPr="00084749" w:rsidRDefault="003235DB" w:rsidP="00E4023A">
      <w:pPr>
        <w:pStyle w:val="FootnoteText"/>
        <w:rPr>
          <w:lang w:val="en-US"/>
        </w:rPr>
      </w:pPr>
      <w:r>
        <w:rPr>
          <w:rStyle w:val="FootnoteReference"/>
        </w:rPr>
        <w:footnoteRef/>
      </w:r>
      <w:r>
        <w:t xml:space="preserve"> </w:t>
      </w:r>
      <w:r>
        <w:tab/>
      </w:r>
      <w:r>
        <w:rPr>
          <w:lang w:val="en-US"/>
        </w:rPr>
        <w:t xml:space="preserve">Australian Network for Universal Housing Design 2018, </w:t>
      </w:r>
      <w:r w:rsidRPr="008164F4">
        <w:rPr>
          <w:i/>
          <w:iCs/>
          <w:lang w:val="en-US"/>
        </w:rPr>
        <w:t>Report on the Survey on the provision of Livable housing design: the costs and benefits to Australian Society</w:t>
      </w:r>
      <w:r>
        <w:rPr>
          <w:lang w:val="en-US"/>
        </w:rPr>
        <w:t>, May 2018, p. 19</w:t>
      </w:r>
    </w:p>
  </w:footnote>
  <w:footnote w:id="101">
    <w:p w14:paraId="2F265A29" w14:textId="77777777" w:rsidR="003235DB" w:rsidRDefault="003235DB">
      <w:pPr>
        <w:pStyle w:val="FootnoteText"/>
      </w:pPr>
      <w:r>
        <w:rPr>
          <w:rStyle w:val="FootnoteReference"/>
        </w:rPr>
        <w:footnoteRef/>
      </w:r>
      <w:r>
        <w:t xml:space="preserve"> </w:t>
      </w:r>
      <w:r w:rsidRPr="00EF4775">
        <w:t>Submission by Jane Scott</w:t>
      </w:r>
      <w:r>
        <w:t>,</w:t>
      </w:r>
      <w:r w:rsidRPr="00EF4775">
        <w:t xml:space="preserve"> </w:t>
      </w:r>
      <w:r>
        <w:t>a</w:t>
      </w:r>
      <w:r w:rsidRPr="00EF4775">
        <w:t xml:space="preserve">ccessed </w:t>
      </w:r>
      <w:r>
        <w:t>13 November 2020,</w:t>
      </w:r>
      <w:r w:rsidRPr="00EF4775">
        <w:t xml:space="preserve"> </w:t>
      </w:r>
      <w:r w:rsidRPr="00D35224">
        <w:rPr>
          <w:rStyle w:val="Hyperlink"/>
          <w:i/>
          <w:iCs/>
        </w:rPr>
        <w:t>https://consultation.abcb.gov.au/engagement/consult-ris-accessible-housing/consultation/published_select_respondent</w:t>
      </w:r>
    </w:p>
  </w:footnote>
  <w:footnote w:id="102">
    <w:p w14:paraId="6D5D971B" w14:textId="77777777" w:rsidR="003235DB" w:rsidRDefault="003235DB" w:rsidP="007D4E08">
      <w:pPr>
        <w:pStyle w:val="FootnoteText"/>
      </w:pPr>
      <w:r>
        <w:rPr>
          <w:rStyle w:val="FootnoteReference"/>
        </w:rPr>
        <w:footnoteRef/>
      </w:r>
      <w:r>
        <w:t xml:space="preserve"> Pynoos, J. Steinman, B.A. and Nguyen, A.Q.D. 2010, ‘Environmental Assessment and Modification as Falls Prevention Strategies for Older Adults’, </w:t>
      </w:r>
      <w:r w:rsidRPr="00DF0E99">
        <w:rPr>
          <w:i/>
          <w:iCs/>
        </w:rPr>
        <w:t>Clinical Geriatric Medicine</w:t>
      </w:r>
      <w:r>
        <w:t>, November 26(4), pp.633</w:t>
      </w:r>
      <w:r>
        <w:noBreakHyphen/>
        <w:t>644.</w:t>
      </w:r>
    </w:p>
  </w:footnote>
  <w:footnote w:id="103">
    <w:p w14:paraId="3A7ADA33" w14:textId="77777777" w:rsidR="003235DB" w:rsidRDefault="003235DB" w:rsidP="00C15E45">
      <w:pPr>
        <w:pStyle w:val="FootnoteText"/>
      </w:pPr>
      <w:r>
        <w:rPr>
          <w:rStyle w:val="FootnoteReference"/>
        </w:rPr>
        <w:footnoteRef/>
      </w:r>
      <w:r>
        <w:t xml:space="preserve"> World Health Organization 2018, </w:t>
      </w:r>
      <w:r>
        <w:rPr>
          <w:i/>
          <w:iCs/>
        </w:rPr>
        <w:t>WHO Housing and health guidelines</w:t>
      </w:r>
      <w:r>
        <w:t>, chapter seven. Emphasis is in the WHO report (p.71).</w:t>
      </w:r>
      <w:r>
        <w:tab/>
      </w:r>
    </w:p>
  </w:footnote>
  <w:footnote w:id="104">
    <w:p w14:paraId="1611A5E1" w14:textId="77777777" w:rsidR="003235DB" w:rsidRDefault="003235DB" w:rsidP="007D4E08">
      <w:pPr>
        <w:pStyle w:val="FootnoteText"/>
      </w:pPr>
      <w:r>
        <w:rPr>
          <w:rStyle w:val="FootnoteReference"/>
        </w:rPr>
        <w:footnoteRef/>
      </w:r>
      <w:r>
        <w:t xml:space="preserve"> Hill, K. Vrantsidis, F., Haralambous, B. Fearn, M. Smith, R. Murray, K. Sims, J. Dorevitch, M. 2004, </w:t>
      </w:r>
      <w:r w:rsidRPr="008D5DBA">
        <w:rPr>
          <w:i/>
          <w:iCs/>
        </w:rPr>
        <w:t>An analysis of research on preventing falls and falls injury in older people: Community residential care and hospital settings</w:t>
      </w:r>
      <w:r>
        <w:t>, Report to the Australian Government Department of Health and Ageing, Injury Prevention Section by the National Ageing Research Institute, National Falls Prevention for Older People Initiative, p.26.</w:t>
      </w:r>
    </w:p>
  </w:footnote>
  <w:footnote w:id="105">
    <w:p w14:paraId="3E1569ED" w14:textId="77777777" w:rsidR="003235DB" w:rsidRDefault="003235DB" w:rsidP="007A64B0">
      <w:pPr>
        <w:pStyle w:val="FootnoteText"/>
      </w:pPr>
      <w:r w:rsidRPr="001C0337">
        <w:rPr>
          <w:rStyle w:val="FootnoteReference"/>
        </w:rPr>
        <w:footnoteRef/>
      </w:r>
      <w:r w:rsidRPr="001C0337">
        <w:t xml:space="preserve"> Wiesel, I. </w:t>
      </w:r>
      <w:r w:rsidRPr="001C0337">
        <w:rPr>
          <w:i/>
          <w:iCs/>
        </w:rPr>
        <w:t>Lived experience and social, health and economic impacts of inaccessible housing</w:t>
      </w:r>
      <w:r w:rsidRPr="001C0337">
        <w:t>, prepared</w:t>
      </w:r>
      <w:r>
        <w:t xml:space="preserve"> for the Melbourne Disability Institute, University of Melbourne and the Summer Foundation, 18 August 2020, as Appendix 2 of the submission by Melbourne Disability Institute (MDI) and Summer Foundation. p. 27</w:t>
      </w:r>
    </w:p>
  </w:footnote>
  <w:footnote w:id="106">
    <w:p w14:paraId="568D83FC" w14:textId="77777777" w:rsidR="003235DB" w:rsidRDefault="003235DB" w:rsidP="00F74635">
      <w:pPr>
        <w:pStyle w:val="FootnoteText"/>
      </w:pPr>
      <w:r>
        <w:rPr>
          <w:rStyle w:val="FootnoteReference"/>
        </w:rPr>
        <w:footnoteRef/>
      </w:r>
      <w:r>
        <w:t xml:space="preserve"> See for example: anonymous submissions </w:t>
      </w:r>
      <w:r w:rsidRPr="002C0FCE">
        <w:t>284174932</w:t>
      </w:r>
      <w:r>
        <w:t xml:space="preserve"> and submission by Margret Ward for the Australian Network for Universal Housing Design, pp. 9</w:t>
      </w:r>
      <w:r>
        <w:noBreakHyphen/>
        <w:t>10.</w:t>
      </w:r>
    </w:p>
  </w:footnote>
  <w:footnote w:id="107">
    <w:p w14:paraId="0E0D410D" w14:textId="77777777" w:rsidR="003235DB" w:rsidRDefault="003235DB" w:rsidP="00F74635">
      <w:pPr>
        <w:pStyle w:val="FootnoteText"/>
      </w:pPr>
      <w:r>
        <w:rPr>
          <w:rStyle w:val="FootnoteReference"/>
        </w:rPr>
        <w:footnoteRef/>
      </w:r>
      <w:r>
        <w:t xml:space="preserve"> See for example: Margret Ward, op.cit., pp. 18</w:t>
      </w:r>
      <w:r>
        <w:noBreakHyphen/>
        <w:t xml:space="preserve">19; and Anonymous Submission </w:t>
      </w:r>
      <w:r w:rsidRPr="00F13081">
        <w:t>284174932</w:t>
      </w:r>
    </w:p>
  </w:footnote>
  <w:footnote w:id="108">
    <w:p w14:paraId="2D8555C8" w14:textId="77777777" w:rsidR="003235DB" w:rsidRPr="00DF7B3F" w:rsidRDefault="003235DB" w:rsidP="00E4023A">
      <w:pPr>
        <w:pStyle w:val="FootnoteText"/>
        <w:rPr>
          <w:lang w:val="en-US"/>
        </w:rPr>
      </w:pPr>
      <w:r>
        <w:rPr>
          <w:rStyle w:val="FootnoteReference"/>
        </w:rPr>
        <w:footnoteRef/>
      </w:r>
      <w:r>
        <w:t xml:space="preserve"> </w:t>
      </w:r>
      <w:r>
        <w:rPr>
          <w:lang w:val="en-US"/>
        </w:rPr>
        <w:t xml:space="preserve">See discussion in Davy, L. Adams, T. and Bridge, C. </w:t>
      </w:r>
      <w:r w:rsidRPr="00DF7B3F">
        <w:rPr>
          <w:i/>
          <w:iCs/>
          <w:lang w:val="en-US"/>
        </w:rPr>
        <w:t>Caring for the Carer: Home design and modification for carers of young people with disability</w:t>
      </w:r>
      <w:r>
        <w:rPr>
          <w:lang w:val="en-US"/>
        </w:rPr>
        <w:t>, Home Modification Information Clearinghouse, City Futures Research Centre, Faculty of the Built Environment, University of New South Wales, p.19.</w:t>
      </w:r>
    </w:p>
  </w:footnote>
  <w:footnote w:id="109">
    <w:p w14:paraId="6F38AD20" w14:textId="77777777" w:rsidR="003235DB" w:rsidRDefault="003235DB">
      <w:pPr>
        <w:pStyle w:val="FootnoteText"/>
      </w:pPr>
      <w:r>
        <w:rPr>
          <w:rStyle w:val="FootnoteReference"/>
        </w:rPr>
        <w:footnoteRef/>
      </w:r>
      <w:r>
        <w:t xml:space="preserve"> Leigh, A. 2010, ‘Informal Care and Labor Market Participation’, </w:t>
      </w:r>
      <w:r>
        <w:rPr>
          <w:i/>
          <w:iCs/>
        </w:rPr>
        <w:t>Labour Economics</w:t>
      </w:r>
      <w:r>
        <w:t xml:space="preserve">, </w:t>
      </w:r>
      <w:r w:rsidRPr="00261CD1">
        <w:rPr>
          <w:b/>
          <w:bCs/>
        </w:rPr>
        <w:t>17</w:t>
      </w:r>
      <w:r>
        <w:t>(1), p.140-149.</w:t>
      </w:r>
    </w:p>
  </w:footnote>
  <w:footnote w:id="110">
    <w:p w14:paraId="6C568BCD" w14:textId="77777777" w:rsidR="003235DB" w:rsidRDefault="003235DB" w:rsidP="00320C9E">
      <w:pPr>
        <w:ind w:left="284" w:hanging="284"/>
      </w:pPr>
      <w:r>
        <w:rPr>
          <w:rStyle w:val="FootnoteReference"/>
        </w:rPr>
        <w:footnoteRef/>
      </w:r>
      <w:r>
        <w:t xml:space="preserve"> </w:t>
      </w:r>
      <w:r w:rsidRPr="00320C9E">
        <w:rPr>
          <w:rFonts w:asciiTheme="minorHAnsi" w:eastAsia="Times New Roman" w:hAnsiTheme="minorHAnsi"/>
          <w:sz w:val="19"/>
          <w:szCs w:val="18"/>
          <w:lang w:val="en-US"/>
        </w:rPr>
        <w:t>Provan, B. Burchardt, T. and Suh, E. No Place Like Home, Quality of life and opportunity for disabled people with accessible housing needs, London School of Economics and Political Science and Centre for Analysis of Social Exclusion, CASE Report 109, pp.15-16.</w:t>
      </w:r>
    </w:p>
  </w:footnote>
  <w:footnote w:id="111">
    <w:p w14:paraId="4F3E15F5" w14:textId="77777777" w:rsidR="003235DB" w:rsidRDefault="003235DB" w:rsidP="00483957">
      <w:pPr>
        <w:pStyle w:val="FootnoteText"/>
      </w:pPr>
      <w:r>
        <w:rPr>
          <w:rStyle w:val="FootnoteReference"/>
        </w:rPr>
        <w:footnoteRef/>
      </w:r>
      <w:r>
        <w:t xml:space="preserve"> Anonymous Submission 90458024, accessed 11 November 2020, </w:t>
      </w:r>
      <w:hyperlink r:id="rId32" w:tooltip="Available via teh ABCB website" w:history="1">
        <w:r w:rsidRPr="00D35224">
          <w:rPr>
            <w:rStyle w:val="Hyperlink"/>
            <w:i/>
            <w:iCs/>
          </w:rPr>
          <w:t>https://consultation.abcb.gov.au/engagement/consult-ris-accessible-housing/consultation/published_select_respondent</w:t>
        </w:r>
      </w:hyperlink>
      <w:r w:rsidRPr="00D35224">
        <w:rPr>
          <w:rStyle w:val="Hyperlink"/>
          <w:i/>
          <w:iCs/>
        </w:rPr>
        <w:t xml:space="preserve"> </w:t>
      </w:r>
    </w:p>
  </w:footnote>
  <w:footnote w:id="112">
    <w:p w14:paraId="1BDD33CB" w14:textId="77777777" w:rsidR="003235DB" w:rsidRDefault="003235DB" w:rsidP="00483957">
      <w:pPr>
        <w:pStyle w:val="FootnoteText"/>
      </w:pPr>
      <w:r>
        <w:rPr>
          <w:rStyle w:val="FootnoteReference"/>
        </w:rPr>
        <w:footnoteRef/>
      </w:r>
      <w:r>
        <w:t xml:space="preserve"> </w:t>
      </w:r>
      <w:r w:rsidRPr="006D4A2B">
        <w:t>Submission by Hayley Stone</w:t>
      </w:r>
      <w:r>
        <w:t xml:space="preserve"> for</w:t>
      </w:r>
      <w:r w:rsidRPr="006D4A2B">
        <w:t xml:space="preserve"> Physical Disability Council of NSW</w:t>
      </w:r>
      <w:r>
        <w:t>,</w:t>
      </w:r>
      <w:r w:rsidRPr="006D4A2B">
        <w:t xml:space="preserve"> p</w:t>
      </w:r>
      <w:r>
        <w:t>.</w:t>
      </w:r>
      <w:r w:rsidRPr="006D4A2B">
        <w:t>5</w:t>
      </w:r>
      <w:r>
        <w:t>,</w:t>
      </w:r>
      <w:r w:rsidRPr="006D4A2B">
        <w:t xml:space="preserve"> </w:t>
      </w:r>
      <w:r>
        <w:t>a</w:t>
      </w:r>
      <w:r w:rsidRPr="006D4A2B">
        <w:t xml:space="preserve">ccessed </w:t>
      </w:r>
      <w:r>
        <w:t xml:space="preserve">13 </w:t>
      </w:r>
      <w:r w:rsidRPr="00D35224">
        <w:rPr>
          <w:rStyle w:val="Hyperlink"/>
          <w:i/>
          <w:iCs/>
        </w:rPr>
        <w:t>November 2020, https://consultation.abcb.gov.au/engagement/consult-ris-accessible-housing/consultation/published_select_respondent</w:t>
      </w:r>
    </w:p>
  </w:footnote>
  <w:footnote w:id="113">
    <w:p w14:paraId="1018B9C8" w14:textId="77777777" w:rsidR="003235DB" w:rsidRPr="00D35224" w:rsidRDefault="003235DB" w:rsidP="00483957">
      <w:pPr>
        <w:pStyle w:val="FootnoteText"/>
        <w:rPr>
          <w:rStyle w:val="Hyperlink"/>
          <w:i/>
          <w:iCs/>
        </w:rPr>
      </w:pPr>
      <w:r>
        <w:rPr>
          <w:rStyle w:val="FootnoteReference"/>
        </w:rPr>
        <w:footnoteRef/>
      </w:r>
      <w:r>
        <w:t xml:space="preserve"> </w:t>
      </w:r>
      <w:r w:rsidRPr="002F400A">
        <w:t>Anonymous Submission 722067220</w:t>
      </w:r>
      <w:r>
        <w:t>,</w:t>
      </w:r>
      <w:r w:rsidRPr="002F400A">
        <w:t xml:space="preserve"> </w:t>
      </w:r>
      <w:r>
        <w:t>a</w:t>
      </w:r>
      <w:r w:rsidRPr="002F400A">
        <w:t xml:space="preserve">ccessed </w:t>
      </w:r>
      <w:r>
        <w:t>13 November 2020,</w:t>
      </w:r>
      <w:r w:rsidRPr="002F400A">
        <w:t xml:space="preserve"> </w:t>
      </w:r>
      <w:r w:rsidRPr="00D35224">
        <w:rPr>
          <w:rStyle w:val="Hyperlink"/>
          <w:i/>
          <w:iCs/>
        </w:rPr>
        <w:t>https://consultation.abcb.gov.au/engagement/consult-ris-accessible-housing/consultation/published_select_respondent</w:t>
      </w:r>
    </w:p>
  </w:footnote>
  <w:footnote w:id="114">
    <w:p w14:paraId="1F9BE8A1" w14:textId="77777777" w:rsidR="003235DB" w:rsidRDefault="003235DB" w:rsidP="00483957">
      <w:pPr>
        <w:pStyle w:val="FootnoteText"/>
      </w:pPr>
      <w:r>
        <w:rPr>
          <w:rStyle w:val="FootnoteReference"/>
        </w:rPr>
        <w:footnoteRef/>
      </w:r>
      <w:r>
        <w:t xml:space="preserve"> </w:t>
      </w:r>
      <w:r w:rsidRPr="007E2754">
        <w:t xml:space="preserve">Anonymous Submission 894045598 Accessed </w:t>
      </w:r>
      <w:r>
        <w:t>13 November 2020,</w:t>
      </w:r>
      <w:r w:rsidRPr="007E2754">
        <w:t xml:space="preserve"> </w:t>
      </w:r>
      <w:r w:rsidRPr="00D35224">
        <w:rPr>
          <w:rStyle w:val="Hyperlink"/>
          <w:i/>
          <w:iCs/>
        </w:rPr>
        <w:t>https://consultation.abcb.gov.au/engagement/consult-ris-accessible-housing/consultation/published_select_respondent</w:t>
      </w:r>
    </w:p>
  </w:footnote>
  <w:footnote w:id="115">
    <w:p w14:paraId="3B381A17" w14:textId="77777777" w:rsidR="003235DB" w:rsidRDefault="003235DB" w:rsidP="00483957">
      <w:pPr>
        <w:pStyle w:val="FootnoteText"/>
      </w:pPr>
      <w:r>
        <w:rPr>
          <w:rStyle w:val="FootnoteReference"/>
        </w:rPr>
        <w:footnoteRef/>
      </w:r>
      <w:r>
        <w:t xml:space="preserve"> </w:t>
      </w:r>
      <w:r w:rsidRPr="000112CF">
        <w:t>Wendy Lovelace</w:t>
      </w:r>
      <w:r>
        <w:t>,</w:t>
      </w:r>
      <w:r w:rsidRPr="000112CF">
        <w:t xml:space="preserve"> </w:t>
      </w:r>
      <w:r>
        <w:t>op. cit.</w:t>
      </w:r>
    </w:p>
  </w:footnote>
  <w:footnote w:id="116">
    <w:p w14:paraId="724DC7A2" w14:textId="77777777" w:rsidR="003235DB" w:rsidRDefault="003235DB" w:rsidP="00483957">
      <w:pPr>
        <w:pStyle w:val="FootnoteText"/>
      </w:pPr>
      <w:r>
        <w:rPr>
          <w:rStyle w:val="FootnoteReference"/>
        </w:rPr>
        <w:footnoteRef/>
      </w:r>
      <w:r>
        <w:t xml:space="preserve"> Wiesel, I. op. cit., p.31.</w:t>
      </w:r>
    </w:p>
  </w:footnote>
  <w:footnote w:id="117">
    <w:p w14:paraId="2CF0858B" w14:textId="77777777" w:rsidR="003235DB" w:rsidRPr="00BE37A8" w:rsidRDefault="003235DB" w:rsidP="00CC68EA">
      <w:pPr>
        <w:pStyle w:val="FootnoteText"/>
      </w:pPr>
      <w:r>
        <w:rPr>
          <w:rStyle w:val="FootnoteReference"/>
        </w:rPr>
        <w:footnoteRef/>
      </w:r>
      <w:r>
        <w:t xml:space="preserve"> Dalton, A. and R. Carter 2020b, </w:t>
      </w:r>
      <w:r>
        <w:rPr>
          <w:i/>
          <w:iCs/>
        </w:rPr>
        <w:t>Economic advice prepared to assist with responses to the Consultation Regulation Impact Statement on minimum accessibility standards for housing in the National Construction Code: Supplementary information prepared for the Melbourne Disability Institute, University of Melbourne and the Summer Foundation</w:t>
      </w:r>
      <w:r>
        <w:t xml:space="preserve">, p.4, in Melbourne Disability Institute and Summer Foundation, </w:t>
      </w:r>
      <w:r>
        <w:rPr>
          <w:i/>
          <w:iCs/>
        </w:rPr>
        <w:t xml:space="preserve">Accessible Housing the Way Forward: </w:t>
      </w:r>
      <w:r w:rsidRPr="00BE37A8">
        <w:rPr>
          <w:i/>
          <w:iCs/>
        </w:rPr>
        <w:t>Supplementary</w:t>
      </w:r>
      <w:r>
        <w:rPr>
          <w:i/>
          <w:iCs/>
        </w:rPr>
        <w:t xml:space="preserve"> information provided to the Australian Building Codes Board Consultation RIS</w:t>
      </w:r>
      <w:r>
        <w:t>.</w:t>
      </w:r>
    </w:p>
  </w:footnote>
  <w:footnote w:id="118">
    <w:p w14:paraId="223FEA5B" w14:textId="77777777" w:rsidR="003235DB" w:rsidRDefault="003235DB" w:rsidP="00483957">
      <w:pPr>
        <w:pStyle w:val="FootnoteText"/>
      </w:pPr>
      <w:r>
        <w:rPr>
          <w:rStyle w:val="FootnoteReference"/>
        </w:rPr>
        <w:footnoteRef/>
      </w:r>
      <w:r>
        <w:t xml:space="preserve"> As indicated earlier, quality of life utility index includes four components – independence, mental health, relationships and senses. Accessible housing has little impact on the senses component (vision and hearing changes), as pointed by Carnemolla (2015). It is therefore expected that the total size of quality of life impact is roughly three to four times the size of mental health impact, that is, around $1.6 billion.</w:t>
      </w:r>
    </w:p>
  </w:footnote>
  <w:footnote w:id="119">
    <w:p w14:paraId="090E7C21" w14:textId="77777777" w:rsidR="003235DB" w:rsidRDefault="003235DB" w:rsidP="00AA3716">
      <w:pPr>
        <w:pStyle w:val="FootnoteText"/>
      </w:pPr>
      <w:r>
        <w:rPr>
          <w:rStyle w:val="FootnoteReference"/>
        </w:rPr>
        <w:footnoteRef/>
      </w:r>
      <w:r>
        <w:t xml:space="preserve"> Assessment of Quality of Life website, </w:t>
      </w:r>
      <w:hyperlink r:id="rId33" w:tooltip="More information can be found at the website via this link" w:history="1">
        <w:r w:rsidRPr="00D35224">
          <w:rPr>
            <w:rStyle w:val="Hyperlink"/>
            <w:i/>
            <w:iCs/>
          </w:rPr>
          <w:t>https://www.aqol.com.au/index.php/allfaqs</w:t>
        </w:r>
      </w:hyperlink>
      <w:r>
        <w:t>, accessed 1 November 2020.</w:t>
      </w:r>
    </w:p>
  </w:footnote>
  <w:footnote w:id="120">
    <w:p w14:paraId="0BBCB404" w14:textId="77777777" w:rsidR="003235DB" w:rsidRDefault="003235DB">
      <w:pPr>
        <w:pStyle w:val="FootnoteText"/>
      </w:pPr>
      <w:r>
        <w:rPr>
          <w:rStyle w:val="FootnoteReference"/>
        </w:rPr>
        <w:footnoteRef/>
      </w:r>
      <w:r>
        <w:t xml:space="preserve"> See Carnemolla, P. 2015, </w:t>
      </w:r>
      <w:r w:rsidRPr="00060298">
        <w:rPr>
          <w:i/>
          <w:iCs/>
        </w:rPr>
        <w:t>Measuring non</w:t>
      </w:r>
      <w:r w:rsidRPr="00060298">
        <w:rPr>
          <w:i/>
          <w:iCs/>
        </w:rPr>
        <w:noBreakHyphen/>
        <w:t>shelter effects of housing design, A mixed</w:t>
      </w:r>
      <w:r w:rsidRPr="00060298">
        <w:rPr>
          <w:i/>
          <w:iCs/>
        </w:rPr>
        <w:noBreakHyphen/>
        <w:t>methods exploration of home modifications, care</w:t>
      </w:r>
      <w:r w:rsidRPr="00060298">
        <w:rPr>
          <w:i/>
          <w:iCs/>
        </w:rPr>
        <w:noBreakHyphen/>
        <w:t>giving and health</w:t>
      </w:r>
      <w:r w:rsidRPr="00060298">
        <w:rPr>
          <w:i/>
          <w:iCs/>
        </w:rPr>
        <w:noBreakHyphen/>
        <w:t>related quality o</w:t>
      </w:r>
      <w:r>
        <w:rPr>
          <w:i/>
          <w:iCs/>
        </w:rPr>
        <w:t>f</w:t>
      </w:r>
      <w:r w:rsidRPr="00060298">
        <w:rPr>
          <w:i/>
          <w:iCs/>
        </w:rPr>
        <w:t xml:space="preserve"> life</w:t>
      </w:r>
      <w:r>
        <w:t>, A thesis in fulfilment of the requirements for the degree of Doctor of Philosophy, University of NSW, Faculty of Built Environment, pp. 116</w:t>
      </w:r>
      <w:r>
        <w:noBreakHyphen/>
        <w:t>119 and 127.</w:t>
      </w:r>
    </w:p>
  </w:footnote>
  <w:footnote w:id="121">
    <w:p w14:paraId="6152AF81" w14:textId="77777777" w:rsidR="003235DB" w:rsidRDefault="003235DB" w:rsidP="001C296F">
      <w:pPr>
        <w:pStyle w:val="FootnoteText"/>
      </w:pPr>
      <w:r>
        <w:rPr>
          <w:rStyle w:val="FootnoteReference"/>
        </w:rPr>
        <w:footnoteRef/>
      </w:r>
      <w:r>
        <w:t xml:space="preserve"> See Assessment of Quality of Life website, </w:t>
      </w:r>
      <w:hyperlink r:id="rId34" w:tooltip="More information can be found at the website via this link" w:history="1">
        <w:r w:rsidRPr="00D35224">
          <w:rPr>
            <w:rStyle w:val="Hyperlink"/>
            <w:i/>
            <w:iCs/>
          </w:rPr>
          <w:t>https://www.aqol.com.au/index.php/allfaqs</w:t>
        </w:r>
      </w:hyperlink>
      <w:r w:rsidRPr="00D35224">
        <w:rPr>
          <w:rStyle w:val="Hyperlink"/>
          <w:i/>
          <w:iCs/>
        </w:rPr>
        <w:t xml:space="preserve">, </w:t>
      </w:r>
      <w:r>
        <w:t>accessed 23 December 2020.</w:t>
      </w:r>
    </w:p>
  </w:footnote>
  <w:footnote w:id="122">
    <w:p w14:paraId="3C23CE97" w14:textId="77777777" w:rsidR="003235DB" w:rsidRDefault="003235DB">
      <w:pPr>
        <w:pStyle w:val="FootnoteText"/>
      </w:pPr>
      <w:r>
        <w:rPr>
          <w:rStyle w:val="FootnoteReference"/>
        </w:rPr>
        <w:footnoteRef/>
      </w:r>
      <w:r>
        <w:t xml:space="preserve"> See for example: Carnemolla, P. and C. Bridge 2016, “Accessible Housing and Health-Related Quality of Life: Measurements of Wellbeing Outccomes Following Home Modifications”, </w:t>
      </w:r>
      <w:r>
        <w:rPr>
          <w:i/>
          <w:iCs/>
        </w:rPr>
        <w:t>International Journal of Architectural Research</w:t>
      </w:r>
      <w:r>
        <w:t xml:space="preserve"> </w:t>
      </w:r>
      <w:r w:rsidRPr="00AD5CA7">
        <w:rPr>
          <w:b/>
          <w:bCs/>
        </w:rPr>
        <w:t>10</w:t>
      </w:r>
      <w:r>
        <w:t xml:space="preserve">(2), pp.38-51; and </w:t>
      </w:r>
      <w:r w:rsidRPr="00B22903">
        <w:t>Andrich</w:t>
      </w:r>
      <w:r>
        <w:t>, R., M. Ferrario and M. Moi</w:t>
      </w:r>
      <w:r w:rsidRPr="00B22903">
        <w:t xml:space="preserve"> 1998</w:t>
      </w:r>
      <w:r>
        <w:t xml:space="preserve">, “A model of cost-outcome analysis for assistive technology”, </w:t>
      </w:r>
      <w:r>
        <w:rPr>
          <w:i/>
          <w:iCs/>
        </w:rPr>
        <w:t>Disability and Rehabilitation</w:t>
      </w:r>
      <w:r>
        <w:t xml:space="preserve">, </w:t>
      </w:r>
      <w:r w:rsidRPr="00787D15">
        <w:rPr>
          <w:b/>
          <w:bCs/>
        </w:rPr>
        <w:t>20</w:t>
      </w:r>
      <w:r>
        <w:t>(1), pp.1-24</w:t>
      </w:r>
      <w:r w:rsidRPr="00B22903">
        <w:t>.</w:t>
      </w:r>
    </w:p>
  </w:footnote>
  <w:footnote w:id="123">
    <w:p w14:paraId="44B951D2" w14:textId="77777777" w:rsidR="003235DB" w:rsidRDefault="003235DB" w:rsidP="00E4023A">
      <w:pPr>
        <w:pStyle w:val="FootnoteText"/>
      </w:pPr>
      <w:r>
        <w:rPr>
          <w:rStyle w:val="FootnoteReference"/>
        </w:rPr>
        <w:footnoteRef/>
      </w:r>
      <w:r>
        <w:t xml:space="preserve"> Carnemolla and Bridge (2019) report survey data of 157 individuals (average age 72) who have had modifications installed in the last 6 months. In the data set, bathroom modifications are the most significant modifications. There are 55 ‘full bathroom renovations’, which CIE uses to estimate that around one third of homes require substantial modification, while around two thirds require only minor modifications. </w:t>
      </w:r>
    </w:p>
  </w:footnote>
  <w:footnote w:id="124">
    <w:p w14:paraId="1484AC66" w14:textId="77777777" w:rsidR="003235DB" w:rsidRDefault="003235DB" w:rsidP="00E4023A">
      <w:pPr>
        <w:pStyle w:val="FootnoteText"/>
      </w:pPr>
      <w:r>
        <w:rPr>
          <w:rStyle w:val="FootnoteReference"/>
        </w:rPr>
        <w:footnoteRef/>
      </w:r>
      <w:r>
        <w:t xml:space="preserve"> Substantial modifications can involve full bathroom renovations. Internet commentary suggests bathroom renovations can take up to 7 weeks, including delays (see: </w:t>
      </w:r>
      <w:hyperlink r:id="rId35" w:tooltip="More information can be found at the website via this link" w:history="1">
        <w:r w:rsidRPr="00B21740">
          <w:t>https://www.service.com.au/articles/bathroom/how-long-does-a-bathroom-renovation-take</w:t>
        </w:r>
      </w:hyperlink>
      <w:r w:rsidRPr="00B21740">
        <w:t>).</w:t>
      </w:r>
      <w:r>
        <w:rPr>
          <w:rFonts w:ascii="Calisto MT" w:eastAsiaTheme="minorEastAsia" w:hAnsi="Calisto MT"/>
          <w:sz w:val="21"/>
          <w:szCs w:val="21"/>
        </w:rPr>
        <w:t xml:space="preserve"> </w:t>
      </w:r>
      <w:r w:rsidRPr="00B21740">
        <w:t>Bathroom renovations involving modifications for accessibility are likely to be more complicated than ‘normal’ renovations</w:t>
      </w:r>
      <w:r>
        <w:t>.</w:t>
      </w:r>
    </w:p>
  </w:footnote>
  <w:footnote w:id="125">
    <w:p w14:paraId="40D686FE" w14:textId="77777777" w:rsidR="003235DB" w:rsidRPr="00D35224" w:rsidRDefault="003235DB">
      <w:pPr>
        <w:pStyle w:val="FootnoteText"/>
        <w:rPr>
          <w:rStyle w:val="Hyperlink"/>
          <w:i/>
          <w:iCs/>
        </w:rPr>
      </w:pPr>
      <w:r>
        <w:rPr>
          <w:rStyle w:val="FootnoteReference"/>
        </w:rPr>
        <w:footnoteRef/>
      </w:r>
      <w:r>
        <w:t xml:space="preserve"> </w:t>
      </w:r>
      <w:r w:rsidRPr="00286A29">
        <w:t>Submission by Lee Jordan</w:t>
      </w:r>
      <w:r>
        <w:t>,</w:t>
      </w:r>
      <w:r w:rsidRPr="00286A29">
        <w:t xml:space="preserve"> </w:t>
      </w:r>
      <w:r>
        <w:t>a</w:t>
      </w:r>
      <w:r w:rsidRPr="00286A29">
        <w:t xml:space="preserve">ccessed </w:t>
      </w:r>
      <w:r>
        <w:t>13 November 2020,</w:t>
      </w:r>
      <w:r w:rsidRPr="00286A29">
        <w:t xml:space="preserve"> </w:t>
      </w:r>
      <w:r w:rsidRPr="00D35224">
        <w:rPr>
          <w:rStyle w:val="Hyperlink"/>
          <w:i/>
          <w:iCs/>
        </w:rPr>
        <w:t>https://consultation.abcb.gov.au/engagement/consult-ris-accessible-housing/consultation/published_select_respondent</w:t>
      </w:r>
    </w:p>
  </w:footnote>
  <w:footnote w:id="126">
    <w:p w14:paraId="0105921F" w14:textId="77777777" w:rsidR="003235DB" w:rsidRPr="00D35224" w:rsidRDefault="003235DB" w:rsidP="00970AB1">
      <w:pPr>
        <w:pStyle w:val="FootnoteText"/>
        <w:rPr>
          <w:rStyle w:val="Hyperlink"/>
          <w:i/>
          <w:iCs/>
        </w:rPr>
      </w:pPr>
      <w:r>
        <w:rPr>
          <w:rStyle w:val="FootnoteReference"/>
        </w:rPr>
        <w:footnoteRef/>
      </w:r>
      <w:r>
        <w:t xml:space="preserve"> </w:t>
      </w:r>
      <w:r w:rsidRPr="00970AB1">
        <w:t>Submission by Amelia Condi</w:t>
      </w:r>
      <w:r>
        <w:t xml:space="preserve"> for</w:t>
      </w:r>
      <w:r w:rsidRPr="00970AB1">
        <w:t xml:space="preserve"> Summer Foundation</w:t>
      </w:r>
      <w:r>
        <w:t>,</w:t>
      </w:r>
      <w:r w:rsidRPr="00970AB1">
        <w:t xml:space="preserve"> p</w:t>
      </w:r>
      <w:r>
        <w:t>.</w:t>
      </w:r>
      <w:r w:rsidRPr="00970AB1">
        <w:t xml:space="preserve"> 3</w:t>
      </w:r>
      <w:r>
        <w:t>,</w:t>
      </w:r>
      <w:r w:rsidRPr="00970AB1">
        <w:t xml:space="preserve"> </w:t>
      </w:r>
      <w:r>
        <w:t>a</w:t>
      </w:r>
      <w:r w:rsidRPr="00970AB1">
        <w:t xml:space="preserve">ccessed </w:t>
      </w:r>
      <w:r>
        <w:t>13 November 2020,</w:t>
      </w:r>
      <w:r w:rsidRPr="00970AB1">
        <w:t xml:space="preserve"> </w:t>
      </w:r>
      <w:r w:rsidRPr="00D35224">
        <w:rPr>
          <w:rStyle w:val="Hyperlink"/>
          <w:i/>
          <w:iCs/>
        </w:rPr>
        <w:t>https://consultation.abcb.gov.au/engagement/consult-ris-accessible-housing/consultation/published_select_respondent</w:t>
      </w:r>
    </w:p>
  </w:footnote>
  <w:footnote w:id="127">
    <w:p w14:paraId="4DC36C8D" w14:textId="77777777" w:rsidR="003235DB" w:rsidRPr="00D71A2E" w:rsidRDefault="003235DB" w:rsidP="0082607B">
      <w:pPr>
        <w:pStyle w:val="FootnoteText"/>
      </w:pPr>
      <w:r>
        <w:rPr>
          <w:rStyle w:val="FootnoteReference"/>
        </w:rPr>
        <w:footnoteRef/>
      </w:r>
      <w:r>
        <w:t xml:space="preserve"> DCWC 2021, </w:t>
      </w:r>
      <w:r>
        <w:rPr>
          <w:i/>
          <w:iCs/>
        </w:rPr>
        <w:t xml:space="preserve">NCC Accessible Housing Sundry Cost Advice, </w:t>
      </w:r>
      <w:r>
        <w:t>, 5 January 2021 and associated spreadsheets</w:t>
      </w:r>
    </w:p>
  </w:footnote>
  <w:footnote w:id="128">
    <w:p w14:paraId="5D284D64" w14:textId="77777777" w:rsidR="003235DB" w:rsidRPr="00E32AAC" w:rsidRDefault="003235DB" w:rsidP="00E4023A">
      <w:pPr>
        <w:pStyle w:val="FootnoteText"/>
      </w:pPr>
      <w:r>
        <w:rPr>
          <w:rStyle w:val="FootnoteReference"/>
        </w:rPr>
        <w:footnoteRef/>
      </w:r>
      <w:r>
        <w:t xml:space="preserve"> Young People In Nursing Homes National Alliance and Monash University Department of Architecture 2015, </w:t>
      </w:r>
      <w:r>
        <w:rPr>
          <w:i/>
          <w:iCs/>
        </w:rPr>
        <w:t>Shaping the Future Today: Transforming Housing Policy for Australians with Disability</w:t>
      </w:r>
      <w:r>
        <w:t>, a housing policy discussion paper, Melbourne, p.20</w:t>
      </w:r>
    </w:p>
  </w:footnote>
  <w:footnote w:id="129">
    <w:p w14:paraId="6E2DD768" w14:textId="77777777" w:rsidR="003235DB" w:rsidRDefault="003235DB">
      <w:pPr>
        <w:pStyle w:val="FootnoteText"/>
      </w:pPr>
      <w:r>
        <w:rPr>
          <w:rStyle w:val="FootnoteReference"/>
        </w:rPr>
        <w:footnoteRef/>
      </w:r>
      <w:r>
        <w:t xml:space="preserve"> Associated Professor Libby Callaway, op. cit., p.10-12</w:t>
      </w:r>
    </w:p>
  </w:footnote>
  <w:footnote w:id="130">
    <w:p w14:paraId="6FADA811" w14:textId="77777777" w:rsidR="003235DB" w:rsidRPr="00A51510" w:rsidRDefault="003235DB" w:rsidP="00C21694">
      <w:pPr>
        <w:pStyle w:val="FootnoteText"/>
        <w:rPr>
          <w:lang w:val="en-US"/>
        </w:rPr>
      </w:pPr>
      <w:r>
        <w:rPr>
          <w:rStyle w:val="FootnoteReference"/>
        </w:rPr>
        <w:footnoteRef/>
      </w:r>
      <w:r>
        <w:t xml:space="preserve"> </w:t>
      </w:r>
      <w:r>
        <w:rPr>
          <w:lang w:val="en-US"/>
        </w:rPr>
        <w:t xml:space="preserve">See for example: </w:t>
      </w:r>
      <w:hyperlink r:id="rId36" w:history="1">
        <w:r w:rsidRPr="00D35224">
          <w:rPr>
            <w:rStyle w:val="Hyperlink"/>
            <w:i/>
            <w:iCs/>
          </w:rPr>
          <w:t>https://www.openagent.com.au/blog/how-much-moving-cost?at=v5&amp;utm_expid=.6ZprDALXQh2rpM05ZARdBA.1&amp;utm_referrer=https%3A%2F%2Fwww.google.com%2F</w:t>
        </w:r>
      </w:hyperlink>
      <w:r>
        <w:t>, accessed 23 January 2020.</w:t>
      </w:r>
    </w:p>
  </w:footnote>
  <w:footnote w:id="131">
    <w:p w14:paraId="7415749B" w14:textId="77777777" w:rsidR="003235DB" w:rsidRPr="00D35224" w:rsidRDefault="003235DB">
      <w:pPr>
        <w:pStyle w:val="FootnoteText"/>
        <w:rPr>
          <w:rStyle w:val="Hyperlink"/>
          <w:i/>
          <w:iCs/>
        </w:rPr>
      </w:pPr>
      <w:r>
        <w:rPr>
          <w:rStyle w:val="FootnoteReference"/>
        </w:rPr>
        <w:footnoteRef/>
      </w:r>
      <w:r>
        <w:t xml:space="preserve"> </w:t>
      </w:r>
      <w:r w:rsidRPr="00302DCC">
        <w:t>Anonymous Submission 699935736</w:t>
      </w:r>
      <w:r>
        <w:t>,</w:t>
      </w:r>
      <w:r w:rsidRPr="00302DCC">
        <w:t xml:space="preserve"> </w:t>
      </w:r>
      <w:r>
        <w:t>a</w:t>
      </w:r>
      <w:r w:rsidRPr="00302DCC">
        <w:t xml:space="preserve">ccessed </w:t>
      </w:r>
      <w:r>
        <w:t>13 November 2020,</w:t>
      </w:r>
      <w:r w:rsidRPr="00302DCC">
        <w:t xml:space="preserve"> </w:t>
      </w:r>
      <w:r w:rsidRPr="00D35224">
        <w:rPr>
          <w:rStyle w:val="Hyperlink"/>
          <w:i/>
          <w:iCs/>
        </w:rPr>
        <w:t>https://consultation.abcb.gov.au/engagement/consult-ris-accessible-housing/consultation/published_select_respondent</w:t>
      </w:r>
    </w:p>
  </w:footnote>
  <w:footnote w:id="132">
    <w:p w14:paraId="762755D1" w14:textId="77777777" w:rsidR="003235DB" w:rsidRPr="007F0A69" w:rsidRDefault="003235DB" w:rsidP="00E4023A">
      <w:pPr>
        <w:pStyle w:val="FootnoteText"/>
        <w:rPr>
          <w:lang w:val="en-US"/>
        </w:rPr>
      </w:pPr>
      <w:r>
        <w:rPr>
          <w:rStyle w:val="FootnoteReference"/>
        </w:rPr>
        <w:footnoteRef/>
      </w:r>
      <w:r>
        <w:t xml:space="preserve"> The All-Party Parliamentary Group (APPG) for Ageing and Older People (UK) 2019, </w:t>
      </w:r>
      <w:r w:rsidRPr="00F953FD">
        <w:rPr>
          <w:i/>
          <w:iCs/>
        </w:rPr>
        <w:t>Inquiry into decent and accessible homes for older people</w:t>
      </w:r>
      <w:r>
        <w:t>, Summer 2019</w:t>
      </w:r>
      <w:r>
        <w:rPr>
          <w:lang w:val="en-US"/>
        </w:rPr>
        <w:t>, p.4.</w:t>
      </w:r>
    </w:p>
  </w:footnote>
  <w:footnote w:id="133">
    <w:p w14:paraId="5E142856" w14:textId="77777777" w:rsidR="003235DB" w:rsidRPr="00F8626D" w:rsidRDefault="003235DB" w:rsidP="00943E98">
      <w:pPr>
        <w:pStyle w:val="FootnoteText"/>
        <w:rPr>
          <w:rStyle w:val="Hyperlink"/>
          <w:i/>
          <w:iCs/>
        </w:rPr>
      </w:pPr>
      <w:r>
        <w:rPr>
          <w:rStyle w:val="FootnoteReference"/>
        </w:rPr>
        <w:footnoteRef/>
      </w:r>
      <w:r>
        <w:t xml:space="preserve"> Submission by Paige Armstrong for Queenslanders with Disability Network, accessed 1 December, </w:t>
      </w:r>
      <w:r w:rsidRPr="00F8626D">
        <w:rPr>
          <w:rStyle w:val="Hyperlink"/>
          <w:i/>
          <w:iCs/>
        </w:rPr>
        <w:t>https://consultation.abcb.gov.au/engagement/consult-ris-accessible-housing/consultation/published_select_respondent</w:t>
      </w:r>
    </w:p>
  </w:footnote>
  <w:footnote w:id="134">
    <w:p w14:paraId="465C5D5C" w14:textId="77777777" w:rsidR="003235DB" w:rsidRDefault="003235DB" w:rsidP="00943E98">
      <w:pPr>
        <w:pStyle w:val="FootnoteText"/>
      </w:pPr>
      <w:r>
        <w:rPr>
          <w:rStyle w:val="FootnoteReference"/>
        </w:rPr>
        <w:footnoteRef/>
      </w:r>
      <w:r>
        <w:t xml:space="preserve"> Anonymous Submission </w:t>
      </w:r>
      <w:r w:rsidRPr="00F27A85">
        <w:t>656157319</w:t>
      </w:r>
      <w:r>
        <w:t xml:space="preserve">, accessed 1 December, </w:t>
      </w:r>
      <w:r w:rsidRPr="00F8626D">
        <w:rPr>
          <w:rStyle w:val="Hyperlink"/>
          <w:i/>
          <w:iCs/>
        </w:rPr>
        <w:t>https://consultation.abcb.gov.au/engagement/consult-ris-accessible-housing/consultation/published_select_respondent</w:t>
      </w:r>
    </w:p>
  </w:footnote>
  <w:footnote w:id="135">
    <w:p w14:paraId="60765E66" w14:textId="77777777" w:rsidR="003235DB" w:rsidRDefault="003235DB" w:rsidP="00B3197F">
      <w:pPr>
        <w:pStyle w:val="Source"/>
      </w:pPr>
      <w:r>
        <w:rPr>
          <w:rStyle w:val="FootnoteReference"/>
        </w:rPr>
        <w:footnoteRef/>
      </w:r>
      <w:r>
        <w:t xml:space="preserve"> </w:t>
      </w:r>
      <w:r w:rsidRPr="00B3197F">
        <w:rPr>
          <w:rFonts w:asciiTheme="minorHAnsi" w:hAnsiTheme="minorHAnsi"/>
          <w:sz w:val="19"/>
          <w:szCs w:val="18"/>
          <w:lang w:eastAsia="en-AU"/>
        </w:rPr>
        <w:t xml:space="preserve">Wiesel, </w:t>
      </w:r>
      <w:r w:rsidRPr="006B10CE">
        <w:rPr>
          <w:rFonts w:asciiTheme="minorHAnsi" w:hAnsiTheme="minorHAnsi"/>
          <w:sz w:val="19"/>
          <w:szCs w:val="18"/>
          <w:lang w:eastAsia="en-AU"/>
        </w:rPr>
        <w:t xml:space="preserve">I. </w:t>
      </w:r>
      <w:r w:rsidRPr="006B10CE">
        <w:rPr>
          <w:rFonts w:asciiTheme="minorHAnsi" w:hAnsiTheme="minorHAnsi"/>
          <w:i/>
          <w:iCs/>
          <w:sz w:val="19"/>
          <w:szCs w:val="18"/>
          <w:lang w:eastAsia="en-AU"/>
        </w:rPr>
        <w:t>Lived experience and social, health and economic impacts of inaccessible housing</w:t>
      </w:r>
      <w:r w:rsidRPr="006B10CE">
        <w:rPr>
          <w:rFonts w:asciiTheme="minorHAnsi" w:hAnsiTheme="minorHAnsi"/>
          <w:sz w:val="19"/>
          <w:szCs w:val="18"/>
          <w:lang w:eastAsia="en-AU"/>
        </w:rPr>
        <w:t>, prepared for the Melbourne Disability Institute, University of Melbourne and the Summer Foundation, 18 August 2020, as Appendix 2 of the submission by Melbourne Disability Institute (MDI) and Summer Foundation. p.</w:t>
      </w:r>
      <w:r w:rsidRPr="00B3197F">
        <w:rPr>
          <w:rFonts w:asciiTheme="minorHAnsi" w:hAnsiTheme="minorHAnsi"/>
          <w:sz w:val="19"/>
          <w:szCs w:val="18"/>
          <w:lang w:eastAsia="en-AU"/>
        </w:rPr>
        <w:t>30.</w:t>
      </w:r>
    </w:p>
  </w:footnote>
  <w:footnote w:id="136">
    <w:p w14:paraId="38104FF0" w14:textId="77777777" w:rsidR="003235DB" w:rsidRDefault="003235DB" w:rsidP="00943E98">
      <w:pPr>
        <w:pStyle w:val="FootnoteText"/>
      </w:pPr>
      <w:r>
        <w:rPr>
          <w:rStyle w:val="FootnoteReference"/>
        </w:rPr>
        <w:footnoteRef/>
      </w:r>
      <w:r>
        <w:t xml:space="preserve"> Wiesel, I., op. cit., p.35.</w:t>
      </w:r>
    </w:p>
  </w:footnote>
  <w:footnote w:id="137">
    <w:p w14:paraId="64D77EB4" w14:textId="77777777" w:rsidR="003235DB" w:rsidRDefault="003235DB" w:rsidP="00943E98">
      <w:pPr>
        <w:pStyle w:val="FootnoteText"/>
      </w:pPr>
      <w:r>
        <w:rPr>
          <w:rStyle w:val="FootnoteReference"/>
        </w:rPr>
        <w:footnoteRef/>
      </w:r>
      <w:r>
        <w:t xml:space="preserve"> Wiesel, I., op. cit., p.28.</w:t>
      </w:r>
    </w:p>
  </w:footnote>
  <w:footnote w:id="138">
    <w:p w14:paraId="3A24BB66" w14:textId="77777777" w:rsidR="003235DB" w:rsidRPr="006A04FE" w:rsidRDefault="003235DB" w:rsidP="00943E98">
      <w:pPr>
        <w:pStyle w:val="FootnoteText"/>
        <w:rPr>
          <w:lang w:val="en-US"/>
        </w:rPr>
      </w:pPr>
      <w:r>
        <w:rPr>
          <w:rStyle w:val="FootnoteReference"/>
        </w:rPr>
        <w:footnoteRef/>
      </w:r>
      <w:r>
        <w:t xml:space="preserve"> </w:t>
      </w:r>
      <w:r>
        <w:rPr>
          <w:lang w:val="en-US"/>
        </w:rPr>
        <w:t xml:space="preserve">Australian Institute for Health and Welfare, </w:t>
      </w:r>
      <w:hyperlink r:id="rId37" w:tooltip="More information can be found at the website via this link" w:history="1">
        <w:r w:rsidRPr="00F8626D">
          <w:rPr>
            <w:rStyle w:val="Hyperlink"/>
            <w:i/>
            <w:iCs/>
          </w:rPr>
          <w:t>https://www.aihw.gov.au/reports/australias-welfare/social-isolation-and-loneliness</w:t>
        </w:r>
      </w:hyperlink>
      <w:r w:rsidRPr="00F8626D">
        <w:rPr>
          <w:rStyle w:val="Hyperlink"/>
          <w:i/>
          <w:iCs/>
        </w:rPr>
        <w:t>,</w:t>
      </w:r>
      <w:r>
        <w:t xml:space="preserve"> accessed 22 January 2020.</w:t>
      </w:r>
    </w:p>
  </w:footnote>
  <w:footnote w:id="139">
    <w:p w14:paraId="2E360322" w14:textId="77777777" w:rsidR="003235DB" w:rsidRPr="000812EA" w:rsidRDefault="003235DB" w:rsidP="00943E98">
      <w:pPr>
        <w:pStyle w:val="FootnoteText"/>
        <w:rPr>
          <w:lang w:val="en-US"/>
        </w:rPr>
      </w:pPr>
      <w:r>
        <w:rPr>
          <w:rStyle w:val="FootnoteReference"/>
        </w:rPr>
        <w:footnoteRef/>
      </w:r>
      <w:r>
        <w:t xml:space="preserve"> </w:t>
      </w:r>
      <w:r>
        <w:rPr>
          <w:lang w:val="en-US"/>
        </w:rPr>
        <w:t>Australian Psychological Society and Swinburne University of Technology, 2018, Australian Loneliness Report: A survey exploring the loneliness levels of Australians and the impact on their health and wellbeing, p.5.</w:t>
      </w:r>
    </w:p>
  </w:footnote>
  <w:footnote w:id="140">
    <w:p w14:paraId="69230957" w14:textId="77777777" w:rsidR="003235DB" w:rsidRPr="003B6446" w:rsidRDefault="003235DB" w:rsidP="00943E98">
      <w:pPr>
        <w:pStyle w:val="FootnoteText"/>
        <w:rPr>
          <w:lang w:val="en-US"/>
        </w:rPr>
      </w:pPr>
      <w:r>
        <w:rPr>
          <w:rStyle w:val="FootnoteReference"/>
        </w:rPr>
        <w:footnoteRef/>
      </w:r>
      <w:r>
        <w:t xml:space="preserve"> </w:t>
      </w:r>
      <w:r>
        <w:rPr>
          <w:lang w:val="en-US"/>
        </w:rPr>
        <w:t xml:space="preserve">Australian Institute for Health and Welfare, </w:t>
      </w:r>
      <w:hyperlink r:id="rId38" w:tooltip="More information can be found at the website via this link" w:history="1">
        <w:r w:rsidRPr="00F8626D">
          <w:rPr>
            <w:rStyle w:val="Hyperlink"/>
            <w:i/>
            <w:iCs/>
          </w:rPr>
          <w:t>https://www.aihw.gov.au/reports/australias-welfare/social-isolation-and-loneliness</w:t>
        </w:r>
      </w:hyperlink>
      <w:r>
        <w:t>, accessed 22 January 2020.</w:t>
      </w:r>
    </w:p>
  </w:footnote>
  <w:footnote w:id="141">
    <w:p w14:paraId="002A2E38" w14:textId="77777777" w:rsidR="003235DB" w:rsidRDefault="003235DB" w:rsidP="00867A84">
      <w:pPr>
        <w:pStyle w:val="FootnoteText"/>
      </w:pPr>
      <w:r>
        <w:rPr>
          <w:rStyle w:val="FootnoteReference"/>
        </w:rPr>
        <w:footnoteRef/>
      </w:r>
      <w:r>
        <w:t xml:space="preserve"> See for example: Submission by Kylie Miskovski for Dementia Australia, submission by Margret Ward for Australian Network for Universal Housing Design.</w:t>
      </w:r>
    </w:p>
  </w:footnote>
  <w:footnote w:id="142">
    <w:p w14:paraId="6D3BC520" w14:textId="77777777" w:rsidR="003235DB" w:rsidRDefault="003235DB" w:rsidP="00867A84">
      <w:pPr>
        <w:pStyle w:val="FootnoteText"/>
      </w:pPr>
      <w:r>
        <w:rPr>
          <w:rStyle w:val="FootnoteReference"/>
        </w:rPr>
        <w:footnoteRef/>
      </w:r>
      <w:r>
        <w:t xml:space="preserve"> AHURI Brief, What’s needed to make ‘ageing in place’ work for older Australians, 10 December 2019, </w:t>
      </w:r>
      <w:hyperlink r:id="rId39" w:tooltip="More information can be found at the website via this link" w:history="1">
        <w:r w:rsidRPr="00F8626D">
          <w:rPr>
            <w:rStyle w:val="Hyperlink"/>
            <w:i/>
            <w:iCs/>
          </w:rPr>
          <w:t>https://www.ahuri.edu.au/research/ahuri-briefs/whats-needed-to-make-ageing-in-place-work-for-older-australians</w:t>
        </w:r>
      </w:hyperlink>
      <w:r w:rsidRPr="00F8626D">
        <w:rPr>
          <w:rStyle w:val="Hyperlink"/>
          <w:i/>
          <w:iCs/>
        </w:rPr>
        <w:t>,</w:t>
      </w:r>
      <w:r>
        <w:t xml:space="preserve"> accessed 13 November 2020.</w:t>
      </w:r>
    </w:p>
  </w:footnote>
  <w:footnote w:id="143">
    <w:p w14:paraId="290651F7" w14:textId="77777777" w:rsidR="003235DB" w:rsidRDefault="003235DB" w:rsidP="006B557D">
      <w:pPr>
        <w:pStyle w:val="FootnoteText"/>
      </w:pPr>
      <w:r>
        <w:rPr>
          <w:rStyle w:val="FootnoteReference"/>
        </w:rPr>
        <w:footnoteRef/>
      </w:r>
      <w:r>
        <w:t xml:space="preserve"> ibid.</w:t>
      </w:r>
    </w:p>
  </w:footnote>
  <w:footnote w:id="144">
    <w:p w14:paraId="728343D3" w14:textId="77777777" w:rsidR="003235DB" w:rsidRDefault="003235DB" w:rsidP="004F2248">
      <w:pPr>
        <w:pStyle w:val="FootnoteText"/>
      </w:pPr>
      <w:r>
        <w:rPr>
          <w:rStyle w:val="FootnoteReference"/>
        </w:rPr>
        <w:footnoteRef/>
      </w:r>
      <w:r>
        <w:t xml:space="preserve"> </w:t>
      </w:r>
      <w:r w:rsidRPr="00970AB1">
        <w:t>Amelia Condi</w:t>
      </w:r>
      <w:r>
        <w:t>, op. cit.,</w:t>
      </w:r>
      <w:r w:rsidRPr="00970AB1">
        <w:t xml:space="preserve"> p</w:t>
      </w:r>
      <w:r>
        <w:t>.</w:t>
      </w:r>
      <w:r w:rsidRPr="00970AB1">
        <w:t>3</w:t>
      </w:r>
    </w:p>
  </w:footnote>
  <w:footnote w:id="145">
    <w:p w14:paraId="30CDE05A" w14:textId="77777777" w:rsidR="003235DB" w:rsidRPr="00F36A14" w:rsidRDefault="003235DB" w:rsidP="00977447">
      <w:pPr>
        <w:pStyle w:val="FootnoteText"/>
        <w:rPr>
          <w:lang w:val="en-US"/>
        </w:rPr>
      </w:pPr>
      <w:r>
        <w:rPr>
          <w:rStyle w:val="FootnoteReference"/>
        </w:rPr>
        <w:footnoteRef/>
      </w:r>
      <w:r>
        <w:t xml:space="preserve"> See </w:t>
      </w:r>
      <w:r>
        <w:rPr>
          <w:lang w:bidi="fa-IR"/>
        </w:rPr>
        <w:t xml:space="preserve">Jukic, M. 2017, </w:t>
      </w:r>
      <w:r w:rsidRPr="00E176B0">
        <w:rPr>
          <w:i/>
          <w:iCs/>
          <w:lang w:bidi="fa-IR"/>
        </w:rPr>
        <w:t>Modelling Residential Aged Care in Australia: Entry and Exit</w:t>
      </w:r>
      <w:r>
        <w:rPr>
          <w:lang w:bidi="fa-IR"/>
        </w:rPr>
        <w:t>, A thesis submitted for the degree of Doctor of Philosophy of the University of Melbourne.</w:t>
      </w:r>
    </w:p>
  </w:footnote>
  <w:footnote w:id="146">
    <w:p w14:paraId="6524A958" w14:textId="77777777" w:rsidR="003235DB" w:rsidRDefault="003235DB">
      <w:pPr>
        <w:pStyle w:val="FootnoteText"/>
      </w:pPr>
      <w:r>
        <w:rPr>
          <w:rStyle w:val="FootnoteReference"/>
        </w:rPr>
        <w:footnoteRef/>
      </w:r>
      <w:r>
        <w:t xml:space="preserve"> Redcliffe, J., G. Chen, J. Cleland, B. Kaambwa, J. Khadka, C. Hutchison and R. Milte 2020, </w:t>
      </w:r>
      <w:r>
        <w:rPr>
          <w:i/>
          <w:iCs/>
        </w:rPr>
        <w:t>Australia’s aged care system: assessing the views and preferences of the general public for quality of care and future funding: A research study for the Royal Commission into Aged Care Quality and Safety</w:t>
      </w:r>
      <w:r>
        <w:t>, Research Paper 6, July 2020, p.3.</w:t>
      </w:r>
      <w:r>
        <w:tab/>
      </w:r>
    </w:p>
  </w:footnote>
  <w:footnote w:id="147">
    <w:p w14:paraId="4A818E34" w14:textId="77777777" w:rsidR="003235DB" w:rsidRDefault="003235DB" w:rsidP="00E137EB">
      <w:pPr>
        <w:pStyle w:val="FootnoteText"/>
      </w:pPr>
      <w:r>
        <w:rPr>
          <w:rStyle w:val="FootnoteReference"/>
        </w:rPr>
        <w:footnoteRef/>
      </w:r>
      <w:r>
        <w:t xml:space="preserve"> See: </w:t>
      </w:r>
      <w:hyperlink r:id="rId40" w:tooltip="More information can be found at the website via this link" w:history="1">
        <w:r w:rsidRPr="00F8626D">
          <w:rPr>
            <w:rStyle w:val="Hyperlink"/>
            <w:i/>
            <w:iCs/>
          </w:rPr>
          <w:t>https://www.verywellhealth.com/stair-climbing-basics-2696293</w:t>
        </w:r>
      </w:hyperlink>
      <w:r w:rsidRPr="00F8626D">
        <w:rPr>
          <w:rStyle w:val="Hyperlink"/>
          <w:i/>
          <w:iCs/>
        </w:rPr>
        <w:t xml:space="preserve">, </w:t>
      </w:r>
      <w:r>
        <w:t>accessed October 2020</w:t>
      </w:r>
    </w:p>
  </w:footnote>
  <w:footnote w:id="148">
    <w:p w14:paraId="673936AE" w14:textId="77777777" w:rsidR="003235DB" w:rsidRDefault="003235DB" w:rsidP="00E137EB">
      <w:pPr>
        <w:pStyle w:val="FootnoteText"/>
      </w:pPr>
      <w:r>
        <w:rPr>
          <w:rStyle w:val="FootnoteReference"/>
        </w:rPr>
        <w:footnoteRef/>
      </w:r>
      <w:r>
        <w:t xml:space="preserve"> See: </w:t>
      </w:r>
      <w:hyperlink r:id="rId41" w:anchor=":~:text=The%20rear%20wall%20grab%20bar,minimum%20on%20the%20other%20side" w:history="1">
        <w:r w:rsidRPr="00F8626D">
          <w:rPr>
            <w:rStyle w:val="Hyperlink"/>
            <w:i/>
            <w:iCs/>
          </w:rPr>
          <w:t>https://www.access-board.gov/guidelines-and-standards/buildings-and-sites/about-the-ada-standards/background/ada-aba-accessibility-guidelines-2004/chapter-six-plumbing-elements-and-facilities#:~:text=The%20rear%20wall%20grab%20bar,minimum%20on%20the%20other%20side</w:t>
        </w:r>
      </w:hyperlink>
      <w:r w:rsidRPr="00F8626D">
        <w:rPr>
          <w:rStyle w:val="Hyperlink"/>
          <w:i/>
          <w:iCs/>
        </w:rPr>
        <w:t xml:space="preserve">, </w:t>
      </w:r>
      <w:r>
        <w:t>accessed October 2020</w:t>
      </w:r>
    </w:p>
  </w:footnote>
  <w:footnote w:id="149">
    <w:p w14:paraId="18F3B097" w14:textId="77777777" w:rsidR="003235DB" w:rsidRDefault="003235DB" w:rsidP="00580B03">
      <w:pPr>
        <w:pStyle w:val="FootnoteText"/>
      </w:pPr>
      <w:r>
        <w:rPr>
          <w:rStyle w:val="FootnoteReference"/>
        </w:rPr>
        <w:footnoteRef/>
      </w:r>
      <w:r>
        <w:t xml:space="preserve"> </w:t>
      </w:r>
      <w:r w:rsidRPr="005D3CB0">
        <w:t>Anonymous Submission 184073852</w:t>
      </w:r>
      <w:r>
        <w:t>,</w:t>
      </w:r>
      <w:r w:rsidRPr="005D3CB0">
        <w:t xml:space="preserve"> </w:t>
      </w:r>
      <w:r>
        <w:t>a</w:t>
      </w:r>
      <w:r w:rsidRPr="005D3CB0">
        <w:t xml:space="preserve">ccessed </w:t>
      </w:r>
      <w:r>
        <w:t>11 November 2020,</w:t>
      </w:r>
      <w:r w:rsidRPr="005D3CB0">
        <w:t xml:space="preserve"> </w:t>
      </w:r>
      <w:r w:rsidRPr="00F8626D">
        <w:rPr>
          <w:rStyle w:val="Hyperlink"/>
          <w:i/>
          <w:iCs/>
        </w:rPr>
        <w:t>https://consultation.abcb.gov.au/engagement/consult-ris-accessible-housing/consultation/published_select_respondent</w:t>
      </w:r>
    </w:p>
  </w:footnote>
  <w:footnote w:id="150">
    <w:p w14:paraId="57CA629A" w14:textId="77777777" w:rsidR="003235DB" w:rsidRDefault="003235DB" w:rsidP="00580B03">
      <w:pPr>
        <w:pStyle w:val="FootnoteText"/>
      </w:pPr>
      <w:r>
        <w:rPr>
          <w:rStyle w:val="FootnoteReference"/>
        </w:rPr>
        <w:footnoteRef/>
      </w:r>
      <w:r>
        <w:t xml:space="preserve"> </w:t>
      </w:r>
      <w:r w:rsidRPr="005D3CB0">
        <w:t>Lee Jordan</w:t>
      </w:r>
      <w:r>
        <w:t>, op. cit.</w:t>
      </w:r>
      <w:r w:rsidRPr="005D3CB0">
        <w:t xml:space="preserve"> </w:t>
      </w:r>
    </w:p>
  </w:footnote>
  <w:footnote w:id="151">
    <w:p w14:paraId="0A358E4F" w14:textId="77777777" w:rsidR="003235DB" w:rsidRDefault="003235DB" w:rsidP="002550AA">
      <w:pPr>
        <w:pStyle w:val="FootnoteText"/>
      </w:pPr>
      <w:r>
        <w:rPr>
          <w:rStyle w:val="FootnoteReference"/>
        </w:rPr>
        <w:footnoteRef/>
      </w:r>
      <w:r>
        <w:t xml:space="preserve"> See Submission by Melanie Southwell for SDA Alliance and Margret Ward for ANUHD, for example.</w:t>
      </w:r>
    </w:p>
  </w:footnote>
  <w:footnote w:id="152">
    <w:p w14:paraId="43A11071" w14:textId="77777777" w:rsidR="003235DB" w:rsidRDefault="003235DB" w:rsidP="00E137EB">
      <w:pPr>
        <w:pStyle w:val="FootnoteText"/>
        <w:rPr>
          <w:lang w:val="en-US"/>
        </w:rPr>
      </w:pPr>
      <w:r>
        <w:rPr>
          <w:rStyle w:val="FootnoteReference"/>
        </w:rPr>
        <w:footnoteRef/>
      </w:r>
      <w:r>
        <w:t xml:space="preserve"> </w:t>
      </w:r>
      <w:r>
        <w:rPr>
          <w:lang w:val="en-US"/>
        </w:rPr>
        <w:t xml:space="preserve">ABS website, </w:t>
      </w:r>
      <w:hyperlink r:id="rId42" w:tooltip="More information can be found at the website via this link" w:history="1">
        <w:r w:rsidRPr="00F8626D">
          <w:rPr>
            <w:rStyle w:val="Hyperlink"/>
            <w:i/>
            <w:iCs/>
          </w:rPr>
          <w:t>https://www.abs.gov.au/AUSSTATS/abs@.nsf/Latestproducts/4430.0Main%20Features52018?opendocument&amp;tabname=Summary&amp;prodno=4430.0&amp;issue=2018&amp;num=&amp;view=</w:t>
        </w:r>
      </w:hyperlink>
      <w:r w:rsidRPr="00F8626D">
        <w:rPr>
          <w:rStyle w:val="Hyperlink"/>
          <w:i/>
          <w:iCs/>
        </w:rPr>
        <w:t xml:space="preserve">, </w:t>
      </w:r>
      <w:r>
        <w:rPr>
          <w:lang w:val="en-US"/>
        </w:rPr>
        <w:t>accessed 7 September 2020.</w:t>
      </w:r>
    </w:p>
  </w:footnote>
  <w:footnote w:id="153">
    <w:p w14:paraId="15008B2E" w14:textId="77777777" w:rsidR="003235DB" w:rsidRDefault="003235DB" w:rsidP="00E137EB">
      <w:pPr>
        <w:pStyle w:val="FootnoteText"/>
      </w:pPr>
      <w:r>
        <w:rPr>
          <w:rStyle w:val="FootnoteReference"/>
        </w:rPr>
        <w:footnoteRef/>
      </w:r>
      <w:r>
        <w:t xml:space="preserve"> AIHW 2019, </w:t>
      </w:r>
      <w:r>
        <w:rPr>
          <w:i/>
          <w:iCs/>
        </w:rPr>
        <w:t xml:space="preserve">Trends in hospitalised injury, Australia, 2007-08 to 2016-17, </w:t>
      </w:r>
      <w:r>
        <w:t xml:space="preserve">Injury Research and Statistics Series Number 124, </w:t>
      </w:r>
      <w:hyperlink r:id="rId43" w:tooltip="More information can be found at the website via this link" w:history="1">
        <w:r w:rsidRPr="00F8626D">
          <w:rPr>
            <w:rStyle w:val="Hyperlink"/>
            <w:i/>
            <w:iCs/>
          </w:rPr>
          <w:t>https://www.aihw.gov.au/getmedia/6cef34e2-2422-4f11-a9f3-06e336edac3f/aihw-injcat-204.pdf.aspx?inline=true</w:t>
        </w:r>
      </w:hyperlink>
    </w:p>
  </w:footnote>
  <w:footnote w:id="154">
    <w:p w14:paraId="50E82C2A" w14:textId="77777777" w:rsidR="003235DB" w:rsidRPr="00F8626D" w:rsidRDefault="003235DB">
      <w:pPr>
        <w:pStyle w:val="FootnoteText"/>
        <w:rPr>
          <w:rStyle w:val="Hyperlink"/>
          <w:i/>
          <w:iCs/>
        </w:rPr>
      </w:pPr>
      <w:r>
        <w:rPr>
          <w:rStyle w:val="FootnoteReference"/>
        </w:rPr>
        <w:footnoteRef/>
      </w:r>
      <w:r>
        <w:t xml:space="preserve"> </w:t>
      </w:r>
      <w:r w:rsidRPr="00FA3500">
        <w:t>Submission by Wendy Lovelace</w:t>
      </w:r>
      <w:r>
        <w:t>,</w:t>
      </w:r>
      <w:r w:rsidRPr="00FA3500">
        <w:t xml:space="preserve"> </w:t>
      </w:r>
      <w:r>
        <w:t>a</w:t>
      </w:r>
      <w:r w:rsidRPr="00FA3500">
        <w:t xml:space="preserve">ccessed </w:t>
      </w:r>
      <w:r>
        <w:t>12 November</w:t>
      </w:r>
      <w:r w:rsidRPr="00FA3500">
        <w:t xml:space="preserve"> </w:t>
      </w:r>
      <w:r>
        <w:t>2020,</w:t>
      </w:r>
      <w:r w:rsidRPr="00FA3500">
        <w:t xml:space="preserve"> </w:t>
      </w:r>
      <w:r w:rsidRPr="00F8626D">
        <w:rPr>
          <w:rStyle w:val="Hyperlink"/>
          <w:i/>
          <w:iCs/>
        </w:rPr>
        <w:t>https://consultation.abcb.gov.au/engagement/consult-ris-accessible-housing/consultation/published_select_respondent</w:t>
      </w:r>
    </w:p>
  </w:footnote>
  <w:footnote w:id="155">
    <w:p w14:paraId="75F339E5" w14:textId="77777777" w:rsidR="003235DB" w:rsidRDefault="003235DB" w:rsidP="00A070FA">
      <w:pPr>
        <w:pStyle w:val="FootnoteText"/>
      </w:pPr>
      <w:r>
        <w:rPr>
          <w:rStyle w:val="FootnoteReference"/>
        </w:rPr>
        <w:footnoteRef/>
      </w:r>
      <w:r>
        <w:t xml:space="preserve"> Professor Bruce Bonyhady and Dr Di Winkler, op. cit, Appendix 2, Table 16, accessed 12 November 2020, </w:t>
      </w:r>
      <w:hyperlink r:id="rId44" w:tooltip="Available at the ABCB website" w:history="1">
        <w:r w:rsidRPr="00F8626D">
          <w:rPr>
            <w:rStyle w:val="Hyperlink"/>
            <w:i/>
            <w:iCs/>
          </w:rPr>
          <w:t>https://consultation.abcb.gov.au/engagement/consult-ris-accessible-housing/consultation/published_select_respondent</w:t>
        </w:r>
      </w:hyperlink>
      <w:r w:rsidRPr="00F8626D">
        <w:rPr>
          <w:rStyle w:val="Hyperlink"/>
          <w:i/>
          <w:iCs/>
        </w:rPr>
        <w:t xml:space="preserve"> </w:t>
      </w:r>
    </w:p>
  </w:footnote>
  <w:footnote w:id="156">
    <w:p w14:paraId="0F0102F3" w14:textId="77777777" w:rsidR="003235DB" w:rsidRDefault="003235DB" w:rsidP="006F05CC">
      <w:pPr>
        <w:pStyle w:val="FootnoteText"/>
      </w:pPr>
      <w:r>
        <w:rPr>
          <w:rStyle w:val="FootnoteReference"/>
        </w:rPr>
        <w:footnoteRef/>
      </w:r>
      <w:r>
        <w:t xml:space="preserve"> The </w:t>
      </w:r>
      <w:r>
        <w:rPr>
          <w:lang w:bidi="fa-IR"/>
        </w:rPr>
        <w:t>scenario to consider is the benefit to a young family of a newly built home under the proposed changes (which includes level access) vs. the benefit of new a newly built home under the status quo (which generally includes one-step, according to DCWC Quantity Surveyor analysis prepared for the Consultation RIS).</w:t>
      </w:r>
    </w:p>
  </w:footnote>
  <w:footnote w:id="157">
    <w:p w14:paraId="34DAE863" w14:textId="77777777" w:rsidR="003235DB" w:rsidRDefault="003235DB" w:rsidP="006F05CC">
      <w:pPr>
        <w:pStyle w:val="FootnoteText"/>
      </w:pPr>
      <w:r>
        <w:rPr>
          <w:rStyle w:val="FootnoteReference"/>
        </w:rPr>
        <w:footnoteRef/>
      </w:r>
      <w:r>
        <w:t xml:space="preserve"> See, for example: </w:t>
      </w:r>
      <w:hyperlink r:id="rId45" w:tooltip="More information can be found at the website via this link" w:history="1">
        <w:r w:rsidRPr="00F8626D">
          <w:rPr>
            <w:rStyle w:val="Hyperlink"/>
            <w:i/>
            <w:iCs/>
          </w:rPr>
          <w:t>https://www.babycenter.com.au/thread/3637820/adding-a-ramp-to-stairs-for-pram</w:t>
        </w:r>
      </w:hyperlink>
      <w:r>
        <w:t>, accessed October 2020</w:t>
      </w:r>
    </w:p>
  </w:footnote>
  <w:footnote w:id="158">
    <w:p w14:paraId="4D11FC13" w14:textId="77777777" w:rsidR="003235DB" w:rsidRDefault="003235DB" w:rsidP="0087746A">
      <w:pPr>
        <w:pStyle w:val="FootnoteText"/>
      </w:pPr>
      <w:r>
        <w:rPr>
          <w:rStyle w:val="FootnoteReference"/>
        </w:rPr>
        <w:footnoteRef/>
      </w:r>
      <w:r>
        <w:t xml:space="preserve"> See: </w:t>
      </w:r>
      <w:hyperlink r:id="rId46" w:tooltip="More information can be found at the website via this link" w:history="1">
        <w:r w:rsidRPr="00F8626D">
          <w:rPr>
            <w:rStyle w:val="Hyperlink"/>
            <w:i/>
            <w:iCs/>
          </w:rPr>
          <w:t>https://www.safetyxpress.com.au/other-products/ramps/plastic-kerb-ramp/?gclid=CjwKCAjw_Y_8BRBiEiwA5MCBJrLjTEhIXAwrVDJEt8JP0a453n2NRR2x8nSAqYq5HlJ8MpdKIsyt9BoCXE4QAvD_BwE,</w:t>
        </w:r>
        <w:r>
          <w:rPr>
            <w:rStyle w:val="Hyperlink"/>
          </w:rPr>
          <w:t>a</w:t>
        </w:r>
      </w:hyperlink>
      <w:r>
        <w:t xml:space="preserve"> access October 2020. One ramp costs $38.5. Two are required for the width of a stroller, costing $77. </w:t>
      </w:r>
    </w:p>
  </w:footnote>
  <w:footnote w:id="159">
    <w:p w14:paraId="46004423" w14:textId="77777777" w:rsidR="003235DB" w:rsidRDefault="003235DB">
      <w:pPr>
        <w:pStyle w:val="FootnoteText"/>
      </w:pPr>
      <w:r>
        <w:rPr>
          <w:rStyle w:val="FootnoteReference"/>
        </w:rPr>
        <w:footnoteRef/>
      </w:r>
      <w:r>
        <w:t xml:space="preserve"> There were 315 147 registered births in Australia in 2018 and the total fertility rate was 1.74 births per woman for all Australian women, according to ABS (</w:t>
      </w:r>
      <w:hyperlink r:id="rId47" w:tooltip="More information can be found at the website via this link" w:history="1">
        <w:r w:rsidRPr="00F8626D">
          <w:rPr>
            <w:rStyle w:val="Hyperlink"/>
            <w:i/>
            <w:iCs/>
          </w:rPr>
          <w:t>https://www.abs.gov.au/statistics/people/population/births-australia/latest-release</w:t>
        </w:r>
      </w:hyperlink>
      <w:r>
        <w:t>). Assuming prams are needed for children up to the age of 2 suggests about 630 294 prams are in use each year. Assuming 5 per cent of families may purchase a ramp and that ramp could be used by again when having another child, it is estimated that about 18 112 ramps (=630294*5%/1.74) are purchased each year, costing about $1.39 million (=18,112*$77) each year.</w:t>
      </w:r>
    </w:p>
  </w:footnote>
  <w:footnote w:id="160">
    <w:p w14:paraId="1342C763" w14:textId="77777777" w:rsidR="003235DB" w:rsidRPr="00FC665A" w:rsidRDefault="003235DB" w:rsidP="00A070FA">
      <w:pPr>
        <w:pStyle w:val="FootnoteText"/>
        <w:rPr>
          <w:lang w:val="en-US"/>
        </w:rPr>
      </w:pPr>
      <w:r>
        <w:rPr>
          <w:rStyle w:val="FootnoteReference"/>
        </w:rPr>
        <w:footnoteRef/>
      </w:r>
      <w:r>
        <w:t xml:space="preserve"> </w:t>
      </w:r>
      <w:r>
        <w:rPr>
          <w:lang w:val="en-US"/>
        </w:rPr>
        <w:t xml:space="preserve">Royal Commission into Aged Care Quality and Safety 2019, </w:t>
      </w:r>
      <w:r w:rsidRPr="00C30594">
        <w:rPr>
          <w:i/>
          <w:iCs/>
          <w:lang w:val="en-US"/>
        </w:rPr>
        <w:t>Interim Report: Neglect</w:t>
      </w:r>
      <w:r>
        <w:rPr>
          <w:lang w:val="en-US"/>
        </w:rPr>
        <w:t>, Volume 1, October 2019, p.20.</w:t>
      </w:r>
    </w:p>
  </w:footnote>
  <w:footnote w:id="161">
    <w:p w14:paraId="03E7DE2F" w14:textId="77777777" w:rsidR="003235DB" w:rsidRPr="00CB09EE" w:rsidRDefault="003235DB">
      <w:pPr>
        <w:pStyle w:val="FootnoteText"/>
      </w:pPr>
      <w:r>
        <w:rPr>
          <w:rStyle w:val="FootnoteReference"/>
        </w:rPr>
        <w:footnoteRef/>
      </w:r>
      <w:r>
        <w:t xml:space="preserve"> Dalton, A. and R. Carter 2020a, </w:t>
      </w:r>
      <w:r>
        <w:rPr>
          <w:i/>
          <w:iCs/>
        </w:rPr>
        <w:t>Economic advice prepared to assist with responses to the Consultation Regulation Impact Statement on minimum accessibility standards for housing in the National Construction Code</w:t>
      </w:r>
      <w:r>
        <w:t xml:space="preserve">, prepared for the Melbourne Disability Institute, University of Melbourne and Summer Foundation, 18 August 2020, as Appendix 1 of the submission by Melbourne Disability Institute (MDI) and Summer Foundation to the public consultation, </w:t>
      </w:r>
      <w:r>
        <w:rPr>
          <w:lang w:bidi="fa-IR"/>
        </w:rPr>
        <w:t>section 2.2, p.14 and section 2.3.1, p.15</w:t>
      </w:r>
    </w:p>
  </w:footnote>
  <w:footnote w:id="162">
    <w:p w14:paraId="714373E8" w14:textId="77777777" w:rsidR="003235DB" w:rsidRDefault="003235DB" w:rsidP="004C32C3">
      <w:pPr>
        <w:pStyle w:val="FootnoteText"/>
      </w:pPr>
      <w:r>
        <w:rPr>
          <w:rStyle w:val="FootnoteReference"/>
        </w:rPr>
        <w:footnoteRef/>
      </w:r>
      <w:r>
        <w:t xml:space="preserve"> Anonymous Submission </w:t>
      </w:r>
      <w:r w:rsidRPr="00171942">
        <w:t>420083325</w:t>
      </w:r>
      <w:r>
        <w:t xml:space="preserve">, answer to Question 10, accessible 15 November 2020, </w:t>
      </w:r>
      <w:r w:rsidRPr="00F8626D">
        <w:rPr>
          <w:rStyle w:val="Hyperlink"/>
          <w:i/>
          <w:iCs/>
        </w:rPr>
        <w:t>https://consultation.abcb.gov.au/engagement/consult-ris-accessible-housing/consultation/published_select_respondent</w:t>
      </w:r>
      <w:r>
        <w:tab/>
      </w:r>
    </w:p>
  </w:footnote>
  <w:footnote w:id="163">
    <w:p w14:paraId="43C28C62" w14:textId="77777777" w:rsidR="003235DB" w:rsidRDefault="003235DB">
      <w:pPr>
        <w:pStyle w:val="FootnoteText"/>
      </w:pPr>
      <w:r>
        <w:rPr>
          <w:rStyle w:val="FootnoteReference"/>
        </w:rPr>
        <w:footnoteRef/>
      </w:r>
      <w:r>
        <w:t xml:space="preserve"> Anonymous Submission </w:t>
      </w:r>
      <w:r w:rsidRPr="004C32C3">
        <w:t>249869896</w:t>
      </w:r>
      <w:r>
        <w:t xml:space="preserve">, answer to Question 10, accessible 15 November 2020, </w:t>
      </w:r>
      <w:r w:rsidRPr="00F8626D">
        <w:rPr>
          <w:rStyle w:val="Hyperlink"/>
          <w:i/>
          <w:iCs/>
        </w:rPr>
        <w:t>https://consultation.abcb.gov.au/engagement/consult-ris-accessible-housing/consultation/published_select_respondent</w:t>
      </w:r>
      <w:r w:rsidRPr="00F8626D">
        <w:rPr>
          <w:rStyle w:val="Hyperlink"/>
          <w:i/>
          <w:iCs/>
        </w:rPr>
        <w:tab/>
      </w:r>
    </w:p>
  </w:footnote>
  <w:footnote w:id="164">
    <w:p w14:paraId="1990643F" w14:textId="77777777" w:rsidR="003235DB" w:rsidRDefault="003235DB">
      <w:pPr>
        <w:pStyle w:val="FootnoteText"/>
      </w:pPr>
      <w:r>
        <w:rPr>
          <w:rStyle w:val="FootnoteReference"/>
        </w:rPr>
        <w:footnoteRef/>
      </w:r>
      <w:r>
        <w:t xml:space="preserve"> Anonymous Submission </w:t>
      </w:r>
      <w:r w:rsidRPr="00241E85">
        <w:t>284174932</w:t>
      </w:r>
      <w:r>
        <w:t xml:space="preserve">, answer to Question 10, accessible 15 November 2020, </w:t>
      </w:r>
      <w:r w:rsidRPr="00F8626D">
        <w:rPr>
          <w:rStyle w:val="Hyperlink"/>
          <w:i/>
          <w:iCs/>
        </w:rPr>
        <w:t>https://consultation.abcb.gov.au/engagement/consult-ris-accessible-housing/consultation/published_select_respondent</w:t>
      </w:r>
      <w:r>
        <w:tab/>
      </w:r>
    </w:p>
  </w:footnote>
  <w:footnote w:id="165">
    <w:p w14:paraId="536273CA" w14:textId="77777777" w:rsidR="003235DB" w:rsidRPr="00B2553D" w:rsidRDefault="003235DB" w:rsidP="00A070FA">
      <w:pPr>
        <w:pStyle w:val="FootnoteText"/>
        <w:rPr>
          <w:lang w:val="en-US"/>
        </w:rPr>
      </w:pPr>
      <w:r>
        <w:rPr>
          <w:rStyle w:val="FootnoteReference"/>
        </w:rPr>
        <w:footnoteRef/>
      </w:r>
      <w:r>
        <w:t xml:space="preserve"> </w:t>
      </w:r>
      <w:r w:rsidRPr="00B3197F">
        <w:t xml:space="preserve">Wiesel, </w:t>
      </w:r>
      <w:r w:rsidRPr="006B10CE">
        <w:t xml:space="preserve">I. </w:t>
      </w:r>
      <w:r w:rsidRPr="006B10CE">
        <w:rPr>
          <w:i/>
          <w:iCs/>
        </w:rPr>
        <w:t>Lived experience and social, health and economic impacts of inaccessible housing</w:t>
      </w:r>
      <w:r w:rsidRPr="006B10CE">
        <w:t>, prepared for the Melbourne Disability Institute, University of Melbourne and the Summer Foundation, 18 August 2020, as Appendix 2 of the submission by Melbourne Disability Institute (MDI) and Summer Foundation. p</w:t>
      </w:r>
      <w:r>
        <w:t>.21.</w:t>
      </w:r>
    </w:p>
  </w:footnote>
  <w:footnote w:id="166">
    <w:p w14:paraId="0301015A" w14:textId="77777777" w:rsidR="003235DB" w:rsidRPr="00B2553D" w:rsidRDefault="003235DB" w:rsidP="00A070FA">
      <w:pPr>
        <w:pStyle w:val="FootnoteText"/>
        <w:rPr>
          <w:lang w:val="en-US"/>
        </w:rPr>
      </w:pPr>
      <w:r>
        <w:rPr>
          <w:rStyle w:val="FootnoteReference"/>
        </w:rPr>
        <w:footnoteRef/>
      </w:r>
      <w:r>
        <w:t xml:space="preserve"> Submission by John Mayo for </w:t>
      </w:r>
      <w:r w:rsidRPr="00DE2979">
        <w:rPr>
          <w:lang w:val="en-US"/>
        </w:rPr>
        <w:t>Spinal Life Australia</w:t>
      </w:r>
      <w:r>
        <w:rPr>
          <w:lang w:val="en-US"/>
        </w:rPr>
        <w:t xml:space="preserve">, accessed </w:t>
      </w:r>
      <w:r>
        <w:t xml:space="preserve">15 November 2020, </w:t>
      </w:r>
      <w:r w:rsidRPr="00F8626D">
        <w:rPr>
          <w:rStyle w:val="Hyperlink"/>
          <w:i/>
          <w:iCs/>
        </w:rPr>
        <w:t>https://consultation.abcb.gov.au/engagement/consult-ris-accessible-housing/consultation/published_select_respondent</w:t>
      </w:r>
    </w:p>
  </w:footnote>
  <w:footnote w:id="167">
    <w:p w14:paraId="589D7B90" w14:textId="77777777" w:rsidR="003235DB" w:rsidRPr="00445941" w:rsidRDefault="003235DB" w:rsidP="00A070FA">
      <w:pPr>
        <w:pStyle w:val="FootnoteText"/>
        <w:rPr>
          <w:lang w:val="en-US"/>
        </w:rPr>
      </w:pPr>
      <w:r>
        <w:rPr>
          <w:rStyle w:val="FootnoteReference"/>
        </w:rPr>
        <w:footnoteRef/>
      </w:r>
      <w:r>
        <w:t xml:space="preserve"> Amelia Condi, op. cit.</w:t>
      </w:r>
    </w:p>
  </w:footnote>
  <w:footnote w:id="168">
    <w:p w14:paraId="2C9A210D" w14:textId="77777777" w:rsidR="003235DB" w:rsidRPr="00B15133" w:rsidRDefault="003235DB" w:rsidP="00A070FA">
      <w:pPr>
        <w:pStyle w:val="FootnoteText"/>
        <w:rPr>
          <w:lang w:val="en-US"/>
        </w:rPr>
      </w:pPr>
      <w:r>
        <w:rPr>
          <w:rStyle w:val="FootnoteReference"/>
        </w:rPr>
        <w:footnoteRef/>
      </w:r>
      <w:r>
        <w:t xml:space="preserve"> Wiesel, I. Lived experience and social, health and economic impacts of inaccessible housing, Report submitted to the Australian Building Codes Board, University of Melbourne, 31 August 2020, p.25.</w:t>
      </w:r>
    </w:p>
  </w:footnote>
  <w:footnote w:id="169">
    <w:p w14:paraId="2FF2C31F" w14:textId="77777777" w:rsidR="003235DB" w:rsidRPr="00B15133" w:rsidRDefault="003235DB" w:rsidP="00A070FA">
      <w:pPr>
        <w:pStyle w:val="FootnoteText"/>
        <w:rPr>
          <w:lang w:val="en-US"/>
        </w:rPr>
      </w:pPr>
      <w:r>
        <w:rPr>
          <w:rStyle w:val="FootnoteReference"/>
        </w:rPr>
        <w:footnoteRef/>
      </w:r>
      <w:r>
        <w:t xml:space="preserve"> Wiesel, I., op. cit., p.24.</w:t>
      </w:r>
    </w:p>
  </w:footnote>
  <w:footnote w:id="170">
    <w:p w14:paraId="0F34361C" w14:textId="77777777" w:rsidR="003235DB" w:rsidRPr="00D4368B" w:rsidRDefault="003235DB" w:rsidP="00A070FA">
      <w:pPr>
        <w:pStyle w:val="FootnoteText"/>
        <w:rPr>
          <w:lang w:val="en-US"/>
        </w:rPr>
      </w:pPr>
      <w:r>
        <w:rPr>
          <w:rStyle w:val="FootnoteReference"/>
        </w:rPr>
        <w:footnoteRef/>
      </w:r>
      <w:r>
        <w:t xml:space="preserve"> Wiesel, I., op. cit., p.25.</w:t>
      </w:r>
    </w:p>
  </w:footnote>
  <w:footnote w:id="171">
    <w:p w14:paraId="610C8C56" w14:textId="77777777" w:rsidR="003235DB" w:rsidRPr="007C7FFB" w:rsidRDefault="003235DB" w:rsidP="00E4023A">
      <w:pPr>
        <w:pStyle w:val="FootnoteText"/>
        <w:rPr>
          <w:lang w:val="en-US"/>
        </w:rPr>
      </w:pPr>
      <w:r>
        <w:rPr>
          <w:rStyle w:val="FootnoteReference"/>
        </w:rPr>
        <w:footnoteRef/>
      </w:r>
      <w:r>
        <w:t xml:space="preserve"> </w:t>
      </w:r>
      <w:r>
        <w:rPr>
          <w:lang w:val="en-US"/>
        </w:rPr>
        <w:t xml:space="preserve">Bringolf, J. 2011, </w:t>
      </w:r>
      <w:r w:rsidRPr="00C135CA">
        <w:rPr>
          <w:i/>
          <w:iCs/>
          <w:lang w:val="en-US"/>
        </w:rPr>
        <w:t>Barriers to Universal Design in Housing</w:t>
      </w:r>
      <w:r>
        <w:rPr>
          <w:lang w:val="en-US"/>
        </w:rPr>
        <w:t>, A thesis submitted for the degree of Doctor of Philosophy, Urban Research Centre, College of Health and Science, University of Western Sydney, September 2011, pp.45</w:t>
      </w:r>
      <w:r>
        <w:rPr>
          <w:lang w:val="en-US"/>
        </w:rPr>
        <w:noBreakHyphen/>
        <w:t>47.</w:t>
      </w:r>
    </w:p>
  </w:footnote>
  <w:footnote w:id="172">
    <w:p w14:paraId="3970B9FA" w14:textId="77777777" w:rsidR="003235DB" w:rsidRPr="00F637A2" w:rsidRDefault="003235DB" w:rsidP="00E4023A">
      <w:pPr>
        <w:pStyle w:val="FootnoteText"/>
      </w:pPr>
      <w:r>
        <w:rPr>
          <w:rStyle w:val="FootnoteReference"/>
        </w:rPr>
        <w:footnoteRef/>
      </w:r>
      <w:r>
        <w:t xml:space="preserve"> SGS 2019, </w:t>
      </w:r>
      <w:r>
        <w:rPr>
          <w:i/>
          <w:iCs/>
        </w:rPr>
        <w:t xml:space="preserve">Planning Schemes Research, </w:t>
      </w:r>
      <w:r>
        <w:t>Prepared for ABCB July 2019.</w:t>
      </w:r>
    </w:p>
  </w:footnote>
  <w:footnote w:id="173">
    <w:p w14:paraId="349B7387" w14:textId="77777777" w:rsidR="003235DB" w:rsidRPr="00DF1163" w:rsidRDefault="003235DB" w:rsidP="00E4023A">
      <w:pPr>
        <w:pStyle w:val="FootnoteText"/>
        <w:rPr>
          <w:lang w:val="en-US"/>
        </w:rPr>
      </w:pPr>
      <w:r>
        <w:rPr>
          <w:rStyle w:val="FootnoteReference"/>
        </w:rPr>
        <w:footnoteRef/>
      </w:r>
      <w:r>
        <w:t xml:space="preserve"> </w:t>
      </w:r>
      <w:r>
        <w:rPr>
          <w:lang w:val="en-US"/>
        </w:rPr>
        <w:t xml:space="preserve">Bringolf, J. </w:t>
      </w:r>
      <w:r w:rsidRPr="00206F0A">
        <w:rPr>
          <w:lang w:val="en-US"/>
        </w:rPr>
        <w:t>2015</w:t>
      </w:r>
      <w:r>
        <w:rPr>
          <w:lang w:val="en-US"/>
        </w:rPr>
        <w:t xml:space="preserve">, </w:t>
      </w:r>
      <w:r w:rsidRPr="00DF1163">
        <w:rPr>
          <w:i/>
          <w:iCs/>
          <w:lang w:val="en-US"/>
        </w:rPr>
        <w:t>Let</w:t>
      </w:r>
      <w:r>
        <w:rPr>
          <w:i/>
          <w:iCs/>
          <w:lang w:val="en-US"/>
        </w:rPr>
        <w:t>’</w:t>
      </w:r>
      <w:r w:rsidRPr="00DF1163">
        <w:rPr>
          <w:i/>
          <w:iCs/>
          <w:lang w:val="en-US"/>
        </w:rPr>
        <w:t>s Talk About Where You Live</w:t>
      </w:r>
      <w:r>
        <w:rPr>
          <w:lang w:val="en-US"/>
        </w:rPr>
        <w:t>, Incomplete draft by Jane Bringolf based on COTA NSW 2014 survey data for the 50+ Report with a focus on how and when older people are living, unpublished draft.</w:t>
      </w:r>
    </w:p>
  </w:footnote>
  <w:footnote w:id="174">
    <w:p w14:paraId="4AABD55D" w14:textId="77777777" w:rsidR="003235DB" w:rsidRPr="00D54991" w:rsidRDefault="003235DB" w:rsidP="00E4023A">
      <w:pPr>
        <w:pStyle w:val="FootnoteText"/>
        <w:rPr>
          <w:lang w:val="en-US"/>
        </w:rPr>
      </w:pPr>
      <w:r>
        <w:rPr>
          <w:rStyle w:val="FootnoteReference"/>
        </w:rPr>
        <w:footnoteRef/>
      </w:r>
      <w:r>
        <w:t xml:space="preserve"> </w:t>
      </w:r>
      <w:r>
        <w:rPr>
          <w:lang w:val="en-US"/>
        </w:rPr>
        <w:t xml:space="preserve">ABCB 2019, </w:t>
      </w:r>
      <w:r w:rsidRPr="00C135CA">
        <w:rPr>
          <w:i/>
          <w:iCs/>
          <w:lang w:val="en-US"/>
        </w:rPr>
        <w:t>Accessible Housing Options Paper</w:t>
      </w:r>
      <w:r>
        <w:rPr>
          <w:lang w:val="en-US"/>
        </w:rPr>
        <w:t>, Consultation Report, April 2019, p.55.</w:t>
      </w:r>
    </w:p>
  </w:footnote>
  <w:footnote w:id="175">
    <w:p w14:paraId="3D252A06" w14:textId="77777777" w:rsidR="003235DB" w:rsidRPr="00BF3BD9" w:rsidRDefault="003235DB" w:rsidP="00E4023A">
      <w:pPr>
        <w:pStyle w:val="FootnoteText"/>
        <w:rPr>
          <w:lang w:val="en-US"/>
        </w:rPr>
      </w:pPr>
      <w:r>
        <w:rPr>
          <w:rStyle w:val="FootnoteReference"/>
        </w:rPr>
        <w:footnoteRef/>
      </w:r>
      <w:r>
        <w:t xml:space="preserve"> ibid</w:t>
      </w:r>
      <w:r>
        <w:rPr>
          <w:lang w:val="en-US"/>
        </w:rPr>
        <w:t>, p.55.</w:t>
      </w:r>
    </w:p>
  </w:footnote>
  <w:footnote w:id="176">
    <w:p w14:paraId="55CA0ED5" w14:textId="77777777" w:rsidR="003235DB" w:rsidRPr="00F36A14" w:rsidRDefault="003235DB" w:rsidP="00F30A57">
      <w:pPr>
        <w:pStyle w:val="FootnoteText"/>
        <w:rPr>
          <w:lang w:val="en-US"/>
        </w:rPr>
      </w:pPr>
      <w:r>
        <w:rPr>
          <w:rStyle w:val="FootnoteReference"/>
        </w:rPr>
        <w:footnoteRef/>
      </w:r>
      <w:r>
        <w:t xml:space="preserve"> </w:t>
      </w:r>
      <w:r>
        <w:rPr>
          <w:lang w:val="en-US"/>
        </w:rPr>
        <w:t>Council of Australian Governments, Best Practice Regulation, A Guide for Ministerial Councils and National Standard Setting Bodies, p.10.</w:t>
      </w:r>
    </w:p>
  </w:footnote>
  <w:footnote w:id="177">
    <w:p w14:paraId="43A7D560" w14:textId="77777777" w:rsidR="003235DB" w:rsidRPr="002D3B2D" w:rsidRDefault="003235DB" w:rsidP="00BD428A">
      <w:pPr>
        <w:pStyle w:val="FootnoteText"/>
        <w:rPr>
          <w:lang w:val="en-US"/>
        </w:rPr>
      </w:pPr>
      <w:r>
        <w:rPr>
          <w:rStyle w:val="FootnoteReference"/>
        </w:rPr>
        <w:footnoteRef/>
      </w:r>
      <w:r>
        <w:t xml:space="preserve"> Commonwealth of Australia 2011, </w:t>
      </w:r>
      <w:r w:rsidRPr="00806F63">
        <w:rPr>
          <w:i/>
          <w:iCs/>
          <w:lang w:val="en-US"/>
        </w:rPr>
        <w:t>National Disability Strategy 2010</w:t>
      </w:r>
      <w:r w:rsidRPr="00806F63">
        <w:rPr>
          <w:i/>
          <w:iCs/>
          <w:lang w:val="en-US"/>
        </w:rPr>
        <w:noBreakHyphen/>
        <w:t>2020</w:t>
      </w:r>
      <w:r>
        <w:rPr>
          <w:i/>
          <w:iCs/>
          <w:lang w:val="en-US"/>
        </w:rPr>
        <w:t>:</w:t>
      </w:r>
      <w:r w:rsidRPr="00806F63">
        <w:rPr>
          <w:i/>
          <w:iCs/>
          <w:lang w:val="en-US"/>
        </w:rPr>
        <w:t xml:space="preserve"> An initiative of the Council of Australian Governments</w:t>
      </w:r>
      <w:r>
        <w:rPr>
          <w:lang w:val="en-US"/>
        </w:rPr>
        <w:t>, p.32.</w:t>
      </w:r>
    </w:p>
  </w:footnote>
  <w:footnote w:id="178">
    <w:p w14:paraId="18B18F1B" w14:textId="77777777" w:rsidR="003235DB" w:rsidRPr="00E070B5" w:rsidRDefault="003235DB" w:rsidP="00BD428A">
      <w:pPr>
        <w:pStyle w:val="FootnoteText"/>
        <w:rPr>
          <w:lang w:val="en-US"/>
        </w:rPr>
      </w:pPr>
      <w:r>
        <w:rPr>
          <w:rStyle w:val="FootnoteReference"/>
        </w:rPr>
        <w:footnoteRef/>
      </w:r>
      <w:r>
        <w:t xml:space="preserve"> </w:t>
      </w:r>
      <w:r>
        <w:rPr>
          <w:lang w:val="en-US"/>
        </w:rPr>
        <w:t>ibid, p.32.</w:t>
      </w:r>
    </w:p>
  </w:footnote>
  <w:footnote w:id="179">
    <w:p w14:paraId="6ECBC05E" w14:textId="77777777" w:rsidR="003235DB" w:rsidRPr="00DF7B3F" w:rsidRDefault="003235DB" w:rsidP="00BD428A">
      <w:pPr>
        <w:pStyle w:val="FootnoteText"/>
        <w:rPr>
          <w:lang w:val="en-US"/>
        </w:rPr>
      </w:pPr>
      <w:r>
        <w:rPr>
          <w:rStyle w:val="FootnoteReference"/>
        </w:rPr>
        <w:footnoteRef/>
      </w:r>
      <w:r>
        <w:t xml:space="preserve"> </w:t>
      </w:r>
      <w:r>
        <w:rPr>
          <w:lang w:val="en-US"/>
        </w:rPr>
        <w:t xml:space="preserve">ABCB 2019, </w:t>
      </w:r>
      <w:r w:rsidRPr="00806F63">
        <w:rPr>
          <w:i/>
          <w:iCs/>
          <w:lang w:val="en-US"/>
        </w:rPr>
        <w:t>Accessible Housing Options Paper</w:t>
      </w:r>
      <w:r>
        <w:rPr>
          <w:lang w:val="en-US"/>
        </w:rPr>
        <w:t>, Consultation Report, April 2019, p.24.</w:t>
      </w:r>
    </w:p>
  </w:footnote>
  <w:footnote w:id="180">
    <w:p w14:paraId="199FD3E1" w14:textId="77777777" w:rsidR="003235DB" w:rsidRPr="00DF7B3F" w:rsidRDefault="003235DB" w:rsidP="00BD428A">
      <w:pPr>
        <w:pStyle w:val="FootnoteText"/>
        <w:rPr>
          <w:lang w:val="en-US"/>
        </w:rPr>
      </w:pPr>
      <w:r>
        <w:rPr>
          <w:rStyle w:val="FootnoteReference"/>
        </w:rPr>
        <w:footnoteRef/>
      </w:r>
      <w:r>
        <w:t xml:space="preserve"> </w:t>
      </w:r>
      <w:r>
        <w:rPr>
          <w:lang w:val="en-US"/>
        </w:rPr>
        <w:t xml:space="preserve">ABCB 2019, </w:t>
      </w:r>
      <w:r w:rsidRPr="00F11742">
        <w:rPr>
          <w:lang w:val="en-US"/>
        </w:rPr>
        <w:t>op.cit.</w:t>
      </w:r>
      <w:r>
        <w:rPr>
          <w:lang w:val="en-US"/>
        </w:rPr>
        <w:t>, pp.24</w:t>
      </w:r>
      <w:r>
        <w:rPr>
          <w:lang w:val="en-US"/>
        </w:rPr>
        <w:noBreakHyphen/>
        <w:t>25.</w:t>
      </w:r>
    </w:p>
  </w:footnote>
  <w:footnote w:id="181">
    <w:p w14:paraId="239030C9" w14:textId="77777777" w:rsidR="003235DB" w:rsidRPr="00D42890" w:rsidRDefault="003235DB" w:rsidP="00BD428A">
      <w:pPr>
        <w:pStyle w:val="FootnoteText"/>
        <w:rPr>
          <w:lang w:val="en-US"/>
        </w:rPr>
      </w:pPr>
      <w:r>
        <w:rPr>
          <w:rStyle w:val="FootnoteReference"/>
        </w:rPr>
        <w:footnoteRef/>
      </w:r>
      <w:r>
        <w:t xml:space="preserve"> </w:t>
      </w:r>
      <w:r>
        <w:rPr>
          <w:lang w:val="en-US"/>
        </w:rPr>
        <w:t>ABCB 2019, op.cit., p.20.</w:t>
      </w:r>
    </w:p>
  </w:footnote>
  <w:footnote w:id="182">
    <w:p w14:paraId="6DAC64E3" w14:textId="77777777" w:rsidR="003235DB" w:rsidRPr="00DF7B3F" w:rsidRDefault="003235DB" w:rsidP="00BD428A">
      <w:pPr>
        <w:pStyle w:val="FootnoteText"/>
        <w:rPr>
          <w:lang w:val="en-US"/>
        </w:rPr>
      </w:pPr>
      <w:r>
        <w:rPr>
          <w:rStyle w:val="FootnoteReference"/>
        </w:rPr>
        <w:footnoteRef/>
      </w:r>
      <w:r>
        <w:t xml:space="preserve"> </w:t>
      </w:r>
      <w:r>
        <w:rPr>
          <w:lang w:val="en-US"/>
        </w:rPr>
        <w:t>ABCB 2019, op.cit., p.25.</w:t>
      </w:r>
    </w:p>
  </w:footnote>
  <w:footnote w:id="183">
    <w:p w14:paraId="09A73874" w14:textId="77777777" w:rsidR="003235DB" w:rsidRPr="00F36A14" w:rsidRDefault="003235DB" w:rsidP="00BD428A">
      <w:pPr>
        <w:pStyle w:val="FootnoteText"/>
        <w:rPr>
          <w:lang w:val="en-US"/>
        </w:rPr>
      </w:pPr>
      <w:r>
        <w:rPr>
          <w:rStyle w:val="FootnoteReference"/>
        </w:rPr>
        <w:footnoteRef/>
      </w:r>
      <w:r>
        <w:t xml:space="preserve"> </w:t>
      </w:r>
      <w:r>
        <w:rPr>
          <w:lang w:val="en-US"/>
        </w:rPr>
        <w:t>Council of Australian Governments, Best Practice Regulation, A Guide for Ministerial Councils and National Standard Setting Bodies, p.10.</w:t>
      </w:r>
    </w:p>
  </w:footnote>
  <w:footnote w:id="184">
    <w:p w14:paraId="6F2D617A" w14:textId="77777777" w:rsidR="003235DB" w:rsidRPr="00E931DF" w:rsidRDefault="003235DB" w:rsidP="00BD428A">
      <w:pPr>
        <w:pStyle w:val="FootnoteText"/>
        <w:rPr>
          <w:lang w:val="en-US"/>
        </w:rPr>
      </w:pPr>
      <w:r>
        <w:rPr>
          <w:rStyle w:val="FootnoteReference"/>
        </w:rPr>
        <w:footnoteRef/>
      </w:r>
      <w:r>
        <w:t xml:space="preserve"> Council of Australian Governments 2007, </w:t>
      </w:r>
      <w:r w:rsidRPr="00806F63">
        <w:rPr>
          <w:i/>
          <w:iCs/>
        </w:rPr>
        <w:t>Best Practice Regulation</w:t>
      </w:r>
      <w:r>
        <w:rPr>
          <w:i/>
          <w:iCs/>
        </w:rPr>
        <w:t>:</w:t>
      </w:r>
      <w:r w:rsidRPr="00806F63">
        <w:rPr>
          <w:i/>
          <w:iCs/>
        </w:rPr>
        <w:t xml:space="preserve"> </w:t>
      </w:r>
      <w:r w:rsidRPr="00E931DF">
        <w:rPr>
          <w:i/>
          <w:iCs/>
        </w:rPr>
        <w:t>A Guide for Ministerial Councils and National Standard Setting Bodies</w:t>
      </w:r>
      <w:r>
        <w:t>, October 2007, p</w:t>
      </w:r>
      <w:r>
        <w:rPr>
          <w:lang w:val="en-US"/>
        </w:rPr>
        <w:t>.10.</w:t>
      </w:r>
    </w:p>
  </w:footnote>
  <w:footnote w:id="185">
    <w:p w14:paraId="3B016D06" w14:textId="77777777" w:rsidR="003235DB" w:rsidRDefault="003235DB">
      <w:pPr>
        <w:pStyle w:val="FootnoteText"/>
      </w:pPr>
      <w:r>
        <w:rPr>
          <w:rStyle w:val="FootnoteReference"/>
        </w:rPr>
        <w:footnoteRef/>
      </w:r>
      <w:r>
        <w:t xml:space="preserve"> For example, Margret Ward, op.cit., p.15, p.25, p.48 </w:t>
      </w:r>
      <w:r>
        <w:tab/>
      </w:r>
    </w:p>
  </w:footnote>
  <w:footnote w:id="186">
    <w:p w14:paraId="40C041A4" w14:textId="77777777" w:rsidR="003235DB" w:rsidRDefault="003235DB">
      <w:pPr>
        <w:pStyle w:val="FootnoteText"/>
      </w:pPr>
      <w:r>
        <w:rPr>
          <w:rStyle w:val="FootnoteReference"/>
        </w:rPr>
        <w:footnoteRef/>
      </w:r>
      <w:r>
        <w:t xml:space="preserve"> ANUHD and RI Australia 2015, </w:t>
      </w:r>
      <w:r>
        <w:rPr>
          <w:i/>
          <w:iCs/>
        </w:rPr>
        <w:t>Report on the progress of the National Dialogue on Universal Housing Design 2010-14</w:t>
      </w:r>
      <w:r>
        <w:t xml:space="preserve">, p.13, </w:t>
      </w:r>
      <w:r w:rsidRPr="00F8626D">
        <w:rPr>
          <w:rStyle w:val="Hyperlink"/>
          <w:i/>
          <w:iCs/>
        </w:rPr>
        <w:t>https://aduhdblog.files.wordpress.com/2016/08/nduhd_report_jan15.pdf</w:t>
      </w:r>
      <w:r>
        <w:tab/>
      </w:r>
    </w:p>
  </w:footnote>
  <w:footnote w:id="187">
    <w:p w14:paraId="2AA30ED7" w14:textId="77777777" w:rsidR="003235DB" w:rsidRDefault="003235DB">
      <w:pPr>
        <w:pStyle w:val="FootnoteText"/>
      </w:pPr>
      <w:r>
        <w:rPr>
          <w:rStyle w:val="FootnoteReference"/>
        </w:rPr>
        <w:footnoteRef/>
      </w:r>
      <w:r>
        <w:t xml:space="preserve"> Submission by Jane Bringolf for Centre for Universal Design Australia, answer to Question 8, accessed 24 December 2020, </w:t>
      </w:r>
      <w:r w:rsidRPr="00792F17">
        <w:rPr>
          <w:rStyle w:val="Hyperlink"/>
          <w:i/>
          <w:iCs/>
        </w:rPr>
        <w:t xml:space="preserve">https://consultation.abcb.gov.au/engagement/consult-ris-accessible-housing/consultation/published_select_respondent </w:t>
      </w:r>
      <w:r w:rsidRPr="00792F17">
        <w:rPr>
          <w:rStyle w:val="Hyperlink"/>
          <w:i/>
          <w:iCs/>
        </w:rPr>
        <w:tab/>
      </w:r>
    </w:p>
  </w:footnote>
  <w:footnote w:id="188">
    <w:p w14:paraId="4C7D14EA" w14:textId="77777777" w:rsidR="003235DB" w:rsidRDefault="003235DB" w:rsidP="003B212C">
      <w:pPr>
        <w:pStyle w:val="FootnoteText"/>
      </w:pPr>
      <w:r>
        <w:rPr>
          <w:rStyle w:val="FootnoteReference"/>
        </w:rPr>
        <w:footnoteRef/>
      </w:r>
      <w:r>
        <w:t xml:space="preserve"> Submission by Tim Wheeler for PCA, p2; Appendix B, p.11-13, accessed 1 December 2020,</w:t>
      </w:r>
      <w:r w:rsidRPr="003B212C">
        <w:t xml:space="preserve"> </w:t>
      </w:r>
      <w:hyperlink r:id="rId48" w:tooltip="Available at the ABCB website" w:history="1">
        <w:r w:rsidRPr="006A452A">
          <w:rPr>
            <w:rStyle w:val="Hyperlink"/>
            <w:i/>
            <w:iCs/>
          </w:rPr>
          <w:t>https://consultation.abcb.gov.au/engagement/consult-ris-accessible-housing/consultation/published_select_respondent</w:t>
        </w:r>
      </w:hyperlink>
      <w:r w:rsidRPr="006A452A">
        <w:rPr>
          <w:rStyle w:val="Hyperlink"/>
          <w:i/>
          <w:iCs/>
        </w:rPr>
        <w:tab/>
      </w:r>
    </w:p>
  </w:footnote>
  <w:footnote w:id="189">
    <w:p w14:paraId="7598216F" w14:textId="77777777" w:rsidR="003235DB" w:rsidRDefault="003235DB" w:rsidP="00AD7DF1">
      <w:pPr>
        <w:pStyle w:val="FootnoteText"/>
      </w:pPr>
      <w:r>
        <w:rPr>
          <w:rStyle w:val="FootnoteReference"/>
        </w:rPr>
        <w:footnoteRef/>
      </w:r>
      <w:r>
        <w:t xml:space="preserve"> Sam Plaschke, op. cit., p.4</w:t>
      </w:r>
      <w:r>
        <w:tab/>
      </w:r>
    </w:p>
  </w:footnote>
  <w:footnote w:id="190">
    <w:p w14:paraId="684783A7" w14:textId="77777777" w:rsidR="003235DB" w:rsidRPr="00F8626D" w:rsidRDefault="003235DB">
      <w:pPr>
        <w:pStyle w:val="FootnoteText"/>
        <w:rPr>
          <w:rStyle w:val="Hyperlink"/>
          <w:i/>
          <w:iCs/>
        </w:rPr>
      </w:pPr>
      <w:r>
        <w:rPr>
          <w:rStyle w:val="FootnoteReference"/>
        </w:rPr>
        <w:footnoteRef/>
      </w:r>
      <w:r>
        <w:t xml:space="preserve"> Gurran, N., K. Ruming and B. Randolph 2009, </w:t>
      </w:r>
      <w:r>
        <w:rPr>
          <w:i/>
          <w:iCs/>
        </w:rPr>
        <w:t>Counting the costs: planning requirements, infrastructure contributions, and residential development in Australia</w:t>
      </w:r>
      <w:r>
        <w:t xml:space="preserve">, AHURI Final Report No.140, Australian Housing and Urban Research Institute Limited, Melbourne, </w:t>
      </w:r>
      <w:r w:rsidRPr="00F8626D">
        <w:rPr>
          <w:rStyle w:val="Hyperlink"/>
          <w:i/>
          <w:iCs/>
        </w:rPr>
        <w:t>https://www.ahuri.edu.au/research/final-reports/140</w:t>
      </w:r>
    </w:p>
  </w:footnote>
  <w:footnote w:id="191">
    <w:p w14:paraId="1A927FE7" w14:textId="77777777" w:rsidR="003235DB" w:rsidRDefault="003235DB">
      <w:pPr>
        <w:pStyle w:val="FootnoteText"/>
      </w:pPr>
      <w:r>
        <w:rPr>
          <w:rStyle w:val="FootnoteReference"/>
        </w:rPr>
        <w:footnoteRef/>
      </w:r>
      <w:r>
        <w:t xml:space="preserve"> Berenice Hale submission for RAAV, p.2, accessed 1 December 2020,</w:t>
      </w:r>
      <w:r w:rsidRPr="003B212C">
        <w:t xml:space="preserve"> </w:t>
      </w:r>
      <w:hyperlink r:id="rId49" w:tooltip="Available at the ABCB website" w:history="1">
        <w:r w:rsidRPr="00F8626D">
          <w:rPr>
            <w:rStyle w:val="Hyperlink"/>
            <w:i/>
            <w:iCs/>
          </w:rPr>
          <w:t>https://consultation.abcb.gov.au/engagement/consult-ris-accessible-housing/consultation/published_select_respondent</w:t>
        </w:r>
      </w:hyperlink>
      <w:r>
        <w:tab/>
      </w:r>
    </w:p>
  </w:footnote>
  <w:footnote w:id="192">
    <w:p w14:paraId="0141796B" w14:textId="77777777" w:rsidR="003235DB" w:rsidRPr="00A70938" w:rsidRDefault="003235DB" w:rsidP="00B06D40">
      <w:pPr>
        <w:pStyle w:val="FootnoteText"/>
        <w:rPr>
          <w:lang w:val="en-US"/>
        </w:rPr>
      </w:pPr>
      <w:r>
        <w:rPr>
          <w:rStyle w:val="FootnoteReference"/>
        </w:rPr>
        <w:footnoteRef/>
      </w:r>
      <w:r>
        <w:t xml:space="preserve"> Department of the Prime Minister and Cabinet 2016, </w:t>
      </w:r>
      <w:r w:rsidRPr="009F2C7B">
        <w:rPr>
          <w:i/>
          <w:iCs/>
        </w:rPr>
        <w:t>Cost</w:t>
      </w:r>
      <w:r w:rsidRPr="009F2C7B">
        <w:rPr>
          <w:i/>
          <w:iCs/>
        </w:rPr>
        <w:noBreakHyphen/>
        <w:t>Benefit Analysis</w:t>
      </w:r>
      <w:r>
        <w:t xml:space="preserve">, Office of Best Practice Regulation, February 2016, </w:t>
      </w:r>
      <w:r>
        <w:rPr>
          <w:lang w:val="en-US"/>
        </w:rPr>
        <w:t>pp.7</w:t>
      </w:r>
      <w:r>
        <w:rPr>
          <w:lang w:val="en-US"/>
        </w:rPr>
        <w:noBreakHyphen/>
        <w:t>8.</w:t>
      </w:r>
    </w:p>
  </w:footnote>
  <w:footnote w:id="193">
    <w:p w14:paraId="47DBAFB3" w14:textId="77777777" w:rsidR="003235DB" w:rsidRDefault="003235DB" w:rsidP="00B87F9A">
      <w:pPr>
        <w:pStyle w:val="FootnoteText"/>
      </w:pPr>
      <w:r>
        <w:rPr>
          <w:rStyle w:val="FootnoteReference"/>
        </w:rPr>
        <w:footnoteRef/>
      </w:r>
      <w:r>
        <w:t xml:space="preserve"> DCWC 2020, </w:t>
      </w:r>
      <w:r>
        <w:rPr>
          <w:i/>
          <w:iCs/>
        </w:rPr>
        <w:t xml:space="preserve">Accessible housing: Estimated cost impact of proposed changes to </w:t>
      </w:r>
      <w:r w:rsidRPr="00967EE8">
        <w:t>NCC</w:t>
      </w:r>
      <w:r>
        <w:t>, Report Version V2.2 – 23 December 2020, see Table 2.1 and appendices.</w:t>
      </w:r>
    </w:p>
  </w:footnote>
  <w:footnote w:id="194">
    <w:p w14:paraId="51F037D9" w14:textId="77777777" w:rsidR="003235DB" w:rsidRDefault="003235DB" w:rsidP="006C5646">
      <w:pPr>
        <w:pStyle w:val="FootnoteText"/>
      </w:pPr>
      <w:r>
        <w:rPr>
          <w:rStyle w:val="FootnoteReference"/>
        </w:rPr>
        <w:footnoteRef/>
      </w:r>
      <w:r>
        <w:t xml:space="preserve"> DCWC 2020, </w:t>
      </w:r>
      <w:r>
        <w:rPr>
          <w:i/>
          <w:iCs/>
        </w:rPr>
        <w:t xml:space="preserve">Accessible housing: Estimated cost impact of proposed changes to </w:t>
      </w:r>
      <w:r w:rsidRPr="001020F1">
        <w:t>NCC</w:t>
      </w:r>
      <w:r>
        <w:t>, Report Version V2.2 – 23 December 2020</w:t>
      </w:r>
    </w:p>
  </w:footnote>
  <w:footnote w:id="195">
    <w:p w14:paraId="079B72A0" w14:textId="77777777" w:rsidR="003235DB" w:rsidRDefault="003235DB">
      <w:pPr>
        <w:pStyle w:val="FootnoteText"/>
      </w:pPr>
      <w:r>
        <w:rPr>
          <w:rStyle w:val="FootnoteReference"/>
        </w:rPr>
        <w:footnoteRef/>
      </w:r>
      <w:r>
        <w:t xml:space="preserve"> For example, see Anonymous Submission 0808182020, accessed 11 November 2020, </w:t>
      </w:r>
      <w:hyperlink r:id="rId50" w:tooltip="Available at the ABCB website" w:history="1">
        <w:r w:rsidRPr="00F8626D">
          <w:rPr>
            <w:rStyle w:val="Hyperlink"/>
            <w:i/>
            <w:iCs/>
          </w:rPr>
          <w:t>https://consultation.abcb.gov.au/engagement/consult-ris-accessible-housing/consultation/published_select_respondent</w:t>
        </w:r>
      </w:hyperlink>
      <w:r w:rsidRPr="00F8626D">
        <w:rPr>
          <w:rStyle w:val="Hyperlink"/>
          <w:i/>
          <w:iCs/>
        </w:rPr>
        <w:tab/>
      </w:r>
    </w:p>
  </w:footnote>
  <w:footnote w:id="196">
    <w:p w14:paraId="71892217" w14:textId="77777777" w:rsidR="003235DB" w:rsidRDefault="003235DB">
      <w:pPr>
        <w:pStyle w:val="FootnoteText"/>
      </w:pPr>
      <w:r>
        <w:rPr>
          <w:rStyle w:val="FootnoteReference"/>
        </w:rPr>
        <w:footnoteRef/>
      </w:r>
      <w:r>
        <w:t xml:space="preserve"> This price elasticity is the percentage change in land price with respect to (divided by) the percentage change in lot size. For example, an elasticity of 0.24 means that, for one per cent increase in the lot size, the land price would increase by 0.24 per cent. </w:t>
      </w:r>
      <w:r>
        <w:tab/>
      </w:r>
    </w:p>
  </w:footnote>
  <w:footnote w:id="197">
    <w:p w14:paraId="34EDAE83" w14:textId="77777777" w:rsidR="003235DB" w:rsidRPr="00F04EE6" w:rsidRDefault="003235DB" w:rsidP="00853897">
      <w:pPr>
        <w:pStyle w:val="FootnoteText"/>
        <w:rPr>
          <w:lang w:val="en-US"/>
        </w:rPr>
      </w:pPr>
      <w:r>
        <w:rPr>
          <w:rStyle w:val="FootnoteReference"/>
        </w:rPr>
        <w:footnoteRef/>
      </w:r>
      <w:r>
        <w:t xml:space="preserve"> SGS Economics and Planning 2016, </w:t>
      </w:r>
      <w:r w:rsidRPr="00180CA2">
        <w:rPr>
          <w:i/>
          <w:iCs/>
        </w:rPr>
        <w:t>Economic analysis of the Better Apartments initiative</w:t>
      </w:r>
      <w:r>
        <w:t>, Final report, Prepared for Department of Environment, Land, Water and Planning and the Office of the Government Architect, Appendix C: Secret Agent Study Part 1 and 2, 18 November 2016.</w:t>
      </w:r>
    </w:p>
  </w:footnote>
  <w:footnote w:id="198">
    <w:p w14:paraId="1D4CAFA2" w14:textId="77777777" w:rsidR="003235DB" w:rsidRDefault="003235DB" w:rsidP="00C12909">
      <w:pPr>
        <w:pStyle w:val="FootnoteText"/>
      </w:pPr>
      <w:r>
        <w:rPr>
          <w:rStyle w:val="FootnoteReference"/>
        </w:rPr>
        <w:footnoteRef/>
      </w:r>
      <w:r>
        <w:t xml:space="preserve"> Professor Bruce Bonyhady and Dr Di Winkler, op.cit. </w:t>
      </w:r>
      <w:r w:rsidDel="006B3A0D">
        <w:rPr>
          <w:lang w:bidi="fa-IR"/>
        </w:rPr>
        <w:t>Summer Foundation and MDI submission</w:t>
      </w:r>
      <w:r>
        <w:rPr>
          <w:lang w:bidi="fa-IR"/>
        </w:rPr>
        <w:t>, Appendix 1, and Supplementary submission</w:t>
      </w:r>
    </w:p>
  </w:footnote>
  <w:footnote w:id="199">
    <w:p w14:paraId="21FA9DBD" w14:textId="77777777" w:rsidR="003235DB" w:rsidRPr="00EA127E" w:rsidRDefault="003235DB" w:rsidP="00F2108F">
      <w:pPr>
        <w:pStyle w:val="FootnoteText"/>
        <w:rPr>
          <w:rStyle w:val="Hyperlink"/>
          <w:i/>
          <w:iCs/>
        </w:rPr>
      </w:pPr>
      <w:r>
        <w:rPr>
          <w:rStyle w:val="FootnoteReference"/>
        </w:rPr>
        <w:footnoteRef/>
      </w:r>
      <w:r>
        <w:t xml:space="preserve"> </w:t>
      </w:r>
      <w:r>
        <w:rPr>
          <w:lang w:val="en-US"/>
        </w:rPr>
        <w:t>Submission by Max Rafferty for Master Builders Australia, pp. 5</w:t>
      </w:r>
      <w:r>
        <w:rPr>
          <w:lang w:val="en-US"/>
        </w:rPr>
        <w:noBreakHyphen/>
        <w:t xml:space="preserve">6, accessed 7 December 2020, </w:t>
      </w:r>
      <w:hyperlink r:id="rId51" w:tooltip="Available at the ABCB website" w:history="1">
        <w:r w:rsidRPr="00EA127E">
          <w:rPr>
            <w:rStyle w:val="Hyperlink"/>
            <w:i/>
            <w:iCs/>
          </w:rPr>
          <w:t>https://consultation.abcb.gov.au/engagement/consult-ris-accessible-housing/consultation/published_select_respondent</w:t>
        </w:r>
      </w:hyperlink>
    </w:p>
  </w:footnote>
  <w:footnote w:id="200">
    <w:p w14:paraId="268224DE" w14:textId="77777777" w:rsidR="003235DB" w:rsidRDefault="003235DB">
      <w:pPr>
        <w:pStyle w:val="FootnoteText"/>
      </w:pPr>
      <w:r>
        <w:rPr>
          <w:rStyle w:val="FootnoteReference"/>
        </w:rPr>
        <w:footnoteRef/>
      </w:r>
      <w:r>
        <w:t xml:space="preserve"> The hedonic pricing method uses statistical models to link the price of a product to the product characteristics.</w:t>
      </w:r>
    </w:p>
  </w:footnote>
  <w:footnote w:id="201">
    <w:p w14:paraId="69CD1DE1" w14:textId="77777777" w:rsidR="003235DB" w:rsidRDefault="003235DB">
      <w:pPr>
        <w:pStyle w:val="FootnoteText"/>
      </w:pPr>
      <w:r>
        <w:rPr>
          <w:rStyle w:val="FootnoteReference"/>
        </w:rPr>
        <w:footnoteRef/>
      </w:r>
      <w:r>
        <w:t xml:space="preserve"> See for example, Wing, C.K. and T.L. Chin 2003, ‘A Critical Review of Literature on the Hedonic Price Model’, </w:t>
      </w:r>
      <w:r>
        <w:rPr>
          <w:i/>
          <w:iCs/>
        </w:rPr>
        <w:t>International Journal for Housing Science and Its Applications</w:t>
      </w:r>
      <w:r>
        <w:t xml:space="preserve">, </w:t>
      </w:r>
      <w:r w:rsidRPr="009D4D2D">
        <w:rPr>
          <w:b/>
          <w:bCs/>
        </w:rPr>
        <w:t>27</w:t>
      </w:r>
      <w:r>
        <w:t xml:space="preserve">(2), p.145-165; Gilbert, S.W. 2013, </w:t>
      </w:r>
      <w:r>
        <w:rPr>
          <w:i/>
          <w:iCs/>
        </w:rPr>
        <w:t>Applying the Hedonic Method</w:t>
      </w:r>
      <w:r>
        <w:t>, NIST Technical Note 1811, National Institute of Standards and Technology.</w:t>
      </w:r>
      <w:r>
        <w:tab/>
      </w:r>
    </w:p>
  </w:footnote>
  <w:footnote w:id="202">
    <w:p w14:paraId="7D003AA5" w14:textId="77777777" w:rsidR="003235DB" w:rsidRDefault="003235DB">
      <w:pPr>
        <w:pStyle w:val="FootnoteText"/>
      </w:pPr>
      <w:r>
        <w:rPr>
          <w:rStyle w:val="FootnoteReference"/>
        </w:rPr>
        <w:footnoteRef/>
      </w:r>
      <w:r>
        <w:t xml:space="preserve"> CommSec 2018, “Australian home size hits 22-year low: CommSec Home Size Trends Report”, </w:t>
      </w:r>
      <w:r>
        <w:rPr>
          <w:i/>
          <w:iCs/>
        </w:rPr>
        <w:t>Economic Insights</w:t>
      </w:r>
      <w:r>
        <w:t xml:space="preserve">, 16 November 2018, </w:t>
      </w:r>
      <w:hyperlink r:id="rId52" w:tooltip="More information can be found at the website via this link" w:history="1">
        <w:r w:rsidRPr="00EA127E">
          <w:rPr>
            <w:rStyle w:val="Hyperlink"/>
            <w:i/>
            <w:iCs/>
          </w:rPr>
          <w:t>https://www.commsec.com.au/content/dam/EN/ResearchNews/2018Reports/November/ECO_Insights_191118_CommSec-Home-Size.pdf</w:t>
        </w:r>
      </w:hyperlink>
      <w:r w:rsidRPr="00EA127E">
        <w:rPr>
          <w:rStyle w:val="Hyperlink"/>
          <w:i/>
          <w:iCs/>
        </w:rPr>
        <w:t xml:space="preserve"> </w:t>
      </w:r>
    </w:p>
  </w:footnote>
  <w:footnote w:id="203">
    <w:p w14:paraId="0CD6BA17" w14:textId="77777777" w:rsidR="003235DB" w:rsidRDefault="003235DB">
      <w:pPr>
        <w:pStyle w:val="FootnoteText"/>
      </w:pPr>
      <w:r>
        <w:rPr>
          <w:rStyle w:val="FootnoteReference"/>
        </w:rPr>
        <w:footnoteRef/>
      </w:r>
      <w:r>
        <w:t xml:space="preserve"> Livable Housing Australia 2013, </w:t>
      </w:r>
      <w:r>
        <w:rPr>
          <w:i/>
          <w:iCs/>
        </w:rPr>
        <w:t>Applicant Information: Work with us to create more comfortable, versatile and accessible homes for everybody, everyday, at all stages of life</w:t>
      </w:r>
      <w:r>
        <w:t xml:space="preserve">, July 2013, p.6. </w:t>
      </w:r>
      <w:hyperlink r:id="rId53" w:tooltip="More information can be found at the website via this link" w:history="1">
        <w:r w:rsidRPr="00EA127E">
          <w:rPr>
            <w:rStyle w:val="Hyperlink"/>
            <w:i/>
            <w:iCs/>
          </w:rPr>
          <w:t>http://livablehousingaustralia.org.au/library/help/03-Applicant-Information.pdf</w:t>
        </w:r>
      </w:hyperlink>
      <w:r w:rsidRPr="00EA127E">
        <w:rPr>
          <w:rStyle w:val="Hyperlink"/>
          <w:i/>
          <w:iCs/>
        </w:rPr>
        <w:t>,</w:t>
      </w:r>
      <w:r>
        <w:t xml:space="preserve"> accessed 4 December 2020.</w:t>
      </w:r>
      <w:r>
        <w:tab/>
      </w:r>
    </w:p>
  </w:footnote>
  <w:footnote w:id="204">
    <w:p w14:paraId="24ADB86F" w14:textId="77777777" w:rsidR="003235DB" w:rsidRDefault="003235DB" w:rsidP="006F4FDE">
      <w:pPr>
        <w:pStyle w:val="FootnoteText"/>
      </w:pPr>
      <w:r>
        <w:rPr>
          <w:rStyle w:val="FootnoteReference"/>
        </w:rPr>
        <w:footnoteRef/>
      </w:r>
      <w:r>
        <w:t xml:space="preserve"> Jeremy Turner, pers com., 9 February 2021.</w:t>
      </w:r>
    </w:p>
  </w:footnote>
  <w:footnote w:id="205">
    <w:p w14:paraId="37893704" w14:textId="77777777" w:rsidR="003235DB" w:rsidRDefault="003235DB" w:rsidP="006F4FDE">
      <w:pPr>
        <w:pStyle w:val="FootnoteText"/>
      </w:pPr>
      <w:r>
        <w:rPr>
          <w:rStyle w:val="FootnoteReference"/>
        </w:rPr>
        <w:footnoteRef/>
      </w:r>
      <w:r>
        <w:t xml:space="preserve"> CIE 2020, </w:t>
      </w:r>
      <w:r>
        <w:rPr>
          <w:i/>
          <w:iCs/>
        </w:rPr>
        <w:t>Building Confidence Report: A case for intervention</w:t>
      </w:r>
      <w:r>
        <w:t>, report prepared for the Australian Building Codes Board, p.81.</w:t>
      </w:r>
    </w:p>
  </w:footnote>
  <w:footnote w:id="206">
    <w:p w14:paraId="2610733D" w14:textId="77777777" w:rsidR="003235DB" w:rsidRDefault="003235DB" w:rsidP="006F4FDE">
      <w:pPr>
        <w:pStyle w:val="FootnoteText"/>
      </w:pPr>
      <w:r>
        <w:rPr>
          <w:rStyle w:val="FootnoteReference"/>
        </w:rPr>
        <w:footnoteRef/>
      </w:r>
      <w:r>
        <w:t xml:space="preserve"> CIE 2020, op. cit., p.85.</w:t>
      </w:r>
    </w:p>
  </w:footnote>
  <w:footnote w:id="207">
    <w:p w14:paraId="6021BC61" w14:textId="77777777" w:rsidR="003235DB" w:rsidRDefault="003235DB">
      <w:pPr>
        <w:pStyle w:val="FootnoteText"/>
      </w:pPr>
      <w:r>
        <w:rPr>
          <w:rStyle w:val="FootnoteReference"/>
        </w:rPr>
        <w:footnoteRef/>
      </w:r>
      <w:r>
        <w:t xml:space="preserve"> CIE 2018, </w:t>
      </w:r>
      <w:r>
        <w:rPr>
          <w:i/>
          <w:iCs/>
        </w:rPr>
        <w:t xml:space="preserve">Decision Regulation Impact Statement Energy Efficiency in Commercial Buildings, </w:t>
      </w:r>
      <w:r>
        <w:t>Prepared for ABCB, 20 November 2018, p.88-89</w:t>
      </w:r>
      <w:r>
        <w:tab/>
      </w:r>
    </w:p>
  </w:footnote>
  <w:footnote w:id="208">
    <w:p w14:paraId="0944D18C" w14:textId="77777777" w:rsidR="003235DB" w:rsidRDefault="003235DB" w:rsidP="00853897">
      <w:pPr>
        <w:pStyle w:val="FootnoteText"/>
      </w:pPr>
      <w:r>
        <w:rPr>
          <w:rStyle w:val="FootnoteReference"/>
        </w:rPr>
        <w:footnoteRef/>
      </w:r>
      <w:r>
        <w:t xml:space="preserve"> From ABS Cat. 6306, data for May 2018 on total hourly cash earnings is available for the occupations: construction, distribution and production managers (which are used for construction managers), architects, designers, planners and surveyors (architects), and building and engineering technicians (certifiers). These data are grown forward to 2019 using nationwide WPI. ABS Cash earnings data is a gross amount that includes superannuation and taxation. Taxation is excluded as it is a transfer to government (not a cost). The data are multiplied by 0.8, which is equivalent to assuming each of these individuals has an average tax rate of 20 per cent. </w:t>
      </w:r>
    </w:p>
  </w:footnote>
  <w:footnote w:id="209">
    <w:p w14:paraId="3027A873" w14:textId="77777777" w:rsidR="003235DB" w:rsidRDefault="003235DB">
      <w:pPr>
        <w:pStyle w:val="FootnoteText"/>
      </w:pPr>
      <w:r>
        <w:rPr>
          <w:rStyle w:val="FootnoteReference"/>
        </w:rPr>
        <w:footnoteRef/>
      </w:r>
      <w:r>
        <w:t xml:space="preserve"> CIE 2020, </w:t>
      </w:r>
      <w:r>
        <w:rPr>
          <w:i/>
          <w:iCs/>
        </w:rPr>
        <w:t>Evaluation of infrastructure contribution reform in New South Wales</w:t>
      </w:r>
      <w:r>
        <w:t xml:space="preserve">, report prepared for NSW Productivity Commission, December 2020, Chapter four, p.39-59, </w:t>
      </w:r>
      <w:r w:rsidRPr="00EA127E">
        <w:rPr>
          <w:rStyle w:val="Hyperlink"/>
          <w:i/>
          <w:iCs/>
        </w:rPr>
        <w:t>http://productivity.nsw.gov.au/sites/default/files/2020-12/Evaluation%20of%20Infrastructure%20Contributions%20Reform%20in%20NSW.pdf</w:t>
      </w:r>
    </w:p>
  </w:footnote>
  <w:footnote w:id="210">
    <w:p w14:paraId="7C760D47" w14:textId="77777777" w:rsidR="003235DB" w:rsidRPr="002F3BFE" w:rsidRDefault="003235DB" w:rsidP="00736117">
      <w:pPr>
        <w:pStyle w:val="FootnoteText"/>
        <w:rPr>
          <w:lang w:val="en-US"/>
        </w:rPr>
      </w:pPr>
      <w:r>
        <w:rPr>
          <w:rStyle w:val="FootnoteReference"/>
        </w:rPr>
        <w:footnoteRef/>
      </w:r>
      <w:r>
        <w:t xml:space="preserve"> </w:t>
      </w:r>
      <w:r>
        <w:rPr>
          <w:lang w:val="en-US"/>
        </w:rPr>
        <w:t xml:space="preserve">Department of the Prime Minister and Cabinet 2016, </w:t>
      </w:r>
      <w:r w:rsidRPr="00B74F77">
        <w:rPr>
          <w:i/>
          <w:iCs/>
          <w:lang w:val="en-US"/>
        </w:rPr>
        <w:t>Cost</w:t>
      </w:r>
      <w:r w:rsidRPr="00B74F77">
        <w:rPr>
          <w:i/>
          <w:iCs/>
          <w:lang w:val="en-US"/>
        </w:rPr>
        <w:noBreakHyphen/>
        <w:t>Benefit Analysis</w:t>
      </w:r>
      <w:r>
        <w:rPr>
          <w:lang w:val="en-US"/>
        </w:rPr>
        <w:t>, Guidance Note, Office of Best Practice Regulation, February 2016, p. 11.</w:t>
      </w:r>
    </w:p>
  </w:footnote>
  <w:footnote w:id="211">
    <w:p w14:paraId="57E86443" w14:textId="77777777" w:rsidR="003235DB" w:rsidRDefault="003235DB" w:rsidP="000074B1">
      <w:pPr>
        <w:pStyle w:val="FootnoteText"/>
      </w:pPr>
      <w:r>
        <w:rPr>
          <w:rStyle w:val="FootnoteReference"/>
        </w:rPr>
        <w:footnoteRef/>
      </w:r>
      <w:r>
        <w:t xml:space="preserve"> Submission by Margret Ward for ANUHD, p.18, accessed 1 December 2020,</w:t>
      </w:r>
      <w:r>
        <w:tab/>
        <w:t xml:space="preserve"> </w:t>
      </w:r>
      <w:hyperlink r:id="rId54" w:tooltip="Available at the ABCB website" w:history="1">
        <w:r w:rsidRPr="00EA127E">
          <w:rPr>
            <w:rStyle w:val="Hyperlink"/>
            <w:i/>
            <w:iCs/>
          </w:rPr>
          <w:t>https://consultation.abcb.gov.au/engagement/consult-ris-accessible-housing/consultation/published_select_respondent</w:t>
        </w:r>
      </w:hyperlink>
    </w:p>
  </w:footnote>
  <w:footnote w:id="212">
    <w:p w14:paraId="095B47C5" w14:textId="77777777" w:rsidR="003235DB" w:rsidRDefault="003235DB" w:rsidP="004A3E82">
      <w:pPr>
        <w:pStyle w:val="FootnoteText"/>
      </w:pPr>
      <w:r>
        <w:rPr>
          <w:rStyle w:val="FootnoteReference"/>
        </w:rPr>
        <w:footnoteRef/>
      </w:r>
      <w:r>
        <w:t xml:space="preserve"> Discussions with representatives from Occupational Therapy Australia, 10 December 2020; and Professor Catherine Bridge, pers. comm. 8 December 2020.</w:t>
      </w:r>
    </w:p>
  </w:footnote>
  <w:footnote w:id="213">
    <w:p w14:paraId="0DDCF37D" w14:textId="77777777" w:rsidR="003235DB" w:rsidRDefault="003235DB" w:rsidP="004A3E82">
      <w:pPr>
        <w:pStyle w:val="FootnoteText"/>
      </w:pPr>
      <w:r>
        <w:rPr>
          <w:rStyle w:val="FootnoteReference"/>
        </w:rPr>
        <w:footnoteRef/>
      </w:r>
      <w:r>
        <w:t xml:space="preserve"> NDIS, NDIS Specialist Disability Accommodation Design Standards, Edition 1.1, 25 October 2019, p. 25.</w:t>
      </w:r>
    </w:p>
  </w:footnote>
  <w:footnote w:id="214">
    <w:p w14:paraId="7075A83F" w14:textId="77777777" w:rsidR="003235DB" w:rsidRDefault="003235DB" w:rsidP="00CB5D29">
      <w:pPr>
        <w:pStyle w:val="FootnoteText"/>
      </w:pPr>
      <w:r>
        <w:rPr>
          <w:rStyle w:val="FootnoteReference"/>
        </w:rPr>
        <w:footnoteRef/>
      </w:r>
      <w:r>
        <w:t xml:space="preserve"> Discussion with representatives from Occupational Therapy Australia, 10 December 2020.</w:t>
      </w:r>
    </w:p>
  </w:footnote>
  <w:footnote w:id="215">
    <w:p w14:paraId="6CC46EAC" w14:textId="77777777" w:rsidR="003235DB" w:rsidRDefault="003235DB" w:rsidP="00CB5D29">
      <w:pPr>
        <w:pStyle w:val="FootnoteText"/>
      </w:pPr>
      <w:r>
        <w:rPr>
          <w:rStyle w:val="FootnoteReference"/>
        </w:rPr>
        <w:footnoteRef/>
      </w:r>
      <w:r>
        <w:t xml:space="preserve"> Standards Australia 2009, op.cit., p 57</w:t>
      </w:r>
    </w:p>
  </w:footnote>
  <w:footnote w:id="216">
    <w:p w14:paraId="46D6AB01" w14:textId="77777777" w:rsidR="003235DB" w:rsidRDefault="003235DB" w:rsidP="00CB5D29">
      <w:pPr>
        <w:pStyle w:val="FootnoteText"/>
      </w:pPr>
      <w:r>
        <w:rPr>
          <w:rStyle w:val="FootnoteReference"/>
        </w:rPr>
        <w:footnoteRef/>
      </w:r>
      <w:r>
        <w:t xml:space="preserve"> Discussion with representatives from Occupational Therapy Australia, 10 December 2020.</w:t>
      </w:r>
    </w:p>
  </w:footnote>
  <w:footnote w:id="217">
    <w:p w14:paraId="346B1C35" w14:textId="77777777" w:rsidR="003235DB" w:rsidRDefault="003235DB" w:rsidP="00CB5D29">
      <w:pPr>
        <w:pStyle w:val="FootnoteText"/>
      </w:pPr>
      <w:r>
        <w:rPr>
          <w:rStyle w:val="FootnoteReference"/>
        </w:rPr>
        <w:footnoteRef/>
      </w:r>
      <w:r>
        <w:t xml:space="preserve"> NDIS, NDIS Specialist Disability Accommodation Design Standards, Edition 1.1, 25 October 2019, p. 26.</w:t>
      </w:r>
    </w:p>
  </w:footnote>
  <w:footnote w:id="218">
    <w:p w14:paraId="0C25E4BD" w14:textId="77777777" w:rsidR="003235DB" w:rsidRDefault="003235DB" w:rsidP="00742E3B">
      <w:pPr>
        <w:pStyle w:val="FootnoteText"/>
      </w:pPr>
      <w:r>
        <w:rPr>
          <w:rStyle w:val="FootnoteReference"/>
        </w:rPr>
        <w:footnoteRef/>
      </w:r>
      <w:r>
        <w:t xml:space="preserve"> Standards Australia 2009, op.cit., Figure 53b, p 92</w:t>
      </w:r>
    </w:p>
  </w:footnote>
  <w:footnote w:id="219">
    <w:p w14:paraId="24C4E514" w14:textId="77777777" w:rsidR="003235DB" w:rsidRDefault="003235DB" w:rsidP="0093131C">
      <w:pPr>
        <w:pStyle w:val="FootnoteText"/>
      </w:pPr>
      <w:r>
        <w:rPr>
          <w:rStyle w:val="FootnoteReference"/>
        </w:rPr>
        <w:footnoteRef/>
      </w:r>
      <w:r>
        <w:t xml:space="preserve"> Professor Catherine Bridge, pers. comm. 8 December 2020.</w:t>
      </w:r>
    </w:p>
  </w:footnote>
  <w:footnote w:id="220">
    <w:p w14:paraId="3094EF82" w14:textId="77777777" w:rsidR="003235DB" w:rsidRDefault="003235DB" w:rsidP="00693947">
      <w:pPr>
        <w:pStyle w:val="FootnoteText"/>
      </w:pPr>
      <w:r>
        <w:rPr>
          <w:rStyle w:val="FootnoteReference"/>
        </w:rPr>
        <w:footnoteRef/>
      </w:r>
      <w:r>
        <w:t xml:space="preserve"> </w:t>
      </w:r>
      <w:r>
        <w:rPr>
          <w:lang w:val="en-US"/>
        </w:rPr>
        <w:t>Discussions with Occupational Therapy Australia, 10 December 2020.</w:t>
      </w:r>
    </w:p>
  </w:footnote>
  <w:footnote w:id="221">
    <w:p w14:paraId="5CB50D64" w14:textId="77777777" w:rsidR="003235DB" w:rsidRDefault="003235DB" w:rsidP="00C21D58">
      <w:pPr>
        <w:pStyle w:val="FootnoteText"/>
      </w:pPr>
      <w:r>
        <w:rPr>
          <w:rStyle w:val="FootnoteReference"/>
        </w:rPr>
        <w:footnoteRef/>
      </w:r>
      <w:r>
        <w:t xml:space="preserve"> Discussions with Occupational Therapy Australia, 10 December 2020.</w:t>
      </w:r>
    </w:p>
  </w:footnote>
  <w:footnote w:id="222">
    <w:p w14:paraId="28CF93E4" w14:textId="77777777" w:rsidR="003235DB" w:rsidRPr="00060298" w:rsidRDefault="003235DB" w:rsidP="00510B61">
      <w:pPr>
        <w:pStyle w:val="FootnoteText"/>
        <w:rPr>
          <w:lang w:val="en-US"/>
        </w:rPr>
      </w:pPr>
      <w:r>
        <w:rPr>
          <w:rStyle w:val="FootnoteReference"/>
        </w:rPr>
        <w:footnoteRef/>
      </w:r>
      <w:r>
        <w:t xml:space="preserve"> </w:t>
      </w:r>
      <w:r>
        <w:rPr>
          <w:lang w:val="en-US"/>
        </w:rPr>
        <w:t xml:space="preserve">See for example: Dalton, T. Hurley, J. Gaharale, E. Wakefield, R. and Horne, R. 2013, </w:t>
      </w:r>
      <w:r w:rsidRPr="00674052">
        <w:rPr>
          <w:i/>
          <w:iCs/>
          <w:lang w:val="en-US"/>
        </w:rPr>
        <w:t>Australian suburban house building: industry, organization, practices and constraints</w:t>
      </w:r>
      <w:r>
        <w:rPr>
          <w:lang w:val="en-US"/>
        </w:rPr>
        <w:t>, AHURI Final Report No. 213, October 2013, p. 12.</w:t>
      </w:r>
    </w:p>
  </w:footnote>
  <w:footnote w:id="223">
    <w:p w14:paraId="3E694E25" w14:textId="77777777" w:rsidR="003235DB" w:rsidRDefault="003235DB">
      <w:pPr>
        <w:pStyle w:val="FootnoteText"/>
      </w:pPr>
      <w:r>
        <w:rPr>
          <w:rStyle w:val="FootnoteReference"/>
        </w:rPr>
        <w:footnoteRef/>
      </w:r>
      <w:r>
        <w:t xml:space="preserve"> Leal, H. Parsons, S. White, G. and Zurawski, A. “Housing Market Turnover”, </w:t>
      </w:r>
      <w:r w:rsidRPr="00184B1B">
        <w:rPr>
          <w:i/>
          <w:iCs/>
        </w:rPr>
        <w:t>Bulletin</w:t>
      </w:r>
      <w:r>
        <w:t>, Reserve Bank of Australia, March 2017, p. 23.</w:t>
      </w:r>
    </w:p>
  </w:footnote>
  <w:footnote w:id="224">
    <w:p w14:paraId="68E7C3BF" w14:textId="77777777" w:rsidR="003235DB" w:rsidRDefault="003235DB" w:rsidP="00510B61">
      <w:pPr>
        <w:pStyle w:val="FootnoteText"/>
      </w:pPr>
      <w:r>
        <w:rPr>
          <w:rStyle w:val="FootnoteReference"/>
        </w:rPr>
        <w:footnoteRef/>
      </w:r>
      <w:r>
        <w:t xml:space="preserve"> Blacktown, Parramatta, Liverpool, The Hills Shire, Camden, Bayside, Cumberland, Penrith, Canterbury-Bankstown, Sutherland Shire, Campbelltown, Central Coast</w:t>
      </w:r>
    </w:p>
  </w:footnote>
  <w:footnote w:id="225">
    <w:p w14:paraId="1E4D5C37" w14:textId="77777777" w:rsidR="003235DB" w:rsidRDefault="003235DB" w:rsidP="00510B61">
      <w:pPr>
        <w:pStyle w:val="FootnoteText"/>
      </w:pPr>
      <w:r w:rsidRPr="00F66526">
        <w:rPr>
          <w:rStyle w:val="FootnoteReference"/>
        </w:rPr>
        <w:footnoteRef/>
      </w:r>
      <w:r w:rsidRPr="00F66526">
        <w:t xml:space="preserve"> The ACT </w:t>
      </w:r>
      <w:r>
        <w:t xml:space="preserve">abolished </w:t>
      </w:r>
      <w:r w:rsidRPr="00F66526">
        <w:t xml:space="preserve">stamp duties </w:t>
      </w:r>
      <w:r>
        <w:t xml:space="preserve">for eligible first home buyers from 1 July 2020 and continues to reduce stamp duty rates for all home buyers; </w:t>
      </w:r>
      <w:r w:rsidRPr="00F66526">
        <w:t>and NSW intends to phase out stamp duties over time.</w:t>
      </w:r>
    </w:p>
  </w:footnote>
  <w:footnote w:id="226">
    <w:p w14:paraId="18D77E0D" w14:textId="77777777" w:rsidR="003235DB" w:rsidRDefault="003235DB">
      <w:pPr>
        <w:pStyle w:val="FootnoteText"/>
      </w:pPr>
      <w:r>
        <w:rPr>
          <w:rStyle w:val="FootnoteReference"/>
        </w:rPr>
        <w:footnoteRef/>
      </w:r>
      <w:r>
        <w:t xml:space="preserve"> See for example, </w:t>
      </w:r>
      <w:r w:rsidRPr="00B03192">
        <w:rPr>
          <w:rStyle w:val="Hyperlink"/>
          <w:i/>
          <w:iCs/>
        </w:rPr>
        <w:t>https://www.revenue.nsw.gov.au/taxes-duties-levies-royalties/transfer-duty</w:t>
      </w:r>
    </w:p>
  </w:footnote>
  <w:footnote w:id="227">
    <w:p w14:paraId="1E0B8AEC" w14:textId="77777777" w:rsidR="003235DB" w:rsidRDefault="003235DB">
      <w:pPr>
        <w:pStyle w:val="FootnoteText"/>
      </w:pPr>
      <w:r>
        <w:rPr>
          <w:rStyle w:val="FootnoteReference"/>
        </w:rPr>
        <w:footnoteRef/>
      </w:r>
      <w:r>
        <w:t xml:space="preserve"> </w:t>
      </w:r>
      <w:r w:rsidRPr="00FD3670">
        <w:t>As of September 2019, property owners in Australia are now holding on houses for an average of 11.3 years, while apartments average 9.6 years</w:t>
      </w:r>
      <w:r>
        <w:t xml:space="preserve"> (see Lorusso, Vic 2020, </w:t>
      </w:r>
      <w:r>
        <w:rPr>
          <w:i/>
          <w:iCs/>
        </w:rPr>
        <w:t>Length of home ownership in Australia reaches 10 year peak</w:t>
      </w:r>
      <w:r>
        <w:t xml:space="preserve">, </w:t>
      </w:r>
      <w:hyperlink r:id="rId55" w:anchor=":~:text=Facts%3A%20Average%20Home%20Ownership%20Length,while%20apartments%20average%209.6%20years" w:history="1">
        <w:r w:rsidRPr="00B03192">
          <w:rPr>
            <w:rStyle w:val="Hyperlink"/>
            <w:i/>
            <w:iCs/>
          </w:rPr>
          <w:t>https://www.homes.com.au/news/length-of-home-ownership-in-australia-reaches-10-year-peak/#:~:text=Facts%3A%20Average%20Home%20Ownership%20Length,while%20apartments%20average%209.6%20years</w:t>
        </w:r>
      </w:hyperlink>
      <w:r w:rsidRPr="00FD3670">
        <w:t>.</w:t>
      </w:r>
      <w:r>
        <w:t>)</w:t>
      </w:r>
      <w:r w:rsidRPr="00FD3670">
        <w:t>.</w:t>
      </w:r>
      <w:r>
        <w:t xml:space="preserve"> By contrast, renters on average stay in the same rental for 4.4 years (see Goddard, Hayley 2017, ‘Victorian renters say in the same home longer than the national average’, </w:t>
      </w:r>
      <w:r w:rsidRPr="00545637">
        <w:rPr>
          <w:i/>
          <w:iCs/>
        </w:rPr>
        <w:t>Herald Sun</w:t>
      </w:r>
      <w:r>
        <w:t xml:space="preserve">, 29 May 2017, </w:t>
      </w:r>
      <w:r w:rsidRPr="00B03192">
        <w:rPr>
          <w:rStyle w:val="Hyperlink"/>
          <w:i/>
          <w:iCs/>
        </w:rPr>
        <w:t>https://www.realestate.com.au/news/victorian-renters-stay-in-the-same-home-longer-than-the-national-average/</w:t>
      </w:r>
      <w:r>
        <w:t xml:space="preserve">). </w:t>
      </w:r>
      <w:r>
        <w:tab/>
      </w:r>
    </w:p>
  </w:footnote>
  <w:footnote w:id="228">
    <w:p w14:paraId="3BDD3D2D" w14:textId="77777777" w:rsidR="003235DB" w:rsidRDefault="003235DB" w:rsidP="00510B61">
      <w:pPr>
        <w:pStyle w:val="FootnoteText"/>
      </w:pPr>
      <w:r>
        <w:rPr>
          <w:rStyle w:val="FootnoteReference"/>
        </w:rPr>
        <w:footnoteRef/>
      </w:r>
      <w:r>
        <w:t xml:space="preserve"> Simon Croft, op.cit., p. 30.</w:t>
      </w:r>
    </w:p>
  </w:footnote>
  <w:footnote w:id="229">
    <w:p w14:paraId="3180BF17" w14:textId="77777777" w:rsidR="003235DB" w:rsidRDefault="003235DB" w:rsidP="00510B61">
      <w:pPr>
        <w:pStyle w:val="FootnoteText"/>
      </w:pPr>
      <w:r>
        <w:rPr>
          <w:rStyle w:val="FootnoteReference"/>
        </w:rPr>
        <w:footnoteRef/>
      </w:r>
      <w:r>
        <w:t xml:space="preserve"> Margret Ward, op.cit., p.46.</w:t>
      </w:r>
    </w:p>
  </w:footnote>
  <w:footnote w:id="230">
    <w:p w14:paraId="332FA3BB" w14:textId="77777777" w:rsidR="003235DB" w:rsidRDefault="003235DB" w:rsidP="00510B61">
      <w:pPr>
        <w:pStyle w:val="FootnoteText"/>
      </w:pPr>
      <w:r>
        <w:rPr>
          <w:rStyle w:val="FootnoteReference"/>
        </w:rPr>
        <w:footnoteRef/>
      </w:r>
      <w:r>
        <w:t xml:space="preserve"> See Carnemolla, P. 2015, </w:t>
      </w:r>
      <w:r w:rsidRPr="00060298">
        <w:rPr>
          <w:i/>
          <w:iCs/>
        </w:rPr>
        <w:t>Measuring non</w:t>
      </w:r>
      <w:r w:rsidRPr="00060298">
        <w:rPr>
          <w:i/>
          <w:iCs/>
        </w:rPr>
        <w:noBreakHyphen/>
        <w:t>shelter effects of housing design, A mixed</w:t>
      </w:r>
      <w:r w:rsidRPr="00060298">
        <w:rPr>
          <w:i/>
          <w:iCs/>
        </w:rPr>
        <w:noBreakHyphen/>
        <w:t>methods exploration of home modifications, care</w:t>
      </w:r>
      <w:r w:rsidRPr="00060298">
        <w:rPr>
          <w:i/>
          <w:iCs/>
        </w:rPr>
        <w:noBreakHyphen/>
        <w:t>giving and health</w:t>
      </w:r>
      <w:r w:rsidRPr="00060298">
        <w:rPr>
          <w:i/>
          <w:iCs/>
        </w:rPr>
        <w:noBreakHyphen/>
        <w:t>related quality o</w:t>
      </w:r>
      <w:r>
        <w:rPr>
          <w:i/>
          <w:iCs/>
        </w:rPr>
        <w:t>f</w:t>
      </w:r>
      <w:r w:rsidRPr="00060298">
        <w:rPr>
          <w:i/>
          <w:iCs/>
        </w:rPr>
        <w:t xml:space="preserve"> life</w:t>
      </w:r>
      <w:r>
        <w:t>, A thesis in fulfilment of the requirements for the degree of Doctor of Philosophy, University of NSW, Faculty of Built Environment, pp. 116</w:t>
      </w:r>
      <w:r>
        <w:noBreakHyphen/>
        <w:t>119 and 127.</w:t>
      </w:r>
    </w:p>
  </w:footnote>
  <w:footnote w:id="231">
    <w:p w14:paraId="45A9169F" w14:textId="77777777" w:rsidR="003235DB" w:rsidRDefault="003235DB">
      <w:pPr>
        <w:pStyle w:val="FootnoteText"/>
      </w:pPr>
      <w:r>
        <w:rPr>
          <w:rStyle w:val="FootnoteReference"/>
        </w:rPr>
        <w:footnoteRef/>
      </w:r>
      <w:r>
        <w:t xml:space="preserve"> Based on the recent slowdown trend in Australian real wage rate, see Gilfillan, Geoff 2019, </w:t>
      </w:r>
      <w:r>
        <w:rPr>
          <w:i/>
          <w:iCs/>
        </w:rPr>
        <w:t>The extent and causes of the wage growth slowdown in Australia</w:t>
      </w:r>
      <w:r>
        <w:t xml:space="preserve">, Research Paper Series, 2018-19, Parliamentary Library, table 3, p.25, </w:t>
      </w:r>
      <w:r w:rsidRPr="00B03192">
        <w:rPr>
          <w:rStyle w:val="Hyperlink"/>
          <w:i/>
          <w:iCs/>
        </w:rPr>
        <w:t>https://parlinfo.aph.gov.au/parlInfo/download/library/prspub/6609740/upload_binary/6609740.pdf</w:t>
      </w:r>
    </w:p>
  </w:footnote>
  <w:footnote w:id="232">
    <w:p w14:paraId="02D5BBDD" w14:textId="77777777" w:rsidR="003235DB" w:rsidRDefault="003235DB" w:rsidP="00086BF4">
      <w:pPr>
        <w:pStyle w:val="FootnoteText"/>
      </w:pPr>
      <w:r>
        <w:rPr>
          <w:rStyle w:val="FootnoteReference"/>
        </w:rPr>
        <w:footnoteRef/>
      </w:r>
      <w:r>
        <w:t xml:space="preserve"> See Simon Croft, op.cit., pp.15, 30</w:t>
      </w:r>
      <w:r>
        <w:noBreakHyphen/>
        <w:t>31.</w:t>
      </w:r>
    </w:p>
  </w:footnote>
  <w:footnote w:id="233">
    <w:p w14:paraId="5C94C88D" w14:textId="77777777" w:rsidR="003235DB" w:rsidRDefault="003235DB">
      <w:pPr>
        <w:pStyle w:val="FootnoteText"/>
      </w:pPr>
      <w:r>
        <w:rPr>
          <w:rStyle w:val="FootnoteReference"/>
        </w:rPr>
        <w:footnoteRef/>
      </w:r>
      <w:r>
        <w:t xml:space="preserve"> </w:t>
      </w:r>
      <w:r>
        <w:rPr>
          <w:lang w:eastAsia="en-US"/>
        </w:rPr>
        <w:t xml:space="preserve">ABCB 2019, </w:t>
      </w:r>
      <w:r>
        <w:rPr>
          <w:i/>
          <w:iCs/>
          <w:lang w:eastAsia="en-US"/>
        </w:rPr>
        <w:t xml:space="preserve">Accessible Housing Options Paper: </w:t>
      </w:r>
      <w:r w:rsidRPr="008457CC">
        <w:rPr>
          <w:i/>
          <w:iCs/>
          <w:lang w:eastAsia="en-US"/>
        </w:rPr>
        <w:t>Consultation Report</w:t>
      </w:r>
      <w:r w:rsidRPr="007054AC">
        <w:rPr>
          <w:lang w:eastAsia="en-US"/>
        </w:rPr>
        <w:t>,</w:t>
      </w:r>
      <w:r>
        <w:rPr>
          <w:lang w:eastAsia="en-US"/>
        </w:rPr>
        <w:t xml:space="preserve"> April 2019, p. 56.</w:t>
      </w:r>
      <w:r>
        <w:tab/>
      </w:r>
    </w:p>
  </w:footnote>
  <w:footnote w:id="234">
    <w:p w14:paraId="52DEBD10" w14:textId="77777777" w:rsidR="003235DB" w:rsidRDefault="003235DB">
      <w:pPr>
        <w:pStyle w:val="FootnoteText"/>
      </w:pPr>
      <w:r>
        <w:rPr>
          <w:rStyle w:val="FootnoteReference"/>
        </w:rPr>
        <w:footnoteRef/>
      </w:r>
      <w:r>
        <w:t xml:space="preserve"> Hayley Stone, op. cit., p. 18</w:t>
      </w:r>
      <w:r>
        <w:tab/>
      </w:r>
    </w:p>
  </w:footnote>
  <w:footnote w:id="235">
    <w:p w14:paraId="4607F89C" w14:textId="77777777" w:rsidR="003235DB" w:rsidRDefault="003235DB">
      <w:pPr>
        <w:pStyle w:val="FootnoteText"/>
      </w:pPr>
      <w:r>
        <w:rPr>
          <w:rStyle w:val="FootnoteReference"/>
        </w:rPr>
        <w:footnoteRef/>
      </w:r>
      <w:r>
        <w:t xml:space="preserve"> See for example, Margret Ward, op.cit., 9.48.</w:t>
      </w:r>
    </w:p>
  </w:footnote>
  <w:footnote w:id="236">
    <w:p w14:paraId="3AD964CB" w14:textId="77777777" w:rsidR="003235DB" w:rsidRPr="008207BB" w:rsidRDefault="003235DB" w:rsidP="00650C89">
      <w:pPr>
        <w:pStyle w:val="FootnoteText"/>
      </w:pPr>
      <w:r>
        <w:rPr>
          <w:rStyle w:val="FootnoteReference"/>
        </w:rPr>
        <w:footnoteRef/>
      </w:r>
      <w:r>
        <w:t xml:space="preserve"> Victoria Planning Authority 2019, </w:t>
      </w:r>
      <w:r>
        <w:rPr>
          <w:i/>
          <w:iCs/>
        </w:rPr>
        <w:t>Small lot housing code</w:t>
      </w:r>
      <w:r>
        <w:t xml:space="preserve">, November 2019, p 2, </w:t>
      </w:r>
      <w:hyperlink r:id="rId56" w:tooltip="More information can be found at the website via this link" w:history="1">
        <w:r w:rsidRPr="00B03192">
          <w:rPr>
            <w:rStyle w:val="Hyperlink"/>
            <w:i/>
            <w:iCs/>
          </w:rPr>
          <w:t>https://vpa-web.s3.amazonaws.com/wp-content/uploads/2020/06/Small-Lot-Housing-Code-November-2019.pdf</w:t>
        </w:r>
      </w:hyperlink>
      <w:r>
        <w:t>, accessed January 2021.</w:t>
      </w:r>
    </w:p>
  </w:footnote>
  <w:footnote w:id="237">
    <w:p w14:paraId="40FC9DB5" w14:textId="77777777" w:rsidR="003235DB" w:rsidRDefault="003235DB" w:rsidP="00650C89">
      <w:pPr>
        <w:pStyle w:val="FootnoteText"/>
      </w:pPr>
      <w:r>
        <w:rPr>
          <w:rStyle w:val="FootnoteReference"/>
        </w:rPr>
        <w:footnoteRef/>
      </w:r>
      <w:r>
        <w:t xml:space="preserve"> Brisbane City Council Small lot projects. See: </w:t>
      </w:r>
      <w:hyperlink r:id="rId57" w:tooltip="More information can be found at the website via this link" w:history="1">
        <w:r w:rsidRPr="00B03192">
          <w:rPr>
            <w:rStyle w:val="Hyperlink"/>
            <w:i/>
            <w:iCs/>
          </w:rPr>
          <w:t>https://www.brisbane.qld.gov.au/planning-and-building/do-i-need-approval/residential-projects/dwellings/small-lot-projects</w:t>
        </w:r>
      </w:hyperlink>
      <w:r>
        <w:t>, accessed January 2021</w:t>
      </w:r>
    </w:p>
  </w:footnote>
  <w:footnote w:id="238">
    <w:p w14:paraId="363AFA0D" w14:textId="77777777" w:rsidR="003235DB" w:rsidRDefault="003235DB" w:rsidP="00650C89">
      <w:pPr>
        <w:pStyle w:val="FootnoteText"/>
      </w:pPr>
      <w:r>
        <w:rPr>
          <w:rStyle w:val="FootnoteReference"/>
        </w:rPr>
        <w:footnoteRef/>
      </w:r>
      <w:r>
        <w:t xml:space="preserve"> WA Government 2018, </w:t>
      </w:r>
      <w:r>
        <w:rPr>
          <w:i/>
          <w:iCs/>
        </w:rPr>
        <w:t xml:space="preserve">R-Codes State Planning Policy 3.1, </w:t>
      </w:r>
      <w:r w:rsidRPr="00B23AA9">
        <w:t>p</w:t>
      </w:r>
      <w:r>
        <w:t>.</w:t>
      </w:r>
      <w:r w:rsidRPr="00B23AA9">
        <w:t xml:space="preserve"> 6,</w:t>
      </w:r>
      <w:r>
        <w:rPr>
          <w:i/>
          <w:iCs/>
        </w:rPr>
        <w:t xml:space="preserve"> </w:t>
      </w:r>
      <w:hyperlink r:id="rId58" w:tooltip="More information can be found at the website via this link" w:history="1">
        <w:r w:rsidRPr="00B03192">
          <w:rPr>
            <w:rStyle w:val="Hyperlink"/>
            <w:i/>
            <w:iCs/>
          </w:rPr>
          <w:t>https://www.dplh.wa.gov.au/getmedia/5dce3eb2-abe9-4fc3-bbab-92cc89f0b5cf/State_Planning_Policy_3-1-Residential_Design_Codes-for-mobile</w:t>
        </w:r>
      </w:hyperlink>
      <w:r>
        <w:t>, accessed January 2021</w:t>
      </w:r>
    </w:p>
  </w:footnote>
  <w:footnote w:id="239">
    <w:p w14:paraId="0F97A1A3" w14:textId="77777777" w:rsidR="003235DB" w:rsidRPr="00AD5CA7" w:rsidRDefault="003235DB" w:rsidP="00B57EBC">
      <w:pPr>
        <w:pStyle w:val="FootnoteText"/>
      </w:pPr>
      <w:r>
        <w:rPr>
          <w:rStyle w:val="FootnoteReference"/>
        </w:rPr>
        <w:footnoteRef/>
      </w:r>
      <w:r>
        <w:t xml:space="preserve"> ABCB 2021, </w:t>
      </w:r>
      <w:r>
        <w:rPr>
          <w:i/>
          <w:iCs/>
        </w:rPr>
        <w:t xml:space="preserve">ABCB Standard for Livable Housing Design, </w:t>
      </w:r>
      <w:r w:rsidRPr="00B57EBC">
        <w:t>p.4</w:t>
      </w:r>
    </w:p>
  </w:footnote>
  <w:footnote w:id="240">
    <w:p w14:paraId="4720A6AF" w14:textId="77777777" w:rsidR="003235DB" w:rsidRPr="00AD5CA7" w:rsidRDefault="003235DB" w:rsidP="00B57EBC">
      <w:pPr>
        <w:pStyle w:val="FootnoteText"/>
      </w:pPr>
      <w:r>
        <w:rPr>
          <w:rStyle w:val="FootnoteReference"/>
        </w:rPr>
        <w:footnoteRef/>
      </w:r>
      <w:r>
        <w:t xml:space="preserve"> ABCB 2021, </w:t>
      </w:r>
      <w:r>
        <w:rPr>
          <w:i/>
          <w:iCs/>
        </w:rPr>
        <w:t>Accessible Housing Drafting of Proposed NCC Changes,</w:t>
      </w:r>
      <w:r>
        <w:t xml:space="preserve"> February 2021</w:t>
      </w:r>
      <w:r>
        <w:rPr>
          <w:i/>
          <w:iCs/>
        </w:rPr>
        <w:t xml:space="preserve"> </w:t>
      </w:r>
      <w:r w:rsidRPr="00B57EBC">
        <w:t>p.14</w:t>
      </w:r>
      <w:r>
        <w:t>.</w:t>
      </w:r>
    </w:p>
  </w:footnote>
  <w:footnote w:id="241">
    <w:p w14:paraId="4AA75174" w14:textId="77777777" w:rsidR="003235DB" w:rsidRDefault="003235DB" w:rsidP="00F363C3">
      <w:pPr>
        <w:pStyle w:val="FootnoteText"/>
      </w:pPr>
      <w:r>
        <w:rPr>
          <w:rStyle w:val="FootnoteReference"/>
        </w:rPr>
        <w:footnoteRef/>
      </w:r>
      <w:r>
        <w:t xml:space="preserve"> See </w:t>
      </w:r>
      <w:hyperlink r:id="rId59" w:tooltip="More information can be found at the website via this link" w:history="1">
        <w:r w:rsidRPr="00B03192">
          <w:rPr>
            <w:rStyle w:val="Hyperlink"/>
            <w:i/>
            <w:iCs/>
          </w:rPr>
          <w:t>https://maps.six.nsw.gov.au/clipnship.html</w:t>
        </w:r>
      </w:hyperlink>
      <w:r w:rsidRPr="00B03192">
        <w:rPr>
          <w:rStyle w:val="Hyperlink"/>
          <w:i/>
          <w:iCs/>
        </w:rPr>
        <w:tab/>
      </w:r>
    </w:p>
  </w:footnote>
  <w:footnote w:id="242">
    <w:p w14:paraId="0FECACBB" w14:textId="77777777" w:rsidR="003235DB" w:rsidRDefault="003235DB" w:rsidP="00B57EBC">
      <w:pPr>
        <w:pStyle w:val="FootnoteText"/>
      </w:pPr>
      <w:r>
        <w:rPr>
          <w:rStyle w:val="FootnoteReference"/>
        </w:rPr>
        <w:footnoteRef/>
      </w:r>
      <w:r>
        <w:t xml:space="preserve"> SGS Economics and Planning 2019, </w:t>
      </w:r>
      <w:r>
        <w:rPr>
          <w:i/>
          <w:iCs/>
        </w:rPr>
        <w:t xml:space="preserve">Planning Schemes Research, </w:t>
      </w:r>
      <w:r>
        <w:t>Draft Report V2, June 2019, Table 7, p.38</w:t>
      </w:r>
    </w:p>
  </w:footnote>
  <w:footnote w:id="243">
    <w:p w14:paraId="05AB3065" w14:textId="77777777" w:rsidR="003235DB" w:rsidRDefault="003235DB" w:rsidP="00B57EBC">
      <w:pPr>
        <w:pStyle w:val="FootnoteText"/>
      </w:pPr>
      <w:r>
        <w:rPr>
          <w:rStyle w:val="FootnoteReference"/>
        </w:rPr>
        <w:footnoteRef/>
      </w:r>
      <w:r>
        <w:t xml:space="preserve"> UDIA 2020, </w:t>
      </w:r>
      <w:r>
        <w:rPr>
          <w:i/>
          <w:iCs/>
        </w:rPr>
        <w:t>State of the Land 2020 National Residential Greenfield and Apartment Market Study</w:t>
      </w:r>
      <w:r>
        <w:t>, p.46</w:t>
      </w:r>
      <w:r>
        <w:tab/>
        <w:t xml:space="preserve">See: </w:t>
      </w:r>
      <w:hyperlink r:id="rId60" w:tooltip="More information can be found at the website via this link" w:history="1">
        <w:r w:rsidRPr="00B03192">
          <w:rPr>
            <w:rStyle w:val="Hyperlink"/>
            <w:i/>
            <w:iCs/>
          </w:rPr>
          <w:t>https://udia.com.au/research/udia-state-of-the-land-2020/</w:t>
        </w:r>
      </w:hyperlink>
      <w:r>
        <w:t>, accessed January 2021.</w:t>
      </w:r>
    </w:p>
  </w:footnote>
  <w:footnote w:id="244">
    <w:p w14:paraId="136C377C" w14:textId="77777777" w:rsidR="003235DB" w:rsidRPr="00BE3B15" w:rsidRDefault="003235DB" w:rsidP="00BE3B15">
      <w:pPr>
        <w:pStyle w:val="FootnoteText"/>
        <w:rPr>
          <w:lang w:val="en-US"/>
        </w:rPr>
      </w:pPr>
      <w:r>
        <w:rPr>
          <w:rStyle w:val="FootnoteReference"/>
        </w:rPr>
        <w:footnoteRef/>
      </w:r>
      <w:r>
        <w:t xml:space="preserve"> </w:t>
      </w:r>
      <w:r>
        <w:rPr>
          <w:lang w:val="en-US"/>
        </w:rPr>
        <w:t xml:space="preserve">Office of Best Practice Regulation 2020, </w:t>
      </w:r>
      <w:r w:rsidRPr="00BE3B15">
        <w:rPr>
          <w:i/>
          <w:iCs/>
          <w:lang w:val="en-US"/>
        </w:rPr>
        <w:t>Guidance Note, Cost-Benefit Analysis</w:t>
      </w:r>
      <w:r>
        <w:rPr>
          <w:lang w:val="en-US"/>
        </w:rPr>
        <w:t>, March 2020, pp. 12</w:t>
      </w:r>
      <w:r>
        <w:rPr>
          <w:lang w:val="en-US"/>
        </w:rPr>
        <w:noBreakHyphen/>
        <w:t>13.</w:t>
      </w:r>
    </w:p>
  </w:footnote>
  <w:footnote w:id="245">
    <w:p w14:paraId="39994AA4" w14:textId="77777777" w:rsidR="003235DB" w:rsidRPr="00BE4848" w:rsidRDefault="003235DB" w:rsidP="00B14A2E">
      <w:pPr>
        <w:pStyle w:val="FootnoteText"/>
        <w:rPr>
          <w:lang w:val="en-US"/>
        </w:rPr>
      </w:pPr>
      <w:r>
        <w:rPr>
          <w:rStyle w:val="FootnoteReference"/>
        </w:rPr>
        <w:footnoteRef/>
      </w:r>
      <w:r>
        <w:t xml:space="preserve"> James, A. Rowley, S. and Stone, W. 2020, Effective downsizing options for older Australians, AHURI Final Report No. 325, Australian Housing and Urban Research Institute Limited, p</w:t>
      </w:r>
      <w:r>
        <w:rPr>
          <w:lang w:val="en-US"/>
        </w:rPr>
        <w:t>. 98.</w:t>
      </w:r>
    </w:p>
  </w:footnote>
  <w:footnote w:id="246">
    <w:p w14:paraId="48D15111" w14:textId="77777777" w:rsidR="003235DB" w:rsidRPr="003C7C94" w:rsidRDefault="003235DB" w:rsidP="001F08C9">
      <w:pPr>
        <w:pStyle w:val="FootnoteText"/>
        <w:rPr>
          <w:lang w:val="en-US"/>
        </w:rPr>
      </w:pPr>
      <w:r>
        <w:rPr>
          <w:rStyle w:val="FootnoteReference"/>
        </w:rPr>
        <w:footnoteRef/>
      </w:r>
      <w:r>
        <w:t xml:space="preserve"> </w:t>
      </w:r>
      <w:r>
        <w:rPr>
          <w:lang w:val="en-US"/>
        </w:rPr>
        <w:t>Dalton, A. and Carter, R. 2020a, op.cit., p. 26.</w:t>
      </w:r>
    </w:p>
  </w:footnote>
  <w:footnote w:id="247">
    <w:p w14:paraId="211FCAB3" w14:textId="77777777" w:rsidR="003235DB" w:rsidRDefault="003235DB">
      <w:pPr>
        <w:pStyle w:val="FootnoteText"/>
      </w:pPr>
      <w:r>
        <w:rPr>
          <w:rStyle w:val="FootnoteReference"/>
        </w:rPr>
        <w:footnoteRef/>
      </w:r>
      <w:r>
        <w:t xml:space="preserve"> Based on data from the 2018 Survey of Disabilities, Ageing and Carers.</w:t>
      </w:r>
      <w:r>
        <w:tab/>
      </w:r>
    </w:p>
  </w:footnote>
  <w:footnote w:id="248">
    <w:p w14:paraId="5BB0007B" w14:textId="77777777" w:rsidR="003235DB" w:rsidRDefault="003235DB">
      <w:pPr>
        <w:pStyle w:val="FootnoteText"/>
      </w:pPr>
      <w:r>
        <w:rPr>
          <w:rStyle w:val="FootnoteReference"/>
        </w:rPr>
        <w:footnoteRef/>
      </w:r>
      <w:r>
        <w:t xml:space="preserve"> Based on data from the 2018 Survey of Disabilities, Ageing and Carers.</w:t>
      </w:r>
    </w:p>
  </w:footnote>
  <w:footnote w:id="249">
    <w:p w14:paraId="0A0F4528" w14:textId="77777777" w:rsidR="003235DB" w:rsidRPr="00F36A14" w:rsidRDefault="003235DB" w:rsidP="006D7ACB">
      <w:pPr>
        <w:pStyle w:val="FootnoteText"/>
        <w:rPr>
          <w:lang w:val="en-US"/>
        </w:rPr>
      </w:pPr>
      <w:r>
        <w:rPr>
          <w:rStyle w:val="FootnoteReference"/>
        </w:rPr>
        <w:footnoteRef/>
      </w:r>
      <w:r>
        <w:t xml:space="preserve"> </w:t>
      </w:r>
      <w:r>
        <w:rPr>
          <w:lang w:val="en-US"/>
        </w:rPr>
        <w:t xml:space="preserve">Note that CIE is not in a position to offer a legal opinion on whether Australia has an obligation to implement the recommendations of the </w:t>
      </w:r>
      <w:r>
        <w:rPr>
          <w:lang w:bidi="fa-IR"/>
        </w:rPr>
        <w:t xml:space="preserve">Committee </w:t>
      </w:r>
      <w:r>
        <w:rPr>
          <w:rFonts w:eastAsia="Calisto MT"/>
          <w:color w:val="000000"/>
          <w:lang w:val="en-US"/>
        </w:rPr>
        <w:t>on the Rights of Persons with Disabilities.</w:t>
      </w:r>
    </w:p>
  </w:footnote>
  <w:footnote w:id="250">
    <w:p w14:paraId="06DCB42D" w14:textId="77777777" w:rsidR="003235DB" w:rsidRPr="00DD569B" w:rsidRDefault="003235DB" w:rsidP="006D7ACB">
      <w:pPr>
        <w:pStyle w:val="FootnoteText"/>
        <w:rPr>
          <w:lang w:val="en-US"/>
        </w:rPr>
      </w:pPr>
      <w:r>
        <w:rPr>
          <w:rStyle w:val="FootnoteReference"/>
        </w:rPr>
        <w:footnoteRef/>
      </w:r>
      <w:r>
        <w:t xml:space="preserve"> </w:t>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 p. 26.</w:t>
      </w:r>
    </w:p>
  </w:footnote>
  <w:footnote w:id="251">
    <w:p w14:paraId="5BF8CF01" w14:textId="77777777" w:rsidR="003235DB" w:rsidRPr="009B373C" w:rsidRDefault="003235DB" w:rsidP="001E45D0">
      <w:pPr>
        <w:pStyle w:val="FootnoteText"/>
      </w:pPr>
      <w:r>
        <w:rPr>
          <w:rStyle w:val="FootnoteReference"/>
        </w:rPr>
        <w:footnoteRef/>
      </w:r>
      <w:r>
        <w:t xml:space="preserve"> CIE 2020, </w:t>
      </w:r>
      <w:r>
        <w:rPr>
          <w:i/>
          <w:iCs/>
        </w:rPr>
        <w:t>Proposal to include minimum accessibility standards for housing in the National Construction Code: Consultation Regulation Impact Statement</w:t>
      </w:r>
      <w:r>
        <w:t xml:space="preserve">, July 2020, </w:t>
      </w:r>
      <w:hyperlink r:id="rId61" w:tooltip="Available at the ABCB website" w:history="1">
        <w:r w:rsidRPr="00B03192">
          <w:rPr>
            <w:rStyle w:val="Hyperlink"/>
            <w:i/>
            <w:iCs/>
          </w:rPr>
          <w:t>https://consultation.abcb.gov.au/engagement/consult-ris-accessible-housing/supporting_documents/Consultation_RIS_Proposal_to_include_minimum_accessibility_standards_for_housing_in_the_NCC.pdf</w:t>
        </w:r>
      </w:hyperlink>
    </w:p>
  </w:footnote>
  <w:footnote w:id="252">
    <w:p w14:paraId="732A3D17" w14:textId="77777777" w:rsidR="003235DB" w:rsidRDefault="003235DB" w:rsidP="001E45D0">
      <w:pPr>
        <w:pStyle w:val="FootnoteText"/>
      </w:pPr>
      <w:r>
        <w:rPr>
          <w:rStyle w:val="FootnoteReference"/>
        </w:rPr>
        <w:footnoteRef/>
      </w:r>
      <w:r>
        <w:t xml:space="preserve"> </w:t>
      </w:r>
      <w:hyperlink r:id="rId62" w:tooltip="Available at the ABCB website" w:history="1">
        <w:r w:rsidRPr="00B03192">
          <w:rPr>
            <w:rStyle w:val="Hyperlink"/>
            <w:i/>
            <w:iCs/>
          </w:rPr>
          <w:t>https://consultation.abcb.gov.au/engagement/consult-ris-accessible-housing/</w:t>
        </w:r>
      </w:hyperlink>
    </w:p>
  </w:footnote>
  <w:footnote w:id="253">
    <w:p w14:paraId="3676927E" w14:textId="77777777" w:rsidR="003235DB" w:rsidRDefault="003235DB">
      <w:pPr>
        <w:pStyle w:val="FootnoteText"/>
      </w:pPr>
      <w:r>
        <w:rPr>
          <w:rStyle w:val="FootnoteReference"/>
        </w:rPr>
        <w:footnoteRef/>
      </w:r>
      <w:r>
        <w:t xml:space="preserve"> </w:t>
      </w:r>
      <w:hyperlink r:id="rId63" w:tooltip="Available at the ABCB website" w:history="1">
        <w:r w:rsidRPr="00B03192">
          <w:rPr>
            <w:rStyle w:val="Hyperlink"/>
            <w:i/>
            <w:iCs/>
          </w:rPr>
          <w:t>https://consultation.abcb.gov.au/engagement/consult-ris-accessible-housing/consultation/published_select_respondent</w:t>
        </w:r>
      </w:hyperlink>
    </w:p>
  </w:footnote>
  <w:footnote w:id="254">
    <w:p w14:paraId="7DDEBE6A" w14:textId="77777777" w:rsidR="003235DB" w:rsidRDefault="003235DB">
      <w:pPr>
        <w:pStyle w:val="FootnoteText"/>
      </w:pPr>
      <w:r>
        <w:rPr>
          <w:rStyle w:val="FootnoteReference"/>
        </w:rPr>
        <w:footnoteRef/>
      </w:r>
      <w:r>
        <w:t xml:space="preserve"> Anonymous Submission </w:t>
      </w:r>
      <w:r w:rsidRPr="008B76F7">
        <w:t>462974436</w:t>
      </w:r>
      <w:r>
        <w:t xml:space="preserve">, answer to Question 12, accessed 1 December 2020, </w:t>
      </w:r>
      <w:r w:rsidRPr="00B03192">
        <w:rPr>
          <w:rStyle w:val="Hyperlink"/>
          <w:i/>
          <w:iCs/>
        </w:rPr>
        <w:t>https://consultation.abcb.gov.au/engagement/consult-ris-accessible-housing/consultation/published_select_respondent</w:t>
      </w:r>
      <w:r w:rsidRPr="00B03192">
        <w:rPr>
          <w:rStyle w:val="Hyperlink"/>
          <w:i/>
          <w:iCs/>
        </w:rPr>
        <w:tab/>
      </w:r>
    </w:p>
  </w:footnote>
  <w:footnote w:id="255">
    <w:p w14:paraId="653BF61F" w14:textId="77777777" w:rsidR="003235DB" w:rsidRDefault="003235DB">
      <w:pPr>
        <w:pStyle w:val="FootnoteText"/>
      </w:pPr>
      <w:r>
        <w:rPr>
          <w:rStyle w:val="FootnoteReference"/>
        </w:rPr>
        <w:footnoteRef/>
      </w:r>
      <w:r>
        <w:t xml:space="preserve"> Submission by John Mayo for Spinal Life Australia, p.2-3, accessed 1 December 2020, </w:t>
      </w:r>
      <w:r w:rsidRPr="00B03192">
        <w:rPr>
          <w:rStyle w:val="Hyperlink"/>
          <w:i/>
          <w:iCs/>
        </w:rPr>
        <w:t>https://consultation.abcb.gov.au/engagement/consult-ris-accessible-housing/consultation/published_select_respondent</w:t>
      </w:r>
    </w:p>
  </w:footnote>
  <w:footnote w:id="256">
    <w:p w14:paraId="485DE8CA" w14:textId="77777777" w:rsidR="003235DB" w:rsidRDefault="003235DB">
      <w:pPr>
        <w:pStyle w:val="FootnoteText"/>
      </w:pPr>
      <w:r>
        <w:rPr>
          <w:rStyle w:val="FootnoteReference"/>
        </w:rPr>
        <w:footnoteRef/>
      </w:r>
      <w:r>
        <w:t xml:space="preserve"> Submission by Melanie Southwell for </w:t>
      </w:r>
      <w:r>
        <w:tab/>
        <w:t xml:space="preserve">SDA Alliance, answer to Question 9, accessed 1 December 2020, </w:t>
      </w:r>
      <w:hyperlink r:id="rId64"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 xml:space="preserve"> </w:t>
      </w:r>
    </w:p>
  </w:footnote>
  <w:footnote w:id="257">
    <w:p w14:paraId="55B86BF1" w14:textId="77777777" w:rsidR="003235DB" w:rsidRPr="00B03192" w:rsidRDefault="003235DB">
      <w:pPr>
        <w:pStyle w:val="FootnoteText"/>
        <w:rPr>
          <w:rStyle w:val="Hyperlink"/>
          <w:i/>
          <w:iCs/>
        </w:rPr>
      </w:pPr>
      <w:r>
        <w:rPr>
          <w:rStyle w:val="FootnoteReference"/>
        </w:rPr>
        <w:footnoteRef/>
      </w:r>
      <w:r>
        <w:t xml:space="preserve"> Submission by Margret Ward for ANUHD, p.10, accessed 1 December 2020,</w:t>
      </w:r>
      <w:r>
        <w:tab/>
        <w:t xml:space="preserve"> </w:t>
      </w:r>
      <w:hyperlink r:id="rId65" w:tooltip="Available at the ABCB website" w:history="1">
        <w:r w:rsidRPr="00B03192">
          <w:rPr>
            <w:rStyle w:val="Hyperlink"/>
            <w:i/>
            <w:iCs/>
          </w:rPr>
          <w:t>https://consultation.abcb.gov.au/engagement/consult-ris-accessible-housing/consultation/published_select_respondent</w:t>
        </w:r>
      </w:hyperlink>
    </w:p>
  </w:footnote>
  <w:footnote w:id="258">
    <w:p w14:paraId="1F11DF3C" w14:textId="77777777" w:rsidR="003235DB" w:rsidRDefault="003235DB">
      <w:pPr>
        <w:pStyle w:val="FootnoteText"/>
      </w:pPr>
      <w:r>
        <w:rPr>
          <w:rStyle w:val="FootnoteReference"/>
        </w:rPr>
        <w:footnoteRef/>
      </w:r>
      <w:r>
        <w:t xml:space="preserve"> Melanie Southwell, op.cit., answer to Question 9</w:t>
      </w:r>
    </w:p>
  </w:footnote>
  <w:footnote w:id="259">
    <w:p w14:paraId="0BADBCBE" w14:textId="77777777" w:rsidR="003235DB" w:rsidRDefault="003235DB">
      <w:pPr>
        <w:pStyle w:val="FootnoteText"/>
      </w:pPr>
      <w:r>
        <w:rPr>
          <w:rStyle w:val="FootnoteReference"/>
        </w:rPr>
        <w:footnoteRef/>
      </w:r>
      <w:r>
        <w:t xml:space="preserve"> Submission by Barbary Clarke for Post-Polio Victoria, p. 10, accessed 1 December 2020, </w:t>
      </w:r>
      <w:hyperlink r:id="rId66"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260">
    <w:p w14:paraId="232E847D" w14:textId="77777777" w:rsidR="003235DB" w:rsidRDefault="003235DB" w:rsidP="00515E8D">
      <w:pPr>
        <w:pStyle w:val="FootnoteText"/>
      </w:pPr>
      <w:r>
        <w:rPr>
          <w:rStyle w:val="FootnoteReference"/>
        </w:rPr>
        <w:footnoteRef/>
      </w:r>
      <w:r>
        <w:t xml:space="preserve"> Melanie Southwell, op.cit., answer to Question 11 </w:t>
      </w:r>
    </w:p>
  </w:footnote>
  <w:footnote w:id="261">
    <w:p w14:paraId="4A9D837B" w14:textId="77777777" w:rsidR="003235DB" w:rsidRPr="00B03192" w:rsidRDefault="003235DB">
      <w:pPr>
        <w:pStyle w:val="FootnoteText"/>
        <w:rPr>
          <w:rStyle w:val="Hyperlink"/>
          <w:i/>
          <w:iCs/>
        </w:rPr>
      </w:pPr>
      <w:r>
        <w:rPr>
          <w:rStyle w:val="FootnoteReference"/>
        </w:rPr>
        <w:footnoteRef/>
      </w:r>
      <w:r>
        <w:t xml:space="preserve"> Submission by Geoffrey Barker for PM&amp;D Architects P/L, answer to Question 11, accessed 1 December 2020, </w:t>
      </w:r>
      <w:hyperlink r:id="rId67" w:tooltip="Available at the ABCB website" w:history="1">
        <w:r w:rsidRPr="00B03192">
          <w:rPr>
            <w:rStyle w:val="Hyperlink"/>
            <w:i/>
            <w:iCs/>
          </w:rPr>
          <w:t>https://consultation.abcb.gov.au/engagement/consult-ris-accessible-housing/consultation/published_select_respondent</w:t>
        </w:r>
      </w:hyperlink>
    </w:p>
  </w:footnote>
  <w:footnote w:id="262">
    <w:p w14:paraId="17C9D7E2" w14:textId="77777777" w:rsidR="003235DB" w:rsidRDefault="003235DB" w:rsidP="001E45D0">
      <w:pPr>
        <w:pStyle w:val="FootnoteText"/>
      </w:pPr>
      <w:r>
        <w:rPr>
          <w:rStyle w:val="FootnoteReference"/>
        </w:rPr>
        <w:footnoteRef/>
      </w:r>
      <w:r>
        <w:t xml:space="preserve"> Dalton, Andrew and Rob Carter 2020a, </w:t>
      </w:r>
      <w:r>
        <w:rPr>
          <w:i/>
          <w:iCs/>
        </w:rPr>
        <w:t>Economic advice prepared to assist with responses to the Consultation Regulation Impact Statement on minimum accessibility standards for housing in the National Construction Code</w:t>
      </w:r>
      <w:r>
        <w:t>, prepared for the Melbourne Disability Institute, University of Melbourne and the Summer Foundation, 18 August 2020, as Appendix 1 of the submission by Melbourne Disability Institute (MDI) and Summer Foundation to the public consultation.</w:t>
      </w:r>
    </w:p>
  </w:footnote>
  <w:footnote w:id="263">
    <w:p w14:paraId="356BB68B" w14:textId="77777777" w:rsidR="003235DB" w:rsidRDefault="003235DB">
      <w:pPr>
        <w:pStyle w:val="FootnoteText"/>
      </w:pPr>
      <w:r>
        <w:rPr>
          <w:rStyle w:val="FootnoteReference"/>
        </w:rPr>
        <w:footnoteRef/>
      </w:r>
      <w:r>
        <w:t xml:space="preserve"> Submission by Hayley Stone for Physical Disability Council of NSW (PDCN), p.18, accessed 1 December 2020, </w:t>
      </w:r>
      <w:hyperlink r:id="rId68" w:tooltip="Available at the ABCB website" w:history="1">
        <w:r w:rsidRPr="00B03192">
          <w:rPr>
            <w:rStyle w:val="Hyperlink"/>
            <w:i/>
            <w:iCs/>
          </w:rPr>
          <w:t>https://consultation.abcb.gov.au/engagement/consult-ris-accessible-housing/consultation/published_select_respondent</w:t>
        </w:r>
      </w:hyperlink>
    </w:p>
  </w:footnote>
  <w:footnote w:id="264">
    <w:p w14:paraId="0046CA3E" w14:textId="77777777" w:rsidR="003235DB" w:rsidRDefault="003235DB">
      <w:pPr>
        <w:pStyle w:val="FootnoteText"/>
      </w:pPr>
      <w:r>
        <w:rPr>
          <w:rStyle w:val="FootnoteReference"/>
        </w:rPr>
        <w:footnoteRef/>
      </w:r>
      <w:r>
        <w:t xml:space="preserve"> Submission by Gemma White for Housing for the Aged Action Group, p.2, accessed 4 December 2020, </w:t>
      </w:r>
      <w:hyperlink r:id="rId69" w:tooltip="Available at the ABCB website" w:history="1">
        <w:r w:rsidRPr="00B03192">
          <w:rPr>
            <w:rStyle w:val="Hyperlink"/>
            <w:i/>
            <w:iCs/>
          </w:rPr>
          <w:t>https://consultation.abcb.gov.au/engagement/consult-ris-accessible-housing/consultation/published_select_respondent</w:t>
        </w:r>
      </w:hyperlink>
    </w:p>
  </w:footnote>
  <w:footnote w:id="265">
    <w:p w14:paraId="36C95489" w14:textId="77777777" w:rsidR="003235DB" w:rsidRPr="00B03192" w:rsidRDefault="003235DB">
      <w:pPr>
        <w:pStyle w:val="FootnoteText"/>
        <w:rPr>
          <w:rStyle w:val="Hyperlink"/>
          <w:i/>
          <w:iCs/>
        </w:rPr>
      </w:pPr>
      <w:r>
        <w:rPr>
          <w:rStyle w:val="FootnoteReference"/>
        </w:rPr>
        <w:footnoteRef/>
      </w:r>
      <w:r>
        <w:t xml:space="preserve"> Submission by </w:t>
      </w:r>
      <w:r w:rsidRPr="00515E8D">
        <w:t>Michelle Mackenzie</w:t>
      </w:r>
      <w:r>
        <w:t xml:space="preserve"> for Shelter WA, p.5, accessed 4 December 2020, </w:t>
      </w:r>
      <w:hyperlink r:id="rId70" w:tooltip="Available at the ABCB website" w:history="1">
        <w:r w:rsidRPr="00B03192">
          <w:rPr>
            <w:rStyle w:val="Hyperlink"/>
            <w:i/>
            <w:iCs/>
          </w:rPr>
          <w:t>https://consultation.abcb.gov.au/engagement/consult-ris-accessible-housing/consultation/published_select_respondent</w:t>
        </w:r>
      </w:hyperlink>
    </w:p>
  </w:footnote>
  <w:footnote w:id="266">
    <w:p w14:paraId="64BCE575" w14:textId="77777777" w:rsidR="003235DB" w:rsidRDefault="003235DB">
      <w:pPr>
        <w:pStyle w:val="FootnoteText"/>
      </w:pPr>
      <w:r>
        <w:rPr>
          <w:rStyle w:val="FootnoteReference"/>
        </w:rPr>
        <w:footnoteRef/>
      </w:r>
      <w:r>
        <w:t xml:space="preserve"> John Mayo, op.cit., p.2-3 </w:t>
      </w:r>
    </w:p>
  </w:footnote>
  <w:footnote w:id="267">
    <w:p w14:paraId="3DBBB1FD" w14:textId="77777777" w:rsidR="003235DB" w:rsidRPr="00B03192" w:rsidRDefault="003235DB">
      <w:pPr>
        <w:pStyle w:val="FootnoteText"/>
        <w:rPr>
          <w:rStyle w:val="Hyperlink"/>
          <w:i/>
          <w:iCs/>
        </w:rPr>
      </w:pPr>
      <w:r>
        <w:rPr>
          <w:rStyle w:val="FootnoteReference"/>
        </w:rPr>
        <w:footnoteRef/>
      </w:r>
      <w:r>
        <w:t xml:space="preserve"> Submission by Jacqueline Marks, accessed 4 December 2020, </w:t>
      </w:r>
      <w:hyperlink r:id="rId71" w:tooltip="Available at the ABCB website" w:history="1">
        <w:r w:rsidRPr="00B03192">
          <w:rPr>
            <w:rStyle w:val="Hyperlink"/>
            <w:i/>
            <w:iCs/>
          </w:rPr>
          <w:t>https://consultation.abcb.gov.au/engagement/consult-ris-accessible-housing/consultation/published_select_respondent</w:t>
        </w:r>
      </w:hyperlink>
    </w:p>
  </w:footnote>
  <w:footnote w:id="268">
    <w:p w14:paraId="64A813BF" w14:textId="77777777" w:rsidR="003235DB" w:rsidRPr="00B03192" w:rsidRDefault="003235DB">
      <w:pPr>
        <w:pStyle w:val="FootnoteText"/>
        <w:rPr>
          <w:rStyle w:val="Hyperlink"/>
          <w:i/>
          <w:iCs/>
        </w:rPr>
      </w:pPr>
      <w:r>
        <w:rPr>
          <w:rStyle w:val="FootnoteReference"/>
        </w:rPr>
        <w:footnoteRef/>
      </w:r>
      <w:r>
        <w:t xml:space="preserve"> Submission by Karen Taranto for VCOSS, p.9, accessed 4 December 2020, </w:t>
      </w:r>
      <w:hyperlink r:id="rId72" w:tooltip="Available at the ABCB website" w:history="1">
        <w:r w:rsidRPr="00B03192">
          <w:rPr>
            <w:rStyle w:val="Hyperlink"/>
            <w:i/>
            <w:iCs/>
          </w:rPr>
          <w:t>https://consultation.abcb.gov.au/engagement/consult-ris-accessible-housing/consultation/published_select_respondent</w:t>
        </w:r>
      </w:hyperlink>
    </w:p>
  </w:footnote>
  <w:footnote w:id="269">
    <w:p w14:paraId="1F0A6240" w14:textId="77777777" w:rsidR="003235DB" w:rsidRPr="00B03192" w:rsidRDefault="003235DB">
      <w:pPr>
        <w:pStyle w:val="FootnoteText"/>
        <w:rPr>
          <w:rStyle w:val="Hyperlink"/>
          <w:i/>
          <w:iCs/>
        </w:rPr>
      </w:pPr>
      <w:r>
        <w:rPr>
          <w:rStyle w:val="FootnoteReference"/>
        </w:rPr>
        <w:footnoteRef/>
      </w:r>
      <w:r>
        <w:t xml:space="preserve"> Submission by </w:t>
      </w:r>
      <w:r w:rsidRPr="00695B33">
        <w:t>Coralie Ayres</w:t>
      </w:r>
      <w:r>
        <w:t xml:space="preserve"> for </w:t>
      </w:r>
      <w:r w:rsidRPr="00695B33">
        <w:t>Department of Communities, Housing Advisory Unit WA</w:t>
      </w:r>
      <w:r>
        <w:t xml:space="preserve">, answer to Question 8, accessed 4 December 2020, </w:t>
      </w:r>
      <w:hyperlink r:id="rId73" w:tooltip="Available at the ABCB website" w:history="1">
        <w:r w:rsidRPr="00B03192">
          <w:rPr>
            <w:rStyle w:val="Hyperlink"/>
            <w:i/>
            <w:iCs/>
          </w:rPr>
          <w:t>https://consultation.abcb.gov.au/engagement/consult-ris-accessible-housing/consultation/published_select_respondent</w:t>
        </w:r>
      </w:hyperlink>
    </w:p>
  </w:footnote>
  <w:footnote w:id="270">
    <w:p w14:paraId="6C67FF3F" w14:textId="77777777" w:rsidR="003235DB" w:rsidRPr="00A05E8A" w:rsidRDefault="003235DB">
      <w:pPr>
        <w:pStyle w:val="FootnoteText"/>
        <w:rPr>
          <w:rStyle w:val="Hyperlink"/>
          <w:i/>
          <w:iCs/>
        </w:rPr>
      </w:pPr>
      <w:r>
        <w:rPr>
          <w:rStyle w:val="FootnoteReference"/>
        </w:rPr>
        <w:footnoteRef/>
      </w:r>
      <w:r>
        <w:t xml:space="preserve"> Judd, B., D. Olsberg, J. Quinn, L. Groenhart and O. Demirbilek 2010, </w:t>
      </w:r>
      <w:r>
        <w:rPr>
          <w:i/>
          <w:iCs/>
        </w:rPr>
        <w:t>Dwelling, land and neighbourhood use by older home owners</w:t>
      </w:r>
      <w:r>
        <w:t xml:space="preserve">, AHURI Final Report No. 144, Australian Housing and Urban Research Institute Limited, Melbourne, </w:t>
      </w:r>
      <w:r w:rsidRPr="00A05E8A">
        <w:rPr>
          <w:rStyle w:val="Hyperlink"/>
          <w:i/>
          <w:iCs/>
        </w:rPr>
        <w:t>https://www.ahuri.edu.au/research/final-reports/144</w:t>
      </w:r>
      <w:r w:rsidRPr="00A05E8A">
        <w:rPr>
          <w:rStyle w:val="Hyperlink"/>
          <w:i/>
          <w:iCs/>
        </w:rPr>
        <w:tab/>
      </w:r>
    </w:p>
  </w:footnote>
  <w:footnote w:id="271">
    <w:p w14:paraId="6CB81775" w14:textId="77777777" w:rsidR="003235DB" w:rsidRDefault="003235DB">
      <w:pPr>
        <w:pStyle w:val="FootnoteText"/>
      </w:pPr>
      <w:r>
        <w:rPr>
          <w:rStyle w:val="FootnoteReference"/>
        </w:rPr>
        <w:footnoteRef/>
      </w:r>
      <w:r>
        <w:t xml:space="preserve"> James, A., S. Rowley, W. Stone, S. Parkinson, A. Spinney and M. Reynolds 2019, </w:t>
      </w:r>
      <w:r>
        <w:rPr>
          <w:i/>
          <w:iCs/>
        </w:rPr>
        <w:t>Older Australians and the housing aspirations gap</w:t>
      </w:r>
      <w:r>
        <w:t xml:space="preserve">, AHURI Final Report No.317, Australian Housing and Urban Research Institute Limited, Melbourne, </w:t>
      </w:r>
      <w:r w:rsidRPr="007143DC">
        <w:t>https://www.ahuri.edu.au/research/final-reports/317</w:t>
      </w:r>
      <w:r>
        <w:tab/>
      </w:r>
    </w:p>
  </w:footnote>
  <w:footnote w:id="272">
    <w:p w14:paraId="6D68E235" w14:textId="77777777" w:rsidR="003235DB" w:rsidRDefault="003235DB">
      <w:pPr>
        <w:pStyle w:val="FootnoteText"/>
      </w:pPr>
      <w:r>
        <w:rPr>
          <w:rStyle w:val="FootnoteReference"/>
        </w:rPr>
        <w:footnoteRef/>
      </w:r>
      <w:r>
        <w:t xml:space="preserve"> Barbary Clarke, op.cit., p.6</w:t>
      </w:r>
    </w:p>
  </w:footnote>
  <w:footnote w:id="273">
    <w:p w14:paraId="6BBAEB16" w14:textId="77777777" w:rsidR="003235DB" w:rsidRPr="0099647A" w:rsidRDefault="003235DB" w:rsidP="0099647A">
      <w:pPr>
        <w:ind w:left="426" w:hanging="426"/>
        <w:rPr>
          <w:rFonts w:asciiTheme="minorHAnsi" w:eastAsia="Times New Roman" w:hAnsiTheme="minorHAnsi"/>
          <w:sz w:val="19"/>
          <w:szCs w:val="18"/>
        </w:rPr>
      </w:pPr>
      <w:r>
        <w:rPr>
          <w:rStyle w:val="FootnoteReference"/>
        </w:rPr>
        <w:footnoteRef/>
      </w:r>
      <w:r>
        <w:t xml:space="preserve"> </w:t>
      </w:r>
      <w:r w:rsidRPr="0099647A">
        <w:rPr>
          <w:rFonts w:asciiTheme="minorHAnsi" w:eastAsia="Times New Roman" w:hAnsiTheme="minorHAnsi"/>
          <w:sz w:val="19"/>
          <w:szCs w:val="18"/>
        </w:rPr>
        <w:t xml:space="preserve">Duncan, A. and Batliwalla, Z. 2018, </w:t>
      </w:r>
      <w:r w:rsidRPr="0099647A">
        <w:rPr>
          <w:rFonts w:asciiTheme="minorHAnsi" w:eastAsia="Times New Roman" w:hAnsiTheme="minorHAnsi"/>
          <w:i/>
          <w:iCs/>
          <w:sz w:val="19"/>
          <w:szCs w:val="18"/>
        </w:rPr>
        <w:t>‘Growing older with post-polio syndrome: Social and quality-of-life implications’</w:t>
      </w:r>
      <w:r w:rsidRPr="0099647A">
        <w:rPr>
          <w:rFonts w:asciiTheme="minorHAnsi" w:eastAsia="Times New Roman" w:hAnsiTheme="minorHAnsi"/>
          <w:sz w:val="19"/>
          <w:szCs w:val="18"/>
        </w:rPr>
        <w:t>, SAGE Open Medicine, v.6, p.1-7.</w:t>
      </w:r>
    </w:p>
  </w:footnote>
  <w:footnote w:id="274">
    <w:p w14:paraId="7CD9911E" w14:textId="77777777" w:rsidR="003235DB" w:rsidRPr="00B03192" w:rsidRDefault="003235DB">
      <w:pPr>
        <w:pStyle w:val="FootnoteText"/>
        <w:rPr>
          <w:rStyle w:val="Hyperlink"/>
          <w:i/>
          <w:iCs/>
        </w:rPr>
      </w:pPr>
      <w:r>
        <w:rPr>
          <w:rStyle w:val="FootnoteReference"/>
        </w:rPr>
        <w:footnoteRef/>
      </w:r>
      <w:r>
        <w:t xml:space="preserve"> Submission by Jane Scott, answer to Question 11, accessed 4 December 2020, </w:t>
      </w:r>
      <w:hyperlink r:id="rId74" w:tooltip="Available at the ABCB website" w:history="1">
        <w:r w:rsidRPr="00B03192">
          <w:rPr>
            <w:rStyle w:val="Hyperlink"/>
            <w:i/>
            <w:iCs/>
          </w:rPr>
          <w:t>https://consultation.abcb.gov.au/engagement/consult-ris-accessible-housing/consultation/published_select_respondent</w:t>
        </w:r>
      </w:hyperlink>
    </w:p>
  </w:footnote>
  <w:footnote w:id="275">
    <w:p w14:paraId="41A11BEB" w14:textId="77777777" w:rsidR="003235DB" w:rsidRPr="00B03192" w:rsidRDefault="003235DB">
      <w:pPr>
        <w:pStyle w:val="FootnoteText"/>
        <w:rPr>
          <w:rStyle w:val="Hyperlink"/>
          <w:i/>
          <w:iCs/>
        </w:rPr>
      </w:pPr>
      <w:r>
        <w:rPr>
          <w:rStyle w:val="FootnoteReference"/>
        </w:rPr>
        <w:footnoteRef/>
      </w:r>
      <w:r>
        <w:t xml:space="preserve"> Submission by Professor Bruce </w:t>
      </w:r>
      <w:r w:rsidRPr="000470EC">
        <w:t>Bonyhady and Dr Di Winkler</w:t>
      </w:r>
      <w:r>
        <w:t xml:space="preserve"> for Melbourne Disability Institute and Summer Foundation, Appendix 2, accessed 4 December 2020, </w:t>
      </w:r>
      <w:hyperlink r:id="rId75"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276">
    <w:p w14:paraId="5CB8CF20" w14:textId="77777777" w:rsidR="003235DB" w:rsidRDefault="003235DB">
      <w:pPr>
        <w:pStyle w:val="FootnoteText"/>
      </w:pPr>
      <w:r>
        <w:rPr>
          <w:rStyle w:val="FootnoteReference"/>
        </w:rPr>
        <w:footnoteRef/>
      </w:r>
      <w:r>
        <w:t xml:space="preserve"> John Mayo, op.cit., p.3</w:t>
      </w:r>
      <w:r>
        <w:tab/>
      </w:r>
    </w:p>
  </w:footnote>
  <w:footnote w:id="277">
    <w:p w14:paraId="38EEE6C7" w14:textId="77777777" w:rsidR="003235DB" w:rsidRDefault="003235DB" w:rsidP="00D54C3C">
      <w:pPr>
        <w:pStyle w:val="FootnoteText"/>
      </w:pPr>
      <w:r>
        <w:rPr>
          <w:rStyle w:val="FootnoteReference"/>
        </w:rPr>
        <w:footnoteRef/>
      </w:r>
      <w:r>
        <w:t xml:space="preserve"> Barbary Clarke, op.cit., p.8</w:t>
      </w:r>
    </w:p>
  </w:footnote>
  <w:footnote w:id="278">
    <w:p w14:paraId="40182634" w14:textId="77777777" w:rsidR="003235DB" w:rsidRDefault="003235DB">
      <w:pPr>
        <w:pStyle w:val="FootnoteText"/>
      </w:pPr>
      <w:r>
        <w:rPr>
          <w:rStyle w:val="FootnoteReference"/>
        </w:rPr>
        <w:footnoteRef/>
      </w:r>
      <w:r>
        <w:t xml:space="preserve"> Margret Ward, op.cit., p.19-20</w:t>
      </w:r>
    </w:p>
  </w:footnote>
  <w:footnote w:id="279">
    <w:p w14:paraId="797E5E6C" w14:textId="77777777" w:rsidR="003235DB" w:rsidRDefault="003235DB">
      <w:pPr>
        <w:pStyle w:val="FootnoteText"/>
      </w:pPr>
      <w:r>
        <w:rPr>
          <w:rStyle w:val="FootnoteReference"/>
        </w:rPr>
        <w:footnoteRef/>
      </w:r>
      <w:r>
        <w:t xml:space="preserve"> Anonymous Submission </w:t>
      </w:r>
      <w:r w:rsidRPr="009C48FC">
        <w:t>284174932</w:t>
      </w:r>
      <w:r>
        <w:t xml:space="preserve">, answer to Question 11, accessed 4 December 2020, </w:t>
      </w:r>
      <w:hyperlink r:id="rId76" w:tooltip="Available at the ABCB website" w:history="1">
        <w:r w:rsidRPr="007B5078">
          <w:rPr>
            <w:rStyle w:val="Hyperlink"/>
            <w:i/>
            <w:iCs/>
          </w:rPr>
          <w:t>https://consultation.abcb.gov.au/engagement/consult-ris-accessible-housing/consultation/published_select_respondent</w:t>
        </w:r>
      </w:hyperlink>
    </w:p>
  </w:footnote>
  <w:footnote w:id="280">
    <w:p w14:paraId="7FF944A6" w14:textId="77777777" w:rsidR="003235DB" w:rsidRPr="00B03192" w:rsidRDefault="003235DB">
      <w:pPr>
        <w:pStyle w:val="FootnoteText"/>
        <w:rPr>
          <w:rStyle w:val="Hyperlink"/>
          <w:i/>
          <w:iCs/>
        </w:rPr>
      </w:pPr>
      <w:r>
        <w:rPr>
          <w:rStyle w:val="FootnoteReference"/>
        </w:rPr>
        <w:footnoteRef/>
      </w:r>
      <w:r>
        <w:t xml:space="preserve"> Submission by Sam Priest for Alexandrina Council, p.12, accessed 4 December 2020, </w:t>
      </w:r>
      <w:hyperlink r:id="rId77" w:tooltip="Available at the ABCB website" w:history="1">
        <w:r w:rsidRPr="00B03192">
          <w:rPr>
            <w:rStyle w:val="Hyperlink"/>
            <w:i/>
            <w:iCs/>
          </w:rPr>
          <w:t>https://consultation.abcb.gov.au/engagement/consult-ris-accessible-housing/consultation/published_select_respondent</w:t>
        </w:r>
      </w:hyperlink>
    </w:p>
  </w:footnote>
  <w:footnote w:id="281">
    <w:p w14:paraId="18CB9868" w14:textId="77777777" w:rsidR="003235DB" w:rsidRPr="00B03192" w:rsidRDefault="003235DB" w:rsidP="00795BD2">
      <w:pPr>
        <w:pStyle w:val="FootnoteText"/>
        <w:rPr>
          <w:rStyle w:val="Hyperlink"/>
          <w:i/>
          <w:iCs/>
        </w:rPr>
      </w:pPr>
      <w:r>
        <w:rPr>
          <w:rStyle w:val="FootnoteReference"/>
        </w:rPr>
        <w:footnoteRef/>
      </w:r>
      <w:r>
        <w:t xml:space="preserve"> Anonymous Submission </w:t>
      </w:r>
      <w:r w:rsidRPr="009C48FC">
        <w:t>284174932</w:t>
      </w:r>
      <w:r>
        <w:t xml:space="preserve">, answer to Question 11, accessed 4 December 2020, </w:t>
      </w:r>
      <w:hyperlink r:id="rId78" w:tooltip="Available at the ABCB website" w:history="1">
        <w:r w:rsidRPr="00B03192">
          <w:rPr>
            <w:rStyle w:val="Hyperlink"/>
            <w:i/>
            <w:iCs/>
          </w:rPr>
          <w:t>https://consultation.abcb.gov.au/engagement/consult-ris-accessible-housing/consultation/published_select_respondent</w:t>
        </w:r>
      </w:hyperlink>
    </w:p>
  </w:footnote>
  <w:footnote w:id="282">
    <w:p w14:paraId="55A28A3F" w14:textId="77777777" w:rsidR="003235DB" w:rsidRPr="00B03192" w:rsidRDefault="003235DB">
      <w:pPr>
        <w:pStyle w:val="FootnoteText"/>
        <w:rPr>
          <w:rStyle w:val="Hyperlink"/>
          <w:i/>
          <w:iCs/>
        </w:rPr>
      </w:pPr>
      <w:r>
        <w:rPr>
          <w:rStyle w:val="FootnoteReference"/>
        </w:rPr>
        <w:footnoteRef/>
      </w:r>
      <w:r>
        <w:t xml:space="preserve"> Submission by John Hatch for Building Designers Association of Australia, answer to Question 11, accessed 4 December 2020, </w:t>
      </w:r>
      <w:hyperlink r:id="rId79" w:tooltip="Available at the ABCB website" w:history="1">
        <w:r w:rsidRPr="00B03192">
          <w:rPr>
            <w:rStyle w:val="Hyperlink"/>
            <w:i/>
            <w:iCs/>
          </w:rPr>
          <w:t>https://consultation.abcb.gov.au/engagement/consult-ris-accessible-housing/consultation/published_select_respondent</w:t>
        </w:r>
      </w:hyperlink>
    </w:p>
  </w:footnote>
  <w:footnote w:id="283">
    <w:p w14:paraId="579E8321" w14:textId="77777777" w:rsidR="003235DB" w:rsidRPr="00B03192" w:rsidRDefault="003235DB">
      <w:pPr>
        <w:pStyle w:val="FootnoteText"/>
        <w:rPr>
          <w:rStyle w:val="Hyperlink"/>
          <w:i/>
          <w:iCs/>
        </w:rPr>
      </w:pPr>
      <w:r>
        <w:rPr>
          <w:rStyle w:val="FootnoteReference"/>
        </w:rPr>
        <w:footnoteRef/>
      </w:r>
      <w:r>
        <w:t xml:space="preserve"> Submission by Felicity Mitchell for Carers WA, answer to Question 11, accessed 4 December </w:t>
      </w:r>
      <w:r w:rsidRPr="00B03192">
        <w:rPr>
          <w:rStyle w:val="Hyperlink"/>
          <w:i/>
          <w:iCs/>
        </w:rPr>
        <w:t xml:space="preserve">2020, </w:t>
      </w:r>
      <w:hyperlink r:id="rId80" w:tooltip="Available at the ABCB website" w:history="1">
        <w:r w:rsidRPr="00B03192">
          <w:rPr>
            <w:rStyle w:val="Hyperlink"/>
            <w:i/>
            <w:iCs/>
          </w:rPr>
          <w:t>https://consultation.abcb.gov.au/engagement/consult-ris-accessible-housing/consultation/published_select_respondent</w:t>
        </w:r>
      </w:hyperlink>
    </w:p>
  </w:footnote>
  <w:footnote w:id="284">
    <w:p w14:paraId="77196692" w14:textId="77777777" w:rsidR="003235DB" w:rsidRDefault="003235DB" w:rsidP="001E45D0">
      <w:pPr>
        <w:pStyle w:val="FootnoteText"/>
      </w:pPr>
      <w:r>
        <w:rPr>
          <w:rStyle w:val="FootnoteReference"/>
        </w:rPr>
        <w:footnoteRef/>
      </w:r>
      <w:r>
        <w:t xml:space="preserve"> Carers Australia and Deloitte Access Economics 2020, </w:t>
      </w:r>
      <w:r>
        <w:rPr>
          <w:i/>
          <w:iCs/>
        </w:rPr>
        <w:t>The value of informal care in 2020</w:t>
      </w:r>
      <w:r>
        <w:t xml:space="preserve">, </w:t>
      </w:r>
      <w:r w:rsidRPr="00E3626C">
        <w:t>https://www.carersaustralia.com.au/wp-content/uploads/2020/08/FINAL-Value-of-Informal-Care-2020.pdf</w:t>
      </w:r>
      <w:r>
        <w:t>, p.iv</w:t>
      </w:r>
    </w:p>
  </w:footnote>
  <w:footnote w:id="285">
    <w:p w14:paraId="2480EA39" w14:textId="77777777" w:rsidR="003235DB" w:rsidRDefault="003235DB">
      <w:pPr>
        <w:pStyle w:val="FootnoteText"/>
      </w:pPr>
      <w:r>
        <w:rPr>
          <w:rStyle w:val="FootnoteReference"/>
        </w:rPr>
        <w:footnoteRef/>
      </w:r>
      <w:r>
        <w:t xml:space="preserve"> Sam Priest, op.cit., p.12</w:t>
      </w:r>
    </w:p>
  </w:footnote>
  <w:footnote w:id="286">
    <w:p w14:paraId="00A657DD" w14:textId="77777777" w:rsidR="003235DB" w:rsidRPr="00B03192" w:rsidRDefault="003235DB">
      <w:pPr>
        <w:pStyle w:val="FootnoteText"/>
        <w:rPr>
          <w:rStyle w:val="Hyperlink"/>
          <w:i/>
          <w:iCs/>
        </w:rPr>
      </w:pPr>
      <w:r>
        <w:rPr>
          <w:rStyle w:val="FootnoteReference"/>
        </w:rPr>
        <w:footnoteRef/>
      </w:r>
      <w:r>
        <w:t xml:space="preserve"> Submission by Professor Catherine Bridge for </w:t>
      </w:r>
      <w:r w:rsidRPr="00DF3D2D">
        <w:t>Home Modification Information Clearing</w:t>
      </w:r>
      <w:r>
        <w:t>h</w:t>
      </w:r>
      <w:r w:rsidRPr="00DF3D2D">
        <w:t>ouse</w:t>
      </w:r>
      <w:r>
        <w:t xml:space="preserve">, p.7, accessed 4 December 2020, </w:t>
      </w:r>
      <w:hyperlink r:id="rId81" w:tooltip="Available at the ABCB website" w:history="1">
        <w:r w:rsidRPr="00B03192">
          <w:rPr>
            <w:rStyle w:val="Hyperlink"/>
            <w:i/>
            <w:iCs/>
          </w:rPr>
          <w:t>https://consultation.abcb.gov.au/engagement/consult-ris-accessible-housing/consultation/published_select_respondent</w:t>
        </w:r>
      </w:hyperlink>
    </w:p>
  </w:footnote>
  <w:footnote w:id="287">
    <w:p w14:paraId="088573E2" w14:textId="77777777" w:rsidR="003235DB" w:rsidRDefault="003235DB">
      <w:pPr>
        <w:pStyle w:val="FootnoteText"/>
      </w:pPr>
      <w:r>
        <w:rPr>
          <w:rStyle w:val="FootnoteReference"/>
        </w:rPr>
        <w:footnoteRef/>
      </w:r>
      <w:r>
        <w:t xml:space="preserve"> Sam Priest, op.cit., p.5-10</w:t>
      </w:r>
    </w:p>
  </w:footnote>
  <w:footnote w:id="288">
    <w:p w14:paraId="02BB5A3B" w14:textId="77777777" w:rsidR="003235DB" w:rsidRPr="00B03192" w:rsidRDefault="003235DB">
      <w:pPr>
        <w:pStyle w:val="FootnoteText"/>
        <w:rPr>
          <w:rStyle w:val="Hyperlink"/>
          <w:i/>
          <w:iCs/>
        </w:rPr>
      </w:pPr>
      <w:r>
        <w:rPr>
          <w:rStyle w:val="FootnoteReference"/>
        </w:rPr>
        <w:footnoteRef/>
      </w:r>
      <w:r>
        <w:t xml:space="preserve"> Anonymous Submission </w:t>
      </w:r>
      <w:r w:rsidRPr="00131D1E">
        <w:t>454639644</w:t>
      </w:r>
      <w:r>
        <w:t xml:space="preserve">, answer to Question 13, accessed 4 December 2020, </w:t>
      </w:r>
      <w:hyperlink r:id="rId82" w:tooltip="Available at the ABCB website" w:history="1">
        <w:r w:rsidRPr="00B03192">
          <w:rPr>
            <w:rStyle w:val="Hyperlink"/>
            <w:i/>
            <w:iCs/>
          </w:rPr>
          <w:t>https://consultation.abcb.gov.au/engagement/consult-ris-accessible-housing/consultation/published_select_respondent</w:t>
        </w:r>
      </w:hyperlink>
    </w:p>
  </w:footnote>
  <w:footnote w:id="289">
    <w:p w14:paraId="68814017" w14:textId="77777777" w:rsidR="003235DB" w:rsidRPr="00B03192" w:rsidRDefault="003235DB">
      <w:pPr>
        <w:pStyle w:val="FootnoteText"/>
        <w:rPr>
          <w:rStyle w:val="Hyperlink"/>
          <w:i/>
          <w:iCs/>
        </w:rPr>
      </w:pPr>
      <w:r>
        <w:rPr>
          <w:rStyle w:val="FootnoteReference"/>
        </w:rPr>
        <w:footnoteRef/>
      </w:r>
      <w:r>
        <w:t xml:space="preserve"> Submission by Andrew Ferris for Andrew Ferris Drafting and Design, answer to Question 13, accessed 4 December 2020, </w:t>
      </w:r>
      <w:hyperlink r:id="rId83" w:tooltip="Available at the ABCB website" w:history="1">
        <w:r w:rsidRPr="00B03192">
          <w:rPr>
            <w:rStyle w:val="Hyperlink"/>
            <w:i/>
            <w:iCs/>
          </w:rPr>
          <w:t>https://consultation.abcb.gov.au/engagement/consult-ris-accessible-housing/consultation/published_select_respondent</w:t>
        </w:r>
      </w:hyperlink>
    </w:p>
  </w:footnote>
  <w:footnote w:id="290">
    <w:p w14:paraId="4184B2D3" w14:textId="77777777" w:rsidR="003235DB" w:rsidRDefault="003235DB" w:rsidP="00217AAC">
      <w:pPr>
        <w:pStyle w:val="FootnoteText"/>
      </w:pPr>
      <w:r>
        <w:rPr>
          <w:rStyle w:val="FootnoteReference"/>
        </w:rPr>
        <w:footnoteRef/>
      </w:r>
      <w:r>
        <w:t xml:space="preserve"> Sam Priest, op.cit., p.5-10</w:t>
      </w:r>
    </w:p>
  </w:footnote>
  <w:footnote w:id="291">
    <w:p w14:paraId="1ACD1023" w14:textId="77777777" w:rsidR="003235DB" w:rsidRPr="00B03192" w:rsidRDefault="003235DB">
      <w:pPr>
        <w:pStyle w:val="FootnoteText"/>
        <w:rPr>
          <w:rStyle w:val="Hyperlink"/>
          <w:i/>
          <w:iCs/>
        </w:rPr>
      </w:pPr>
      <w:r>
        <w:rPr>
          <w:rStyle w:val="FootnoteReference"/>
        </w:rPr>
        <w:footnoteRef/>
      </w:r>
      <w:r>
        <w:t xml:space="preserve"> Submission by Michelle Surgeon, answer to Question 13, accessed 4 December 2020, </w:t>
      </w:r>
      <w:hyperlink r:id="rId84" w:tooltip="Available at the ABCB website" w:history="1">
        <w:r w:rsidRPr="00B03192">
          <w:rPr>
            <w:rStyle w:val="Hyperlink"/>
            <w:i/>
            <w:iCs/>
          </w:rPr>
          <w:t>https://consultation.abcb.gov.au/engagement/consult-ris-accessible-housing/consultation/published_select_respondent</w:t>
        </w:r>
      </w:hyperlink>
    </w:p>
  </w:footnote>
  <w:footnote w:id="292">
    <w:p w14:paraId="47F0CD21" w14:textId="77777777" w:rsidR="003235DB" w:rsidRDefault="003235DB">
      <w:pPr>
        <w:pStyle w:val="FootnoteText"/>
      </w:pPr>
      <w:r>
        <w:rPr>
          <w:rStyle w:val="FootnoteReference"/>
        </w:rPr>
        <w:footnoteRef/>
      </w:r>
      <w:r>
        <w:t xml:space="preserve"> Professor Catherine Bridge, op.cit.</w:t>
      </w:r>
    </w:p>
  </w:footnote>
  <w:footnote w:id="293">
    <w:p w14:paraId="7BFA5096" w14:textId="77777777" w:rsidR="003235DB" w:rsidRPr="00BA6275" w:rsidRDefault="003235DB" w:rsidP="001E45D0">
      <w:pPr>
        <w:pStyle w:val="FootnoteText"/>
        <w:rPr>
          <w:rFonts w:eastAsia="SimSun"/>
          <w:lang w:eastAsia="zh-CN"/>
        </w:rPr>
      </w:pPr>
      <w:r>
        <w:rPr>
          <w:rStyle w:val="FootnoteReference"/>
        </w:rPr>
        <w:footnoteRef/>
      </w:r>
      <w:r>
        <w:t xml:space="preserve"> </w:t>
      </w:r>
      <w:r>
        <w:rPr>
          <w:rFonts w:eastAsia="SimSun"/>
          <w:i/>
          <w:iCs/>
          <w:lang w:eastAsia="zh-CN"/>
        </w:rPr>
        <w:t>sic</w:t>
      </w:r>
      <w:r>
        <w:rPr>
          <w:rFonts w:eastAsia="SimSun"/>
          <w:lang w:eastAsia="zh-CN"/>
        </w:rPr>
        <w:t>. There is no requirement for kitchen and laundry under the proposal equivalent to LHDG silver level.</w:t>
      </w:r>
    </w:p>
  </w:footnote>
  <w:footnote w:id="294">
    <w:p w14:paraId="4CF29662" w14:textId="77777777" w:rsidR="003235DB" w:rsidRPr="007B5078" w:rsidRDefault="003235DB" w:rsidP="001E45D0">
      <w:pPr>
        <w:pStyle w:val="FootnoteText"/>
        <w:rPr>
          <w:rStyle w:val="Hyperlink"/>
          <w:i/>
          <w:iCs/>
        </w:rPr>
      </w:pPr>
      <w:r>
        <w:rPr>
          <w:rStyle w:val="FootnoteReference"/>
        </w:rPr>
        <w:footnoteRef/>
      </w:r>
      <w:r>
        <w:t xml:space="preserve"> Department of Planning and Community Development 2010, </w:t>
      </w:r>
      <w:r>
        <w:rPr>
          <w:i/>
          <w:iCs/>
        </w:rPr>
        <w:t>Visitable and Adaptable Features in Housing: Regulatory Impact Statement</w:t>
      </w:r>
      <w:r>
        <w:t xml:space="preserve">, </w:t>
      </w:r>
      <w:r w:rsidRPr="007B5078">
        <w:rPr>
          <w:rStyle w:val="Hyperlink"/>
          <w:i/>
          <w:iCs/>
        </w:rPr>
        <w:t>https://www.vic.gov.au/sites/default/files/2019-11/Amendment-to-the-Building-Code-of-Australia-Visitable-and-Adaptable-Features-in-Housing-RIS.pdf</w:t>
      </w:r>
    </w:p>
  </w:footnote>
  <w:footnote w:id="295">
    <w:p w14:paraId="11800C3D" w14:textId="77777777" w:rsidR="003235DB" w:rsidRDefault="003235DB">
      <w:pPr>
        <w:pStyle w:val="FootnoteText"/>
      </w:pPr>
      <w:r>
        <w:rPr>
          <w:rStyle w:val="FootnoteReference"/>
        </w:rPr>
        <w:footnoteRef/>
      </w:r>
      <w:r>
        <w:t xml:space="preserve"> Coralie Ayres, op.cit., answer to Question 11.</w:t>
      </w:r>
    </w:p>
  </w:footnote>
  <w:footnote w:id="296">
    <w:p w14:paraId="78624371" w14:textId="77777777" w:rsidR="003235DB" w:rsidRDefault="003235DB">
      <w:pPr>
        <w:pStyle w:val="FootnoteText"/>
      </w:pPr>
      <w:r>
        <w:rPr>
          <w:rStyle w:val="FootnoteReference"/>
        </w:rPr>
        <w:footnoteRef/>
      </w:r>
      <w:r>
        <w:t xml:space="preserve"> Margret Ward, op.cit. p.41-42</w:t>
      </w:r>
    </w:p>
  </w:footnote>
  <w:footnote w:id="297">
    <w:p w14:paraId="6CC24A99" w14:textId="77777777" w:rsidR="003235DB" w:rsidRPr="00B03192" w:rsidRDefault="003235DB">
      <w:pPr>
        <w:pStyle w:val="FootnoteText"/>
        <w:rPr>
          <w:rStyle w:val="Hyperlink"/>
          <w:i/>
          <w:iCs/>
        </w:rPr>
      </w:pPr>
      <w:r>
        <w:rPr>
          <w:rStyle w:val="FootnoteReference"/>
        </w:rPr>
        <w:footnoteRef/>
      </w:r>
      <w:r>
        <w:t xml:space="preserve"> Submission by </w:t>
      </w:r>
      <w:r w:rsidRPr="00532456">
        <w:t>Michael Bleasdale</w:t>
      </w:r>
      <w:r>
        <w:t xml:space="preserve"> for ADACAS, answer to Question 13, accessed 7 December 2020, </w:t>
      </w:r>
      <w:hyperlink r:id="rId85" w:tooltip="Available at the ABCB website" w:history="1">
        <w:r w:rsidRPr="00B03192">
          <w:rPr>
            <w:rStyle w:val="Hyperlink"/>
            <w:i/>
            <w:iCs/>
          </w:rPr>
          <w:t>https://consultation.abcb.gov.au/engagement/consult-ris-accessible-housing/consultation/published_select_respondent</w:t>
        </w:r>
      </w:hyperlink>
    </w:p>
  </w:footnote>
  <w:footnote w:id="298">
    <w:p w14:paraId="74B4B5DB" w14:textId="77777777" w:rsidR="003235DB" w:rsidRPr="00B03192" w:rsidRDefault="003235DB">
      <w:pPr>
        <w:pStyle w:val="FootnoteText"/>
        <w:rPr>
          <w:rStyle w:val="Hyperlink"/>
          <w:i/>
          <w:iCs/>
        </w:rPr>
      </w:pPr>
      <w:r>
        <w:rPr>
          <w:rStyle w:val="FootnoteReference"/>
        </w:rPr>
        <w:footnoteRef/>
      </w:r>
      <w:r>
        <w:t xml:space="preserve"> Anonymous Submission </w:t>
      </w:r>
      <w:r w:rsidRPr="00D665FD">
        <w:t>607199877</w:t>
      </w:r>
      <w:r>
        <w:t xml:space="preserve">, answer to Question 13, accessed 7 December 2020, </w:t>
      </w:r>
      <w:hyperlink r:id="rId86"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299">
    <w:p w14:paraId="53B19083" w14:textId="77777777" w:rsidR="003235DB" w:rsidRPr="00B03192" w:rsidRDefault="003235DB">
      <w:pPr>
        <w:pStyle w:val="FootnoteText"/>
        <w:rPr>
          <w:rStyle w:val="Hyperlink"/>
          <w:i/>
          <w:iCs/>
        </w:rPr>
      </w:pPr>
      <w:r>
        <w:rPr>
          <w:rStyle w:val="FootnoteReference"/>
        </w:rPr>
        <w:footnoteRef/>
      </w:r>
      <w:r>
        <w:t xml:space="preserve"> Anonymous Submission </w:t>
      </w:r>
      <w:r w:rsidRPr="00CD2B8A">
        <w:t>122486412</w:t>
      </w:r>
      <w:r>
        <w:t xml:space="preserve">, answer to Question 13, accessed 7 December 2020, </w:t>
      </w:r>
      <w:hyperlink r:id="rId87"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0">
    <w:p w14:paraId="5E01D877" w14:textId="77777777" w:rsidR="003235DB" w:rsidRPr="00B03192" w:rsidRDefault="003235DB">
      <w:pPr>
        <w:pStyle w:val="FootnoteText"/>
        <w:rPr>
          <w:rStyle w:val="Hyperlink"/>
          <w:i/>
          <w:iCs/>
        </w:rPr>
      </w:pPr>
      <w:r>
        <w:rPr>
          <w:rStyle w:val="FootnoteReference"/>
        </w:rPr>
        <w:footnoteRef/>
      </w:r>
      <w:r>
        <w:t xml:space="preserve"> Anonymous Submission </w:t>
      </w:r>
      <w:r w:rsidRPr="003C201D">
        <w:t>914154835</w:t>
      </w:r>
      <w:r>
        <w:t xml:space="preserve">, answer to Question 13, accessed 7 December 2020, </w:t>
      </w:r>
      <w:hyperlink r:id="rId88"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1">
    <w:p w14:paraId="07DA3622" w14:textId="77777777" w:rsidR="003235DB" w:rsidRPr="00B03192" w:rsidRDefault="003235DB">
      <w:pPr>
        <w:pStyle w:val="FootnoteText"/>
        <w:rPr>
          <w:rStyle w:val="Hyperlink"/>
          <w:i/>
          <w:iCs/>
        </w:rPr>
      </w:pPr>
      <w:r>
        <w:rPr>
          <w:rStyle w:val="FootnoteReference"/>
        </w:rPr>
        <w:footnoteRef/>
      </w:r>
      <w:r>
        <w:t xml:space="preserve"> Submission by Lee Jordan, p.1, accessed 7 December 2020, </w:t>
      </w:r>
      <w:hyperlink r:id="rId89"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2">
    <w:p w14:paraId="595B7537" w14:textId="77777777" w:rsidR="003235DB" w:rsidRPr="00B03192" w:rsidRDefault="003235DB">
      <w:pPr>
        <w:pStyle w:val="FootnoteText"/>
        <w:rPr>
          <w:rStyle w:val="Hyperlink"/>
          <w:i/>
          <w:iCs/>
        </w:rPr>
      </w:pPr>
      <w:r>
        <w:rPr>
          <w:rStyle w:val="FootnoteReference"/>
        </w:rPr>
        <w:footnoteRef/>
      </w:r>
      <w:r>
        <w:t xml:space="preserve"> Anonymous Submission </w:t>
      </w:r>
      <w:r w:rsidRPr="00C422BF">
        <w:t>118250068</w:t>
      </w:r>
      <w:r>
        <w:t xml:space="preserve">, p.2-3, accessed 7 December 2020, </w:t>
      </w:r>
      <w:hyperlink r:id="rId90"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3">
    <w:p w14:paraId="24ACA808" w14:textId="77777777" w:rsidR="003235DB" w:rsidRDefault="003235DB">
      <w:pPr>
        <w:pStyle w:val="FootnoteText"/>
      </w:pPr>
      <w:r>
        <w:rPr>
          <w:rStyle w:val="FootnoteReference"/>
        </w:rPr>
        <w:footnoteRef/>
      </w:r>
      <w:r>
        <w:t xml:space="preserve"> </w:t>
      </w:r>
      <w:hyperlink r:id="rId91" w:tooltip="More information can be found at the website via this link" w:history="1">
        <w:r w:rsidRPr="0002074C">
          <w:rPr>
            <w:rStyle w:val="Hyperlink"/>
            <w:lang w:bidi="fa-IR"/>
          </w:rPr>
          <w:t>https://www.homemods.info/</w:t>
        </w:r>
      </w:hyperlink>
    </w:p>
  </w:footnote>
  <w:footnote w:id="304">
    <w:p w14:paraId="0EB707B6" w14:textId="77777777" w:rsidR="003235DB" w:rsidRDefault="003235DB">
      <w:pPr>
        <w:pStyle w:val="FootnoteText"/>
      </w:pPr>
      <w:r>
        <w:rPr>
          <w:rStyle w:val="FootnoteReference"/>
        </w:rPr>
        <w:footnoteRef/>
      </w:r>
      <w:r>
        <w:t xml:space="preserve"> Submission by Heather Corkhill for Queensland Human Rights Commission, p.3-4, accessed 7 December 2020, </w:t>
      </w:r>
      <w:hyperlink r:id="rId92"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5">
    <w:p w14:paraId="1EAF8B90" w14:textId="77777777" w:rsidR="003235DB" w:rsidRDefault="003235DB">
      <w:pPr>
        <w:pStyle w:val="FootnoteText"/>
      </w:pPr>
      <w:r>
        <w:rPr>
          <w:rStyle w:val="FootnoteReference"/>
        </w:rPr>
        <w:footnoteRef/>
      </w:r>
      <w:r>
        <w:t xml:space="preserve"> Hayley Stone, op.cit., p.18-19</w:t>
      </w:r>
      <w:r>
        <w:tab/>
      </w:r>
    </w:p>
  </w:footnote>
  <w:footnote w:id="306">
    <w:p w14:paraId="4F89E0DD" w14:textId="77777777" w:rsidR="003235DB" w:rsidRDefault="003235DB">
      <w:pPr>
        <w:pStyle w:val="FootnoteText"/>
      </w:pPr>
      <w:r>
        <w:rPr>
          <w:rStyle w:val="FootnoteReference"/>
        </w:rPr>
        <w:footnoteRef/>
      </w:r>
      <w:r>
        <w:t xml:space="preserve"> </w:t>
      </w:r>
      <w:r w:rsidRPr="00FE1B12">
        <w:t>Jacqueline Marks</w:t>
      </w:r>
      <w:r>
        <w:t>, op.cit., answer to Question 12.</w:t>
      </w:r>
      <w:r>
        <w:tab/>
      </w:r>
    </w:p>
  </w:footnote>
  <w:footnote w:id="307">
    <w:p w14:paraId="7784580C" w14:textId="77777777" w:rsidR="003235DB" w:rsidRDefault="003235DB" w:rsidP="001E45D0">
      <w:pPr>
        <w:pStyle w:val="FootnoteText"/>
      </w:pPr>
      <w:r>
        <w:rPr>
          <w:rStyle w:val="FootnoteReference"/>
        </w:rPr>
        <w:footnoteRef/>
      </w:r>
      <w:r>
        <w:t xml:space="preserve"> </w:t>
      </w:r>
      <w:r>
        <w:tab/>
        <w:t xml:space="preserve">Professor Bruce </w:t>
      </w:r>
      <w:r w:rsidRPr="0090719A">
        <w:t>Bonyhady and Dr Di Winkler</w:t>
      </w:r>
      <w:r>
        <w:t>, op.cit. Appendix 2, p.5; p.14; Table 19, p.31.</w:t>
      </w:r>
    </w:p>
  </w:footnote>
  <w:footnote w:id="308">
    <w:p w14:paraId="2B32B56E" w14:textId="77777777" w:rsidR="003235DB" w:rsidRPr="00B03192" w:rsidRDefault="003235DB">
      <w:pPr>
        <w:pStyle w:val="FootnoteText"/>
        <w:rPr>
          <w:rStyle w:val="Hyperlink"/>
          <w:i/>
          <w:iCs/>
        </w:rPr>
      </w:pPr>
      <w:r>
        <w:rPr>
          <w:rStyle w:val="FootnoteReference"/>
        </w:rPr>
        <w:footnoteRef/>
      </w:r>
      <w:r>
        <w:t xml:space="preserve"> Anonymous Submission </w:t>
      </w:r>
      <w:r w:rsidRPr="00055392">
        <w:t>506249822</w:t>
      </w:r>
      <w:r>
        <w:t xml:space="preserve">, answer to Question 14, accessed 7 December 2020, </w:t>
      </w:r>
      <w:hyperlink r:id="rId93"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09">
    <w:p w14:paraId="5366F42F" w14:textId="77777777" w:rsidR="003235DB" w:rsidRPr="00B03192" w:rsidRDefault="003235DB">
      <w:pPr>
        <w:pStyle w:val="FootnoteText"/>
        <w:rPr>
          <w:rStyle w:val="Hyperlink"/>
          <w:i/>
          <w:iCs/>
        </w:rPr>
      </w:pPr>
      <w:r>
        <w:rPr>
          <w:rStyle w:val="FootnoteReference"/>
        </w:rPr>
        <w:footnoteRef/>
      </w:r>
      <w:r>
        <w:t xml:space="preserve"> Submission by Peter Robert Hirst for Environmental Design, answer to Question 13, accessed 7 December 2020, </w:t>
      </w:r>
      <w:hyperlink r:id="rId94"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0">
    <w:p w14:paraId="2FB283E5" w14:textId="77777777" w:rsidR="003235DB" w:rsidRPr="00B03192" w:rsidRDefault="003235DB">
      <w:pPr>
        <w:pStyle w:val="FootnoteText"/>
        <w:rPr>
          <w:rStyle w:val="Hyperlink"/>
          <w:i/>
          <w:iCs/>
        </w:rPr>
      </w:pPr>
      <w:r>
        <w:rPr>
          <w:rStyle w:val="FootnoteReference"/>
        </w:rPr>
        <w:footnoteRef/>
      </w:r>
      <w:r>
        <w:t xml:space="preserve"> Anonymous Submission </w:t>
      </w:r>
      <w:r w:rsidRPr="00EB505D">
        <w:t>113712101</w:t>
      </w:r>
      <w:r>
        <w:t xml:space="preserve">, answer to Question 14, accessed 7 December 2020, </w:t>
      </w:r>
      <w:hyperlink r:id="rId95"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1">
    <w:p w14:paraId="6E7AB358" w14:textId="77777777" w:rsidR="003235DB" w:rsidRPr="00B03192" w:rsidRDefault="003235DB">
      <w:pPr>
        <w:pStyle w:val="FootnoteText"/>
        <w:rPr>
          <w:rStyle w:val="Hyperlink"/>
          <w:i/>
          <w:iCs/>
        </w:rPr>
      </w:pPr>
      <w:r>
        <w:rPr>
          <w:rStyle w:val="FootnoteReference"/>
        </w:rPr>
        <w:footnoteRef/>
      </w:r>
      <w:r>
        <w:t xml:space="preserve"> Submission by Jane Bringolf for CUDA, answer to Question 14, accessed 7 December 2020, </w:t>
      </w:r>
      <w:hyperlink r:id="rId96"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2">
    <w:p w14:paraId="743F17EC" w14:textId="77777777" w:rsidR="003235DB" w:rsidRPr="00B03192" w:rsidRDefault="003235DB">
      <w:pPr>
        <w:pStyle w:val="FootnoteText"/>
        <w:rPr>
          <w:rStyle w:val="Hyperlink"/>
          <w:i/>
          <w:iCs/>
        </w:rPr>
      </w:pPr>
      <w:r>
        <w:rPr>
          <w:rStyle w:val="FootnoteReference"/>
        </w:rPr>
        <w:footnoteRef/>
      </w:r>
      <w:r>
        <w:t xml:space="preserve"> Anonymous Submission </w:t>
      </w:r>
      <w:r w:rsidRPr="00C6660D">
        <w:t>90458024</w:t>
      </w:r>
      <w:r>
        <w:t xml:space="preserve">, answer to Question 14, accessed 7 December 2020, </w:t>
      </w:r>
      <w:hyperlink r:id="rId97"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3">
    <w:p w14:paraId="3385BABC" w14:textId="77777777" w:rsidR="003235DB" w:rsidRDefault="003235DB">
      <w:pPr>
        <w:pStyle w:val="FootnoteText"/>
      </w:pPr>
      <w:r>
        <w:rPr>
          <w:rStyle w:val="FootnoteReference"/>
        </w:rPr>
        <w:footnoteRef/>
      </w:r>
      <w:r>
        <w:t xml:space="preserve"> </w:t>
      </w:r>
      <w:r>
        <w:rPr>
          <w:lang w:eastAsia="zh-CN"/>
        </w:rPr>
        <w:t xml:space="preserve">‘Submission by Tory Puglisi, answer to Question 14, </w:t>
      </w:r>
      <w:r>
        <w:t xml:space="preserve">accessed 7 December 2020, </w:t>
      </w:r>
      <w:hyperlink r:id="rId98" w:tooltip="Available at the ABCB website" w:history="1">
        <w:r>
          <w:rPr>
            <w:rStyle w:val="Hyperlink"/>
            <w:i/>
            <w:iCs/>
          </w:rPr>
          <w:t>https://consultation.abcb.gov.au/engagement/consult-ris-accessible-housing/consultation/published_select_respondent</w:t>
        </w:r>
      </w:hyperlink>
      <w:r>
        <w:t>’</w:t>
      </w:r>
    </w:p>
  </w:footnote>
  <w:footnote w:id="314">
    <w:p w14:paraId="2C599DD5" w14:textId="77777777" w:rsidR="003235DB" w:rsidRPr="00B03192" w:rsidRDefault="003235DB">
      <w:pPr>
        <w:pStyle w:val="FootnoteText"/>
        <w:rPr>
          <w:rStyle w:val="Hyperlink"/>
          <w:i/>
          <w:iCs/>
        </w:rPr>
      </w:pPr>
      <w:r>
        <w:rPr>
          <w:rStyle w:val="FootnoteReference"/>
        </w:rPr>
        <w:footnoteRef/>
      </w:r>
      <w:r>
        <w:t xml:space="preserve"> Submission by Max Rafferty for MBA, p.5, accessed 7 December 2020, </w:t>
      </w:r>
      <w:hyperlink r:id="rId99"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5">
    <w:p w14:paraId="0508BE90" w14:textId="77777777" w:rsidR="003235DB" w:rsidRPr="00B03192" w:rsidRDefault="003235DB">
      <w:pPr>
        <w:pStyle w:val="FootnoteText"/>
        <w:rPr>
          <w:rStyle w:val="Hyperlink"/>
          <w:i/>
          <w:iCs/>
        </w:rPr>
      </w:pPr>
      <w:r>
        <w:rPr>
          <w:rStyle w:val="FootnoteReference"/>
        </w:rPr>
        <w:footnoteRef/>
      </w:r>
      <w:r>
        <w:t xml:space="preserve"> Anonymous Submission </w:t>
      </w:r>
      <w:r w:rsidRPr="005105E5">
        <w:t>506249822</w:t>
      </w:r>
      <w:r>
        <w:t xml:space="preserve">, answer to Question 14, accessed 7 December 2020, </w:t>
      </w:r>
      <w:hyperlink r:id="rId100"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6">
    <w:p w14:paraId="3B83470C" w14:textId="77777777" w:rsidR="003235DB" w:rsidRPr="00B03192" w:rsidRDefault="003235DB" w:rsidP="0052706C">
      <w:pPr>
        <w:pStyle w:val="FootnoteText"/>
        <w:rPr>
          <w:rStyle w:val="Hyperlink"/>
          <w:i/>
          <w:iCs/>
        </w:rPr>
      </w:pPr>
      <w:r>
        <w:rPr>
          <w:rStyle w:val="FootnoteReference"/>
        </w:rPr>
        <w:footnoteRef/>
      </w:r>
      <w:r>
        <w:t xml:space="preserve"> Submission by Erika Webb</w:t>
      </w:r>
      <w:r>
        <w:tab/>
        <w:t xml:space="preserve">for Blind Citizens WA, answer to Question 14, accessed 7 December 2020, </w:t>
      </w:r>
      <w:hyperlink r:id="rId101"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 xml:space="preserve"> </w:t>
      </w:r>
    </w:p>
  </w:footnote>
  <w:footnote w:id="317">
    <w:p w14:paraId="36495BB2" w14:textId="77777777" w:rsidR="003235DB" w:rsidRDefault="003235DB">
      <w:pPr>
        <w:pStyle w:val="FootnoteText"/>
      </w:pPr>
      <w:r>
        <w:rPr>
          <w:rStyle w:val="FootnoteReference"/>
        </w:rPr>
        <w:footnoteRef/>
      </w:r>
      <w:r>
        <w:t xml:space="preserve"> Submission by Peter Springham, answer to Question 14, accessed 7 December 2020, </w:t>
      </w:r>
      <w:hyperlink r:id="rId102"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18">
    <w:p w14:paraId="374F8851" w14:textId="77777777" w:rsidR="003235DB" w:rsidRDefault="003235DB">
      <w:pPr>
        <w:pStyle w:val="FootnoteText"/>
      </w:pPr>
      <w:r>
        <w:rPr>
          <w:rStyle w:val="FootnoteReference"/>
        </w:rPr>
        <w:footnoteRef/>
      </w:r>
      <w:r>
        <w:t xml:space="preserve"> Margret Ward, op.cit., p.21</w:t>
      </w:r>
      <w:r>
        <w:tab/>
      </w:r>
    </w:p>
  </w:footnote>
  <w:footnote w:id="319">
    <w:p w14:paraId="012D5E4D" w14:textId="77777777" w:rsidR="003235DB" w:rsidRPr="00B03192" w:rsidRDefault="003235DB">
      <w:pPr>
        <w:pStyle w:val="FootnoteText"/>
        <w:rPr>
          <w:rStyle w:val="Hyperlink"/>
          <w:i/>
          <w:iCs/>
        </w:rPr>
      </w:pPr>
      <w:r>
        <w:rPr>
          <w:rStyle w:val="FootnoteReference"/>
        </w:rPr>
        <w:footnoteRef/>
      </w:r>
      <w:r>
        <w:t xml:space="preserve"> Submission by Brenden Creed for Building Designers Association of Queensland, answer to Question 14, accessed 7 December 2020, </w:t>
      </w:r>
      <w:hyperlink r:id="rId103"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20">
    <w:p w14:paraId="44875F67" w14:textId="77777777" w:rsidR="003235DB" w:rsidRDefault="003235DB">
      <w:pPr>
        <w:pStyle w:val="FootnoteText"/>
      </w:pPr>
      <w:r>
        <w:rPr>
          <w:rStyle w:val="FootnoteReference"/>
        </w:rPr>
        <w:footnoteRef/>
      </w:r>
      <w:r>
        <w:t xml:space="preserve"> Michael Bleasdale, op.cit., answer to Question 14.</w:t>
      </w:r>
      <w:r>
        <w:tab/>
      </w:r>
    </w:p>
  </w:footnote>
  <w:footnote w:id="321">
    <w:p w14:paraId="1863CB70" w14:textId="77777777" w:rsidR="003235DB" w:rsidRPr="00B03192" w:rsidRDefault="003235DB">
      <w:pPr>
        <w:pStyle w:val="FootnoteText"/>
        <w:rPr>
          <w:rStyle w:val="Hyperlink"/>
          <w:i/>
          <w:iCs/>
        </w:rPr>
      </w:pPr>
      <w:r>
        <w:rPr>
          <w:rStyle w:val="FootnoteReference"/>
        </w:rPr>
        <w:footnoteRef/>
      </w:r>
      <w:r>
        <w:t xml:space="preserve"> Submission by Sam Plaschke for Wilson Homes Tasmania Pty Ltd, p.2, accessed 7 December 2020, </w:t>
      </w:r>
      <w:hyperlink r:id="rId104" w:tooltip="Available at the ABCB website" w:history="1">
        <w:r w:rsidRPr="00B03192">
          <w:rPr>
            <w:rStyle w:val="Hyperlink"/>
            <w:i/>
            <w:iCs/>
          </w:rPr>
          <w:t>https://consultation.abcb.gov.au/engagement/consult-ris-accessible-housing/consultation/published_select_respondent</w:t>
        </w:r>
      </w:hyperlink>
      <w:r w:rsidRPr="00B03192">
        <w:rPr>
          <w:rStyle w:val="Hyperlink"/>
          <w:i/>
          <w:iCs/>
        </w:rPr>
        <w:tab/>
      </w:r>
    </w:p>
  </w:footnote>
  <w:footnote w:id="322">
    <w:p w14:paraId="47803E89" w14:textId="77777777" w:rsidR="003235DB" w:rsidRDefault="003235DB">
      <w:pPr>
        <w:pStyle w:val="FootnoteText"/>
      </w:pPr>
      <w:r>
        <w:rPr>
          <w:rStyle w:val="FootnoteReference"/>
        </w:rPr>
        <w:footnoteRef/>
      </w:r>
      <w:r>
        <w:t xml:space="preserve"> Melanie Southwell, op.cit., answer to Question 13.</w:t>
      </w:r>
      <w:r>
        <w:tab/>
      </w:r>
    </w:p>
  </w:footnote>
  <w:footnote w:id="323">
    <w:p w14:paraId="1DEBE61D" w14:textId="77777777" w:rsidR="003235DB" w:rsidRDefault="003235DB">
      <w:pPr>
        <w:pStyle w:val="FootnoteText"/>
      </w:pPr>
      <w:r>
        <w:rPr>
          <w:rStyle w:val="FootnoteReference"/>
        </w:rPr>
        <w:footnoteRef/>
      </w:r>
      <w:r>
        <w:t xml:space="preserve"> Anonymous Submission </w:t>
      </w:r>
      <w:r w:rsidRPr="00E2386C">
        <w:t>90458024</w:t>
      </w:r>
      <w:r>
        <w:t xml:space="preserve">, answer to Question 14, accessed 7 December 2020, </w:t>
      </w:r>
      <w:hyperlink r:id="rId105"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24">
    <w:p w14:paraId="7DE79FED" w14:textId="77777777" w:rsidR="003235DB" w:rsidRDefault="003235DB">
      <w:pPr>
        <w:pStyle w:val="FootnoteText"/>
      </w:pPr>
      <w:r>
        <w:rPr>
          <w:rStyle w:val="FootnoteReference"/>
        </w:rPr>
        <w:footnoteRef/>
      </w:r>
      <w:r>
        <w:t xml:space="preserve"> Margret Ward, op.cit., p.21</w:t>
      </w:r>
      <w:r>
        <w:tab/>
      </w:r>
    </w:p>
  </w:footnote>
  <w:footnote w:id="325">
    <w:p w14:paraId="39EF4C8C" w14:textId="77777777" w:rsidR="003235DB" w:rsidRDefault="003235DB">
      <w:pPr>
        <w:pStyle w:val="FootnoteText"/>
      </w:pPr>
      <w:r>
        <w:rPr>
          <w:rStyle w:val="FootnoteReference"/>
        </w:rPr>
        <w:footnoteRef/>
      </w:r>
      <w:r>
        <w:t xml:space="preserve"> Margret Ward, op.cit., p.30</w:t>
      </w:r>
      <w:r>
        <w:tab/>
      </w:r>
    </w:p>
  </w:footnote>
  <w:footnote w:id="326">
    <w:p w14:paraId="2C585DAB" w14:textId="77777777" w:rsidR="003235DB" w:rsidRDefault="003235DB" w:rsidP="00B266FD">
      <w:pPr>
        <w:pStyle w:val="FootnoteText"/>
      </w:pPr>
      <w:r>
        <w:rPr>
          <w:rStyle w:val="FootnoteReference"/>
        </w:rPr>
        <w:footnoteRef/>
      </w:r>
      <w:r>
        <w:t xml:space="preserve"> Max Rafferty</w:t>
      </w:r>
      <w:r>
        <w:tab/>
        <w:t>, op.cit., p.3</w:t>
      </w:r>
    </w:p>
  </w:footnote>
  <w:footnote w:id="327">
    <w:p w14:paraId="550E358C" w14:textId="77777777" w:rsidR="003235DB" w:rsidRDefault="003235DB" w:rsidP="00B266FD">
      <w:pPr>
        <w:pStyle w:val="FootnoteText"/>
      </w:pPr>
      <w:r>
        <w:rPr>
          <w:rStyle w:val="FootnoteReference"/>
        </w:rPr>
        <w:footnoteRef/>
      </w:r>
      <w:r>
        <w:t xml:space="preserve"> Anonymous Submission </w:t>
      </w:r>
      <w:r w:rsidRPr="005C286B">
        <w:t>252858313</w:t>
      </w:r>
      <w:r>
        <w:t xml:space="preserve">, answer to Question 16, accessed 7 December 2020, </w:t>
      </w:r>
      <w:hyperlink r:id="rId106" w:tooltip="Available at the ABCB website" w:history="1">
        <w:r w:rsidRPr="00C631A2">
          <w:rPr>
            <w:rStyle w:val="Hyperlink"/>
          </w:rPr>
          <w:t>https://consultation.abcb.gov.au/engagement/consult-ris-accessi</w:t>
        </w:r>
        <w:r w:rsidRPr="004E407C">
          <w:rPr>
            <w:rStyle w:val="Hyperlink"/>
          </w:rPr>
          <w:t>ble-housing/consultation/published_select_respondent</w:t>
        </w:r>
      </w:hyperlink>
      <w:r>
        <w:tab/>
      </w:r>
    </w:p>
  </w:footnote>
  <w:footnote w:id="328">
    <w:p w14:paraId="1D292031" w14:textId="77777777" w:rsidR="003235DB" w:rsidRDefault="003235DB" w:rsidP="00B266FD">
      <w:pPr>
        <w:pStyle w:val="FootnoteText"/>
      </w:pPr>
      <w:r>
        <w:rPr>
          <w:rStyle w:val="FootnoteReference"/>
        </w:rPr>
        <w:footnoteRef/>
      </w:r>
      <w:r>
        <w:t xml:space="preserve"> Submission by Tim Wheeler for PCA, p.8</w:t>
      </w:r>
      <w:r>
        <w:tab/>
        <w:t xml:space="preserve">, accessed 7 December 2020, </w:t>
      </w:r>
      <w:hyperlink r:id="rId107" w:tooltip="Available at the ABCB website" w:history="1">
        <w:r w:rsidRPr="00C631A2">
          <w:rPr>
            <w:rStyle w:val="Hyperlink"/>
          </w:rPr>
          <w:t>https://consultation.abcb.gov.au/engagement/consult-ris-accessi</w:t>
        </w:r>
        <w:r w:rsidRPr="004E407C">
          <w:rPr>
            <w:rStyle w:val="Hyperlink"/>
          </w:rPr>
          <w:t>ble-housing/consultation/published_select_respondent</w:t>
        </w:r>
      </w:hyperlink>
    </w:p>
  </w:footnote>
  <w:footnote w:id="329">
    <w:p w14:paraId="4DC4B398" w14:textId="77777777" w:rsidR="003235DB" w:rsidRDefault="003235DB" w:rsidP="00B266FD">
      <w:pPr>
        <w:pStyle w:val="FootnoteText"/>
      </w:pPr>
      <w:r>
        <w:rPr>
          <w:rStyle w:val="FootnoteReference"/>
        </w:rPr>
        <w:footnoteRef/>
      </w:r>
      <w:r>
        <w:t xml:space="preserve"> Submission by Nicholas Proud for PowerHousing Australia, p.3, accessed 7 December 2020, </w:t>
      </w:r>
      <w:hyperlink r:id="rId108" w:tooltip="Available at the ABCB website" w:history="1">
        <w:r w:rsidRPr="00C631A2">
          <w:rPr>
            <w:rStyle w:val="Hyperlink"/>
          </w:rPr>
          <w:t>https://consultation.abcb.gov.au/engagement/consult-ris-accessi</w:t>
        </w:r>
        <w:r w:rsidRPr="004E407C">
          <w:rPr>
            <w:rStyle w:val="Hyperlink"/>
          </w:rPr>
          <w:t>ble-housing/consultation/published_select_respondent</w:t>
        </w:r>
      </w:hyperlink>
      <w:r>
        <w:tab/>
      </w:r>
    </w:p>
  </w:footnote>
  <w:footnote w:id="330">
    <w:p w14:paraId="0E2AA61D" w14:textId="77777777" w:rsidR="003235DB" w:rsidRDefault="003235DB" w:rsidP="00B266FD">
      <w:pPr>
        <w:pStyle w:val="FootnoteText"/>
      </w:pPr>
      <w:r>
        <w:rPr>
          <w:rStyle w:val="FootnoteReference"/>
        </w:rPr>
        <w:footnoteRef/>
      </w:r>
      <w:r>
        <w:t xml:space="preserve"> Submission by Brent Fletcher for AusBuild Pty Ltd, p.3, accessed 7 December 2020, </w:t>
      </w:r>
      <w:hyperlink r:id="rId109" w:tooltip="Available at the ABCB website" w:history="1">
        <w:r w:rsidRPr="00C631A2">
          <w:rPr>
            <w:rStyle w:val="Hyperlink"/>
          </w:rPr>
          <w:t>https://consultation.abcb.gov.au/engagement/consult-ris-accessi</w:t>
        </w:r>
        <w:r w:rsidRPr="004E407C">
          <w:rPr>
            <w:rStyle w:val="Hyperlink"/>
          </w:rPr>
          <w:t>ble-housing/consultation/published_select_respondent</w:t>
        </w:r>
      </w:hyperlink>
      <w:r>
        <w:tab/>
        <w:t xml:space="preserve"> </w:t>
      </w:r>
    </w:p>
  </w:footnote>
  <w:footnote w:id="331">
    <w:p w14:paraId="15335C7D" w14:textId="77777777" w:rsidR="003235DB" w:rsidRDefault="003235DB">
      <w:pPr>
        <w:pStyle w:val="FootnoteText"/>
      </w:pPr>
      <w:r>
        <w:rPr>
          <w:rStyle w:val="FootnoteReference"/>
        </w:rPr>
        <w:footnoteRef/>
      </w:r>
      <w:r>
        <w:t xml:space="preserve"> Tim Wheeler, op.cit., p.2-4</w:t>
      </w:r>
      <w:r>
        <w:tab/>
      </w:r>
    </w:p>
  </w:footnote>
  <w:footnote w:id="332">
    <w:p w14:paraId="6E6FD27E" w14:textId="77777777" w:rsidR="003235DB" w:rsidRDefault="003235DB">
      <w:pPr>
        <w:pStyle w:val="FootnoteText"/>
      </w:pPr>
      <w:r>
        <w:rPr>
          <w:rStyle w:val="FootnoteReference"/>
        </w:rPr>
        <w:footnoteRef/>
      </w:r>
      <w:r>
        <w:t xml:space="preserve"> Margret Ward, op.cit., p.23</w:t>
      </w:r>
      <w:r>
        <w:tab/>
      </w:r>
    </w:p>
  </w:footnote>
  <w:footnote w:id="333">
    <w:p w14:paraId="52EB169F" w14:textId="77777777" w:rsidR="003235DB" w:rsidRPr="00A268FA" w:rsidRDefault="003235DB">
      <w:pPr>
        <w:pStyle w:val="FootnoteText"/>
        <w:rPr>
          <w:rStyle w:val="Hyperlink"/>
          <w:i/>
          <w:iCs/>
        </w:rPr>
      </w:pPr>
      <w:r>
        <w:rPr>
          <w:rStyle w:val="FootnoteReference"/>
        </w:rPr>
        <w:footnoteRef/>
      </w:r>
      <w:r>
        <w:t xml:space="preserve"> Submission by Derek Dittrich for Aged and Community Services Australia (ACSA),</w:t>
      </w:r>
      <w:r>
        <w:tab/>
        <w:t xml:space="preserve"> p.6, accessed 7 December 2020, </w:t>
      </w:r>
      <w:hyperlink r:id="rId110"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p>
  </w:footnote>
  <w:footnote w:id="334">
    <w:p w14:paraId="1FCFAC81" w14:textId="77777777" w:rsidR="003235DB" w:rsidRPr="00A268FA" w:rsidRDefault="003235DB">
      <w:pPr>
        <w:pStyle w:val="FootnoteText"/>
        <w:rPr>
          <w:rStyle w:val="Hyperlink"/>
          <w:i/>
          <w:iCs/>
        </w:rPr>
      </w:pPr>
      <w:r>
        <w:rPr>
          <w:rStyle w:val="FootnoteReference"/>
        </w:rPr>
        <w:footnoteRef/>
      </w:r>
      <w:r>
        <w:t xml:space="preserve"> Anonymous Submission </w:t>
      </w:r>
      <w:r w:rsidRPr="00BC37A2">
        <w:t>754879813</w:t>
      </w:r>
      <w:r>
        <w:t xml:space="preserve">, answer to Question 32, accessed 7 December 2020, </w:t>
      </w:r>
      <w:hyperlink r:id="rId111"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35">
    <w:p w14:paraId="7D198310" w14:textId="77777777" w:rsidR="003235DB" w:rsidRPr="00A268FA" w:rsidRDefault="003235DB">
      <w:pPr>
        <w:pStyle w:val="FootnoteText"/>
        <w:rPr>
          <w:rStyle w:val="Hyperlink"/>
          <w:i/>
          <w:iCs/>
        </w:rPr>
      </w:pPr>
      <w:r>
        <w:rPr>
          <w:rStyle w:val="FootnoteReference"/>
        </w:rPr>
        <w:footnoteRef/>
      </w:r>
      <w:r>
        <w:t xml:space="preserve"> Anonymous Submission </w:t>
      </w:r>
      <w:r w:rsidRPr="00BC37A2">
        <w:t>90458024</w:t>
      </w:r>
      <w:r>
        <w:t xml:space="preserve">, answer to Question 32, accessed 7 December 2020, </w:t>
      </w:r>
      <w:hyperlink r:id="rId112"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36">
    <w:p w14:paraId="56C5F17A" w14:textId="77777777" w:rsidR="003235DB" w:rsidRDefault="003235DB">
      <w:pPr>
        <w:pStyle w:val="FootnoteText"/>
      </w:pPr>
      <w:r>
        <w:rPr>
          <w:rStyle w:val="FootnoteReference"/>
        </w:rPr>
        <w:footnoteRef/>
      </w:r>
      <w:r>
        <w:t xml:space="preserve"> Derek Dittrich, op.cit., p.6-7 </w:t>
      </w:r>
      <w:r>
        <w:tab/>
      </w:r>
    </w:p>
  </w:footnote>
  <w:footnote w:id="337">
    <w:p w14:paraId="02CDA81F" w14:textId="77777777" w:rsidR="003235DB" w:rsidRDefault="003235DB">
      <w:pPr>
        <w:pStyle w:val="FootnoteText"/>
      </w:pPr>
      <w:r>
        <w:rPr>
          <w:rStyle w:val="FootnoteReference"/>
        </w:rPr>
        <w:footnoteRef/>
      </w:r>
      <w:r>
        <w:t xml:space="preserve"> Tim Wheeler, op.cit., p2; Appendix B, p.11-13</w:t>
      </w:r>
      <w:r>
        <w:tab/>
      </w:r>
    </w:p>
  </w:footnote>
  <w:footnote w:id="338">
    <w:p w14:paraId="26B755BA" w14:textId="77777777" w:rsidR="003235DB" w:rsidRDefault="003235DB">
      <w:pPr>
        <w:pStyle w:val="FootnoteText"/>
      </w:pPr>
      <w:r>
        <w:rPr>
          <w:rStyle w:val="FootnoteReference"/>
        </w:rPr>
        <w:footnoteRef/>
      </w:r>
      <w:r>
        <w:t xml:space="preserve"> Sam Plaschke, op.cit., p.4</w:t>
      </w:r>
      <w:r>
        <w:tab/>
      </w:r>
    </w:p>
  </w:footnote>
  <w:footnote w:id="339">
    <w:p w14:paraId="62607758" w14:textId="77777777" w:rsidR="003235DB" w:rsidRDefault="003235DB" w:rsidP="00B966A3">
      <w:pPr>
        <w:pStyle w:val="FootnoteText"/>
      </w:pPr>
      <w:r>
        <w:rPr>
          <w:rStyle w:val="FootnoteReference"/>
        </w:rPr>
        <w:footnoteRef/>
      </w:r>
      <w:r>
        <w:t xml:space="preserve"> Sam Plaschke, op.cit., p.4</w:t>
      </w:r>
      <w:r>
        <w:tab/>
      </w:r>
    </w:p>
  </w:footnote>
  <w:footnote w:id="340">
    <w:p w14:paraId="29CF5358" w14:textId="77777777" w:rsidR="003235DB" w:rsidRDefault="003235DB">
      <w:pPr>
        <w:pStyle w:val="FootnoteText"/>
      </w:pPr>
      <w:r>
        <w:rPr>
          <w:rStyle w:val="FootnoteReference"/>
        </w:rPr>
        <w:footnoteRef/>
      </w:r>
      <w:r>
        <w:t xml:space="preserve"> Anonymous Submission </w:t>
      </w:r>
      <w:r w:rsidRPr="00127D10">
        <w:t>958471840</w:t>
      </w:r>
      <w:r>
        <w:t xml:space="preserve">, answer to Question 17, accessed 7 December 2020, </w:t>
      </w:r>
      <w:hyperlink r:id="rId113"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41">
    <w:p w14:paraId="11BD31C9" w14:textId="77777777" w:rsidR="003235DB" w:rsidRPr="00A268FA" w:rsidRDefault="003235DB" w:rsidP="00DC40EF">
      <w:pPr>
        <w:pStyle w:val="FootnoteText"/>
        <w:rPr>
          <w:rStyle w:val="Hyperlink"/>
          <w:i/>
          <w:iCs/>
        </w:rPr>
      </w:pPr>
      <w:r>
        <w:rPr>
          <w:rStyle w:val="FootnoteReference"/>
        </w:rPr>
        <w:footnoteRef/>
      </w:r>
      <w:r>
        <w:t xml:space="preserve"> Anonymous Submission </w:t>
      </w:r>
      <w:r w:rsidRPr="00B45F1B">
        <w:t>715644280</w:t>
      </w:r>
      <w:r>
        <w:t xml:space="preserve">, answer to Question 11, accessed 7 December 2020, </w:t>
      </w:r>
      <w:hyperlink r:id="rId114"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42">
    <w:p w14:paraId="222BA531" w14:textId="77777777" w:rsidR="003235DB" w:rsidRDefault="003235DB" w:rsidP="00DC40EF">
      <w:pPr>
        <w:pStyle w:val="FootnoteText"/>
      </w:pPr>
      <w:r>
        <w:rPr>
          <w:rStyle w:val="FootnoteReference"/>
        </w:rPr>
        <w:footnoteRef/>
      </w:r>
      <w:r>
        <w:t xml:space="preserve"> Berenice Hale, op.cit., p.2</w:t>
      </w:r>
      <w:r>
        <w:tab/>
      </w:r>
    </w:p>
  </w:footnote>
  <w:footnote w:id="343">
    <w:p w14:paraId="7F6D12FA" w14:textId="77777777" w:rsidR="003235DB" w:rsidRDefault="003235DB">
      <w:pPr>
        <w:pStyle w:val="FootnoteText"/>
      </w:pPr>
      <w:r>
        <w:rPr>
          <w:rStyle w:val="FootnoteReference"/>
        </w:rPr>
        <w:footnoteRef/>
      </w:r>
      <w:r>
        <w:t xml:space="preserve"> Sam Plaschke, op.cit., p.3</w:t>
      </w:r>
      <w:r>
        <w:tab/>
      </w:r>
    </w:p>
  </w:footnote>
  <w:footnote w:id="344">
    <w:p w14:paraId="167DFA48" w14:textId="77777777" w:rsidR="003235DB" w:rsidRDefault="003235DB" w:rsidP="00E20BF2">
      <w:pPr>
        <w:pStyle w:val="FootnoteText"/>
      </w:pPr>
      <w:r>
        <w:rPr>
          <w:rStyle w:val="FootnoteReference"/>
        </w:rPr>
        <w:footnoteRef/>
      </w:r>
      <w:r>
        <w:t xml:space="preserve"> Sam Plaschke, op.cit., p.3</w:t>
      </w:r>
      <w:r>
        <w:tab/>
      </w:r>
    </w:p>
  </w:footnote>
  <w:footnote w:id="345">
    <w:p w14:paraId="79F76090" w14:textId="77777777" w:rsidR="003235DB" w:rsidRDefault="003235DB" w:rsidP="00E20BF2">
      <w:pPr>
        <w:pStyle w:val="FootnoteText"/>
      </w:pPr>
      <w:r>
        <w:rPr>
          <w:rStyle w:val="FootnoteReference"/>
        </w:rPr>
        <w:footnoteRef/>
      </w:r>
      <w:r>
        <w:t xml:space="preserve"> Sam Plaschke, op.cit., p.3</w:t>
      </w:r>
      <w:r>
        <w:tab/>
      </w:r>
    </w:p>
  </w:footnote>
  <w:footnote w:id="346">
    <w:p w14:paraId="22406E4C" w14:textId="77777777" w:rsidR="003235DB" w:rsidRDefault="003235DB" w:rsidP="00E20BF2">
      <w:pPr>
        <w:pStyle w:val="FootnoteText"/>
      </w:pPr>
      <w:r>
        <w:rPr>
          <w:rStyle w:val="FootnoteReference"/>
        </w:rPr>
        <w:footnoteRef/>
      </w:r>
      <w:r>
        <w:t xml:space="preserve"> Sam Plaschke, op.cit., p.3</w:t>
      </w:r>
      <w:r>
        <w:tab/>
      </w:r>
    </w:p>
  </w:footnote>
  <w:footnote w:id="347">
    <w:p w14:paraId="1CD4285D" w14:textId="77777777" w:rsidR="003235DB" w:rsidRDefault="003235DB">
      <w:pPr>
        <w:pStyle w:val="FootnoteText"/>
      </w:pPr>
      <w:r>
        <w:rPr>
          <w:rStyle w:val="FootnoteReference"/>
        </w:rPr>
        <w:footnoteRef/>
      </w:r>
      <w:r>
        <w:t xml:space="preserve"> Derek Dittrich, op.cit., p.6</w:t>
      </w:r>
      <w:r>
        <w:tab/>
      </w:r>
    </w:p>
  </w:footnote>
  <w:footnote w:id="348">
    <w:p w14:paraId="121D2798" w14:textId="77777777" w:rsidR="003235DB" w:rsidRDefault="003235DB">
      <w:pPr>
        <w:pStyle w:val="FootnoteText"/>
      </w:pPr>
      <w:r>
        <w:rPr>
          <w:rStyle w:val="FootnoteReference"/>
        </w:rPr>
        <w:footnoteRef/>
      </w:r>
      <w:r>
        <w:t xml:space="preserve"> Derek Dittrich, op.cit., p.6</w:t>
      </w:r>
      <w:r>
        <w:tab/>
      </w:r>
    </w:p>
  </w:footnote>
  <w:footnote w:id="349">
    <w:p w14:paraId="0384A15A" w14:textId="77777777" w:rsidR="003235DB" w:rsidRPr="00A268FA" w:rsidRDefault="003235DB">
      <w:pPr>
        <w:pStyle w:val="FootnoteText"/>
        <w:rPr>
          <w:rStyle w:val="Hyperlink"/>
          <w:i/>
          <w:iCs/>
        </w:rPr>
      </w:pPr>
      <w:r>
        <w:rPr>
          <w:rStyle w:val="FootnoteReference"/>
        </w:rPr>
        <w:footnoteRef/>
      </w:r>
      <w:r>
        <w:t xml:space="preserve"> Submission by Andrew Remely for </w:t>
      </w:r>
      <w:r w:rsidRPr="002A407F">
        <w:t>Andrew Remely - Building Designer</w:t>
      </w:r>
      <w:r>
        <w:t xml:space="preserve">, answer to Question 23, accessed 8 12 December 2020, </w:t>
      </w:r>
      <w:hyperlink r:id="rId115"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50">
    <w:p w14:paraId="122EB6D7" w14:textId="77777777" w:rsidR="003235DB" w:rsidRPr="00A268FA" w:rsidRDefault="003235DB">
      <w:pPr>
        <w:pStyle w:val="FootnoteText"/>
        <w:rPr>
          <w:rStyle w:val="Hyperlink"/>
          <w:i/>
          <w:iCs/>
        </w:rPr>
      </w:pPr>
      <w:r>
        <w:rPr>
          <w:rStyle w:val="FootnoteReference"/>
        </w:rPr>
        <w:footnoteRef/>
      </w:r>
      <w:r>
        <w:t xml:space="preserve"> Submission by </w:t>
      </w:r>
      <w:r w:rsidRPr="00FD4A5C">
        <w:t>Cr Sam Hearn, Mayor Mornington Peninsula Shire</w:t>
      </w:r>
      <w:r>
        <w:t xml:space="preserve"> for </w:t>
      </w:r>
      <w:r w:rsidRPr="00FD4A5C">
        <w:t>Mornington Peninsula Shire</w:t>
      </w:r>
      <w:r>
        <w:t>, p.2</w:t>
      </w:r>
      <w:r>
        <w:tab/>
        <w:t xml:space="preserve">and p.10. accessed 8 December 2020, </w:t>
      </w:r>
    </w:p>
  </w:footnote>
  <w:footnote w:id="351">
    <w:p w14:paraId="252911FA" w14:textId="77777777" w:rsidR="003235DB" w:rsidRDefault="003235DB">
      <w:pPr>
        <w:pStyle w:val="FootnoteText"/>
      </w:pPr>
      <w:r>
        <w:rPr>
          <w:rStyle w:val="FootnoteReference"/>
        </w:rPr>
        <w:footnoteRef/>
      </w:r>
      <w:r>
        <w:t xml:space="preserve"> Derek Dittrich, op.cit., p.6.</w:t>
      </w:r>
      <w:r>
        <w:tab/>
      </w:r>
    </w:p>
  </w:footnote>
  <w:footnote w:id="352">
    <w:p w14:paraId="33A35C51" w14:textId="77777777" w:rsidR="003235DB" w:rsidRDefault="003235DB">
      <w:pPr>
        <w:pStyle w:val="FootnoteText"/>
      </w:pPr>
      <w:r>
        <w:rPr>
          <w:rStyle w:val="FootnoteReference"/>
        </w:rPr>
        <w:footnoteRef/>
      </w:r>
      <w:r>
        <w:t xml:space="preserve"> Tim Wheeler, op.cit., p.2 and p.4</w:t>
      </w:r>
      <w:r>
        <w:tab/>
      </w:r>
    </w:p>
  </w:footnote>
  <w:footnote w:id="353">
    <w:p w14:paraId="1D19679E" w14:textId="77777777" w:rsidR="003235DB" w:rsidRDefault="003235DB">
      <w:pPr>
        <w:pStyle w:val="FootnoteText"/>
      </w:pPr>
      <w:r>
        <w:rPr>
          <w:rStyle w:val="FootnoteReference"/>
        </w:rPr>
        <w:footnoteRef/>
      </w:r>
      <w:r>
        <w:t xml:space="preserve"> John Hatch, op.cit., answer to Question 21. </w:t>
      </w:r>
      <w:r>
        <w:tab/>
      </w:r>
    </w:p>
  </w:footnote>
  <w:footnote w:id="354">
    <w:p w14:paraId="72A8EA38" w14:textId="77777777" w:rsidR="003235DB" w:rsidRPr="00A268FA" w:rsidRDefault="003235DB">
      <w:pPr>
        <w:pStyle w:val="FootnoteText"/>
        <w:rPr>
          <w:rStyle w:val="Hyperlink"/>
          <w:i/>
          <w:iCs/>
        </w:rPr>
      </w:pPr>
      <w:r>
        <w:rPr>
          <w:rStyle w:val="FootnoteReference"/>
        </w:rPr>
        <w:footnoteRef/>
      </w:r>
      <w:r>
        <w:t xml:space="preserve"> Anonymous Submission </w:t>
      </w:r>
      <w:r w:rsidRPr="007F3BBA">
        <w:t>351248224</w:t>
      </w:r>
      <w:r>
        <w:t xml:space="preserve">, answer to Question 13, accessed 8 December 2020, </w:t>
      </w:r>
      <w:hyperlink r:id="rId116"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55">
    <w:p w14:paraId="552E4DAB" w14:textId="77777777" w:rsidR="003235DB" w:rsidRPr="00A268FA" w:rsidRDefault="003235DB">
      <w:pPr>
        <w:pStyle w:val="FootnoteText"/>
        <w:rPr>
          <w:rStyle w:val="Hyperlink"/>
          <w:i/>
          <w:iCs/>
        </w:rPr>
      </w:pPr>
      <w:r>
        <w:rPr>
          <w:rStyle w:val="FootnoteReference"/>
        </w:rPr>
        <w:footnoteRef/>
      </w:r>
      <w:r>
        <w:t xml:space="preserve"> Submission by David Aitken for Town of Victoria Park</w:t>
      </w:r>
      <w:r w:rsidRPr="00FE3B92">
        <w:t xml:space="preserve">, </w:t>
      </w:r>
      <w:r>
        <w:t xml:space="preserve">answer to </w:t>
      </w:r>
      <w:r w:rsidRPr="00FE3B92">
        <w:t>Q13</w:t>
      </w:r>
      <w:r>
        <w:t xml:space="preserve">, accessed 8 December 2020, </w:t>
      </w:r>
      <w:hyperlink r:id="rId117"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56">
    <w:p w14:paraId="6C66858A" w14:textId="77777777" w:rsidR="003235DB" w:rsidRDefault="003235DB">
      <w:pPr>
        <w:pStyle w:val="FootnoteText"/>
      </w:pPr>
      <w:r>
        <w:rPr>
          <w:rStyle w:val="FootnoteReference"/>
        </w:rPr>
        <w:footnoteRef/>
      </w:r>
      <w:r>
        <w:t xml:space="preserve"> Margret Ward, op.cit., p.41</w:t>
      </w:r>
      <w:r>
        <w:tab/>
      </w:r>
    </w:p>
  </w:footnote>
  <w:footnote w:id="357">
    <w:p w14:paraId="341DF8F8" w14:textId="77777777" w:rsidR="003235DB" w:rsidRDefault="003235DB">
      <w:pPr>
        <w:pStyle w:val="FootnoteText"/>
      </w:pPr>
      <w:r>
        <w:rPr>
          <w:rStyle w:val="FootnoteReference"/>
        </w:rPr>
        <w:footnoteRef/>
      </w:r>
      <w:r>
        <w:t xml:space="preserve"> Margret Ward, op.cit., p.16-17, p.41</w:t>
      </w:r>
      <w:r>
        <w:tab/>
      </w:r>
    </w:p>
  </w:footnote>
  <w:footnote w:id="358">
    <w:p w14:paraId="7CE5030E" w14:textId="77777777" w:rsidR="003235DB" w:rsidRPr="00A268FA" w:rsidRDefault="003235DB">
      <w:pPr>
        <w:pStyle w:val="FootnoteText"/>
        <w:rPr>
          <w:rStyle w:val="Hyperlink"/>
          <w:i/>
          <w:iCs/>
        </w:rPr>
      </w:pPr>
      <w:r>
        <w:rPr>
          <w:rStyle w:val="FootnoteReference"/>
        </w:rPr>
        <w:footnoteRef/>
      </w:r>
      <w:r>
        <w:t xml:space="preserve"> Submission by C Harvey, answer to Question 22, accessed 8 December 2020, </w:t>
      </w:r>
      <w:hyperlink r:id="rId118"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59">
    <w:p w14:paraId="78B31C6E" w14:textId="77777777" w:rsidR="003235DB" w:rsidRPr="00A268FA" w:rsidRDefault="003235DB" w:rsidP="006A4A09">
      <w:pPr>
        <w:pStyle w:val="FootnoteText"/>
        <w:rPr>
          <w:rStyle w:val="Hyperlink"/>
          <w:i/>
          <w:iCs/>
        </w:rPr>
      </w:pPr>
      <w:r>
        <w:rPr>
          <w:rStyle w:val="FootnoteReference"/>
        </w:rPr>
        <w:footnoteRef/>
      </w:r>
      <w:r>
        <w:t xml:space="preserve"> Anonymous Submission </w:t>
      </w:r>
      <w:r w:rsidRPr="00477CBC">
        <w:t>958471840</w:t>
      </w:r>
      <w:r>
        <w:t xml:space="preserve">, answer to Question 26. accessed 8 December 2020, </w:t>
      </w:r>
      <w:hyperlink r:id="rId119"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0">
    <w:p w14:paraId="0A569AFB" w14:textId="77777777" w:rsidR="003235DB" w:rsidRPr="00A268FA" w:rsidRDefault="003235DB">
      <w:pPr>
        <w:pStyle w:val="FootnoteText"/>
        <w:rPr>
          <w:rStyle w:val="Hyperlink"/>
          <w:i/>
          <w:iCs/>
        </w:rPr>
      </w:pPr>
      <w:r>
        <w:rPr>
          <w:rStyle w:val="FootnoteReference"/>
        </w:rPr>
        <w:footnoteRef/>
      </w:r>
      <w:r>
        <w:t xml:space="preserve"> Submission by Shane de klerk for </w:t>
      </w:r>
      <w:r w:rsidRPr="00802075">
        <w:t>P2P Housing (Parent to Parent Assoc QLD Inc.)</w:t>
      </w:r>
      <w:r>
        <w:t xml:space="preserve">, p. 7-10, accessed 8 December 2020, </w:t>
      </w:r>
      <w:hyperlink r:id="rId120"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1">
    <w:p w14:paraId="37843BC4" w14:textId="77777777" w:rsidR="003235DB" w:rsidRPr="00A268FA" w:rsidRDefault="003235DB" w:rsidP="006A4A09">
      <w:pPr>
        <w:pStyle w:val="FootnoteText"/>
        <w:rPr>
          <w:rStyle w:val="Hyperlink"/>
          <w:i/>
          <w:iCs/>
        </w:rPr>
      </w:pPr>
      <w:r>
        <w:rPr>
          <w:rStyle w:val="FootnoteReference"/>
        </w:rPr>
        <w:footnoteRef/>
      </w:r>
      <w:r>
        <w:t xml:space="preserve"> Anonymous Submission </w:t>
      </w:r>
      <w:r w:rsidRPr="00C506EF">
        <w:t>252858313</w:t>
      </w:r>
      <w:r>
        <w:t xml:space="preserve">, answer to Question 22, accessed 8 December 2020, </w:t>
      </w:r>
      <w:hyperlink r:id="rId121"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2">
    <w:p w14:paraId="66F5AAF6" w14:textId="77777777" w:rsidR="003235DB" w:rsidRPr="00A268FA" w:rsidRDefault="003235DB" w:rsidP="006A4A09">
      <w:pPr>
        <w:pStyle w:val="FootnoteText"/>
        <w:rPr>
          <w:rStyle w:val="Hyperlink"/>
          <w:i/>
          <w:iCs/>
        </w:rPr>
      </w:pPr>
      <w:r>
        <w:rPr>
          <w:rStyle w:val="FootnoteReference"/>
        </w:rPr>
        <w:footnoteRef/>
      </w:r>
      <w:r>
        <w:t xml:space="preserve"> Anonymous Submission </w:t>
      </w:r>
      <w:r w:rsidRPr="00E00181">
        <w:t>462974436</w:t>
      </w:r>
      <w:r>
        <w:t xml:space="preserve">, answer to Question 22, accessed 8 December 2020, </w:t>
      </w:r>
      <w:hyperlink r:id="rId122"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3">
    <w:p w14:paraId="79AC9A9F" w14:textId="77777777" w:rsidR="003235DB" w:rsidRPr="00A268FA" w:rsidRDefault="003235DB" w:rsidP="001E3A3F">
      <w:pPr>
        <w:pStyle w:val="FootnoteText"/>
        <w:rPr>
          <w:rStyle w:val="Hyperlink"/>
          <w:i/>
          <w:iCs/>
        </w:rPr>
      </w:pPr>
      <w:r>
        <w:rPr>
          <w:rStyle w:val="FootnoteReference"/>
        </w:rPr>
        <w:footnoteRef/>
      </w:r>
      <w:r>
        <w:t xml:space="preserve"> Anonymous Submission </w:t>
      </w:r>
      <w:r w:rsidRPr="000543E9">
        <w:t>400818322</w:t>
      </w:r>
      <w:r>
        <w:t xml:space="preserve">, answer to Question 14, accessed 8 December 2020, </w:t>
      </w:r>
      <w:hyperlink r:id="rId123"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4">
    <w:p w14:paraId="6DB4BE3E" w14:textId="77777777" w:rsidR="003235DB" w:rsidRPr="00A268FA" w:rsidRDefault="003235DB">
      <w:pPr>
        <w:pStyle w:val="FootnoteText"/>
        <w:rPr>
          <w:rStyle w:val="Hyperlink"/>
          <w:i/>
          <w:iCs/>
        </w:rPr>
      </w:pPr>
      <w:r>
        <w:rPr>
          <w:rStyle w:val="FootnoteReference"/>
        </w:rPr>
        <w:footnoteRef/>
      </w:r>
      <w:r>
        <w:t xml:space="preserve"> Submission by Michael Fox for Rights &amp; Inclusion Australia, answer to Question 21, accessed 8 December 2020, </w:t>
      </w:r>
      <w:hyperlink r:id="rId124"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65">
    <w:p w14:paraId="49F353B9" w14:textId="77777777" w:rsidR="003235DB" w:rsidRDefault="003235DB">
      <w:pPr>
        <w:pStyle w:val="FootnoteText"/>
      </w:pPr>
      <w:r>
        <w:rPr>
          <w:rStyle w:val="FootnoteReference"/>
        </w:rPr>
        <w:footnoteRef/>
      </w:r>
      <w:r>
        <w:t xml:space="preserve"> Max Rafferty, op.cit., p.10.</w:t>
      </w:r>
      <w:r>
        <w:tab/>
      </w:r>
    </w:p>
  </w:footnote>
  <w:footnote w:id="366">
    <w:p w14:paraId="16DFBC26" w14:textId="77777777" w:rsidR="003235DB" w:rsidRDefault="003235DB">
      <w:pPr>
        <w:pStyle w:val="FootnoteText"/>
      </w:pPr>
      <w:r>
        <w:rPr>
          <w:rStyle w:val="FootnoteReference"/>
        </w:rPr>
        <w:footnoteRef/>
      </w:r>
      <w:r>
        <w:t xml:space="preserve"> Jane Bringolf, op.cit., answer to Question 22.</w:t>
      </w:r>
      <w:r>
        <w:tab/>
      </w:r>
    </w:p>
  </w:footnote>
  <w:footnote w:id="367">
    <w:p w14:paraId="2041AC6A" w14:textId="77777777" w:rsidR="003235DB" w:rsidRDefault="003235DB">
      <w:pPr>
        <w:pStyle w:val="FootnoteText"/>
      </w:pPr>
      <w:r>
        <w:rPr>
          <w:rStyle w:val="FootnoteReference"/>
        </w:rPr>
        <w:footnoteRef/>
      </w:r>
      <w:r>
        <w:t xml:space="preserve"> Michael Bleasdale, op.cit., answer to Question 22. </w:t>
      </w:r>
      <w:r>
        <w:tab/>
      </w:r>
    </w:p>
  </w:footnote>
  <w:footnote w:id="368">
    <w:p w14:paraId="1280113D" w14:textId="77777777" w:rsidR="003235DB" w:rsidRDefault="003235DB">
      <w:pPr>
        <w:pStyle w:val="FootnoteText"/>
      </w:pPr>
      <w:r>
        <w:rPr>
          <w:rStyle w:val="FootnoteReference"/>
        </w:rPr>
        <w:footnoteRef/>
      </w:r>
      <w:r>
        <w:t xml:space="preserve"> Geoffrey Barker, op.cit., answer to Questions 18 and 22.</w:t>
      </w:r>
      <w:r>
        <w:tab/>
      </w:r>
    </w:p>
  </w:footnote>
  <w:footnote w:id="369">
    <w:p w14:paraId="56220383" w14:textId="77777777" w:rsidR="003235DB" w:rsidRDefault="003235DB">
      <w:pPr>
        <w:pStyle w:val="FootnoteText"/>
      </w:pPr>
      <w:r>
        <w:rPr>
          <w:rStyle w:val="FootnoteReference"/>
        </w:rPr>
        <w:footnoteRef/>
      </w:r>
      <w:r>
        <w:t xml:space="preserve"> Max Rafferty, op.cit., p.10</w:t>
      </w:r>
      <w:r>
        <w:tab/>
      </w:r>
    </w:p>
  </w:footnote>
  <w:footnote w:id="370">
    <w:p w14:paraId="71ED94D3" w14:textId="77777777" w:rsidR="003235DB" w:rsidRPr="00A268FA" w:rsidRDefault="003235DB">
      <w:pPr>
        <w:pStyle w:val="FootnoteText"/>
        <w:rPr>
          <w:rStyle w:val="Hyperlink"/>
          <w:i/>
          <w:iCs/>
        </w:rPr>
      </w:pPr>
      <w:r>
        <w:rPr>
          <w:rStyle w:val="FootnoteReference"/>
        </w:rPr>
        <w:footnoteRef/>
      </w:r>
      <w:r>
        <w:t xml:space="preserve"> Submission by David Cremona for Meriton, p.2, accessed 8 December 2020, </w:t>
      </w:r>
      <w:hyperlink r:id="rId125"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71">
    <w:p w14:paraId="4273537F" w14:textId="77777777" w:rsidR="003235DB" w:rsidRPr="00A268FA" w:rsidRDefault="003235DB">
      <w:pPr>
        <w:pStyle w:val="FootnoteText"/>
        <w:rPr>
          <w:rStyle w:val="Hyperlink"/>
          <w:i/>
          <w:iCs/>
        </w:rPr>
      </w:pPr>
      <w:r>
        <w:rPr>
          <w:rStyle w:val="FootnoteReference"/>
        </w:rPr>
        <w:footnoteRef/>
      </w:r>
      <w:r>
        <w:t xml:space="preserve"> Anonymous Submission , answer to Question 21, accessed 8 December 2020, </w:t>
      </w:r>
      <w:hyperlink r:id="rId126"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72">
    <w:p w14:paraId="5D56F7E4" w14:textId="77777777" w:rsidR="003235DB" w:rsidRDefault="003235DB">
      <w:pPr>
        <w:pStyle w:val="FootnoteText"/>
      </w:pPr>
      <w:r>
        <w:rPr>
          <w:rStyle w:val="FootnoteReference"/>
        </w:rPr>
        <w:footnoteRef/>
      </w:r>
      <w:r>
        <w:t xml:space="preserve"> Andrew Ferris, op.cit., answer to Question 23.</w:t>
      </w:r>
      <w:r>
        <w:tab/>
      </w:r>
    </w:p>
  </w:footnote>
  <w:footnote w:id="373">
    <w:p w14:paraId="6C70CDFA" w14:textId="77777777" w:rsidR="003235DB" w:rsidRPr="00A268FA" w:rsidRDefault="003235DB">
      <w:pPr>
        <w:pStyle w:val="FootnoteText"/>
        <w:rPr>
          <w:rStyle w:val="Hyperlink"/>
          <w:i/>
          <w:iCs/>
        </w:rPr>
      </w:pPr>
      <w:r>
        <w:rPr>
          <w:rStyle w:val="FootnoteReference"/>
        </w:rPr>
        <w:footnoteRef/>
      </w:r>
      <w:r>
        <w:t xml:space="preserve"> Anonymous Submission </w:t>
      </w:r>
      <w:r w:rsidRPr="008C0CAA">
        <w:t>958471840</w:t>
      </w:r>
      <w:r>
        <w:t xml:space="preserve">, answer to Question 26, accessed 8 December 2020, </w:t>
      </w:r>
      <w:hyperlink r:id="rId127"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74">
    <w:p w14:paraId="3E9ADC18" w14:textId="77777777" w:rsidR="003235DB" w:rsidRDefault="003235DB">
      <w:pPr>
        <w:pStyle w:val="FootnoteText"/>
      </w:pPr>
      <w:r>
        <w:rPr>
          <w:rStyle w:val="FootnoteReference"/>
        </w:rPr>
        <w:footnoteRef/>
      </w:r>
      <w:r>
        <w:t xml:space="preserve"> Peter Springham, op.cit., answer to Question 21.</w:t>
      </w:r>
      <w:r>
        <w:tab/>
      </w:r>
    </w:p>
  </w:footnote>
  <w:footnote w:id="375">
    <w:p w14:paraId="55FA4A53" w14:textId="77777777" w:rsidR="003235DB" w:rsidRDefault="003235DB">
      <w:pPr>
        <w:pStyle w:val="FootnoteText"/>
      </w:pPr>
      <w:r>
        <w:rPr>
          <w:rStyle w:val="FootnoteReference"/>
        </w:rPr>
        <w:footnoteRef/>
      </w:r>
      <w:r>
        <w:t xml:space="preserve"> Coralie Ayres, op.cit., answer to Question 26.</w:t>
      </w:r>
      <w:r>
        <w:tab/>
      </w:r>
    </w:p>
  </w:footnote>
  <w:footnote w:id="376">
    <w:p w14:paraId="7E024889" w14:textId="77777777" w:rsidR="003235DB" w:rsidRDefault="003235DB">
      <w:pPr>
        <w:pStyle w:val="FootnoteText"/>
      </w:pPr>
      <w:r>
        <w:rPr>
          <w:rStyle w:val="FootnoteReference"/>
        </w:rPr>
        <w:footnoteRef/>
      </w:r>
      <w:r>
        <w:t xml:space="preserve"> Brent Fletcher, op.cit., p.7.</w:t>
      </w:r>
      <w:r>
        <w:tab/>
      </w:r>
    </w:p>
  </w:footnote>
  <w:footnote w:id="377">
    <w:p w14:paraId="38A5AFAC" w14:textId="77777777" w:rsidR="003235DB" w:rsidRDefault="003235DB">
      <w:pPr>
        <w:pStyle w:val="FootnoteText"/>
      </w:pPr>
      <w:r>
        <w:rPr>
          <w:rStyle w:val="FootnoteReference"/>
        </w:rPr>
        <w:footnoteRef/>
      </w:r>
      <w:r>
        <w:t xml:space="preserve"> Submission by Simon Croft</w:t>
      </w:r>
      <w:r>
        <w:tab/>
        <w:t xml:space="preserve"> for Housing Industry Association, p.26</w:t>
      </w:r>
    </w:p>
  </w:footnote>
  <w:footnote w:id="378">
    <w:p w14:paraId="475135B9" w14:textId="77777777" w:rsidR="003235DB" w:rsidRDefault="003235DB" w:rsidP="00E520BF">
      <w:pPr>
        <w:pStyle w:val="FootnoteText"/>
      </w:pPr>
      <w:r>
        <w:rPr>
          <w:rStyle w:val="FootnoteReference"/>
        </w:rPr>
        <w:footnoteRef/>
      </w:r>
      <w:r>
        <w:t xml:space="preserve"> Sam Plaschke, op.cit., p.6.</w:t>
      </w:r>
      <w:r>
        <w:tab/>
      </w:r>
    </w:p>
  </w:footnote>
  <w:footnote w:id="379">
    <w:p w14:paraId="1186C4B0" w14:textId="77777777" w:rsidR="003235DB" w:rsidRDefault="003235DB" w:rsidP="00E520BF">
      <w:pPr>
        <w:pStyle w:val="FootnoteText"/>
      </w:pPr>
      <w:r>
        <w:rPr>
          <w:rStyle w:val="FootnoteReference"/>
        </w:rPr>
        <w:footnoteRef/>
      </w:r>
      <w:r>
        <w:t xml:space="preserve"> Brent Fletcher, op.cit., p.5.</w:t>
      </w:r>
      <w:r>
        <w:tab/>
      </w:r>
    </w:p>
  </w:footnote>
  <w:footnote w:id="380">
    <w:p w14:paraId="7A345C8A" w14:textId="77777777" w:rsidR="003235DB" w:rsidRDefault="003235DB" w:rsidP="004D5353">
      <w:pPr>
        <w:pStyle w:val="FootnoteText"/>
      </w:pPr>
      <w:r>
        <w:rPr>
          <w:rStyle w:val="FootnoteReference"/>
        </w:rPr>
        <w:footnoteRef/>
      </w:r>
      <w:r>
        <w:t xml:space="preserve"> Margret Ward, op.cit., p.17-18 and p.41.</w:t>
      </w:r>
      <w:r>
        <w:tab/>
      </w:r>
    </w:p>
  </w:footnote>
  <w:footnote w:id="381">
    <w:p w14:paraId="45CF1AB6" w14:textId="77777777" w:rsidR="003235DB" w:rsidRDefault="003235DB" w:rsidP="001D2C03">
      <w:pPr>
        <w:pStyle w:val="FootnoteText"/>
      </w:pPr>
      <w:r>
        <w:rPr>
          <w:rStyle w:val="FootnoteReference"/>
        </w:rPr>
        <w:footnoteRef/>
      </w:r>
      <w:r>
        <w:t xml:space="preserve"> Margret Ward, op.cit., p.17 and p.41.</w:t>
      </w:r>
      <w:r>
        <w:tab/>
      </w:r>
    </w:p>
  </w:footnote>
  <w:footnote w:id="382">
    <w:p w14:paraId="35408645" w14:textId="77777777" w:rsidR="003235DB" w:rsidRDefault="003235DB">
      <w:pPr>
        <w:pStyle w:val="FootnoteText"/>
      </w:pPr>
      <w:r>
        <w:rPr>
          <w:rStyle w:val="FootnoteReference"/>
        </w:rPr>
        <w:footnoteRef/>
      </w:r>
      <w:r>
        <w:t xml:space="preserve"> Michael Bleasdale, op.cit., answer to Question 21.</w:t>
      </w:r>
      <w:r>
        <w:tab/>
      </w:r>
    </w:p>
  </w:footnote>
  <w:footnote w:id="383">
    <w:p w14:paraId="076BC9DB" w14:textId="77777777" w:rsidR="003235DB" w:rsidRPr="00A268FA" w:rsidRDefault="003235DB">
      <w:pPr>
        <w:pStyle w:val="FootnoteText"/>
        <w:rPr>
          <w:rStyle w:val="Hyperlink"/>
          <w:i/>
          <w:iCs/>
        </w:rPr>
      </w:pPr>
      <w:r>
        <w:rPr>
          <w:rStyle w:val="FootnoteReference"/>
        </w:rPr>
        <w:footnoteRef/>
      </w:r>
      <w:r>
        <w:t xml:space="preserve"> Submission by John McPherson, answer to Question 13, accessed 8 December 2020, </w:t>
      </w:r>
      <w:hyperlink r:id="rId128"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84">
    <w:p w14:paraId="4D2B804B" w14:textId="77777777" w:rsidR="003235DB" w:rsidRPr="00A268FA" w:rsidRDefault="003235DB">
      <w:pPr>
        <w:pStyle w:val="FootnoteText"/>
        <w:rPr>
          <w:rStyle w:val="Hyperlink"/>
          <w:i/>
          <w:iCs/>
        </w:rPr>
      </w:pPr>
      <w:r>
        <w:rPr>
          <w:rStyle w:val="FootnoteReference"/>
        </w:rPr>
        <w:footnoteRef/>
      </w:r>
      <w:r>
        <w:t xml:space="preserve"> Anonymous Submission </w:t>
      </w:r>
      <w:r w:rsidRPr="00A15A42">
        <w:t>442128431</w:t>
      </w:r>
      <w:r>
        <w:t xml:space="preserve">, p.1, accessed 8 December 2020, </w:t>
      </w:r>
      <w:hyperlink r:id="rId129"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r w:rsidRPr="00A268FA">
        <w:rPr>
          <w:rStyle w:val="Hyperlink"/>
          <w:i/>
          <w:iCs/>
        </w:rPr>
        <w:tab/>
      </w:r>
    </w:p>
  </w:footnote>
  <w:footnote w:id="385">
    <w:p w14:paraId="18E59DC2" w14:textId="77777777" w:rsidR="003235DB" w:rsidRPr="00A268FA" w:rsidRDefault="003235DB">
      <w:pPr>
        <w:pStyle w:val="FootnoteText"/>
        <w:rPr>
          <w:rStyle w:val="Hyperlink"/>
          <w:i/>
          <w:iCs/>
        </w:rPr>
      </w:pPr>
      <w:r>
        <w:rPr>
          <w:rStyle w:val="FootnoteReference"/>
        </w:rPr>
        <w:footnoteRef/>
      </w:r>
      <w:r>
        <w:t xml:space="preserve"> Anonymous Submission </w:t>
      </w:r>
      <w:r w:rsidRPr="007C7DD8">
        <w:t>754879813</w:t>
      </w:r>
      <w:r>
        <w:t xml:space="preserve">, answer to Question 21, accessed 8 December 2020, </w:t>
      </w:r>
      <w:hyperlink r:id="rId130"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86">
    <w:p w14:paraId="3BE1CD28" w14:textId="77777777" w:rsidR="003235DB" w:rsidRPr="00A268FA" w:rsidRDefault="003235DB">
      <w:pPr>
        <w:pStyle w:val="FootnoteText"/>
        <w:rPr>
          <w:rStyle w:val="Hyperlink"/>
          <w:i/>
          <w:iCs/>
        </w:rPr>
      </w:pPr>
      <w:r>
        <w:rPr>
          <w:rStyle w:val="FootnoteReference"/>
        </w:rPr>
        <w:footnoteRef/>
      </w:r>
      <w:r>
        <w:t xml:space="preserve"> Anonymous Submission </w:t>
      </w:r>
      <w:r w:rsidRPr="005B73C7">
        <w:t>946040564</w:t>
      </w:r>
      <w:r>
        <w:t xml:space="preserve">, p.1, accessed 8 December 2020, </w:t>
      </w:r>
      <w:hyperlink r:id="rId131"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r w:rsidRPr="00A268FA">
        <w:rPr>
          <w:rStyle w:val="Hyperlink"/>
          <w:i/>
          <w:iCs/>
        </w:rPr>
        <w:tab/>
      </w:r>
    </w:p>
  </w:footnote>
  <w:footnote w:id="387">
    <w:p w14:paraId="60883B6A" w14:textId="77777777" w:rsidR="003235DB" w:rsidRPr="00A268FA" w:rsidRDefault="003235DB">
      <w:pPr>
        <w:pStyle w:val="FootnoteText"/>
        <w:rPr>
          <w:rStyle w:val="Hyperlink"/>
          <w:i/>
          <w:iCs/>
        </w:rPr>
      </w:pPr>
      <w:r>
        <w:rPr>
          <w:rStyle w:val="FootnoteReference"/>
        </w:rPr>
        <w:footnoteRef/>
      </w:r>
      <w:r>
        <w:t xml:space="preserve"> Submission by Shaun Brockman for Strata Community Association, p.9, accessed 8 December 2020, </w:t>
      </w:r>
      <w:hyperlink r:id="rId132"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88">
    <w:p w14:paraId="655C4113" w14:textId="77777777" w:rsidR="003235DB" w:rsidRDefault="003235DB">
      <w:pPr>
        <w:pStyle w:val="FootnoteText"/>
      </w:pPr>
      <w:r>
        <w:rPr>
          <w:rStyle w:val="FootnoteReference"/>
        </w:rPr>
        <w:footnoteRef/>
      </w:r>
      <w:r>
        <w:t xml:space="preserve"> Brent Fletcher, op.cit., p.8.</w:t>
      </w:r>
      <w:r>
        <w:tab/>
      </w:r>
    </w:p>
  </w:footnote>
  <w:footnote w:id="389">
    <w:p w14:paraId="1F396180" w14:textId="77777777" w:rsidR="003235DB" w:rsidRDefault="003235DB">
      <w:pPr>
        <w:pStyle w:val="FootnoteText"/>
      </w:pPr>
      <w:r>
        <w:rPr>
          <w:rStyle w:val="FootnoteReference"/>
        </w:rPr>
        <w:footnoteRef/>
      </w:r>
      <w:r>
        <w:t xml:space="preserve"> Shaun Brockman, op.cit., p.7.</w:t>
      </w:r>
      <w:r>
        <w:tab/>
      </w:r>
    </w:p>
  </w:footnote>
  <w:footnote w:id="390">
    <w:p w14:paraId="775E3F0B" w14:textId="77777777" w:rsidR="003235DB" w:rsidRDefault="003235DB">
      <w:pPr>
        <w:pStyle w:val="FootnoteText"/>
      </w:pPr>
      <w:r>
        <w:rPr>
          <w:rStyle w:val="FootnoteReference"/>
        </w:rPr>
        <w:footnoteRef/>
      </w:r>
      <w:r>
        <w:t xml:space="preserve"> Coralie Ayres, op.cit., answer to Question 13.</w:t>
      </w:r>
      <w:r>
        <w:tab/>
      </w:r>
    </w:p>
  </w:footnote>
  <w:footnote w:id="391">
    <w:p w14:paraId="75A57723" w14:textId="77777777" w:rsidR="003235DB" w:rsidRDefault="003235DB">
      <w:pPr>
        <w:pStyle w:val="FootnoteText"/>
      </w:pPr>
      <w:r>
        <w:rPr>
          <w:rStyle w:val="FootnoteReference"/>
        </w:rPr>
        <w:footnoteRef/>
      </w:r>
      <w:r>
        <w:t xml:space="preserve"> Shane de klerk, op.cit., p.4.</w:t>
      </w:r>
      <w:r>
        <w:tab/>
      </w:r>
    </w:p>
  </w:footnote>
  <w:footnote w:id="392">
    <w:p w14:paraId="67D87A84" w14:textId="77777777" w:rsidR="003235DB" w:rsidRPr="00A268FA" w:rsidRDefault="003235DB">
      <w:pPr>
        <w:pStyle w:val="FootnoteText"/>
        <w:rPr>
          <w:rStyle w:val="Hyperlink"/>
          <w:i/>
          <w:iCs/>
        </w:rPr>
      </w:pPr>
      <w:r>
        <w:rPr>
          <w:rStyle w:val="FootnoteReference"/>
        </w:rPr>
        <w:footnoteRef/>
      </w:r>
      <w:r>
        <w:t xml:space="preserve"> Anonymous Submission </w:t>
      </w:r>
      <w:r w:rsidRPr="00CF1551">
        <w:t>958471840</w:t>
      </w:r>
      <w:r>
        <w:t xml:space="preserve">, answer to Question 26, accessed 8 December 2020, </w:t>
      </w:r>
      <w:hyperlink r:id="rId133"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93">
    <w:p w14:paraId="76E0FD15" w14:textId="77777777" w:rsidR="003235DB" w:rsidRPr="00A268FA" w:rsidRDefault="003235DB">
      <w:pPr>
        <w:pStyle w:val="FootnoteText"/>
        <w:rPr>
          <w:rStyle w:val="Hyperlink"/>
          <w:i/>
          <w:iCs/>
        </w:rPr>
      </w:pPr>
      <w:r>
        <w:rPr>
          <w:rStyle w:val="FootnoteReference"/>
        </w:rPr>
        <w:footnoteRef/>
      </w:r>
      <w:r>
        <w:t xml:space="preserve"> Submission by Wendy Hayhurst for CHIA, p.6-7, accessed 8 December 2020, </w:t>
      </w:r>
      <w:hyperlink r:id="rId134"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94">
    <w:p w14:paraId="3059F462" w14:textId="77777777" w:rsidR="003235DB" w:rsidRPr="00A268FA" w:rsidRDefault="003235DB">
      <w:pPr>
        <w:pStyle w:val="FootnoteText"/>
        <w:rPr>
          <w:rStyle w:val="Hyperlink"/>
          <w:i/>
          <w:iCs/>
        </w:rPr>
      </w:pPr>
      <w:r>
        <w:rPr>
          <w:rStyle w:val="FootnoteReference"/>
        </w:rPr>
        <w:footnoteRef/>
      </w:r>
      <w:r>
        <w:t xml:space="preserve"> Anonymous Submission </w:t>
      </w:r>
      <w:r w:rsidRPr="006814DC">
        <w:t>57608831</w:t>
      </w:r>
      <w:r>
        <w:t xml:space="preserve">, answer to Question 13, accessed 8 December 2020, </w:t>
      </w:r>
      <w:hyperlink r:id="rId135"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95">
    <w:p w14:paraId="060120DB" w14:textId="77777777" w:rsidR="003235DB" w:rsidRDefault="003235DB">
      <w:pPr>
        <w:pStyle w:val="FootnoteText"/>
      </w:pPr>
      <w:r>
        <w:rPr>
          <w:rStyle w:val="FootnoteReference"/>
        </w:rPr>
        <w:footnoteRef/>
      </w:r>
      <w:r>
        <w:t xml:space="preserve"> Max Rafferty, op.cit., p.11</w:t>
      </w:r>
      <w:r>
        <w:tab/>
      </w:r>
    </w:p>
  </w:footnote>
  <w:footnote w:id="396">
    <w:p w14:paraId="74562F72" w14:textId="77777777" w:rsidR="003235DB" w:rsidRDefault="003235DB">
      <w:pPr>
        <w:pStyle w:val="FootnoteText"/>
      </w:pPr>
      <w:r>
        <w:rPr>
          <w:rStyle w:val="FootnoteReference"/>
        </w:rPr>
        <w:footnoteRef/>
      </w:r>
      <w:r>
        <w:t xml:space="preserve"> Tim Wheeler, op.cit., p.6-7.</w:t>
      </w:r>
      <w:r>
        <w:tab/>
      </w:r>
    </w:p>
  </w:footnote>
  <w:footnote w:id="397">
    <w:p w14:paraId="296729F7" w14:textId="77777777" w:rsidR="003235DB" w:rsidRDefault="003235DB">
      <w:pPr>
        <w:pStyle w:val="FootnoteText"/>
      </w:pPr>
      <w:r>
        <w:rPr>
          <w:rStyle w:val="FootnoteReference"/>
        </w:rPr>
        <w:footnoteRef/>
      </w:r>
      <w:r>
        <w:t xml:space="preserve"> Sam Plaschke, op.cit., p.4.</w:t>
      </w:r>
      <w:r>
        <w:tab/>
      </w:r>
    </w:p>
  </w:footnote>
  <w:footnote w:id="398">
    <w:p w14:paraId="75C1C4D0" w14:textId="77777777" w:rsidR="003235DB" w:rsidRPr="00A268FA" w:rsidRDefault="003235DB">
      <w:pPr>
        <w:pStyle w:val="FootnoteText"/>
        <w:rPr>
          <w:rStyle w:val="Hyperlink"/>
          <w:i/>
          <w:iCs/>
        </w:rPr>
      </w:pPr>
      <w:r>
        <w:rPr>
          <w:rStyle w:val="FootnoteReference"/>
        </w:rPr>
        <w:footnoteRef/>
      </w:r>
      <w:r>
        <w:t xml:space="preserve"> Anonymous Submission </w:t>
      </w:r>
      <w:r w:rsidRPr="00D0697F">
        <w:t>90458024</w:t>
      </w:r>
      <w:r>
        <w:t xml:space="preserve">, answer to Question 13, accessed 9 December 2020, </w:t>
      </w:r>
      <w:hyperlink r:id="rId136"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399">
    <w:p w14:paraId="25A868D5" w14:textId="77777777" w:rsidR="003235DB" w:rsidRPr="00A268FA" w:rsidRDefault="003235DB">
      <w:pPr>
        <w:pStyle w:val="FootnoteText"/>
        <w:rPr>
          <w:rStyle w:val="Hyperlink"/>
          <w:i/>
          <w:iCs/>
        </w:rPr>
      </w:pPr>
      <w:r>
        <w:rPr>
          <w:rStyle w:val="FootnoteReference"/>
        </w:rPr>
        <w:footnoteRef/>
      </w:r>
      <w:r>
        <w:t xml:space="preserve"> Anonymous Submission </w:t>
      </w:r>
      <w:r w:rsidRPr="000B1CA3">
        <w:t>754879813</w:t>
      </w:r>
      <w:r>
        <w:t xml:space="preserve">, answer to Question 21, accessed 9 December 2020, </w:t>
      </w:r>
      <w:hyperlink r:id="rId137"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r w:rsidRPr="00A268FA">
        <w:rPr>
          <w:rStyle w:val="Hyperlink"/>
          <w:i/>
          <w:iCs/>
        </w:rPr>
        <w:tab/>
      </w:r>
    </w:p>
  </w:footnote>
  <w:footnote w:id="400">
    <w:p w14:paraId="48CA843A" w14:textId="77777777" w:rsidR="003235DB" w:rsidRPr="00A268FA" w:rsidRDefault="003235DB">
      <w:pPr>
        <w:pStyle w:val="FootnoteText"/>
        <w:rPr>
          <w:rStyle w:val="Hyperlink"/>
          <w:i/>
          <w:iCs/>
        </w:rPr>
      </w:pPr>
      <w:r>
        <w:rPr>
          <w:rStyle w:val="FootnoteReference"/>
        </w:rPr>
        <w:footnoteRef/>
      </w:r>
      <w:r>
        <w:t xml:space="preserve"> Anonymous Submission </w:t>
      </w:r>
      <w:r w:rsidRPr="005A20E5">
        <w:t>462974436</w:t>
      </w:r>
      <w:r>
        <w:t xml:space="preserve">, answer to Question 13, accessed 9 December 2020, </w:t>
      </w:r>
      <w:hyperlink r:id="rId138"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01">
    <w:p w14:paraId="1C3F7E8A" w14:textId="77777777" w:rsidR="003235DB" w:rsidRPr="00A268FA" w:rsidRDefault="003235DB">
      <w:pPr>
        <w:pStyle w:val="FootnoteText"/>
        <w:rPr>
          <w:rStyle w:val="Hyperlink"/>
          <w:i/>
          <w:iCs/>
        </w:rPr>
      </w:pPr>
      <w:r>
        <w:rPr>
          <w:rStyle w:val="FootnoteReference"/>
        </w:rPr>
        <w:footnoteRef/>
      </w:r>
      <w:r>
        <w:t xml:space="preserve"> Submission by Richard Bowman, p.1, accessed 9 December 2020, </w:t>
      </w:r>
      <w:hyperlink r:id="rId139"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02">
    <w:p w14:paraId="4AE622F6" w14:textId="77777777" w:rsidR="003235DB" w:rsidRDefault="003235DB">
      <w:pPr>
        <w:pStyle w:val="FootnoteText"/>
      </w:pPr>
      <w:r>
        <w:rPr>
          <w:rStyle w:val="FootnoteReference"/>
        </w:rPr>
        <w:footnoteRef/>
      </w:r>
      <w:r>
        <w:t xml:space="preserve"> Margret Ward, op.cit., p.13-14, p.25 and p.48.</w:t>
      </w:r>
      <w:r>
        <w:tab/>
      </w:r>
    </w:p>
  </w:footnote>
  <w:footnote w:id="403">
    <w:p w14:paraId="79D8255C" w14:textId="77777777" w:rsidR="003235DB" w:rsidRDefault="003235DB" w:rsidP="001E45D0">
      <w:pPr>
        <w:pStyle w:val="FootnoteText"/>
      </w:pPr>
      <w:r>
        <w:rPr>
          <w:rStyle w:val="FootnoteReference"/>
        </w:rPr>
        <w:footnoteRef/>
      </w:r>
      <w:r>
        <w:t xml:space="preserve"> Tim Wheeler, op.cit, p.4</w:t>
      </w:r>
    </w:p>
  </w:footnote>
  <w:footnote w:id="404">
    <w:p w14:paraId="741E2D22" w14:textId="77777777" w:rsidR="003235DB" w:rsidRDefault="003235DB" w:rsidP="001E45D0">
      <w:pPr>
        <w:pStyle w:val="FootnoteText"/>
      </w:pPr>
      <w:r>
        <w:rPr>
          <w:rStyle w:val="FootnoteReference"/>
        </w:rPr>
        <w:footnoteRef/>
      </w:r>
      <w:r>
        <w:t xml:space="preserve"> Nicholas Proud, op.cit, p.6</w:t>
      </w:r>
    </w:p>
  </w:footnote>
  <w:footnote w:id="405">
    <w:p w14:paraId="44B67527" w14:textId="77777777" w:rsidR="003235DB" w:rsidRDefault="003235DB">
      <w:pPr>
        <w:pStyle w:val="FootnoteText"/>
      </w:pPr>
      <w:r>
        <w:rPr>
          <w:rStyle w:val="FootnoteReference"/>
        </w:rPr>
        <w:footnoteRef/>
      </w:r>
      <w:r>
        <w:t xml:space="preserve"> John Evernden, op.cit., answer to Question 29.</w:t>
      </w:r>
      <w:r>
        <w:tab/>
      </w:r>
    </w:p>
  </w:footnote>
  <w:footnote w:id="406">
    <w:p w14:paraId="26B92020" w14:textId="77777777" w:rsidR="003235DB" w:rsidRPr="00A268FA" w:rsidRDefault="003235DB">
      <w:pPr>
        <w:pStyle w:val="FootnoteText"/>
        <w:rPr>
          <w:rStyle w:val="Hyperlink"/>
          <w:i/>
          <w:iCs/>
        </w:rPr>
      </w:pPr>
      <w:r>
        <w:rPr>
          <w:rStyle w:val="FootnoteReference"/>
        </w:rPr>
        <w:footnoteRef/>
      </w:r>
      <w:r>
        <w:t xml:space="preserve"> Submission by Peta Anderson for Design Matters National, answer to Question 29, accessed 9 December 2020, </w:t>
      </w:r>
      <w:hyperlink r:id="rId140"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07">
    <w:p w14:paraId="271245FE" w14:textId="77777777" w:rsidR="003235DB" w:rsidRDefault="003235DB">
      <w:pPr>
        <w:pStyle w:val="FootnoteText"/>
      </w:pPr>
      <w:r>
        <w:rPr>
          <w:rStyle w:val="FootnoteReference"/>
        </w:rPr>
        <w:footnoteRef/>
      </w:r>
      <w:r>
        <w:t xml:space="preserve"> Sam Priest, op.cit., p.5-6.</w:t>
      </w:r>
      <w:r>
        <w:tab/>
      </w:r>
    </w:p>
  </w:footnote>
  <w:footnote w:id="408">
    <w:p w14:paraId="0313D700" w14:textId="77777777" w:rsidR="003235DB" w:rsidRDefault="003235DB">
      <w:pPr>
        <w:pStyle w:val="FootnoteText"/>
      </w:pPr>
      <w:r>
        <w:rPr>
          <w:rStyle w:val="FootnoteReference"/>
        </w:rPr>
        <w:footnoteRef/>
      </w:r>
      <w:r>
        <w:t xml:space="preserve"> </w:t>
      </w:r>
      <w:r w:rsidRPr="009E4C36">
        <w:t>Cr Sam Hearn, Mayor Mornington Peninsula Shire</w:t>
      </w:r>
      <w:r>
        <w:t>, op.cit., p.12.</w:t>
      </w:r>
      <w:r>
        <w:tab/>
      </w:r>
    </w:p>
  </w:footnote>
  <w:footnote w:id="409">
    <w:p w14:paraId="2B2BD78B" w14:textId="77777777" w:rsidR="003235DB" w:rsidRDefault="003235DB">
      <w:pPr>
        <w:pStyle w:val="FootnoteText"/>
      </w:pPr>
      <w:r>
        <w:rPr>
          <w:rStyle w:val="FootnoteReference"/>
        </w:rPr>
        <w:footnoteRef/>
      </w:r>
      <w:r>
        <w:t xml:space="preserve"> Margret Ward, op.cit., p.18</w:t>
      </w:r>
      <w:r>
        <w:tab/>
        <w:t>.</w:t>
      </w:r>
    </w:p>
  </w:footnote>
  <w:footnote w:id="410">
    <w:p w14:paraId="4BF8C058" w14:textId="77777777" w:rsidR="003235DB" w:rsidRDefault="003235DB">
      <w:pPr>
        <w:pStyle w:val="FootnoteText"/>
      </w:pPr>
      <w:r>
        <w:rPr>
          <w:rStyle w:val="FootnoteReference"/>
        </w:rPr>
        <w:footnoteRef/>
      </w:r>
      <w:r>
        <w:t xml:space="preserve"> Barbary Clarke, op.cit., p.6. </w:t>
      </w:r>
      <w:r>
        <w:tab/>
      </w:r>
    </w:p>
  </w:footnote>
  <w:footnote w:id="411">
    <w:p w14:paraId="20F7E070" w14:textId="77777777" w:rsidR="003235DB" w:rsidRPr="00A268FA" w:rsidRDefault="003235DB">
      <w:pPr>
        <w:pStyle w:val="FootnoteText"/>
        <w:rPr>
          <w:rStyle w:val="Hyperlink"/>
          <w:i/>
          <w:iCs/>
        </w:rPr>
      </w:pPr>
      <w:r>
        <w:rPr>
          <w:rStyle w:val="FootnoteReference"/>
        </w:rPr>
        <w:footnoteRef/>
      </w:r>
      <w:r>
        <w:t xml:space="preserve"> Anonymous Submission </w:t>
      </w:r>
      <w:r w:rsidRPr="0029019B">
        <w:t>1009094404</w:t>
      </w:r>
      <w:r>
        <w:t xml:space="preserve">, answer to Question 31, accessed 9 December 2020, </w:t>
      </w:r>
      <w:hyperlink r:id="rId141"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w:t>
      </w:r>
      <w:r w:rsidRPr="00A268FA">
        <w:rPr>
          <w:rStyle w:val="Hyperlink"/>
          <w:i/>
          <w:iCs/>
        </w:rPr>
        <w:tab/>
      </w:r>
    </w:p>
  </w:footnote>
  <w:footnote w:id="412">
    <w:p w14:paraId="6069F4D0" w14:textId="77777777" w:rsidR="003235DB" w:rsidRDefault="003235DB">
      <w:pPr>
        <w:pStyle w:val="FootnoteText"/>
      </w:pPr>
      <w:r>
        <w:rPr>
          <w:rStyle w:val="FootnoteReference"/>
        </w:rPr>
        <w:footnoteRef/>
      </w:r>
      <w:r>
        <w:t xml:space="preserve"> For example, see Margret Ward, op.cit., p.47.</w:t>
      </w:r>
      <w:r>
        <w:tab/>
      </w:r>
    </w:p>
  </w:footnote>
  <w:footnote w:id="413">
    <w:p w14:paraId="5BE1BE61" w14:textId="77777777" w:rsidR="003235DB" w:rsidRPr="00A268FA" w:rsidRDefault="003235DB">
      <w:pPr>
        <w:pStyle w:val="FootnoteText"/>
        <w:rPr>
          <w:rStyle w:val="Hyperlink"/>
          <w:i/>
          <w:iCs/>
        </w:rPr>
      </w:pPr>
      <w:r>
        <w:rPr>
          <w:rStyle w:val="FootnoteReference"/>
        </w:rPr>
        <w:footnoteRef/>
      </w:r>
      <w:r>
        <w:t xml:space="preserve"> Submission by Harald Weber for All Construction Approvals, answer to Question 33, accessed 9 December 2020, </w:t>
      </w:r>
      <w:hyperlink r:id="rId142"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14">
    <w:p w14:paraId="7E5181E0" w14:textId="77777777" w:rsidR="003235DB" w:rsidRDefault="003235DB">
      <w:pPr>
        <w:pStyle w:val="FootnoteText"/>
      </w:pPr>
      <w:r>
        <w:rPr>
          <w:rStyle w:val="FootnoteReference"/>
        </w:rPr>
        <w:footnoteRef/>
      </w:r>
      <w:r>
        <w:t xml:space="preserve"> Margret Ward, op.cit., p.18 and p.46.</w:t>
      </w:r>
      <w:r>
        <w:tab/>
      </w:r>
    </w:p>
  </w:footnote>
  <w:footnote w:id="415">
    <w:p w14:paraId="17F06B22" w14:textId="77777777" w:rsidR="003235DB" w:rsidRDefault="003235DB">
      <w:pPr>
        <w:pStyle w:val="FootnoteText"/>
      </w:pPr>
      <w:r>
        <w:rPr>
          <w:rStyle w:val="FootnoteReference"/>
        </w:rPr>
        <w:footnoteRef/>
      </w:r>
      <w:r>
        <w:t xml:space="preserve"> Erika Webb, op.cit., answer to Question 34.</w:t>
      </w:r>
      <w:r>
        <w:tab/>
      </w:r>
    </w:p>
  </w:footnote>
  <w:footnote w:id="416">
    <w:p w14:paraId="7D4ABB75" w14:textId="77777777" w:rsidR="003235DB" w:rsidRDefault="003235DB">
      <w:pPr>
        <w:pStyle w:val="FootnoteText"/>
      </w:pPr>
      <w:r>
        <w:rPr>
          <w:rStyle w:val="FootnoteReference"/>
        </w:rPr>
        <w:footnoteRef/>
      </w:r>
      <w:r>
        <w:t xml:space="preserve"> </w:t>
      </w:r>
      <w:r w:rsidRPr="004571AC">
        <w:t>Cr Sam Hearn, Mayor Mornington Peninsula Shire</w:t>
      </w:r>
      <w:r>
        <w:t>, op.cit., p.13.</w:t>
      </w:r>
      <w:r>
        <w:tab/>
      </w:r>
    </w:p>
  </w:footnote>
  <w:footnote w:id="417">
    <w:p w14:paraId="37067BFA" w14:textId="77777777" w:rsidR="003235DB" w:rsidRPr="00A268FA" w:rsidRDefault="003235DB">
      <w:pPr>
        <w:pStyle w:val="FootnoteText"/>
        <w:rPr>
          <w:rStyle w:val="Hyperlink"/>
          <w:i/>
          <w:iCs/>
        </w:rPr>
      </w:pPr>
      <w:r>
        <w:rPr>
          <w:rStyle w:val="FootnoteReference"/>
        </w:rPr>
        <w:footnoteRef/>
      </w:r>
      <w:r>
        <w:t xml:space="preserve"> Submission by Moshe Gilovitz for Moshe Gilovitz Architect, answer to Question 34, accessed 9 December 2020, </w:t>
      </w:r>
      <w:hyperlink r:id="rId143"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18">
    <w:p w14:paraId="0ECF050F" w14:textId="77777777" w:rsidR="003235DB" w:rsidRPr="00A268FA" w:rsidRDefault="003235DB">
      <w:pPr>
        <w:pStyle w:val="FootnoteText"/>
        <w:rPr>
          <w:rStyle w:val="Hyperlink"/>
          <w:i/>
          <w:iCs/>
        </w:rPr>
      </w:pPr>
      <w:r>
        <w:rPr>
          <w:rStyle w:val="FootnoteReference"/>
        </w:rPr>
        <w:footnoteRef/>
      </w:r>
      <w:r>
        <w:t xml:space="preserve"> Anonymous Submission </w:t>
      </w:r>
      <w:r w:rsidRPr="00345E3E">
        <w:t>506249822</w:t>
      </w:r>
      <w:r>
        <w:t xml:space="preserve">, answer to Question 34, accessed 9 December 2020, </w:t>
      </w:r>
      <w:hyperlink r:id="rId144"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19">
    <w:p w14:paraId="3701BEC1" w14:textId="77777777" w:rsidR="003235DB" w:rsidRPr="00A268FA" w:rsidRDefault="003235DB">
      <w:pPr>
        <w:pStyle w:val="FootnoteText"/>
        <w:rPr>
          <w:rStyle w:val="Hyperlink"/>
          <w:i/>
          <w:iCs/>
        </w:rPr>
      </w:pPr>
      <w:r>
        <w:rPr>
          <w:rStyle w:val="FootnoteReference"/>
        </w:rPr>
        <w:footnoteRef/>
      </w:r>
      <w:r>
        <w:t xml:space="preserve"> Anonymous Submission </w:t>
      </w:r>
      <w:r w:rsidRPr="00844CB9">
        <w:t>1009094404</w:t>
      </w:r>
      <w:r>
        <w:t xml:space="preserve">, answer to Question 34, accessed 9 December 2020, </w:t>
      </w:r>
      <w:hyperlink r:id="rId145"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0">
    <w:p w14:paraId="58FFD5B1" w14:textId="77777777" w:rsidR="003235DB" w:rsidRDefault="003235DB">
      <w:pPr>
        <w:pStyle w:val="FootnoteText"/>
      </w:pPr>
      <w:r>
        <w:rPr>
          <w:rStyle w:val="FootnoteReference"/>
        </w:rPr>
        <w:footnoteRef/>
      </w:r>
      <w:r>
        <w:t xml:space="preserve"> For example, Jane Scott, op.cit., answer to Question 34.</w:t>
      </w:r>
      <w:r>
        <w:tab/>
      </w:r>
    </w:p>
  </w:footnote>
  <w:footnote w:id="421">
    <w:p w14:paraId="69B5D07F" w14:textId="77777777" w:rsidR="003235DB" w:rsidRDefault="003235DB">
      <w:pPr>
        <w:pStyle w:val="FootnoteText"/>
      </w:pPr>
      <w:r>
        <w:rPr>
          <w:rStyle w:val="FootnoteReference"/>
        </w:rPr>
        <w:footnoteRef/>
      </w:r>
      <w:r>
        <w:t xml:space="preserve"> John McPherson, op.cit., answer to Question 34.</w:t>
      </w:r>
      <w:r>
        <w:tab/>
      </w:r>
    </w:p>
  </w:footnote>
  <w:footnote w:id="422">
    <w:p w14:paraId="7F0C993C" w14:textId="77777777" w:rsidR="003235DB" w:rsidRPr="00A268FA" w:rsidRDefault="003235DB">
      <w:pPr>
        <w:pStyle w:val="FootnoteText"/>
        <w:rPr>
          <w:rStyle w:val="Hyperlink"/>
          <w:i/>
          <w:iCs/>
        </w:rPr>
      </w:pPr>
      <w:r>
        <w:rPr>
          <w:rStyle w:val="FootnoteReference"/>
        </w:rPr>
        <w:footnoteRef/>
      </w:r>
      <w:r>
        <w:t xml:space="preserve"> Submission by Ron Lochert, answer to Question 34, accessed 9 December 2020, </w:t>
      </w:r>
      <w:hyperlink r:id="rId146"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3">
    <w:p w14:paraId="215F91BA" w14:textId="77777777" w:rsidR="003235DB" w:rsidRPr="00A268FA" w:rsidRDefault="003235DB">
      <w:pPr>
        <w:pStyle w:val="FootnoteText"/>
        <w:rPr>
          <w:rStyle w:val="Hyperlink"/>
          <w:i/>
          <w:iCs/>
        </w:rPr>
      </w:pPr>
      <w:r>
        <w:rPr>
          <w:rStyle w:val="FootnoteReference"/>
        </w:rPr>
        <w:footnoteRef/>
      </w:r>
      <w:r>
        <w:t xml:space="preserve"> Anonymous Submission </w:t>
      </w:r>
      <w:r w:rsidRPr="0084552C">
        <w:t>405838978</w:t>
      </w:r>
      <w:r>
        <w:t xml:space="preserve">, answer to Question 34, accessed 9 December 2020, </w:t>
      </w:r>
      <w:hyperlink r:id="rId147" w:tooltip="Avail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4">
    <w:p w14:paraId="6A665B05" w14:textId="77777777" w:rsidR="003235DB" w:rsidRPr="00A268FA" w:rsidRDefault="003235DB">
      <w:pPr>
        <w:pStyle w:val="FootnoteText"/>
        <w:rPr>
          <w:rStyle w:val="Hyperlink"/>
          <w:i/>
          <w:iCs/>
        </w:rPr>
      </w:pPr>
      <w:r>
        <w:rPr>
          <w:rStyle w:val="FootnoteReference"/>
        </w:rPr>
        <w:footnoteRef/>
      </w:r>
      <w:r>
        <w:t xml:space="preserve"> Anonymous Submission </w:t>
      </w:r>
      <w:r w:rsidRPr="007F310F">
        <w:t>628500418</w:t>
      </w:r>
      <w:r>
        <w:t xml:space="preserve">, answer to Question 34, accessed 9 December 2020, </w:t>
      </w:r>
      <w:hyperlink r:id="rId148"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5">
    <w:p w14:paraId="73BEAF79" w14:textId="77777777" w:rsidR="003235DB" w:rsidRPr="00A268FA" w:rsidRDefault="003235DB">
      <w:pPr>
        <w:pStyle w:val="FootnoteText"/>
        <w:rPr>
          <w:rStyle w:val="Hyperlink"/>
          <w:i/>
          <w:iCs/>
        </w:rPr>
      </w:pPr>
      <w:r>
        <w:rPr>
          <w:rStyle w:val="FootnoteReference"/>
        </w:rPr>
        <w:footnoteRef/>
      </w:r>
      <w:r>
        <w:t xml:space="preserve"> Anonymous Submission </w:t>
      </w:r>
      <w:r w:rsidRPr="005F1A31">
        <w:t>552143712</w:t>
      </w:r>
      <w:r>
        <w:t xml:space="preserve">, answer to Question 34, accessed 9 December 2020, </w:t>
      </w:r>
      <w:hyperlink r:id="rId149"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6">
    <w:p w14:paraId="755E9AEE" w14:textId="77777777" w:rsidR="003235DB" w:rsidRPr="00A268FA" w:rsidRDefault="003235DB">
      <w:pPr>
        <w:pStyle w:val="FootnoteText"/>
        <w:rPr>
          <w:rStyle w:val="Hyperlink"/>
          <w:i/>
          <w:iCs/>
        </w:rPr>
      </w:pPr>
      <w:r>
        <w:rPr>
          <w:rStyle w:val="FootnoteReference"/>
        </w:rPr>
        <w:footnoteRef/>
      </w:r>
      <w:r>
        <w:t xml:space="preserve"> Anonymous Submission </w:t>
      </w:r>
      <w:r w:rsidRPr="005558F8">
        <w:t>462974436</w:t>
      </w:r>
      <w:r>
        <w:t xml:space="preserve">, answer to Question 34, accessed 9 December 2020, </w:t>
      </w:r>
      <w:hyperlink r:id="rId150"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ab/>
      </w:r>
    </w:p>
  </w:footnote>
  <w:footnote w:id="427">
    <w:p w14:paraId="496AA4E8" w14:textId="77777777" w:rsidR="003235DB" w:rsidRDefault="003235DB">
      <w:pPr>
        <w:pStyle w:val="FootnoteText"/>
      </w:pPr>
      <w:r>
        <w:rPr>
          <w:rStyle w:val="FootnoteReference"/>
        </w:rPr>
        <w:footnoteRef/>
      </w:r>
      <w:r>
        <w:t xml:space="preserve"> See Margret Ward, op.cit., p.27 and Hayley Stone, op.cit., p.18</w:t>
      </w:r>
      <w:r>
        <w:tab/>
      </w:r>
    </w:p>
  </w:footnote>
  <w:footnote w:id="428">
    <w:p w14:paraId="1B452948" w14:textId="77777777" w:rsidR="003235DB" w:rsidRDefault="003235DB" w:rsidP="001E45D0">
      <w:pPr>
        <w:pStyle w:val="FootnoteText"/>
      </w:pPr>
      <w:r>
        <w:rPr>
          <w:rStyle w:val="FootnoteReference"/>
        </w:rPr>
        <w:footnoteRef/>
      </w:r>
      <w:r>
        <w:t xml:space="preserve"> This is limited by data reported by AMIDA – only 10 per cent of people with a disability are eligible for NDIS</w:t>
      </w:r>
    </w:p>
  </w:footnote>
  <w:footnote w:id="429">
    <w:p w14:paraId="474D7032" w14:textId="77777777" w:rsidR="003235DB" w:rsidRDefault="003235DB">
      <w:pPr>
        <w:pStyle w:val="FootnoteText"/>
      </w:pPr>
      <w:r>
        <w:rPr>
          <w:rStyle w:val="FootnoteReference"/>
        </w:rPr>
        <w:footnoteRef/>
      </w:r>
      <w:r>
        <w:t xml:space="preserve"> Simon Croft, op.cit., p.2-3.</w:t>
      </w:r>
      <w:r>
        <w:tab/>
      </w:r>
    </w:p>
  </w:footnote>
  <w:footnote w:id="430">
    <w:p w14:paraId="00D5FB1F" w14:textId="77777777" w:rsidR="003235DB" w:rsidRDefault="003235DB">
      <w:pPr>
        <w:pStyle w:val="FootnoteText"/>
      </w:pPr>
      <w:r>
        <w:rPr>
          <w:rStyle w:val="FootnoteReference"/>
        </w:rPr>
        <w:footnoteRef/>
      </w:r>
      <w:r>
        <w:t xml:space="preserve"> For example, see Margret Ward, op.cit., p.31 and Profession Bruce </w:t>
      </w:r>
      <w:r w:rsidRPr="00B23B52">
        <w:t>Professor Bruce Bonyhady and Dr Di Winkler</w:t>
      </w:r>
      <w:r>
        <w:t>, op.cit. p.4 and p.21.</w:t>
      </w:r>
      <w:r>
        <w:tab/>
      </w:r>
    </w:p>
  </w:footnote>
  <w:footnote w:id="431">
    <w:p w14:paraId="2C0F7648" w14:textId="77777777" w:rsidR="003235DB" w:rsidRDefault="003235DB">
      <w:pPr>
        <w:pStyle w:val="FootnoteText"/>
      </w:pPr>
      <w:r>
        <w:rPr>
          <w:rStyle w:val="FootnoteReference"/>
        </w:rPr>
        <w:footnoteRef/>
      </w:r>
      <w:r>
        <w:t xml:space="preserve"> Simon Croft, op.cit. p.13-14.</w:t>
      </w:r>
      <w:r>
        <w:tab/>
      </w:r>
    </w:p>
  </w:footnote>
  <w:footnote w:id="432">
    <w:p w14:paraId="68396D77" w14:textId="77777777" w:rsidR="003235DB" w:rsidRDefault="003235DB">
      <w:pPr>
        <w:pStyle w:val="FootnoteText"/>
      </w:pPr>
      <w:r>
        <w:rPr>
          <w:rStyle w:val="FootnoteReference"/>
        </w:rPr>
        <w:footnoteRef/>
      </w:r>
      <w:r>
        <w:t xml:space="preserve"> Professor Catherine Bridge, op.cit., p.7.</w:t>
      </w:r>
      <w:r>
        <w:tab/>
      </w:r>
    </w:p>
  </w:footnote>
  <w:footnote w:id="433">
    <w:p w14:paraId="7E29543E" w14:textId="77777777" w:rsidR="003235DB" w:rsidRDefault="003235DB">
      <w:pPr>
        <w:pStyle w:val="FootnoteText"/>
      </w:pPr>
      <w:r>
        <w:rPr>
          <w:rStyle w:val="FootnoteReference"/>
        </w:rPr>
        <w:footnoteRef/>
      </w:r>
      <w:r>
        <w:t xml:space="preserve"> Profession Bruce </w:t>
      </w:r>
      <w:r w:rsidRPr="00B23B52">
        <w:t>Professor Bruce Bonyhady and Dr Di Winkler</w:t>
      </w:r>
      <w:r>
        <w:t>, op.cit., Appendix 2, p.5-6 of 44.</w:t>
      </w:r>
      <w:r>
        <w:tab/>
      </w:r>
    </w:p>
  </w:footnote>
  <w:footnote w:id="434">
    <w:p w14:paraId="1291C729" w14:textId="77777777" w:rsidR="003235DB" w:rsidRDefault="003235DB">
      <w:pPr>
        <w:pStyle w:val="FootnoteText"/>
      </w:pPr>
      <w:r>
        <w:rPr>
          <w:rStyle w:val="FootnoteReference"/>
        </w:rPr>
        <w:footnoteRef/>
      </w:r>
      <w:r>
        <w:t xml:space="preserve"> Simon Croft, op.cit., p.12 and p.29.</w:t>
      </w:r>
      <w:r>
        <w:tab/>
      </w:r>
    </w:p>
  </w:footnote>
  <w:footnote w:id="435">
    <w:p w14:paraId="7D923473" w14:textId="77777777" w:rsidR="003235DB" w:rsidRDefault="003235DB">
      <w:pPr>
        <w:pStyle w:val="FootnoteText"/>
      </w:pPr>
      <w:r>
        <w:rPr>
          <w:rStyle w:val="FootnoteReference"/>
        </w:rPr>
        <w:footnoteRef/>
      </w:r>
      <w:r>
        <w:t xml:space="preserve"> David Cremona, op.cit., p.1-2.</w:t>
      </w:r>
      <w:r>
        <w:tab/>
      </w:r>
    </w:p>
  </w:footnote>
  <w:footnote w:id="436">
    <w:p w14:paraId="6CF327B2" w14:textId="77777777" w:rsidR="003235DB" w:rsidRPr="00A268FA" w:rsidRDefault="003235DB">
      <w:pPr>
        <w:pStyle w:val="FootnoteText"/>
        <w:rPr>
          <w:rStyle w:val="Hyperlink"/>
          <w:i/>
          <w:iCs/>
        </w:rPr>
      </w:pPr>
      <w:r>
        <w:rPr>
          <w:rStyle w:val="FootnoteReference"/>
        </w:rPr>
        <w:footnoteRef/>
      </w:r>
      <w:r>
        <w:t xml:space="preserve"> Submission by </w:t>
      </w:r>
      <w:r w:rsidRPr="003C1A0B">
        <w:t>Berenice Hale</w:t>
      </w:r>
      <w:r>
        <w:t xml:space="preserve"> for RAAV, p.2-3, accessed 9 December 2020, </w:t>
      </w:r>
      <w:hyperlink r:id="rId151"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r w:rsidRPr="00A268FA">
        <w:rPr>
          <w:rStyle w:val="Hyperlink"/>
          <w:i/>
          <w:iCs/>
        </w:rPr>
        <w:tab/>
      </w:r>
    </w:p>
  </w:footnote>
  <w:footnote w:id="437">
    <w:p w14:paraId="4746C4AF" w14:textId="77777777" w:rsidR="003235DB" w:rsidRDefault="003235DB" w:rsidP="00BF1D3A">
      <w:pPr>
        <w:pStyle w:val="FootnoteText"/>
      </w:pPr>
      <w:r>
        <w:rPr>
          <w:rStyle w:val="FootnoteReference"/>
        </w:rPr>
        <w:footnoteRef/>
      </w:r>
      <w:r>
        <w:t>.Tim Wheeler, op.cit., p.4</w:t>
      </w:r>
    </w:p>
  </w:footnote>
  <w:footnote w:id="438">
    <w:p w14:paraId="00F45282" w14:textId="77777777" w:rsidR="003235DB" w:rsidRDefault="003235DB" w:rsidP="001E45D0">
      <w:pPr>
        <w:pStyle w:val="FootnoteText"/>
      </w:pPr>
      <w:r>
        <w:rPr>
          <w:rStyle w:val="FootnoteReference"/>
        </w:rPr>
        <w:footnoteRef/>
      </w:r>
      <w:r>
        <w:t xml:space="preserve"> Dalton, Andrew and Rob Carter 2020a, </w:t>
      </w:r>
      <w:r>
        <w:rPr>
          <w:i/>
          <w:iCs/>
        </w:rPr>
        <w:t>Economic advice prepared to assist with responses to the Consultation Regulation Impact Statement on minimum accessibility standards for housing in the National Construction Code</w:t>
      </w:r>
      <w:r>
        <w:t>, prepared for the Melbourne Disability Institute, University of Melbourne and the Summer Foundation, 18 August 2020, as Appendix 1 of the submission by Melbourne Disability Institute (MDI) and Summer Foundation to the public consultation.</w:t>
      </w:r>
    </w:p>
  </w:footnote>
  <w:footnote w:id="439">
    <w:p w14:paraId="380DEC0A" w14:textId="77777777" w:rsidR="003235DB" w:rsidRDefault="003235DB" w:rsidP="001E45D0">
      <w:pPr>
        <w:pStyle w:val="FootnoteText"/>
      </w:pPr>
      <w:r>
        <w:rPr>
          <w:rStyle w:val="FootnoteReference"/>
        </w:rPr>
        <w:footnoteRef/>
      </w:r>
      <w:r>
        <w:t xml:space="preserve"> ibid, p.6</w:t>
      </w:r>
    </w:p>
  </w:footnote>
  <w:footnote w:id="440">
    <w:p w14:paraId="092518EC" w14:textId="77777777" w:rsidR="003235DB" w:rsidRDefault="003235DB" w:rsidP="001E45D0">
      <w:pPr>
        <w:pStyle w:val="FootnoteText"/>
      </w:pPr>
      <w:r>
        <w:rPr>
          <w:rStyle w:val="FootnoteReference"/>
        </w:rPr>
        <w:footnoteRef/>
      </w:r>
      <w:r>
        <w:t xml:space="preserve"> Margret Ward, op.cit, p.11</w:t>
      </w:r>
    </w:p>
  </w:footnote>
  <w:footnote w:id="441">
    <w:p w14:paraId="6F39DA24" w14:textId="77777777" w:rsidR="003235DB" w:rsidRDefault="003235DB" w:rsidP="001E45D0">
      <w:pPr>
        <w:pStyle w:val="FootnoteText"/>
      </w:pPr>
      <w:r>
        <w:rPr>
          <w:rStyle w:val="FootnoteReference"/>
        </w:rPr>
        <w:footnoteRef/>
      </w:r>
      <w:r>
        <w:t xml:space="preserve"> Profession Bruce </w:t>
      </w:r>
      <w:r w:rsidRPr="00B23B52">
        <w:t>Professor Bruce Bonyhady and Dr Di Winkler</w:t>
      </w:r>
      <w:r>
        <w:t>, op.cit., p.3; Appendix 1, p.9.</w:t>
      </w:r>
    </w:p>
  </w:footnote>
  <w:footnote w:id="442">
    <w:p w14:paraId="19729110" w14:textId="77777777" w:rsidR="003235DB" w:rsidRDefault="003235DB" w:rsidP="00005B9E">
      <w:pPr>
        <w:pStyle w:val="FootnoteText"/>
      </w:pPr>
      <w:r>
        <w:rPr>
          <w:rStyle w:val="FootnoteReference"/>
        </w:rPr>
        <w:footnoteRef/>
      </w:r>
      <w:r>
        <w:t xml:space="preserve"> Submission by Emily Hobbs for SGS submission, p.2, </w:t>
      </w:r>
    </w:p>
  </w:footnote>
  <w:footnote w:id="443">
    <w:p w14:paraId="5B33E190" w14:textId="77777777" w:rsidR="003235DB" w:rsidRPr="00A268FA" w:rsidRDefault="003235DB">
      <w:pPr>
        <w:pStyle w:val="FootnoteText"/>
        <w:rPr>
          <w:rStyle w:val="Hyperlink"/>
          <w:i/>
          <w:iCs/>
        </w:rPr>
      </w:pPr>
      <w:r>
        <w:rPr>
          <w:rStyle w:val="FootnoteReference"/>
        </w:rPr>
        <w:footnoteRef/>
      </w:r>
      <w:r>
        <w:t xml:space="preserve"> Anonymous Submission </w:t>
      </w:r>
      <w:r w:rsidRPr="00B839A1">
        <w:t>343459347</w:t>
      </w:r>
      <w:r>
        <w:t xml:space="preserve">, answer to Question 24, accessed 9 December 2020, </w:t>
      </w:r>
      <w:hyperlink r:id="rId152" w:tooltip="Available at the ABCB website" w:history="1">
        <w:r w:rsidRPr="00A268FA">
          <w:rPr>
            <w:rStyle w:val="Hyperlink"/>
            <w:i/>
            <w:iCs/>
          </w:rPr>
          <w:t>https://consultation.abcb.gov.au/engagement/consult-ris-accessible-housing/consultation/published_select_respondent</w:t>
        </w:r>
      </w:hyperlink>
      <w:r w:rsidRPr="00A268FA">
        <w:rPr>
          <w:rStyle w:val="Hyperlink"/>
          <w:i/>
          <w:iCs/>
        </w:rPr>
        <w:t xml:space="preserve"> </w:t>
      </w:r>
    </w:p>
  </w:footnote>
  <w:footnote w:id="444">
    <w:p w14:paraId="7061277A" w14:textId="77777777" w:rsidR="003235DB" w:rsidRDefault="003235DB">
      <w:pPr>
        <w:pStyle w:val="FootnoteText"/>
      </w:pPr>
      <w:r>
        <w:rPr>
          <w:rStyle w:val="FootnoteReference"/>
        </w:rPr>
        <w:footnoteRef/>
      </w:r>
      <w:r>
        <w:t xml:space="preserve"> </w:t>
      </w:r>
      <w:r w:rsidRPr="00E94313">
        <w:rPr>
          <w:szCs w:val="19"/>
        </w:rPr>
        <w:t>Barbary Clarke, op.cit., p.6-7.</w:t>
      </w:r>
    </w:p>
  </w:footnote>
  <w:footnote w:id="445">
    <w:p w14:paraId="5A346F2D" w14:textId="77777777" w:rsidR="003235DB" w:rsidRPr="009B0AED" w:rsidRDefault="003235DB" w:rsidP="00ED748D">
      <w:pPr>
        <w:pStyle w:val="FootnoteText"/>
        <w:rPr>
          <w:lang w:val="en-US"/>
        </w:rPr>
      </w:pPr>
      <w:r>
        <w:rPr>
          <w:rStyle w:val="FootnoteReference"/>
        </w:rPr>
        <w:footnoteRef/>
      </w:r>
      <w:r>
        <w:t xml:space="preserve"> </w:t>
      </w:r>
      <w:r>
        <w:rPr>
          <w:lang w:val="en-US"/>
        </w:rPr>
        <w:t xml:space="preserve">Bringolf, J. 2015, </w:t>
      </w:r>
      <w:r w:rsidRPr="009B0AED">
        <w:rPr>
          <w:i/>
          <w:iCs/>
          <w:lang w:val="en-US"/>
        </w:rPr>
        <w:t>Let’s Talk About Where You Live</w:t>
      </w:r>
      <w:r>
        <w:rPr>
          <w:lang w:val="en-US"/>
        </w:rPr>
        <w:t>, Incomplete draft based on COTA NSW 2014 survey data for the 50+ Report with a focus on how and where older people are living, unpublished, p. 10.</w:t>
      </w:r>
    </w:p>
  </w:footnote>
  <w:footnote w:id="446">
    <w:p w14:paraId="2899F4EE" w14:textId="77777777" w:rsidR="003235DB" w:rsidRDefault="003235DB" w:rsidP="00ED748D">
      <w:pPr>
        <w:pStyle w:val="FootnoteText"/>
      </w:pPr>
      <w:r>
        <w:rPr>
          <w:rStyle w:val="FootnoteReference"/>
        </w:rPr>
        <w:footnoteRef/>
      </w:r>
      <w:r>
        <w:t xml:space="preserve"> Note this differs slightly from the number reported above (322 300). This reflects the procedure whereby TableBuilder randomly adjusts cells to minimise the risk of identifying individuals in aggregate statistics. This means that estimates derived from TableBuilder are not always identical.</w:t>
      </w:r>
      <w:r>
        <w:tab/>
      </w:r>
    </w:p>
  </w:footnote>
  <w:footnote w:id="447">
    <w:p w14:paraId="3556114C" w14:textId="77777777" w:rsidR="003235DB" w:rsidRPr="00A268FA" w:rsidRDefault="003235DB" w:rsidP="007B1A22">
      <w:pPr>
        <w:spacing w:before="80" w:line="240" w:lineRule="atLeast"/>
        <w:ind w:left="284" w:hanging="284"/>
        <w:rPr>
          <w:rStyle w:val="Hyperlink"/>
          <w:rFonts w:asciiTheme="minorHAnsi" w:eastAsia="Times New Roman" w:hAnsiTheme="minorHAnsi"/>
          <w:i/>
          <w:iCs/>
          <w:sz w:val="19"/>
          <w:szCs w:val="18"/>
        </w:rPr>
      </w:pPr>
      <w:r>
        <w:rPr>
          <w:rStyle w:val="FootnoteReference"/>
        </w:rPr>
        <w:footnoteRef/>
      </w:r>
      <w:r>
        <w:t xml:space="preserve"> </w:t>
      </w:r>
      <w:r w:rsidRPr="00553A65">
        <w:rPr>
          <w:rFonts w:asciiTheme="minorHAnsi" w:eastAsia="Times New Roman" w:hAnsiTheme="minorHAnsi"/>
          <w:sz w:val="19"/>
          <w:szCs w:val="18"/>
        </w:rPr>
        <w:t xml:space="preserve">Day, L. Fildes, B. Gordon, B. Fitzharris, M. Flamer, H. and Lord, S. 2002, Randomised factorial trial of falls prevention among older people living in their own homes, BMJ, 325:128, </w:t>
      </w:r>
      <w:hyperlink r:id="rId153" w:tooltip="More information can be found at the website via this link" w:history="1">
        <w:r w:rsidRPr="00A81539">
          <w:rPr>
            <w:rStyle w:val="Hyperlink"/>
            <w:i/>
            <w:iCs/>
            <w:sz w:val="19"/>
            <w:szCs w:val="19"/>
          </w:rPr>
          <w:t>https://www.bmj.com/content/325/7356/128</w:t>
        </w:r>
      </w:hyperlink>
    </w:p>
  </w:footnote>
  <w:footnote w:id="448">
    <w:p w14:paraId="41E26B59" w14:textId="77777777" w:rsidR="003235DB" w:rsidRDefault="003235DB" w:rsidP="00775E85">
      <w:pPr>
        <w:pStyle w:val="FootnoteText"/>
      </w:pPr>
      <w:r>
        <w:rPr>
          <w:rStyle w:val="FootnoteReference"/>
        </w:rPr>
        <w:footnoteRef/>
      </w:r>
      <w:r>
        <w:t xml:space="preserve"> AIHW: Pointer, S. 2019, Trends in hospitalised injury due to falls in older people, 2007</w:t>
      </w:r>
      <w:r>
        <w:noBreakHyphen/>
        <w:t>08 to 2016</w:t>
      </w:r>
      <w:r>
        <w:noBreakHyphen/>
        <w:t>17, Injury research and statistics series no. 126, Cat No. INJCAT 206, Canberra: AIHW, p. 25.</w:t>
      </w:r>
    </w:p>
  </w:footnote>
  <w:footnote w:id="449">
    <w:p w14:paraId="263D0DE6" w14:textId="77777777" w:rsidR="003235DB" w:rsidRDefault="003235DB" w:rsidP="00775E85">
      <w:pPr>
        <w:pStyle w:val="FootnoteText"/>
      </w:pPr>
      <w:r>
        <w:rPr>
          <w:rStyle w:val="FootnoteReference"/>
        </w:rPr>
        <w:footnoteRef/>
      </w:r>
      <w:r>
        <w:t xml:space="preserve"> ibid, p. 25.</w:t>
      </w:r>
    </w:p>
  </w:footnote>
  <w:footnote w:id="450">
    <w:p w14:paraId="0F4AFEDC" w14:textId="77777777" w:rsidR="003235DB" w:rsidRDefault="003235DB" w:rsidP="00775E85">
      <w:pPr>
        <w:pStyle w:val="FootnoteText"/>
      </w:pPr>
      <w:r>
        <w:rPr>
          <w:rStyle w:val="FootnoteReference"/>
        </w:rPr>
        <w:footnoteRef/>
      </w:r>
      <w:r>
        <w:t xml:space="preserve"> Pynoos, J. Steinman, B.A. and Nguyen, A.Q.D. 2010, Environmental Assessment and Modification as Falls Prevention Strategies for Older Adults, Clinical Geriatric Medicine, November 26(4), pp. 633</w:t>
      </w:r>
      <w:r>
        <w:noBreakHyphen/>
        <w:t>644.</w:t>
      </w:r>
    </w:p>
  </w:footnote>
  <w:footnote w:id="451">
    <w:p w14:paraId="4B1FEA47" w14:textId="77777777" w:rsidR="003235DB" w:rsidRDefault="003235DB" w:rsidP="00775E85">
      <w:pPr>
        <w:pStyle w:val="FootnoteText"/>
      </w:pPr>
      <w:r>
        <w:rPr>
          <w:rStyle w:val="FootnoteReference"/>
        </w:rPr>
        <w:footnoteRef/>
      </w:r>
      <w:r>
        <w:t xml:space="preserve"> ibid, pp. 633</w:t>
      </w:r>
      <w:r>
        <w:noBreakHyphen/>
        <w:t>644.</w:t>
      </w:r>
    </w:p>
  </w:footnote>
  <w:footnote w:id="452">
    <w:p w14:paraId="226B9404" w14:textId="77777777" w:rsidR="003235DB" w:rsidRDefault="003235DB">
      <w:pPr>
        <w:pStyle w:val="FootnoteText"/>
      </w:pPr>
      <w:r>
        <w:rPr>
          <w:rStyle w:val="FootnoteReference"/>
        </w:rPr>
        <w:footnoteRef/>
      </w:r>
      <w:r>
        <w:t xml:space="preserve"> World Health Organization 2018, </w:t>
      </w:r>
      <w:r>
        <w:rPr>
          <w:i/>
          <w:iCs/>
        </w:rPr>
        <w:t>WHO Housing and health guidelines</w:t>
      </w:r>
      <w:r>
        <w:t>, chapter seven. Emphasis is in the WHO report (p.71).</w:t>
      </w:r>
      <w:r>
        <w:tab/>
      </w:r>
    </w:p>
  </w:footnote>
  <w:footnote w:id="453">
    <w:p w14:paraId="141A185A" w14:textId="77777777" w:rsidR="003235DB" w:rsidRDefault="003235DB" w:rsidP="00775E85">
      <w:pPr>
        <w:pStyle w:val="FootnoteText"/>
      </w:pPr>
      <w:r>
        <w:rPr>
          <w:rStyle w:val="FootnoteReference"/>
        </w:rPr>
        <w:footnoteRef/>
      </w:r>
      <w:r>
        <w:t xml:space="preserve"> Hill, K. Vrantsidis, F., Haralambous, B. Fearn, M. Smith, R. Murray, K. Sims, J. Dorevitch, M. 2004, </w:t>
      </w:r>
      <w:r w:rsidRPr="008D5DBA">
        <w:rPr>
          <w:i/>
          <w:iCs/>
        </w:rPr>
        <w:t>An analysis of research on preventing falls and falls injury in older people: Community residential care and hospital settings</w:t>
      </w:r>
      <w:r>
        <w:t>, Report to the Australian Government Department of Health and Ageing, Injury Prevention Section by the National Ageing Research Institute, National Falls Prevention for Older People Initiative, p. 26.</w:t>
      </w:r>
    </w:p>
  </w:footnote>
  <w:footnote w:id="454">
    <w:p w14:paraId="4824DF54" w14:textId="77777777" w:rsidR="003235DB" w:rsidRDefault="003235DB" w:rsidP="00775E85">
      <w:pPr>
        <w:pStyle w:val="FootnoteText"/>
      </w:pPr>
      <w:r>
        <w:rPr>
          <w:rStyle w:val="FootnoteReference"/>
        </w:rPr>
        <w:footnoteRef/>
      </w:r>
      <w:r>
        <w:t xml:space="preserve"> ibid, pp. 22</w:t>
      </w:r>
      <w:r>
        <w:noBreakHyphen/>
        <w:t>26.</w:t>
      </w:r>
    </w:p>
  </w:footnote>
  <w:footnote w:id="455">
    <w:p w14:paraId="499880EB" w14:textId="77777777" w:rsidR="003235DB" w:rsidRDefault="003235DB" w:rsidP="00775E85">
      <w:pPr>
        <w:pStyle w:val="FootnoteText"/>
      </w:pPr>
      <w:r>
        <w:rPr>
          <w:rStyle w:val="FootnoteReference"/>
        </w:rPr>
        <w:footnoteRef/>
      </w:r>
      <w:r>
        <w:t xml:space="preserve"> Lord, S.R. Menz, H.B. and Sherrington, C. 2006, “Home environment risk factors for falls in older people and the efficacy of home modifications”, </w:t>
      </w:r>
      <w:r w:rsidRPr="008C5F16">
        <w:rPr>
          <w:i/>
          <w:iCs/>
        </w:rPr>
        <w:t>Age and Age</w:t>
      </w:r>
      <w:r>
        <w:rPr>
          <w:i/>
          <w:iCs/>
        </w:rPr>
        <w:t>i</w:t>
      </w:r>
      <w:r w:rsidRPr="008C5F16">
        <w:rPr>
          <w:i/>
          <w:iCs/>
        </w:rPr>
        <w:t>ng</w:t>
      </w:r>
      <w:r>
        <w:t xml:space="preserve"> 2006; 35</w:t>
      </w:r>
      <w:r>
        <w:noBreakHyphen/>
        <w:t>53.</w:t>
      </w:r>
    </w:p>
  </w:footnote>
  <w:footnote w:id="456">
    <w:p w14:paraId="7A968452" w14:textId="77777777" w:rsidR="003235DB" w:rsidRPr="007E461A" w:rsidRDefault="003235DB" w:rsidP="00ED748D">
      <w:pPr>
        <w:pStyle w:val="FootnoteText"/>
        <w:rPr>
          <w:lang w:val="en-US"/>
        </w:rPr>
      </w:pPr>
      <w:r>
        <w:rPr>
          <w:rStyle w:val="FootnoteReference"/>
        </w:rPr>
        <w:footnoteRef/>
      </w:r>
      <w:r>
        <w:t xml:space="preserve">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6.</w:t>
      </w:r>
    </w:p>
  </w:footnote>
  <w:footnote w:id="457">
    <w:p w14:paraId="7B5F2C88" w14:textId="77777777" w:rsidR="003235DB" w:rsidRPr="0053773C" w:rsidRDefault="003235DB" w:rsidP="00ED748D">
      <w:pPr>
        <w:pStyle w:val="FootnoteText"/>
        <w:rPr>
          <w:lang w:val="en-US"/>
        </w:rPr>
      </w:pPr>
      <w:r>
        <w:rPr>
          <w:rStyle w:val="FootnoteReference"/>
        </w:rPr>
        <w:footnoteRef/>
      </w:r>
      <w:r>
        <w:t xml:space="preserve"> </w:t>
      </w:r>
      <w:r>
        <w:rPr>
          <w:lang w:val="en-US"/>
        </w:rPr>
        <w:t xml:space="preserve">University of Massachusetts Medical School, Eunice Kennedy Shriver Center, </w:t>
      </w:r>
      <w:hyperlink r:id="rId154" w:tooltip="More information can be found at the website via this link" w:history="1">
        <w:r w:rsidRPr="00A268FA">
          <w:rPr>
            <w:rStyle w:val="Hyperlink"/>
            <w:i/>
            <w:iCs/>
          </w:rPr>
          <w:t>https://shriver.umassmed.edu/news/2015-07-08-130000/shriver-center-studying-falls-prevention-people-intellectual-and-developmental-disabilities</w:t>
        </w:r>
      </w:hyperlink>
      <w:r w:rsidRPr="00A268FA">
        <w:rPr>
          <w:rStyle w:val="Hyperlink"/>
          <w:i/>
          <w:iCs/>
        </w:rPr>
        <w:t xml:space="preserve">, </w:t>
      </w:r>
      <w:r>
        <w:t>accessed 12 February 2020.</w:t>
      </w:r>
    </w:p>
  </w:footnote>
  <w:footnote w:id="458">
    <w:p w14:paraId="0D3C493B" w14:textId="77777777" w:rsidR="003235DB" w:rsidRPr="002B2386" w:rsidRDefault="003235DB" w:rsidP="00ED748D">
      <w:pPr>
        <w:pStyle w:val="FootnoteText"/>
        <w:rPr>
          <w:lang w:val="en-US"/>
        </w:rPr>
      </w:pPr>
      <w:r>
        <w:rPr>
          <w:rStyle w:val="FootnoteReference"/>
        </w:rPr>
        <w:footnoteRef/>
      </w:r>
      <w:r>
        <w:t xml:space="preserve"> Stathakis, V. Gray, S. and Berecki</w:t>
      </w:r>
      <w:r>
        <w:noBreakHyphen/>
        <w:t>Gisolf, J. 2015, op.cit., p. 2.</w:t>
      </w:r>
    </w:p>
  </w:footnote>
  <w:footnote w:id="459">
    <w:p w14:paraId="5CD21E98" w14:textId="77777777" w:rsidR="003235DB" w:rsidRDefault="003235DB" w:rsidP="00C42D1A">
      <w:pPr>
        <w:pStyle w:val="FootnoteText"/>
      </w:pPr>
      <w:r>
        <w:rPr>
          <w:rStyle w:val="FootnoteReference"/>
        </w:rPr>
        <w:footnoteRef/>
      </w:r>
      <w:r>
        <w:t xml:space="preserve"> Australian Government Department of Prime Minister and Cabinet, Office of Best Practice Regulation, </w:t>
      </w:r>
      <w:r w:rsidRPr="00240978">
        <w:rPr>
          <w:i/>
          <w:iCs/>
        </w:rPr>
        <w:t>Best Practice Regulation Guidance Note, Value of statistical life</w:t>
      </w:r>
      <w:r>
        <w:t>, August 2019.</w:t>
      </w:r>
    </w:p>
  </w:footnote>
  <w:footnote w:id="460">
    <w:p w14:paraId="03EC95F9" w14:textId="77777777" w:rsidR="003235DB" w:rsidRPr="00463E18" w:rsidRDefault="003235DB" w:rsidP="00ED748D">
      <w:pPr>
        <w:pStyle w:val="FootnoteText"/>
        <w:rPr>
          <w:lang w:val="en-US"/>
        </w:rPr>
      </w:pPr>
      <w:r>
        <w:rPr>
          <w:rStyle w:val="FootnoteReference"/>
        </w:rPr>
        <w:footnoteRef/>
      </w:r>
      <w:r>
        <w:t xml:space="preserve"> </w:t>
      </w:r>
      <w:r>
        <w:rPr>
          <w:lang w:val="en-US"/>
        </w:rPr>
        <w:t xml:space="preserve">ABS 2019, </w:t>
      </w:r>
      <w:r w:rsidRPr="00706E8B">
        <w:rPr>
          <w:i/>
          <w:iCs/>
          <w:lang w:val="en-US"/>
        </w:rPr>
        <w:t>Life Tables, States, Territories and Australia 2016</w:t>
      </w:r>
      <w:r w:rsidRPr="00706E8B">
        <w:rPr>
          <w:i/>
          <w:iCs/>
          <w:lang w:val="en-US"/>
        </w:rPr>
        <w:noBreakHyphen/>
        <w:t>2018</w:t>
      </w:r>
      <w:r>
        <w:rPr>
          <w:lang w:val="en-US"/>
        </w:rPr>
        <w:t xml:space="preserve">, Cat. 3302.0.55.001, </w:t>
      </w:r>
      <w:hyperlink r:id="rId155" w:tooltip="More information can be found at the website via this link" w:history="1">
        <w:r w:rsidRPr="00E05406">
          <w:rPr>
            <w:rStyle w:val="Hyperlink"/>
            <w:i/>
            <w:iCs/>
          </w:rPr>
          <w:t>https://www.abs.gov.au/AUSSTATS/abs@.nsf/Lookup/3302.0.55.001Main+Features12016-2018?OpenDocument</w:t>
        </w:r>
      </w:hyperlink>
      <w:r w:rsidRPr="00E05406">
        <w:rPr>
          <w:i/>
          <w:iCs/>
        </w:rPr>
        <w:t>,</w:t>
      </w:r>
      <w:r>
        <w:t xml:space="preserve"> accessed 15 January 2020.</w:t>
      </w:r>
    </w:p>
  </w:footnote>
  <w:footnote w:id="461">
    <w:p w14:paraId="26422263" w14:textId="77777777" w:rsidR="003235DB" w:rsidRPr="007E461A" w:rsidRDefault="003235DB" w:rsidP="00ED748D">
      <w:pPr>
        <w:pStyle w:val="FootnoteText"/>
        <w:rPr>
          <w:lang w:val="en-US"/>
        </w:rPr>
      </w:pPr>
      <w:r>
        <w:rPr>
          <w:rStyle w:val="FootnoteReference"/>
        </w:rPr>
        <w:footnoteRef/>
      </w:r>
      <w:r>
        <w:t xml:space="preserve"> AIHW website, </w:t>
      </w:r>
      <w:hyperlink r:id="rId156" w:tooltip="More information can be found at the website via this link" w:history="1">
        <w:r w:rsidRPr="00E05406">
          <w:rPr>
            <w:rStyle w:val="Hyperlink"/>
            <w:i/>
            <w:iCs/>
          </w:rPr>
          <w:t>https://www.aihw.gov.au/reports/injury/trends-in-hospitalised-injury-due-to-falls/data</w:t>
        </w:r>
      </w:hyperlink>
      <w:r w:rsidRPr="00E05406">
        <w:rPr>
          <w:i/>
          <w:iCs/>
        </w:rPr>
        <w:t xml:space="preserve">, </w:t>
      </w:r>
      <w:r>
        <w:t>accessed 25 January 2021.</w:t>
      </w:r>
    </w:p>
  </w:footnote>
  <w:footnote w:id="462">
    <w:p w14:paraId="522DFAE4" w14:textId="77777777" w:rsidR="003235DB" w:rsidRPr="002B2386" w:rsidRDefault="003235DB" w:rsidP="00ED748D">
      <w:pPr>
        <w:pStyle w:val="FootnoteText"/>
        <w:rPr>
          <w:lang w:val="en-US"/>
        </w:rPr>
      </w:pPr>
      <w:r>
        <w:rPr>
          <w:rStyle w:val="FootnoteReference"/>
        </w:rPr>
        <w:footnoteRef/>
      </w:r>
      <w:r>
        <w:t xml:space="preserve"> Australian Institute of Health and Welfare: Pointer, S. 2019, Trends in hospitalised injury due to falls in older people 2007</w:t>
      </w:r>
      <w:r>
        <w:noBreakHyphen/>
        <w:t>08 to 2016</w:t>
      </w:r>
      <w:r>
        <w:noBreakHyphen/>
        <w:t>17, Injury research and statistics series no. 126, Cat. No. INJCAT 206, Canberra: AIHW, p. 25.</w:t>
      </w:r>
    </w:p>
  </w:footnote>
  <w:footnote w:id="463">
    <w:p w14:paraId="48FEEF3E" w14:textId="77777777" w:rsidR="003235DB" w:rsidRPr="002B2386" w:rsidRDefault="003235DB" w:rsidP="00ED748D">
      <w:pPr>
        <w:pStyle w:val="FootnoteText"/>
        <w:rPr>
          <w:lang w:val="en-US"/>
        </w:rPr>
      </w:pPr>
      <w:r>
        <w:rPr>
          <w:rStyle w:val="FootnoteReference"/>
        </w:rPr>
        <w:footnoteRef/>
      </w:r>
      <w:r>
        <w:t xml:space="preserve"> University of NSW 2010, </w:t>
      </w:r>
      <w:r w:rsidRPr="00FB0C5C">
        <w:rPr>
          <w:i/>
          <w:iCs/>
        </w:rPr>
        <w:t>The Incidence and Cost of Falls Injury Among Older People in New South Wales 2006/07</w:t>
      </w:r>
      <w:r>
        <w:t>, A Report to NSW Health, September 2010, p. 33.</w:t>
      </w:r>
    </w:p>
  </w:footnote>
  <w:footnote w:id="464">
    <w:p w14:paraId="772D055F" w14:textId="77777777" w:rsidR="003235DB" w:rsidRPr="007E461A" w:rsidRDefault="003235DB" w:rsidP="00ED748D">
      <w:pPr>
        <w:pStyle w:val="FootnoteText"/>
        <w:rPr>
          <w:lang w:val="en-US"/>
        </w:rPr>
      </w:pPr>
      <w:r>
        <w:rPr>
          <w:rStyle w:val="FootnoteReference"/>
        </w:rPr>
        <w:footnoteRef/>
      </w:r>
      <w:r>
        <w:t xml:space="preserve"> University of NSW 2010, </w:t>
      </w:r>
      <w:r w:rsidRPr="00FB0C5C">
        <w:rPr>
          <w:i/>
          <w:iCs/>
        </w:rPr>
        <w:t>The Incidence and Cost of Falls Injury Among Older People in New South Wales 2006/07</w:t>
      </w:r>
      <w:r>
        <w:t>, A Report to NSW Health, September 2010, p. 28.</w:t>
      </w:r>
    </w:p>
  </w:footnote>
  <w:footnote w:id="465">
    <w:p w14:paraId="15340447" w14:textId="77777777" w:rsidR="003235DB" w:rsidRPr="002B2386" w:rsidRDefault="003235DB" w:rsidP="00ED748D">
      <w:pPr>
        <w:pStyle w:val="FootnoteText"/>
        <w:rPr>
          <w:lang w:val="en-US"/>
        </w:rPr>
      </w:pPr>
      <w:r>
        <w:rPr>
          <w:rStyle w:val="FootnoteReference"/>
        </w:rPr>
        <w:footnoteRef/>
      </w:r>
      <w:r>
        <w:t xml:space="preserve">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2.</w:t>
      </w:r>
    </w:p>
  </w:footnote>
  <w:footnote w:id="466">
    <w:p w14:paraId="0794C787" w14:textId="77777777" w:rsidR="003235DB" w:rsidRPr="002B2386" w:rsidRDefault="003235DB" w:rsidP="000551E9">
      <w:pPr>
        <w:pStyle w:val="FootnoteText"/>
        <w:rPr>
          <w:lang w:val="en-US"/>
        </w:rPr>
      </w:pPr>
      <w:r>
        <w:rPr>
          <w:rStyle w:val="FootnoteReference"/>
        </w:rPr>
        <w:footnoteRef/>
      </w:r>
      <w:r>
        <w:t xml:space="preserve"> University of NSW 2010, </w:t>
      </w:r>
      <w:r w:rsidRPr="00FB0C5C">
        <w:rPr>
          <w:i/>
          <w:iCs/>
        </w:rPr>
        <w:t>The Incidence and Cost of Falls Injury Among Older People in New South Wales 2006/07</w:t>
      </w:r>
      <w:r>
        <w:t>, A Report to NSW Health, September 2010, p. 33.</w:t>
      </w:r>
    </w:p>
  </w:footnote>
  <w:footnote w:id="467">
    <w:p w14:paraId="71B72E34" w14:textId="77777777" w:rsidR="003235DB" w:rsidRPr="007E461A" w:rsidRDefault="003235DB" w:rsidP="00ED748D">
      <w:pPr>
        <w:pStyle w:val="FootnoteText"/>
        <w:rPr>
          <w:lang w:val="en-US"/>
        </w:rPr>
      </w:pPr>
      <w:r>
        <w:rPr>
          <w:rStyle w:val="FootnoteReference"/>
        </w:rPr>
        <w:footnoteRef/>
      </w:r>
      <w:r>
        <w:t xml:space="preserve"> University of NSW 2010, </w:t>
      </w:r>
      <w:r w:rsidRPr="00FB0C5C">
        <w:rPr>
          <w:i/>
          <w:iCs/>
        </w:rPr>
        <w:t>The Incidence and Cost of Falls Injury Among Older People in New South Wales 2006/07</w:t>
      </w:r>
      <w:r>
        <w:t>, A Report to NSW Health, September 2010, p. 28.</w:t>
      </w:r>
    </w:p>
  </w:footnote>
  <w:footnote w:id="468">
    <w:p w14:paraId="1B746885" w14:textId="77777777" w:rsidR="003235DB" w:rsidRPr="001B3A1F" w:rsidRDefault="003235DB" w:rsidP="00ED748D">
      <w:pPr>
        <w:pStyle w:val="FootnoteText"/>
      </w:pPr>
      <w:r>
        <w:rPr>
          <w:rStyle w:val="FootnoteReference"/>
        </w:rPr>
        <w:footnoteRef/>
      </w:r>
      <w:r>
        <w:t xml:space="preserve"> Stathakis, V. Gray, S. and Berecki</w:t>
      </w:r>
      <w:r>
        <w:noBreakHyphen/>
        <w:t>Gisolf, J. 2015, “Fall</w:t>
      </w:r>
      <w:r>
        <w:noBreakHyphen/>
        <w:t xml:space="preserve">related injury profile for Victorians aged 65 years and older”, </w:t>
      </w:r>
      <w:r w:rsidRPr="001B3A1F">
        <w:rPr>
          <w:i/>
          <w:iCs/>
        </w:rPr>
        <w:t>Hazard</w:t>
      </w:r>
      <w:r w:rsidRPr="001B3A1F">
        <w:t>,</w:t>
      </w:r>
      <w:r>
        <w:t xml:space="preserve"> Edition No. 80, Summer 2015, Victorian Injury Surveillance Unit, Monash University Accident Research Centre, p. 2.</w:t>
      </w:r>
    </w:p>
  </w:footnote>
  <w:footnote w:id="469">
    <w:p w14:paraId="5BDA71E2" w14:textId="77777777" w:rsidR="003235DB" w:rsidRPr="002B2386" w:rsidRDefault="003235DB" w:rsidP="00FD5F51">
      <w:pPr>
        <w:pStyle w:val="FootnoteText"/>
        <w:rPr>
          <w:lang w:val="en-US"/>
        </w:rPr>
      </w:pPr>
      <w:r>
        <w:rPr>
          <w:rStyle w:val="FootnoteReference"/>
        </w:rPr>
        <w:footnoteRef/>
      </w:r>
      <w:r>
        <w:t xml:space="preserve"> University of NSW 2010, </w:t>
      </w:r>
      <w:r w:rsidRPr="00FB0C5C">
        <w:rPr>
          <w:i/>
          <w:iCs/>
        </w:rPr>
        <w:t>The Incidence and Cost of Falls Injury Among Older People in New South Wales 2006/07</w:t>
      </w:r>
      <w:r>
        <w:t>, A Report to NSW Health, September 2010, p. 33.</w:t>
      </w:r>
    </w:p>
  </w:footnote>
  <w:footnote w:id="470">
    <w:p w14:paraId="664FD473" w14:textId="77777777" w:rsidR="003235DB" w:rsidRDefault="003235DB" w:rsidP="003D2407">
      <w:pPr>
        <w:pStyle w:val="FootnoteText"/>
      </w:pPr>
      <w:r>
        <w:rPr>
          <w:rStyle w:val="FootnoteReference"/>
        </w:rPr>
        <w:footnoteRef/>
      </w:r>
      <w:r>
        <w:t xml:space="preserve"> Submission by Madison Silver for Occupational Therapy Australia, p. 6.</w:t>
      </w:r>
    </w:p>
  </w:footnote>
  <w:footnote w:id="471">
    <w:p w14:paraId="1F962874" w14:textId="77777777" w:rsidR="003235DB" w:rsidRDefault="003235DB" w:rsidP="003D2407">
      <w:pPr>
        <w:pStyle w:val="FootnoteText"/>
      </w:pPr>
      <w:r>
        <w:rPr>
          <w:rStyle w:val="FootnoteReference"/>
        </w:rPr>
        <w:footnoteRef/>
      </w:r>
      <w:r>
        <w:t xml:space="preserve"> AIHW: Pointer, S. 2019, Trends in hospitalised injury due to falls in older people, 2007</w:t>
      </w:r>
      <w:r>
        <w:noBreakHyphen/>
        <w:t>08 to 2016</w:t>
      </w:r>
      <w:r>
        <w:noBreakHyphen/>
        <w:t>17, Injury research and statistics series no. 126, Cat. No. INJCAT 206, Canberra: AIHW, pp. 14</w:t>
      </w:r>
      <w:r>
        <w:noBreakHyphen/>
        <w:t>15</w:t>
      </w:r>
    </w:p>
  </w:footnote>
  <w:footnote w:id="472">
    <w:p w14:paraId="5E9ABA76" w14:textId="77777777" w:rsidR="003235DB" w:rsidRDefault="003235DB" w:rsidP="003D2407">
      <w:pPr>
        <w:pStyle w:val="FootnoteText"/>
      </w:pPr>
      <w:r>
        <w:rPr>
          <w:rStyle w:val="FootnoteReference"/>
        </w:rPr>
        <w:footnoteRef/>
      </w:r>
      <w:r>
        <w:t xml:space="preserve"> Gabbe, B.J. Lyons, R.A. Simpson, P.M. Rivara, F.P. Ameratunga, S. Polinder, S., Derrett, S. and Harrison, J.E. 2016, Disability weights based on patient</w:t>
      </w:r>
      <w:r>
        <w:noBreakHyphen/>
        <w:t>reported data from a multinational injury cohort, World Health Organisation Bulletin, November 2016 94(11): 806</w:t>
      </w:r>
      <w:r>
        <w:noBreakHyphen/>
        <w:t>816C.</w:t>
      </w:r>
    </w:p>
  </w:footnote>
  <w:footnote w:id="473">
    <w:p w14:paraId="70F03647" w14:textId="77777777" w:rsidR="003235DB" w:rsidRDefault="003235DB" w:rsidP="003D2407">
      <w:pPr>
        <w:pStyle w:val="FootnoteText"/>
      </w:pPr>
      <w:r>
        <w:rPr>
          <w:rStyle w:val="FootnoteReference"/>
        </w:rPr>
        <w:footnoteRef/>
      </w:r>
      <w:r>
        <w:t xml:space="preserve"> Australian Government Department of Prime Minister and Cabinet, Office of Best Practice Regulation, Best Practice Regulation Guidance Note, Value of statistical life, August 2019.</w:t>
      </w:r>
    </w:p>
  </w:footnote>
  <w:footnote w:id="474">
    <w:p w14:paraId="4A5F33D5" w14:textId="77777777" w:rsidR="003235DB" w:rsidRDefault="003235DB" w:rsidP="00466946">
      <w:pPr>
        <w:pStyle w:val="FootnoteText"/>
      </w:pPr>
      <w:r>
        <w:rPr>
          <w:rStyle w:val="FootnoteReference"/>
        </w:rPr>
        <w:footnoteRef/>
      </w:r>
      <w:r>
        <w:t xml:space="preserve"> Carnemolla, P. and Bridge, C. 2019, Housing Design and Community Care: How Home Modifications Reduce Care Needs of Older People and People with Disability, </w:t>
      </w:r>
      <w:r w:rsidRPr="00F36A14">
        <w:rPr>
          <w:i/>
          <w:iCs/>
        </w:rPr>
        <w:t>International Journal of Environmental Research and Public Health</w:t>
      </w:r>
      <w:r>
        <w:t>.</w:t>
      </w:r>
    </w:p>
  </w:footnote>
  <w:footnote w:id="475">
    <w:p w14:paraId="41545DE7" w14:textId="77777777" w:rsidR="003235DB" w:rsidRDefault="003235DB" w:rsidP="00466946">
      <w:pPr>
        <w:pStyle w:val="FootnoteText"/>
      </w:pPr>
      <w:r>
        <w:rPr>
          <w:rStyle w:val="FootnoteReference"/>
        </w:rPr>
        <w:footnoteRef/>
      </w:r>
      <w:r>
        <w:t xml:space="preserve"> See for example, submission from the Australian Network for Universal Housing Design, p. 36.</w:t>
      </w:r>
    </w:p>
  </w:footnote>
  <w:footnote w:id="476">
    <w:p w14:paraId="5CA3337E" w14:textId="77777777" w:rsidR="003235DB" w:rsidRPr="00A268FA" w:rsidRDefault="003235DB" w:rsidP="00C50E5C">
      <w:pPr>
        <w:pStyle w:val="FootnoteText"/>
        <w:rPr>
          <w:rStyle w:val="Hyperlink"/>
          <w:i/>
          <w:iCs/>
        </w:rPr>
      </w:pPr>
      <w:r>
        <w:rPr>
          <w:rStyle w:val="FootnoteReference"/>
        </w:rPr>
        <w:footnoteRef/>
      </w:r>
      <w:r>
        <w:t xml:space="preserve"> Anonymous submission 284174932 </w:t>
      </w:r>
      <w:r w:rsidRPr="00A268FA">
        <w:rPr>
          <w:rStyle w:val="Hyperlink"/>
          <w:i/>
          <w:iCs/>
        </w:rPr>
        <w:t>https://consultation.abcb.gov.au/engagement/consult-ris-accessible-housing/consultation/view_respondent?_b_index=60&amp;uuId=284174932</w:t>
      </w:r>
    </w:p>
  </w:footnote>
  <w:footnote w:id="477">
    <w:p w14:paraId="7BFB5B09" w14:textId="77777777" w:rsidR="003235DB" w:rsidRPr="00F36A14" w:rsidRDefault="003235DB" w:rsidP="00C85CCB">
      <w:pPr>
        <w:pStyle w:val="FootnoteText"/>
        <w:rPr>
          <w:lang w:val="en-US"/>
        </w:rPr>
      </w:pPr>
      <w:r>
        <w:rPr>
          <w:rStyle w:val="FootnoteReference"/>
        </w:rPr>
        <w:footnoteRef/>
      </w:r>
      <w:r>
        <w:t xml:space="preserve"> </w:t>
      </w:r>
      <w:r>
        <w:rPr>
          <w:lang w:val="en-US"/>
        </w:rPr>
        <w:t xml:space="preserve">NDIS website, </w:t>
      </w:r>
      <w:hyperlink r:id="rId157" w:tooltip="More information can be found at the website via this link" w:history="1">
        <w:r w:rsidRPr="00BB2480">
          <w:rPr>
            <w:rStyle w:val="Hyperlink"/>
            <w:i/>
            <w:iCs/>
          </w:rPr>
          <w:t>https://www.ndis.gov.au/providers/price-guides-and-pricing</w:t>
        </w:r>
      </w:hyperlink>
      <w:r w:rsidRPr="00BB2480">
        <w:rPr>
          <w:i/>
          <w:iCs/>
        </w:rPr>
        <w:t>,</w:t>
      </w:r>
      <w:r>
        <w:t xml:space="preserve"> accessed 24 May 2020.</w:t>
      </w:r>
    </w:p>
  </w:footnote>
  <w:footnote w:id="478">
    <w:p w14:paraId="74E0688B" w14:textId="77777777" w:rsidR="003235DB" w:rsidRPr="00A268FA" w:rsidRDefault="003235DB" w:rsidP="00C85CCB">
      <w:pPr>
        <w:pStyle w:val="FootnoteText"/>
        <w:rPr>
          <w:rStyle w:val="Hyperlink"/>
          <w:i/>
          <w:iCs/>
        </w:rPr>
      </w:pPr>
      <w:r>
        <w:rPr>
          <w:rStyle w:val="FootnoteReference"/>
        </w:rPr>
        <w:footnoteRef/>
      </w:r>
      <w:r>
        <w:t xml:space="preserve"> See for example, anonymous submission 284174932, a</w:t>
      </w:r>
      <w:r w:rsidRPr="00F915C5">
        <w:t xml:space="preserve">ccessed </w:t>
      </w:r>
      <w:r>
        <w:t>13 November 2020,</w:t>
      </w:r>
      <w:r w:rsidRPr="00F915C5">
        <w:t xml:space="preserve"> </w:t>
      </w:r>
      <w:r w:rsidRPr="00A268FA">
        <w:rPr>
          <w:rStyle w:val="Hyperlink"/>
          <w:i/>
          <w:iCs/>
        </w:rPr>
        <w:t>https://consultation.abcb.gov.au/engagement/consult-ris-accessible-housing/consultation/view_respondent?_b_index=60&amp;uuId=284174932.</w:t>
      </w:r>
    </w:p>
  </w:footnote>
  <w:footnote w:id="479">
    <w:p w14:paraId="60179B7F" w14:textId="77777777" w:rsidR="003235DB" w:rsidRDefault="003235DB" w:rsidP="00C85CCB">
      <w:pPr>
        <w:pStyle w:val="FootnoteText"/>
      </w:pPr>
      <w:r>
        <w:rPr>
          <w:rStyle w:val="FootnoteReference"/>
        </w:rPr>
        <w:footnoteRef/>
      </w:r>
      <w:r>
        <w:t xml:space="preserve"> Leigh, A. 2010, “Informal Care and Labor Market Participation”, </w:t>
      </w:r>
      <w:r w:rsidRPr="00FC3E18">
        <w:rPr>
          <w:i/>
          <w:iCs/>
        </w:rPr>
        <w:t>Labour Economics</w:t>
      </w:r>
      <w:r>
        <w:t>,</w:t>
      </w:r>
      <w:r w:rsidRPr="0069468B">
        <w:rPr>
          <w:b/>
          <w:bCs/>
        </w:rPr>
        <w:t>17</w:t>
      </w:r>
      <w:r>
        <w:t>(1), p. 140-149.</w:t>
      </w:r>
    </w:p>
  </w:footnote>
  <w:footnote w:id="480">
    <w:p w14:paraId="04B552D9" w14:textId="77777777" w:rsidR="003235DB" w:rsidRDefault="003235DB" w:rsidP="00C85CCB">
      <w:pPr>
        <w:pStyle w:val="FootnoteText"/>
      </w:pPr>
      <w:r>
        <w:rPr>
          <w:rStyle w:val="FootnoteReference"/>
        </w:rPr>
        <w:footnoteRef/>
      </w:r>
      <w:r>
        <w:t xml:space="preserve"> Payscale website, </w:t>
      </w:r>
      <w:hyperlink r:id="rId158" w:tooltip="More information can be found at the website via this link" w:history="1">
        <w:r w:rsidRPr="00A268FA">
          <w:rPr>
            <w:rStyle w:val="Hyperlink"/>
            <w:i/>
            <w:iCs/>
          </w:rPr>
          <w:t>https://www.payscale.com/research/AU/Job=Aged_Care_Worker/Hourly_Rate/999a3db7/Sydney</w:t>
        </w:r>
      </w:hyperlink>
      <w:r w:rsidRPr="00A268FA">
        <w:rPr>
          <w:rStyle w:val="Hyperlink"/>
          <w:i/>
          <w:iCs/>
        </w:rPr>
        <w:t>,</w:t>
      </w:r>
      <w:r>
        <w:t xml:space="preserve"> accessed 29 October 2020.</w:t>
      </w:r>
    </w:p>
  </w:footnote>
  <w:footnote w:id="481">
    <w:p w14:paraId="3B37FE0A" w14:textId="77777777" w:rsidR="003235DB" w:rsidRPr="00D71A2E" w:rsidRDefault="003235DB" w:rsidP="00AB649A">
      <w:pPr>
        <w:pStyle w:val="FootnoteText"/>
      </w:pPr>
      <w:r>
        <w:rPr>
          <w:rStyle w:val="FootnoteReference"/>
        </w:rPr>
        <w:footnoteRef/>
      </w:r>
      <w:r>
        <w:t xml:space="preserve"> DCWC 2020, </w:t>
      </w:r>
      <w:r>
        <w:rPr>
          <w:i/>
          <w:iCs/>
        </w:rPr>
        <w:t>NCC Accessible Housing Sundry Cost Advice, Letter to Kieran O’Donnell</w:t>
      </w:r>
      <w:r>
        <w:t>, 15 December 2020 and associated spreadsheets</w:t>
      </w:r>
    </w:p>
  </w:footnote>
  <w:footnote w:id="482">
    <w:p w14:paraId="6E1989BD" w14:textId="77777777" w:rsidR="003235DB" w:rsidRPr="001F09C8" w:rsidRDefault="003235DB" w:rsidP="00AB649A">
      <w:pPr>
        <w:pStyle w:val="FootnoteText"/>
      </w:pPr>
      <w:r>
        <w:rPr>
          <w:rStyle w:val="FootnoteReference"/>
        </w:rPr>
        <w:footnoteRef/>
      </w:r>
      <w:r>
        <w:t xml:space="preserve"> </w:t>
      </w:r>
      <w:r>
        <w:tab/>
        <w:t xml:space="preserve">Young People In Nursing Homes National Alliance, Monash University Department of Architecture 2015, </w:t>
      </w:r>
      <w:r>
        <w:rPr>
          <w:i/>
          <w:iCs/>
        </w:rPr>
        <w:t>Shaping the Future Today: Transforming Housing Policy for Australians with Disability</w:t>
      </w:r>
      <w:r>
        <w:t>, Melbourne, p.20</w:t>
      </w:r>
    </w:p>
  </w:footnote>
  <w:footnote w:id="483">
    <w:p w14:paraId="64C61C22" w14:textId="77777777" w:rsidR="003235DB" w:rsidRPr="00421DEC" w:rsidRDefault="003235DB" w:rsidP="00D10AEA">
      <w:pPr>
        <w:pStyle w:val="FootnoteText"/>
        <w:rPr>
          <w:lang w:val="en-US"/>
        </w:rPr>
      </w:pPr>
      <w:r>
        <w:rPr>
          <w:rStyle w:val="FootnoteReference"/>
        </w:rPr>
        <w:footnoteRef/>
      </w:r>
      <w:r>
        <w:t xml:space="preserve"> </w:t>
      </w:r>
      <w:r>
        <w:rPr>
          <w:lang w:val="en-US"/>
        </w:rPr>
        <w:t xml:space="preserve">See: </w:t>
      </w:r>
      <w:hyperlink r:id="rId159" w:tooltip="More information can be found at the website via this link" w:history="1">
        <w:r w:rsidRPr="00A268FA">
          <w:rPr>
            <w:rStyle w:val="Hyperlink"/>
            <w:i/>
            <w:iCs/>
          </w:rPr>
          <w:t>https://www.realestate.com.au/advice/how-much-does-it-cost-to-sell-a-house/</w:t>
        </w:r>
      </w:hyperlink>
      <w:r>
        <w:rPr>
          <w:lang w:val="en-US"/>
        </w:rPr>
        <w:t xml:space="preserve">, accessed 18 November 2020; and </w:t>
      </w:r>
      <w:hyperlink r:id="rId160" w:tooltip="More information can be found at the website via this link" w:history="1">
        <w:r w:rsidRPr="00A268FA">
          <w:rPr>
            <w:rStyle w:val="Hyperlink"/>
            <w:i/>
            <w:iCs/>
          </w:rPr>
          <w:t>https://www.realestate.com.au/advice/hidden-costs-buying-home/</w:t>
        </w:r>
      </w:hyperlink>
      <w:r w:rsidRPr="00A268FA">
        <w:rPr>
          <w:rStyle w:val="Hyperlink"/>
          <w:i/>
          <w:iCs/>
        </w:rPr>
        <w:t xml:space="preserve">, </w:t>
      </w:r>
      <w:r>
        <w:rPr>
          <w:lang w:val="en-US"/>
        </w:rPr>
        <w:t>accessed 18 November 2020.</w:t>
      </w:r>
    </w:p>
  </w:footnote>
  <w:footnote w:id="484">
    <w:p w14:paraId="1F322396" w14:textId="77777777" w:rsidR="003235DB" w:rsidRPr="00A51510" w:rsidRDefault="003235DB" w:rsidP="00D10AEA">
      <w:pPr>
        <w:pStyle w:val="FootnoteText"/>
        <w:rPr>
          <w:lang w:val="en-US"/>
        </w:rPr>
      </w:pPr>
      <w:r>
        <w:rPr>
          <w:rStyle w:val="FootnoteReference"/>
        </w:rPr>
        <w:footnoteRef/>
      </w:r>
      <w:r>
        <w:t xml:space="preserve"> </w:t>
      </w:r>
      <w:r>
        <w:rPr>
          <w:lang w:val="en-US"/>
        </w:rPr>
        <w:t xml:space="preserve">See for example: </w:t>
      </w:r>
      <w:hyperlink r:id="rId161" w:history="1">
        <w:r w:rsidRPr="00A268FA">
          <w:rPr>
            <w:rStyle w:val="Hyperlink"/>
            <w:i/>
            <w:iCs/>
          </w:rPr>
          <w:t>https://www.openagent.com.au/blog/how-much-moving-cost?at=v5&amp;utm_expid=.6ZprDALXQh2rpM05ZARdBA.1&amp;utm_referrer=https%3A%2F%2Fwww.google.com%2F</w:t>
        </w:r>
      </w:hyperlink>
      <w:r>
        <w:t>, accessed 23 January 2020.</w:t>
      </w:r>
    </w:p>
  </w:footnote>
  <w:footnote w:id="485">
    <w:p w14:paraId="618C0629" w14:textId="77777777" w:rsidR="003235DB" w:rsidRPr="00421DEC" w:rsidRDefault="003235DB" w:rsidP="00D10AEA">
      <w:pPr>
        <w:pStyle w:val="FootnoteText"/>
        <w:rPr>
          <w:lang w:val="en-US"/>
        </w:rPr>
      </w:pPr>
      <w:r>
        <w:rPr>
          <w:rStyle w:val="FootnoteReference"/>
        </w:rPr>
        <w:footnoteRef/>
      </w:r>
      <w:r>
        <w:t xml:space="preserve"> </w:t>
      </w:r>
      <w:r>
        <w:rPr>
          <w:lang w:val="en-US"/>
        </w:rPr>
        <w:t xml:space="preserve">See </w:t>
      </w:r>
      <w:hyperlink r:id="rId162" w:tooltip="More information can be found at the website via this link" w:history="1">
        <w:r w:rsidRPr="00A268FA">
          <w:rPr>
            <w:rStyle w:val="Hyperlink"/>
            <w:i/>
            <w:iCs/>
          </w:rPr>
          <w:t>https://www.realestate.com.au/advice/how-much-does-it-cost-to-sell-a-house/</w:t>
        </w:r>
      </w:hyperlink>
      <w:r>
        <w:rPr>
          <w:lang w:val="en-US"/>
        </w:rPr>
        <w:t>, accessed 18 November 2020.</w:t>
      </w:r>
    </w:p>
  </w:footnote>
  <w:footnote w:id="486">
    <w:p w14:paraId="53D53679" w14:textId="77777777" w:rsidR="003235DB" w:rsidRPr="00792BBC" w:rsidRDefault="003235DB" w:rsidP="00014007">
      <w:pPr>
        <w:pStyle w:val="FootnoteText"/>
        <w:rPr>
          <w:lang w:val="en-US"/>
        </w:rPr>
      </w:pPr>
      <w:r>
        <w:rPr>
          <w:rStyle w:val="FootnoteReference"/>
        </w:rPr>
        <w:footnoteRef/>
      </w:r>
      <w:r>
        <w:t xml:space="preserve"> </w:t>
      </w:r>
      <w:r>
        <w:rPr>
          <w:lang w:val="en-US"/>
        </w:rPr>
        <w:t xml:space="preserve">Bringolf, J. 2015, </w:t>
      </w:r>
      <w:r w:rsidRPr="009B0AED">
        <w:rPr>
          <w:i/>
          <w:iCs/>
          <w:lang w:val="en-US"/>
        </w:rPr>
        <w:t>Let’s Talk About Where You Live</w:t>
      </w:r>
      <w:r>
        <w:rPr>
          <w:lang w:val="en-US"/>
        </w:rPr>
        <w:t>, Incomplete draft based on COTA NSW 2014 survey data for the 50+ Report with a focus on how and where older people are living, unpublished, p. 14.</w:t>
      </w:r>
    </w:p>
  </w:footnote>
  <w:footnote w:id="487">
    <w:p w14:paraId="3597A928" w14:textId="77777777" w:rsidR="003235DB" w:rsidRPr="004A5374" w:rsidRDefault="003235DB" w:rsidP="00ED748D">
      <w:pPr>
        <w:pStyle w:val="FootnoteText"/>
        <w:rPr>
          <w:lang w:val="en-US"/>
        </w:rPr>
      </w:pPr>
      <w:r>
        <w:rPr>
          <w:rStyle w:val="FootnoteReference"/>
        </w:rPr>
        <w:footnoteRef/>
      </w:r>
      <w:r>
        <w:t xml:space="preserve"> </w:t>
      </w:r>
      <w:r>
        <w:tab/>
      </w:r>
      <w:r>
        <w:rPr>
          <w:lang w:val="en-US"/>
        </w:rPr>
        <w:t xml:space="preserve">New, P.W. Jolley, D.J. Cameron, P.A. Olver, J.H. Stoelwinder, J.U. 2013, “A prospective multicenter study to discharge from inpatient rehabilitations”, </w:t>
      </w:r>
      <w:r w:rsidRPr="00BB5DEA">
        <w:rPr>
          <w:i/>
          <w:iCs/>
          <w:lang w:val="en-US"/>
        </w:rPr>
        <w:t>Medical Journal of Australia</w:t>
      </w:r>
      <w:r>
        <w:rPr>
          <w:lang w:val="en-US"/>
        </w:rPr>
        <w:t xml:space="preserve">, </w:t>
      </w:r>
      <w:r w:rsidRPr="00662FCD">
        <w:rPr>
          <w:b/>
          <w:bCs/>
          <w:lang w:val="en-US"/>
        </w:rPr>
        <w:t>198</w:t>
      </w:r>
      <w:r>
        <w:rPr>
          <w:lang w:val="en-US"/>
        </w:rPr>
        <w:t xml:space="preserve"> (2), pp. 104</w:t>
      </w:r>
      <w:r>
        <w:rPr>
          <w:lang w:val="en-US"/>
        </w:rPr>
        <w:noBreakHyphen/>
        <w:t>108.</w:t>
      </w:r>
    </w:p>
  </w:footnote>
  <w:footnote w:id="488">
    <w:p w14:paraId="16413E46" w14:textId="77777777" w:rsidR="003235DB" w:rsidRPr="00995D55" w:rsidRDefault="003235DB" w:rsidP="00ED748D">
      <w:pPr>
        <w:pStyle w:val="FootnoteText"/>
        <w:rPr>
          <w:lang w:val="en-US"/>
        </w:rPr>
      </w:pPr>
      <w:r>
        <w:rPr>
          <w:rStyle w:val="FootnoteReference"/>
        </w:rPr>
        <w:footnoteRef/>
      </w:r>
      <w:r>
        <w:t xml:space="preserve"> </w:t>
      </w:r>
      <w:r>
        <w:tab/>
      </w:r>
      <w:r>
        <w:rPr>
          <w:lang w:val="en-US"/>
        </w:rPr>
        <w:t xml:space="preserve">Ou, L. Chen, J. and Santiano, N. 2009, “Discharge delays in acute care: Reasons and determinants of delay in general ward patients”, </w:t>
      </w:r>
      <w:r w:rsidRPr="00662FCD">
        <w:rPr>
          <w:i/>
          <w:iCs/>
          <w:lang w:val="en-US"/>
        </w:rPr>
        <w:t>Australian Health Review</w:t>
      </w:r>
      <w:r>
        <w:rPr>
          <w:lang w:val="en-US"/>
        </w:rPr>
        <w:t xml:space="preserve">, August 2009, </w:t>
      </w:r>
      <w:r w:rsidRPr="00662FCD">
        <w:rPr>
          <w:b/>
          <w:bCs/>
          <w:lang w:val="en-US"/>
        </w:rPr>
        <w:t>33</w:t>
      </w:r>
      <w:r>
        <w:rPr>
          <w:lang w:val="en-US"/>
        </w:rPr>
        <w:t xml:space="preserve"> (3), pp. 513</w:t>
      </w:r>
      <w:r>
        <w:rPr>
          <w:lang w:val="en-US"/>
        </w:rPr>
        <w:noBreakHyphen/>
        <w:t>521.</w:t>
      </w:r>
    </w:p>
  </w:footnote>
  <w:footnote w:id="489">
    <w:p w14:paraId="5FFEB5A1" w14:textId="77777777" w:rsidR="003235DB" w:rsidRPr="003B6F2D" w:rsidRDefault="003235DB" w:rsidP="00ED748D">
      <w:pPr>
        <w:pStyle w:val="FootnoteText"/>
        <w:rPr>
          <w:lang w:val="en-US"/>
        </w:rPr>
      </w:pPr>
      <w:r>
        <w:rPr>
          <w:rStyle w:val="FootnoteReference"/>
        </w:rPr>
        <w:footnoteRef/>
      </w:r>
      <w:r>
        <w:t xml:space="preserve"> </w:t>
      </w:r>
      <w:r>
        <w:rPr>
          <w:lang w:val="en-US"/>
        </w:rPr>
        <w:t xml:space="preserve">Australian Institute of Health and Welfare website, </w:t>
      </w:r>
      <w:hyperlink r:id="rId163" w:tooltip="More information can be found at the website via this link" w:history="1">
        <w:r w:rsidRPr="00A268FA">
          <w:rPr>
            <w:rStyle w:val="Hyperlink"/>
            <w:i/>
            <w:iCs/>
          </w:rPr>
          <w:t>https://www.aihw.gov.au/reports-data/myhospitals/content/glossary</w:t>
        </w:r>
      </w:hyperlink>
      <w:r w:rsidRPr="00A268FA">
        <w:rPr>
          <w:rStyle w:val="Hyperlink"/>
          <w:i/>
          <w:iCs/>
        </w:rPr>
        <w:t xml:space="preserve">, </w:t>
      </w:r>
      <w:r>
        <w:t>accessed 21 January 2020.</w:t>
      </w:r>
    </w:p>
  </w:footnote>
  <w:footnote w:id="490">
    <w:p w14:paraId="498AD627" w14:textId="77777777" w:rsidR="003235DB" w:rsidRPr="006021A0" w:rsidRDefault="003235DB" w:rsidP="00ED748D">
      <w:pPr>
        <w:pStyle w:val="FootnoteText"/>
        <w:rPr>
          <w:lang w:val="en-US"/>
        </w:rPr>
      </w:pPr>
      <w:r>
        <w:rPr>
          <w:rStyle w:val="FootnoteReference"/>
        </w:rPr>
        <w:footnoteRef/>
      </w:r>
      <w:r>
        <w:t xml:space="preserve"> </w:t>
      </w:r>
      <w:r>
        <w:rPr>
          <w:lang w:val="en-US"/>
        </w:rPr>
        <w:t xml:space="preserve">IHPA website, </w:t>
      </w:r>
      <w:hyperlink r:id="rId164" w:tooltip="More information can be found at the website via this link" w:history="1">
        <w:r w:rsidRPr="00A268FA">
          <w:rPr>
            <w:rStyle w:val="Hyperlink"/>
            <w:i/>
            <w:iCs/>
          </w:rPr>
          <w:t>https://www.ihpa.gov.au/what-we-do/subacute-and-non-acute-care</w:t>
        </w:r>
      </w:hyperlink>
      <w:r w:rsidRPr="00A268FA">
        <w:rPr>
          <w:rStyle w:val="Hyperlink"/>
          <w:i/>
          <w:iCs/>
        </w:rPr>
        <w:t>,</w:t>
      </w:r>
      <w:r>
        <w:t xml:space="preserve"> accessed 20 January 2020.</w:t>
      </w:r>
    </w:p>
  </w:footnote>
  <w:footnote w:id="491">
    <w:p w14:paraId="6E4668E3" w14:textId="77777777" w:rsidR="003235DB" w:rsidRPr="00E368EE" w:rsidRDefault="003235DB" w:rsidP="00ED748D">
      <w:pPr>
        <w:pStyle w:val="FootnoteText"/>
        <w:rPr>
          <w:lang w:val="en-US"/>
        </w:rPr>
      </w:pPr>
      <w:r>
        <w:rPr>
          <w:rStyle w:val="FootnoteReference"/>
        </w:rPr>
        <w:footnoteRef/>
      </w:r>
      <w:r>
        <w:t xml:space="preserve"> Australian Government, My aged care website, </w:t>
      </w:r>
      <w:hyperlink r:id="rId165" w:tooltip="More information can be found at the website via this link" w:history="1">
        <w:r w:rsidRPr="00A268FA">
          <w:rPr>
            <w:rStyle w:val="Hyperlink"/>
            <w:i/>
            <w:iCs/>
          </w:rPr>
          <w:t>https://www.myagedcare.gov.au/short-term-care/transition-care</w:t>
        </w:r>
      </w:hyperlink>
      <w:r>
        <w:t>, accessed 20 January 2020.</w:t>
      </w:r>
    </w:p>
  </w:footnote>
  <w:footnote w:id="492">
    <w:p w14:paraId="1E32BAB0" w14:textId="77777777" w:rsidR="003235DB" w:rsidRPr="002D004B" w:rsidRDefault="003235DB" w:rsidP="00ED748D">
      <w:pPr>
        <w:pStyle w:val="FootnoteText"/>
        <w:rPr>
          <w:lang w:val="en-US"/>
        </w:rPr>
      </w:pPr>
      <w:r>
        <w:rPr>
          <w:rStyle w:val="FootnoteReference"/>
        </w:rPr>
        <w:footnoteRef/>
      </w:r>
      <w:r>
        <w:t xml:space="preserve"> </w:t>
      </w:r>
      <w:r>
        <w:rPr>
          <w:lang w:val="en-US"/>
        </w:rPr>
        <w:t xml:space="preserve">McDaid, D., Park, A.L. and Fernandez, J.L. 2016, </w:t>
      </w:r>
      <w:r w:rsidRPr="003967D7">
        <w:rPr>
          <w:i/>
          <w:iCs/>
          <w:lang w:val="en-US"/>
        </w:rPr>
        <w:t>Reconnections Evaluation Interim Report</w:t>
      </w:r>
      <w:r>
        <w:rPr>
          <w:lang w:val="en-US"/>
        </w:rPr>
        <w:t>, Personal Social Services Research Unit (PSSRU), London School of Economics, June 2016, p. 30.</w:t>
      </w:r>
    </w:p>
  </w:footnote>
  <w:footnote w:id="493">
    <w:p w14:paraId="1B30ACE9" w14:textId="77777777" w:rsidR="003235DB" w:rsidRPr="002D004B" w:rsidRDefault="003235DB" w:rsidP="00ED748D">
      <w:pPr>
        <w:pStyle w:val="FootnoteText"/>
        <w:rPr>
          <w:lang w:val="en-US"/>
        </w:rPr>
      </w:pPr>
      <w:r>
        <w:rPr>
          <w:rStyle w:val="FootnoteReference"/>
        </w:rPr>
        <w:footnoteRef/>
      </w:r>
      <w:r>
        <w:t xml:space="preserve"> </w:t>
      </w:r>
      <w:r>
        <w:rPr>
          <w:lang w:val="en-US"/>
        </w:rPr>
        <w:t xml:space="preserve">McDaid, D., Park, A.L. and Fernandez, J.L. 2016, </w:t>
      </w:r>
      <w:r w:rsidRPr="00CD2EEC">
        <w:rPr>
          <w:i/>
          <w:iCs/>
          <w:lang w:val="en-US"/>
        </w:rPr>
        <w:t>Reconnections Evaluation Interim Report</w:t>
      </w:r>
      <w:r>
        <w:rPr>
          <w:lang w:val="en-US"/>
        </w:rPr>
        <w:t>, Personal Social Services Research Unit (PSSRU), London School of Economics, June 2016, p. 30.</w:t>
      </w:r>
    </w:p>
  </w:footnote>
  <w:footnote w:id="494">
    <w:p w14:paraId="3566183F" w14:textId="77777777" w:rsidR="003235DB" w:rsidRPr="004D2F3B" w:rsidRDefault="003235DB" w:rsidP="00ED748D">
      <w:pPr>
        <w:pStyle w:val="FootnoteText"/>
        <w:rPr>
          <w:szCs w:val="19"/>
          <w:lang w:val="en-US"/>
        </w:rPr>
      </w:pPr>
      <w:r>
        <w:rPr>
          <w:rStyle w:val="FootnoteReference"/>
        </w:rPr>
        <w:footnoteRef/>
      </w:r>
      <w:r>
        <w:t xml:space="preserve"> </w:t>
      </w:r>
      <w:r>
        <w:rPr>
          <w:lang w:val="en-US"/>
        </w:rPr>
        <w:t>Australian Institute of Health and Welfare website</w:t>
      </w:r>
      <w:r w:rsidRPr="004D2F3B">
        <w:rPr>
          <w:szCs w:val="19"/>
          <w:lang w:val="en-US"/>
        </w:rPr>
        <w:t xml:space="preserve">, </w:t>
      </w:r>
      <w:hyperlink r:id="rId166" w:tooltip="More information can be found at the website via this link" w:history="1">
        <w:r w:rsidRPr="00A268FA">
          <w:rPr>
            <w:rStyle w:val="Hyperlink"/>
            <w:rFonts w:eastAsiaTheme="minorEastAsia"/>
            <w:i/>
          </w:rPr>
          <w:t>https://www.gen-agedcaredata.gov.au/Resources/Access-data/2019/September/Aged-care-data-snapshot%E2%80%942019</w:t>
        </w:r>
      </w:hyperlink>
      <w:r w:rsidRPr="00A268FA">
        <w:rPr>
          <w:rStyle w:val="Hyperlink"/>
          <w:rFonts w:eastAsiaTheme="minorEastAsia"/>
          <w:i/>
        </w:rPr>
        <w:t xml:space="preserve">, </w:t>
      </w:r>
      <w:r w:rsidRPr="004D2F3B">
        <w:rPr>
          <w:rFonts w:ascii="Calisto MT" w:eastAsiaTheme="minorEastAsia" w:hAnsi="Calisto MT"/>
          <w:szCs w:val="19"/>
        </w:rPr>
        <w:t>accessed 22 December 2019.</w:t>
      </w:r>
    </w:p>
  </w:footnote>
  <w:footnote w:id="495">
    <w:p w14:paraId="28BD0C2B" w14:textId="77777777" w:rsidR="003235DB" w:rsidRPr="00F36A14" w:rsidRDefault="003235DB" w:rsidP="00ED748D">
      <w:pPr>
        <w:pStyle w:val="FootnoteText"/>
        <w:rPr>
          <w:lang w:val="en-US"/>
        </w:rPr>
      </w:pPr>
      <w:r>
        <w:rPr>
          <w:rStyle w:val="FootnoteReference"/>
        </w:rPr>
        <w:footnoteRef/>
      </w:r>
      <w:r>
        <w:t xml:space="preserve"> </w:t>
      </w:r>
      <w:r>
        <w:rPr>
          <w:lang w:val="en-US"/>
        </w:rPr>
        <w:t xml:space="preserve">Jukic, M. and Temple, J.B. 2018, Recommended long term care settings following aged care assessments in Australia, </w:t>
      </w:r>
      <w:r w:rsidRPr="00F36A14">
        <w:rPr>
          <w:i/>
          <w:iCs/>
          <w:lang w:val="en-US"/>
        </w:rPr>
        <w:t>PLOS One</w:t>
      </w:r>
      <w:r>
        <w:rPr>
          <w:lang w:val="en-US"/>
        </w:rPr>
        <w:t>.</w:t>
      </w:r>
    </w:p>
  </w:footnote>
  <w:footnote w:id="496">
    <w:p w14:paraId="77889AF2" w14:textId="77777777" w:rsidR="003235DB" w:rsidRPr="001A6961" w:rsidRDefault="003235DB" w:rsidP="00ED748D">
      <w:pPr>
        <w:pStyle w:val="FootnoteText"/>
        <w:rPr>
          <w:szCs w:val="19"/>
          <w:lang w:val="en-US"/>
        </w:rPr>
      </w:pPr>
      <w:r>
        <w:rPr>
          <w:rStyle w:val="FootnoteReference"/>
        </w:rPr>
        <w:footnoteRef/>
      </w:r>
      <w:r>
        <w:t xml:space="preserve"> </w:t>
      </w:r>
      <w:r>
        <w:rPr>
          <w:lang w:val="en-US"/>
        </w:rPr>
        <w:t xml:space="preserve">Australian Institute of Health and Welfare website, </w:t>
      </w:r>
      <w:hyperlink r:id="rId167" w:tooltip="More information can be found at the website via this link" w:history="1">
        <w:r w:rsidRPr="00A268FA">
          <w:rPr>
            <w:rStyle w:val="Hyperlink"/>
            <w:rFonts w:eastAsiaTheme="minorEastAsia"/>
            <w:i/>
          </w:rPr>
          <w:t>https://www.gen-agedcaredata.gov.au/Resources/Access-data/2019/September/Aged-care-data-snapshot%E2%80%942019</w:t>
        </w:r>
      </w:hyperlink>
      <w:r w:rsidRPr="001A6961">
        <w:rPr>
          <w:rFonts w:ascii="Calisto MT" w:eastAsiaTheme="minorEastAsia" w:hAnsi="Calisto MT"/>
          <w:szCs w:val="19"/>
        </w:rPr>
        <w:t>, accessed 22 December 2019.</w:t>
      </w:r>
    </w:p>
  </w:footnote>
  <w:footnote w:id="497">
    <w:p w14:paraId="4EAD2123" w14:textId="77777777" w:rsidR="003235DB" w:rsidRPr="00CA66C6" w:rsidRDefault="003235DB" w:rsidP="00CA66C6">
      <w:pPr>
        <w:spacing w:before="80" w:line="240" w:lineRule="atLeast"/>
        <w:rPr>
          <w:rFonts w:asciiTheme="minorHAnsi" w:eastAsia="Times New Roman" w:hAnsiTheme="minorHAnsi"/>
          <w:sz w:val="19"/>
          <w:szCs w:val="18"/>
          <w:lang w:val="en-US"/>
        </w:rPr>
      </w:pPr>
      <w:r>
        <w:rPr>
          <w:rStyle w:val="FootnoteReference"/>
        </w:rPr>
        <w:footnoteRef/>
      </w:r>
      <w:r>
        <w:t xml:space="preserve"> </w:t>
      </w:r>
      <w:r w:rsidRPr="00CA66C6">
        <w:rPr>
          <w:rFonts w:asciiTheme="minorHAnsi" w:eastAsia="Times New Roman" w:hAnsiTheme="minorHAnsi"/>
          <w:sz w:val="19"/>
          <w:szCs w:val="18"/>
          <w:lang w:val="en-US"/>
        </w:rPr>
        <w:t>Jukic, M. 2017, Modelling Residential Aged Care in Australia: Entry and Exit, A thesis submitted for the degree of Doctor of Philosophy of the University of Melbourne</w:t>
      </w:r>
    </w:p>
  </w:footnote>
  <w:footnote w:id="498">
    <w:p w14:paraId="62DD12DB" w14:textId="77777777" w:rsidR="003235DB" w:rsidRDefault="003235DB">
      <w:pPr>
        <w:pStyle w:val="FootnoteText"/>
      </w:pPr>
      <w:r>
        <w:rPr>
          <w:rStyle w:val="FootnoteReference"/>
        </w:rPr>
        <w:footnoteRef/>
      </w:r>
      <w:r>
        <w:t xml:space="preserve"> </w:t>
      </w:r>
      <w:r>
        <w:rPr>
          <w:lang w:val="en-US"/>
        </w:rPr>
        <w:t xml:space="preserve">Jukic, M. and Temple, J.B. 2018, Recommended long term care settings following aged care assessments in Australia, </w:t>
      </w:r>
      <w:r w:rsidRPr="00F36A14">
        <w:rPr>
          <w:i/>
          <w:iCs/>
          <w:lang w:val="en-US"/>
        </w:rPr>
        <w:t>PLOS One</w:t>
      </w:r>
      <w:r>
        <w:rPr>
          <w:lang w:val="en-US"/>
        </w:rPr>
        <w:t>.</w:t>
      </w:r>
    </w:p>
  </w:footnote>
  <w:footnote w:id="499">
    <w:p w14:paraId="56293EEA" w14:textId="77777777" w:rsidR="003235DB" w:rsidRPr="0067715A" w:rsidRDefault="003235DB" w:rsidP="00ED748D">
      <w:pPr>
        <w:pStyle w:val="FootnoteText"/>
        <w:rPr>
          <w:lang w:val="en-US"/>
        </w:rPr>
      </w:pPr>
      <w:r>
        <w:rPr>
          <w:rStyle w:val="FootnoteReference"/>
        </w:rPr>
        <w:footnoteRef/>
      </w:r>
      <w:r>
        <w:t xml:space="preserve"> </w:t>
      </w:r>
      <w:r>
        <w:rPr>
          <w:lang w:val="en-US"/>
        </w:rPr>
        <w:t xml:space="preserve">Royal Commission into Aged Care Quality and Safety 2019, </w:t>
      </w:r>
      <w:r w:rsidRPr="00C30594">
        <w:rPr>
          <w:i/>
          <w:iCs/>
          <w:lang w:val="en-US"/>
        </w:rPr>
        <w:t>Interim Report: Neglect</w:t>
      </w:r>
      <w:r>
        <w:rPr>
          <w:lang w:val="en-US"/>
        </w:rPr>
        <w:t>, Volume 1, October 2019, p. 4.</w:t>
      </w:r>
    </w:p>
  </w:footnote>
  <w:footnote w:id="500">
    <w:p w14:paraId="075F6B4E" w14:textId="77777777" w:rsidR="003235DB" w:rsidRPr="00085F58" w:rsidRDefault="003235DB" w:rsidP="00ED748D">
      <w:pPr>
        <w:pStyle w:val="FootnoteText"/>
        <w:rPr>
          <w:lang w:val="en-US"/>
        </w:rPr>
      </w:pPr>
      <w:r>
        <w:rPr>
          <w:rStyle w:val="FootnoteReference"/>
        </w:rPr>
        <w:footnoteRef/>
      </w:r>
      <w:r>
        <w:t xml:space="preserve"> </w:t>
      </w:r>
      <w:r>
        <w:rPr>
          <w:lang w:val="en-US"/>
        </w:rPr>
        <w:t xml:space="preserve">Department of Social Services website, </w:t>
      </w:r>
      <w:hyperlink r:id="rId168" w:tooltip="More information can be found at the website via this link" w:history="1">
        <w:r w:rsidRPr="00A268FA">
          <w:rPr>
            <w:rStyle w:val="Hyperlink"/>
            <w:i/>
            <w:iCs/>
          </w:rPr>
          <w:t>https://www.dss.gov.au/disability-and-carers/programmes-services/for-people-with-disability/younger-people-with-disability-in-residential-aged-care-initiative</w:t>
        </w:r>
      </w:hyperlink>
      <w:r w:rsidRPr="00A268FA">
        <w:rPr>
          <w:rStyle w:val="Hyperlink"/>
          <w:i/>
          <w:iCs/>
        </w:rPr>
        <w:t xml:space="preserve">, </w:t>
      </w:r>
      <w:r>
        <w:t>accessed 17 February 2020.</w:t>
      </w:r>
    </w:p>
  </w:footnote>
  <w:footnote w:id="501">
    <w:p w14:paraId="72A45012" w14:textId="77777777" w:rsidR="003235DB" w:rsidRPr="007D7DA0" w:rsidRDefault="003235DB" w:rsidP="00ED748D">
      <w:pPr>
        <w:pStyle w:val="FootnoteText"/>
        <w:rPr>
          <w:lang w:val="en-US"/>
        </w:rPr>
      </w:pPr>
      <w:r>
        <w:rPr>
          <w:rStyle w:val="FootnoteReference"/>
        </w:rPr>
        <w:footnoteRef/>
      </w:r>
      <w:r>
        <w:t xml:space="preserve"> NDIA 2019, </w:t>
      </w:r>
      <w:r w:rsidRPr="00237183">
        <w:rPr>
          <w:i/>
          <w:iCs/>
          <w:lang w:val="en-US"/>
        </w:rPr>
        <w:t>COAG Disability Reform Council Quarterly Report</w:t>
      </w:r>
      <w:r>
        <w:rPr>
          <w:lang w:val="en-US"/>
        </w:rPr>
        <w:t>, December 2019, p. 27.</w:t>
      </w:r>
    </w:p>
  </w:footnote>
  <w:footnote w:id="502">
    <w:p w14:paraId="24A0C058" w14:textId="77777777" w:rsidR="003235DB" w:rsidRPr="007F37E3" w:rsidRDefault="003235DB" w:rsidP="00ED748D">
      <w:pPr>
        <w:pStyle w:val="FootnoteText"/>
        <w:rPr>
          <w:lang w:val="en-US"/>
        </w:rPr>
      </w:pPr>
      <w:r>
        <w:rPr>
          <w:rStyle w:val="FootnoteReference"/>
        </w:rPr>
        <w:footnoteRef/>
      </w:r>
      <w:r>
        <w:t xml:space="preserve"> ibid</w:t>
      </w:r>
      <w:r>
        <w:rPr>
          <w:lang w:val="en-US"/>
        </w:rPr>
        <w:t>, pp. 26-27.</w:t>
      </w:r>
    </w:p>
  </w:footnote>
  <w:footnote w:id="503">
    <w:p w14:paraId="45FFC8E9" w14:textId="77777777" w:rsidR="003235DB" w:rsidRPr="00F36A14" w:rsidRDefault="003235DB" w:rsidP="00ED748D">
      <w:pPr>
        <w:pStyle w:val="FootnoteText"/>
        <w:rPr>
          <w:lang w:val="en-US"/>
        </w:rPr>
      </w:pPr>
      <w:r>
        <w:rPr>
          <w:rStyle w:val="FootnoteReference"/>
        </w:rPr>
        <w:footnoteRef/>
      </w:r>
      <w:r>
        <w:t xml:space="preserve"> Australian Government, Younger People in Residential Aged Care – Action Plan, pp. 4</w:t>
      </w:r>
      <w:r>
        <w:noBreakHyphen/>
        <w:t>5.</w:t>
      </w:r>
    </w:p>
  </w:footnote>
  <w:footnote w:id="504">
    <w:p w14:paraId="00CB5D6D" w14:textId="77777777" w:rsidR="003235DB" w:rsidRPr="00FE4E74" w:rsidRDefault="003235DB" w:rsidP="00ED748D">
      <w:pPr>
        <w:pStyle w:val="FootnoteText"/>
        <w:rPr>
          <w:lang w:val="en-US"/>
        </w:rPr>
      </w:pPr>
      <w:r>
        <w:rPr>
          <w:rStyle w:val="FootnoteReference"/>
        </w:rPr>
        <w:footnoteRef/>
      </w:r>
      <w:r>
        <w:t xml:space="preserve"> </w:t>
      </w:r>
      <w:r>
        <w:rPr>
          <w:lang w:val="en-US"/>
        </w:rPr>
        <w:t xml:space="preserve">Royal Commission into Aged Care Quality and Safety 2019, </w:t>
      </w:r>
      <w:r w:rsidRPr="00C30594">
        <w:rPr>
          <w:i/>
          <w:iCs/>
          <w:lang w:val="en-US"/>
        </w:rPr>
        <w:t>Interim Report: Neglect</w:t>
      </w:r>
      <w:r>
        <w:rPr>
          <w:lang w:val="en-US"/>
        </w:rPr>
        <w:t>, Volume 1, October 2019, p. 4.</w:t>
      </w:r>
    </w:p>
  </w:footnote>
  <w:footnote w:id="505">
    <w:p w14:paraId="14CBDCB7" w14:textId="77777777" w:rsidR="003235DB" w:rsidRPr="004E20BD" w:rsidRDefault="003235DB" w:rsidP="00ED748D">
      <w:pPr>
        <w:pStyle w:val="FootnoteText"/>
        <w:rPr>
          <w:lang w:val="en-US"/>
        </w:rPr>
      </w:pPr>
      <w:r>
        <w:rPr>
          <w:rStyle w:val="FootnoteReference"/>
        </w:rPr>
        <w:footnoteRef/>
      </w:r>
      <w:r>
        <w:t xml:space="preserve"> </w:t>
      </w:r>
      <w:r>
        <w:rPr>
          <w:lang w:val="en-US"/>
        </w:rPr>
        <w:t xml:space="preserve">Royal Commission into Aged Care Quality and Safety website, </w:t>
      </w:r>
      <w:hyperlink r:id="rId169" w:tooltip="More information can be found at the website via this link" w:history="1">
        <w:r w:rsidRPr="00A268FA">
          <w:rPr>
            <w:rStyle w:val="Hyperlink"/>
            <w:i/>
            <w:iCs/>
          </w:rPr>
          <w:t>https://agedcare.royalcommission.gov.au/Pages/default.aspx</w:t>
        </w:r>
      </w:hyperlink>
      <w:r w:rsidRPr="00A268FA">
        <w:rPr>
          <w:rStyle w:val="Hyperlink"/>
          <w:i/>
          <w:iCs/>
        </w:rPr>
        <w:t>,</w:t>
      </w:r>
      <w:r>
        <w:t xml:space="preserve"> accessed 23 December 2020.</w:t>
      </w:r>
    </w:p>
  </w:footnote>
  <w:footnote w:id="506">
    <w:p w14:paraId="6BDF2235" w14:textId="77777777" w:rsidR="003235DB" w:rsidRPr="00C30594" w:rsidRDefault="003235DB" w:rsidP="00ED748D">
      <w:pPr>
        <w:pStyle w:val="FootnoteText"/>
        <w:rPr>
          <w:lang w:val="en-US"/>
        </w:rPr>
      </w:pPr>
      <w:r>
        <w:rPr>
          <w:rStyle w:val="FootnoteReference"/>
        </w:rPr>
        <w:footnoteRef/>
      </w:r>
      <w:r>
        <w:t xml:space="preserve"> </w:t>
      </w:r>
      <w:r>
        <w:rPr>
          <w:lang w:val="en-US"/>
        </w:rPr>
        <w:t xml:space="preserve">Royal Commission into Aged Care Quality and Safety 2019, </w:t>
      </w:r>
      <w:r w:rsidRPr="00C30594">
        <w:rPr>
          <w:i/>
          <w:iCs/>
          <w:lang w:val="en-US"/>
        </w:rPr>
        <w:t>Interim Report: Neglect</w:t>
      </w:r>
      <w:r>
        <w:rPr>
          <w:lang w:val="en-US"/>
        </w:rPr>
        <w:t>, Volume 1, October 2019, p. 12.</w:t>
      </w:r>
    </w:p>
  </w:footnote>
  <w:footnote w:id="507">
    <w:p w14:paraId="6A304CC4" w14:textId="77777777" w:rsidR="003235DB" w:rsidRPr="001A1368" w:rsidRDefault="003235DB" w:rsidP="00ED748D">
      <w:pPr>
        <w:pStyle w:val="FootnoteText"/>
        <w:rPr>
          <w:lang w:val="en-US"/>
        </w:rPr>
      </w:pPr>
      <w:r>
        <w:rPr>
          <w:rStyle w:val="FootnoteReference"/>
        </w:rPr>
        <w:footnoteRef/>
      </w:r>
      <w:r>
        <w:t xml:space="preserve"> </w:t>
      </w:r>
      <w:r>
        <w:rPr>
          <w:lang w:val="en-US"/>
        </w:rPr>
        <w:t>ibid, p. 5.</w:t>
      </w:r>
    </w:p>
  </w:footnote>
  <w:footnote w:id="508">
    <w:p w14:paraId="59FDE706" w14:textId="77777777" w:rsidR="003235DB" w:rsidRPr="001060CE" w:rsidRDefault="003235DB" w:rsidP="00ED748D">
      <w:pPr>
        <w:pStyle w:val="FootnoteText"/>
        <w:rPr>
          <w:lang w:val="en-US"/>
        </w:rPr>
      </w:pPr>
      <w:r>
        <w:rPr>
          <w:rStyle w:val="FootnoteReference"/>
        </w:rPr>
        <w:footnoteRef/>
      </w:r>
      <w:r>
        <w:t xml:space="preserve"> Australian Institute of Health and Welfare, 2019, Consumers’ experience of residential aged care Australia 2017</w:t>
      </w:r>
      <w:r>
        <w:noBreakHyphen/>
        <w:t>19, p. 30.</w:t>
      </w:r>
    </w:p>
  </w:footnote>
  <w:footnote w:id="509">
    <w:p w14:paraId="7C94B9A0" w14:textId="77777777" w:rsidR="003235DB" w:rsidRPr="00F36A14" w:rsidRDefault="003235DB" w:rsidP="00ED748D">
      <w:pPr>
        <w:pStyle w:val="FootnoteText"/>
        <w:rPr>
          <w:lang w:val="en-US"/>
        </w:rPr>
      </w:pPr>
      <w:r>
        <w:rPr>
          <w:rStyle w:val="FootnoteReference"/>
        </w:rPr>
        <w:footnoteRef/>
      </w:r>
      <w:r>
        <w:t xml:space="preserve"> Australian Institute of Health and Welfare, 2019, op.cit., p. 1.</w:t>
      </w:r>
    </w:p>
  </w:footnote>
  <w:footnote w:id="510">
    <w:p w14:paraId="70A23744" w14:textId="77777777" w:rsidR="003235DB" w:rsidRDefault="003235DB" w:rsidP="0071092B">
      <w:pPr>
        <w:pStyle w:val="FootnoteText"/>
      </w:pPr>
      <w:r>
        <w:rPr>
          <w:rStyle w:val="FootnoteReference"/>
        </w:rPr>
        <w:footnoteRef/>
      </w:r>
      <w:r>
        <w:t xml:space="preserve"> </w:t>
      </w:r>
      <w:r>
        <w:rPr>
          <w:lang w:val="en-US"/>
        </w:rPr>
        <w:t>Australian Institute of Health and Welfare 2013, Depression in residential aged care 2008</w:t>
      </w:r>
      <w:r>
        <w:rPr>
          <w:lang w:val="en-US"/>
        </w:rPr>
        <w:noBreakHyphen/>
        <w:t>2012, Aged Care Statistics Series Number 39, p. 6.</w:t>
      </w:r>
    </w:p>
  </w:footnote>
  <w:footnote w:id="511">
    <w:p w14:paraId="1A2F2D8E" w14:textId="77777777" w:rsidR="003235DB" w:rsidRPr="00150766" w:rsidRDefault="003235DB" w:rsidP="0071092B">
      <w:pPr>
        <w:pStyle w:val="FootnoteText"/>
        <w:rPr>
          <w:lang w:val="en-US"/>
        </w:rPr>
      </w:pPr>
      <w:r>
        <w:rPr>
          <w:rStyle w:val="FootnoteReference"/>
        </w:rPr>
        <w:footnoteRef/>
      </w:r>
      <w:r>
        <w:t xml:space="preserve"> </w:t>
      </w:r>
      <w:r>
        <w:rPr>
          <w:lang w:val="en-US"/>
        </w:rPr>
        <w:t>Australian Institute of Health and Welfare 2013, op.cit., p. 6.</w:t>
      </w:r>
    </w:p>
  </w:footnote>
  <w:footnote w:id="512">
    <w:p w14:paraId="1EF3722F" w14:textId="77777777" w:rsidR="003235DB" w:rsidRDefault="003235DB" w:rsidP="0071092B">
      <w:pPr>
        <w:pStyle w:val="FootnoteText"/>
      </w:pPr>
      <w:r>
        <w:rPr>
          <w:rStyle w:val="FootnoteReference"/>
        </w:rPr>
        <w:footnoteRef/>
      </w:r>
      <w:r>
        <w:t xml:space="preserve"> Ratcliffe, J. Chen, G. Cleland, J. Kaambwa, B.Khadka, J. Hutchison, C. and Milte, R. Australia’s aged care system: assessing the views and preferences of the general public for quality of care and future funding: A research study for the Royal Commission into Aged Care Quality and Safety, Research Paper 6, July 2020, p. 3.</w:t>
      </w:r>
    </w:p>
  </w:footnote>
  <w:footnote w:id="513">
    <w:p w14:paraId="7C70477E" w14:textId="77777777" w:rsidR="003235DB" w:rsidRDefault="003235DB" w:rsidP="005C0F1D">
      <w:pPr>
        <w:pStyle w:val="FootnoteText"/>
      </w:pPr>
      <w:r>
        <w:rPr>
          <w:rStyle w:val="FootnoteReference"/>
        </w:rPr>
        <w:footnoteRef/>
      </w:r>
      <w:r>
        <w:t xml:space="preserve"> ibid.</w:t>
      </w:r>
    </w:p>
  </w:footnote>
  <w:footnote w:id="514">
    <w:p w14:paraId="7A73A57B" w14:textId="77777777" w:rsidR="003235DB" w:rsidRPr="00BC4493" w:rsidRDefault="003235DB" w:rsidP="001E48A8">
      <w:pPr>
        <w:pStyle w:val="FootnoteText"/>
        <w:rPr>
          <w:lang w:val="en-US"/>
        </w:rPr>
      </w:pPr>
      <w:r>
        <w:rPr>
          <w:rStyle w:val="FootnoteReference"/>
        </w:rPr>
        <w:footnoteRef/>
      </w:r>
      <w:r>
        <w:t xml:space="preserve"> </w:t>
      </w:r>
      <w:r>
        <w:rPr>
          <w:lang w:val="en-US"/>
        </w:rPr>
        <w:t xml:space="preserve">Aged Care Financing Authority 2019, </w:t>
      </w:r>
      <w:r w:rsidRPr="001E48A8">
        <w:rPr>
          <w:i/>
          <w:iCs/>
          <w:lang w:val="en-US"/>
        </w:rPr>
        <w:t>Seventh report on the Funding and Financing of the Aged Care Industry</w:t>
      </w:r>
      <w:r>
        <w:rPr>
          <w:lang w:val="en-US"/>
        </w:rPr>
        <w:t>, July 2019, p. 77.</w:t>
      </w:r>
    </w:p>
  </w:footnote>
  <w:footnote w:id="515">
    <w:p w14:paraId="41A05180" w14:textId="77777777" w:rsidR="003235DB" w:rsidRDefault="003235DB" w:rsidP="001E48A8">
      <w:pPr>
        <w:pStyle w:val="FootnoteText"/>
      </w:pPr>
      <w:r>
        <w:rPr>
          <w:rStyle w:val="FootnoteReference"/>
        </w:rPr>
        <w:footnoteRef/>
      </w:r>
      <w:r>
        <w:t xml:space="preserve"> </w:t>
      </w:r>
      <w:r>
        <w:rPr>
          <w:lang w:bidi="fa-IR"/>
        </w:rPr>
        <w:t xml:space="preserve">University of Queensland 2020, </w:t>
      </w:r>
      <w:r w:rsidRPr="001E48A8">
        <w:rPr>
          <w:i/>
          <w:iCs/>
          <w:lang w:bidi="fa-IR"/>
        </w:rPr>
        <w:t>The cost of residential aged care</w:t>
      </w:r>
      <w:r>
        <w:rPr>
          <w:lang w:bidi="fa-IR"/>
        </w:rPr>
        <w:t>, Royal Commission into Aged Care Quality and Safety, Research Paper 9, August 2020, pp. 3</w:t>
      </w:r>
      <w:r>
        <w:rPr>
          <w:lang w:bidi="fa-IR"/>
        </w:rPr>
        <w:noBreakHyphen/>
        <w:t>5.</w:t>
      </w:r>
    </w:p>
  </w:footnote>
  <w:footnote w:id="516">
    <w:p w14:paraId="3E63720B" w14:textId="77777777" w:rsidR="003235DB" w:rsidRDefault="003235DB" w:rsidP="001E48A8">
      <w:pPr>
        <w:pStyle w:val="FootnoteText"/>
      </w:pPr>
      <w:r>
        <w:rPr>
          <w:rStyle w:val="FootnoteReference"/>
        </w:rPr>
        <w:footnoteRef/>
      </w:r>
      <w:r>
        <w:t xml:space="preserve"> </w:t>
      </w:r>
      <w:r>
        <w:rPr>
          <w:lang w:bidi="fa-IR"/>
        </w:rPr>
        <w:t>University of Queensland, The cost of residential aged care, Royal Commission into Aged Care Quality and Safety, Research Paper 9, August 2020, p. 5.</w:t>
      </w:r>
    </w:p>
  </w:footnote>
  <w:footnote w:id="517">
    <w:p w14:paraId="081AE1F9" w14:textId="77777777" w:rsidR="003235DB" w:rsidRDefault="003235DB" w:rsidP="001E48A8">
      <w:pPr>
        <w:pStyle w:val="FootnoteText"/>
      </w:pPr>
      <w:r>
        <w:rPr>
          <w:rStyle w:val="FootnoteReference"/>
        </w:rPr>
        <w:footnoteRef/>
      </w:r>
      <w:r>
        <w:t xml:space="preserve"> Borotkanics, R. Rowe, C. Georgious, A. Douglas, H. Makeham, M. and Westbrook, J. 2017, Changes in the profile of Australians in 77 residential aged care facilities across New South Wales and the Australian Capital Territory, Australian Health Review, 41, p. 615.</w:t>
      </w:r>
    </w:p>
  </w:footnote>
  <w:footnote w:id="518">
    <w:p w14:paraId="0A5BB5FF" w14:textId="77777777" w:rsidR="003235DB" w:rsidRDefault="003235DB" w:rsidP="001E48A8">
      <w:pPr>
        <w:pStyle w:val="FootnoteText"/>
      </w:pPr>
      <w:r>
        <w:rPr>
          <w:rStyle w:val="FootnoteReference"/>
        </w:rPr>
        <w:footnoteRef/>
      </w:r>
      <w:r>
        <w:t xml:space="preserve"> ibid.</w:t>
      </w:r>
    </w:p>
  </w:footnote>
  <w:footnote w:id="519">
    <w:p w14:paraId="7B61B560" w14:textId="77777777" w:rsidR="003235DB" w:rsidRDefault="003235DB" w:rsidP="001E48A8">
      <w:pPr>
        <w:pStyle w:val="FootnoteText"/>
      </w:pPr>
      <w:r>
        <w:rPr>
          <w:rStyle w:val="FootnoteReference"/>
        </w:rPr>
        <w:footnoteRef/>
      </w:r>
      <w:r>
        <w:t xml:space="preserve"> ABS website, </w:t>
      </w:r>
      <w:hyperlink r:id="rId170" w:anchor="data-download" w:history="1">
        <w:r w:rsidRPr="00A268FA">
          <w:rPr>
            <w:rStyle w:val="Hyperlink"/>
            <w:i/>
            <w:iCs/>
          </w:rPr>
          <w:t>https://www.abs.gov.au/statistics/economy/finance/household-expenditure-survey-australia-summary-results/latest-release#data-download</w:t>
        </w:r>
      </w:hyperlink>
      <w:r w:rsidRPr="00A268FA">
        <w:rPr>
          <w:rStyle w:val="Hyperlink"/>
          <w:i/>
          <w:iCs/>
        </w:rPr>
        <w:t xml:space="preserve">, </w:t>
      </w:r>
      <w:r>
        <w:t>accessed 13 November 2020.</w:t>
      </w:r>
    </w:p>
  </w:footnote>
  <w:footnote w:id="520">
    <w:p w14:paraId="6E78177D" w14:textId="77777777" w:rsidR="003235DB" w:rsidRPr="000E2AF2" w:rsidRDefault="003235DB" w:rsidP="000E2AF2">
      <w:pPr>
        <w:spacing w:before="80" w:line="240" w:lineRule="atLeast"/>
        <w:rPr>
          <w:rFonts w:asciiTheme="minorHAnsi" w:eastAsia="Times New Roman" w:hAnsiTheme="minorHAnsi"/>
          <w:sz w:val="19"/>
          <w:szCs w:val="18"/>
        </w:rPr>
      </w:pPr>
      <w:r>
        <w:rPr>
          <w:rStyle w:val="FootnoteReference"/>
        </w:rPr>
        <w:footnoteRef/>
      </w:r>
      <w:r>
        <w:t xml:space="preserve"> </w:t>
      </w:r>
      <w:r w:rsidRPr="000E2AF2">
        <w:rPr>
          <w:rFonts w:asciiTheme="minorHAnsi" w:eastAsia="Times New Roman" w:hAnsiTheme="minorHAnsi"/>
          <w:sz w:val="19"/>
          <w:szCs w:val="18"/>
        </w:rPr>
        <w:t>Carnemolla, P. and Bridge, C. 2019, Housing Design and Community Care: How Home Modifications Reduce Care Needs of Older People and People with Disability, International Journal of Environmental Research and Public Health.</w:t>
      </w:r>
    </w:p>
  </w:footnote>
  <w:footnote w:id="521">
    <w:p w14:paraId="1029FABE" w14:textId="77777777" w:rsidR="003235DB" w:rsidRPr="00BE37A8" w:rsidRDefault="003235DB" w:rsidP="00951EBC">
      <w:pPr>
        <w:pStyle w:val="FootnoteText"/>
      </w:pPr>
      <w:r>
        <w:rPr>
          <w:rStyle w:val="FootnoteReference"/>
        </w:rPr>
        <w:footnoteRef/>
      </w:r>
      <w:r>
        <w:t xml:space="preserve"> Dalton, A. and R. Carter 2020b, </w:t>
      </w:r>
      <w:r>
        <w:rPr>
          <w:i/>
          <w:iCs/>
        </w:rPr>
        <w:t>Economic advice prepared to assist with responses to the Consultation Regulation Impact Statement on minimum accessibility standards for housing in the National Construction Code: Supplementary information prepared for the Melbourne Disability Institute, University of Melbourne and the Summer Foundation</w:t>
      </w:r>
      <w:r>
        <w:t xml:space="preserve">, p.4, in Melbourne Disability Institute and Summer Foundation, </w:t>
      </w:r>
      <w:r>
        <w:rPr>
          <w:i/>
          <w:iCs/>
        </w:rPr>
        <w:t xml:space="preserve">Accessible Housing the Way Forward: </w:t>
      </w:r>
      <w:r w:rsidRPr="00BE37A8">
        <w:rPr>
          <w:i/>
          <w:iCs/>
        </w:rPr>
        <w:t>Supplementary</w:t>
      </w:r>
      <w:r>
        <w:rPr>
          <w:i/>
          <w:iCs/>
        </w:rPr>
        <w:t xml:space="preserve"> information provided to the Australian Building Codes Board Consultation RIS</w:t>
      </w:r>
      <w:r>
        <w:t>.</w:t>
      </w:r>
    </w:p>
  </w:footnote>
  <w:footnote w:id="522">
    <w:p w14:paraId="358506E4" w14:textId="77777777" w:rsidR="003235DB" w:rsidRDefault="003235DB" w:rsidP="000178D3">
      <w:pPr>
        <w:pStyle w:val="FootnoteText"/>
      </w:pPr>
      <w:r>
        <w:rPr>
          <w:rStyle w:val="FootnoteReference"/>
        </w:rPr>
        <w:footnoteRef/>
      </w:r>
      <w:r>
        <w:t xml:space="preserve"> Assessment of Quality of Life website, </w:t>
      </w:r>
      <w:hyperlink r:id="rId171" w:tooltip="More information can be found at the website via this link" w:history="1">
        <w:r w:rsidRPr="00A268FA">
          <w:rPr>
            <w:rStyle w:val="Hyperlink"/>
            <w:i/>
            <w:iCs/>
          </w:rPr>
          <w:t>https://www.aqol.com.au/index.php/allfaqs</w:t>
        </w:r>
      </w:hyperlink>
      <w:r>
        <w:t>, accessed 1 November 2020.</w:t>
      </w:r>
    </w:p>
  </w:footnote>
  <w:footnote w:id="523">
    <w:p w14:paraId="4B6637B0" w14:textId="77777777" w:rsidR="003235DB" w:rsidRDefault="003235DB">
      <w:pPr>
        <w:pStyle w:val="FootnoteText"/>
      </w:pPr>
      <w:r>
        <w:rPr>
          <w:rStyle w:val="FootnoteReference"/>
        </w:rPr>
        <w:footnoteRef/>
      </w:r>
      <w:r>
        <w:t xml:space="preserve"> Carnemolla, P. 2015, </w:t>
      </w:r>
      <w:r>
        <w:rPr>
          <w:i/>
          <w:iCs/>
        </w:rPr>
        <w:t>Measuring non-shelter effects of housing design: A mixed-methods exploration of home modifications, care-giving and health-related quality of life</w:t>
      </w:r>
      <w:r>
        <w:t>, PhD thesis, University of New South Wales,</w:t>
      </w:r>
    </w:p>
  </w:footnote>
  <w:footnote w:id="524">
    <w:p w14:paraId="2B733321" w14:textId="77777777" w:rsidR="003235DB" w:rsidRDefault="003235DB" w:rsidP="000178D3">
      <w:pPr>
        <w:pStyle w:val="FootnoteText"/>
      </w:pPr>
      <w:r>
        <w:rPr>
          <w:rStyle w:val="FootnoteReference"/>
        </w:rPr>
        <w:footnoteRef/>
      </w:r>
      <w:r>
        <w:t xml:space="preserve"> Assessment of Quality of Life website, </w:t>
      </w:r>
      <w:hyperlink r:id="rId172" w:tooltip="More information can be found at the website via this link" w:history="1">
        <w:r w:rsidRPr="00A268FA">
          <w:rPr>
            <w:rStyle w:val="Hyperlink"/>
            <w:i/>
            <w:iCs/>
          </w:rPr>
          <w:t>https://www.aqol.com.au/documents/charts/equation-aqol-4d-structures.pdf</w:t>
        </w:r>
      </w:hyperlink>
      <w:r w:rsidRPr="00A268FA">
        <w:rPr>
          <w:rStyle w:val="Hyperlink"/>
          <w:i/>
          <w:iCs/>
        </w:rPr>
        <w:t xml:space="preserve">, </w:t>
      </w:r>
      <w:r>
        <w:t>accessed 1 November 2020.</w:t>
      </w:r>
    </w:p>
  </w:footnote>
  <w:footnote w:id="525">
    <w:p w14:paraId="7D7D4ACE" w14:textId="77777777" w:rsidR="003235DB" w:rsidRDefault="003235DB" w:rsidP="000178D3">
      <w:pPr>
        <w:pStyle w:val="FootnoteText"/>
      </w:pPr>
      <w:r>
        <w:rPr>
          <w:rStyle w:val="FootnoteReference"/>
        </w:rPr>
        <w:footnoteRef/>
      </w:r>
      <w:r>
        <w:t xml:space="preserve"> Carnemolla, P. 2015, </w:t>
      </w:r>
      <w:r>
        <w:rPr>
          <w:i/>
          <w:iCs/>
        </w:rPr>
        <w:t>Measuring non-shelter effects of housing design: A mixed-methods exploration of home modifications, care-giving and health-related quality of life</w:t>
      </w:r>
      <w:r>
        <w:t>, A thesis in fulfilment of the requirement for the degree of Doctor of Philosophy, Faculty of Built Environment, University of New South Wales, pp. 83</w:t>
      </w:r>
      <w:r>
        <w:noBreakHyphen/>
        <w:t>84.</w:t>
      </w:r>
    </w:p>
  </w:footnote>
  <w:footnote w:id="526">
    <w:p w14:paraId="4AABCE86" w14:textId="77777777" w:rsidR="003235DB" w:rsidRDefault="003235DB" w:rsidP="000178D3">
      <w:pPr>
        <w:pStyle w:val="FootnoteText"/>
      </w:pPr>
      <w:r>
        <w:rPr>
          <w:rStyle w:val="FootnoteReference"/>
        </w:rPr>
        <w:footnoteRef/>
      </w:r>
      <w:r>
        <w:t xml:space="preserve"> Assessment of Quality of Life website, </w:t>
      </w:r>
      <w:hyperlink r:id="rId173" w:tooltip="More information can be found at the website via this link" w:history="1">
        <w:r w:rsidRPr="00A268FA">
          <w:rPr>
            <w:rStyle w:val="Hyperlink"/>
            <w:i/>
            <w:iCs/>
          </w:rPr>
          <w:t>https://www.aqol.com.au/index.php/allfaqs</w:t>
        </w:r>
      </w:hyperlink>
      <w:r w:rsidRPr="00A268FA">
        <w:rPr>
          <w:rStyle w:val="Hyperlink"/>
          <w:i/>
          <w:iCs/>
        </w:rPr>
        <w:t>,</w:t>
      </w:r>
      <w:r>
        <w:t xml:space="preserve"> accessed 1 November 2020.</w:t>
      </w:r>
    </w:p>
  </w:footnote>
  <w:footnote w:id="527">
    <w:p w14:paraId="3C1ED71A" w14:textId="77777777" w:rsidR="003235DB" w:rsidRDefault="003235DB" w:rsidP="000178D3">
      <w:pPr>
        <w:pStyle w:val="FootnoteText"/>
      </w:pPr>
      <w:r>
        <w:rPr>
          <w:rStyle w:val="FootnoteReference"/>
        </w:rPr>
        <w:footnoteRef/>
      </w:r>
      <w:r>
        <w:t xml:space="preserve"> ibid.</w:t>
      </w:r>
    </w:p>
  </w:footnote>
  <w:footnote w:id="528">
    <w:p w14:paraId="062ED3EB" w14:textId="77777777" w:rsidR="003235DB" w:rsidRDefault="003235DB" w:rsidP="000178D3">
      <w:pPr>
        <w:pStyle w:val="FootnoteText"/>
      </w:pPr>
      <w:r>
        <w:rPr>
          <w:rStyle w:val="FootnoteReference"/>
        </w:rPr>
        <w:footnoteRef/>
      </w:r>
      <w:r>
        <w:t xml:space="preserve"> Australian Government, Office of Best Practice Regulation, Best Practice Regulation Guidance Note: Value of statistical life, August 2019.</w:t>
      </w:r>
    </w:p>
  </w:footnote>
  <w:footnote w:id="529">
    <w:p w14:paraId="4D849F2F" w14:textId="77777777" w:rsidR="003235DB" w:rsidRDefault="003235DB" w:rsidP="000178D3">
      <w:pPr>
        <w:pStyle w:val="FootnoteText"/>
      </w:pPr>
      <w:r>
        <w:rPr>
          <w:rStyle w:val="FootnoteReference"/>
        </w:rPr>
        <w:footnoteRef/>
      </w:r>
      <w:r>
        <w:t xml:space="preserve"> ibid.</w:t>
      </w:r>
    </w:p>
  </w:footnote>
  <w:footnote w:id="530">
    <w:p w14:paraId="73DBAC7B" w14:textId="77777777" w:rsidR="003235DB" w:rsidRDefault="003235DB" w:rsidP="000178D3">
      <w:pPr>
        <w:pStyle w:val="FootnoteText"/>
      </w:pPr>
      <w:r>
        <w:rPr>
          <w:rStyle w:val="FootnoteReference"/>
        </w:rPr>
        <w:footnoteRef/>
      </w:r>
      <w:r>
        <w:t xml:space="preserve"> Carnemolla, P. 2015, op.cit., p. 67.</w:t>
      </w:r>
    </w:p>
  </w:footnote>
  <w:footnote w:id="531">
    <w:p w14:paraId="4D74E5CA" w14:textId="77777777" w:rsidR="003235DB" w:rsidRDefault="003235DB" w:rsidP="00951EBC">
      <w:pPr>
        <w:pStyle w:val="FootnoteText"/>
      </w:pPr>
      <w:r>
        <w:rPr>
          <w:rStyle w:val="FootnoteReference"/>
        </w:rPr>
        <w:footnoteRef/>
      </w:r>
      <w:r>
        <w:t xml:space="preserve"> Carnemolla, P. and C. Bridge 2016, ‘Accessible housing and health-related quality of life: Measurements of wellbeing outcomes following home modification’, </w:t>
      </w:r>
      <w:r>
        <w:rPr>
          <w:i/>
          <w:iCs/>
        </w:rPr>
        <w:t>International Journal of Architectural Research</w:t>
      </w:r>
      <w:r>
        <w:t xml:space="preserve">, </w:t>
      </w:r>
      <w:r w:rsidRPr="002358DA">
        <w:rPr>
          <w:b/>
          <w:bCs/>
        </w:rPr>
        <w:t>10</w:t>
      </w:r>
      <w:r>
        <w:t>(2), p.38-51. Table 3, p.46</w:t>
      </w:r>
    </w:p>
  </w:footnote>
  <w:footnote w:id="532">
    <w:p w14:paraId="18A06102" w14:textId="77777777" w:rsidR="003235DB" w:rsidRPr="00A268FA" w:rsidRDefault="003235DB" w:rsidP="00951EBC">
      <w:pPr>
        <w:pStyle w:val="FootnoteText"/>
        <w:rPr>
          <w:rStyle w:val="Hyperlink"/>
          <w:i/>
          <w:iCs/>
        </w:rPr>
      </w:pPr>
      <w:r>
        <w:rPr>
          <w:rStyle w:val="FootnoteReference"/>
        </w:rPr>
        <w:footnoteRef/>
      </w:r>
      <w:r>
        <w:tab/>
        <w:t xml:space="preserve">Victoria Institute of Strategic Economic Studies 2016, </w:t>
      </w:r>
      <w:r>
        <w:rPr>
          <w:i/>
          <w:iCs/>
        </w:rPr>
        <w:t>The economic cost of serious mental illness and comorbidities in Australia and New Zealand</w:t>
      </w:r>
      <w:r>
        <w:t xml:space="preserve">, report prepared for the Royal Australian &amp; New Zealand College of Psychiatrists and the Australian Health Policy Collaboration, </w:t>
      </w:r>
      <w:hyperlink r:id="rId174" w:tooltip="More information can be found at by clicking on the following link" w:history="1">
        <w:r w:rsidRPr="00A268FA">
          <w:rPr>
            <w:rStyle w:val="Hyperlink"/>
            <w:i/>
            <w:iCs/>
          </w:rPr>
          <w:t>https://www.ranzcp.org/files/resources/reports/ranzcp-serious-mental-illness.aspx</w:t>
        </w:r>
      </w:hyperlink>
    </w:p>
  </w:footnote>
  <w:footnote w:id="533">
    <w:p w14:paraId="5BB64F69" w14:textId="77777777" w:rsidR="003235DB" w:rsidRPr="00A268FA" w:rsidRDefault="003235DB" w:rsidP="00951EBC">
      <w:pPr>
        <w:pStyle w:val="FootnoteText"/>
        <w:rPr>
          <w:rStyle w:val="Hyperlink"/>
          <w:i/>
          <w:iCs/>
        </w:rPr>
      </w:pPr>
      <w:r>
        <w:rPr>
          <w:rStyle w:val="FootnoteReference"/>
        </w:rPr>
        <w:footnoteRef/>
      </w:r>
      <w:r>
        <w:t xml:space="preserve"> The National Mental Health Commission 2016, </w:t>
      </w:r>
      <w:r>
        <w:rPr>
          <w:i/>
          <w:iCs/>
        </w:rPr>
        <w:t>Economics of Mental Health in Australia</w:t>
      </w:r>
      <w:r>
        <w:t xml:space="preserve">, 08 December 2016, </w:t>
      </w:r>
      <w:hyperlink r:id="rId175" w:tooltip="More information can be found at the following link" w:history="1">
        <w:r w:rsidRPr="00A268FA">
          <w:rPr>
            <w:rStyle w:val="Hyperlink"/>
            <w:i/>
            <w:iCs/>
          </w:rPr>
          <w:t>https://www.mentalhealthcommission.gov.au/news/2016/december/economics-of-mental-health-in-australia</w:t>
        </w:r>
      </w:hyperlink>
    </w:p>
  </w:footnote>
  <w:footnote w:id="534">
    <w:p w14:paraId="7C114622" w14:textId="77777777" w:rsidR="003235DB" w:rsidRPr="00A268FA" w:rsidRDefault="003235DB" w:rsidP="00951EBC">
      <w:pPr>
        <w:pStyle w:val="FootnoteText"/>
        <w:rPr>
          <w:rStyle w:val="Hyperlink"/>
          <w:i/>
          <w:iCs/>
        </w:rPr>
      </w:pPr>
      <w:r>
        <w:rPr>
          <w:rStyle w:val="FootnoteReference"/>
        </w:rPr>
        <w:footnoteRef/>
      </w:r>
      <w:r>
        <w:t xml:space="preserve"> KPMG and Mental Health Australia 2018, </w:t>
      </w:r>
      <w:r>
        <w:rPr>
          <w:i/>
          <w:iCs/>
        </w:rPr>
        <w:t>Investing to Save: The economic benefits for Australia of investment in mental health reform</w:t>
      </w:r>
      <w:r>
        <w:t xml:space="preserve">, 1 May 2018, </w:t>
      </w:r>
      <w:hyperlink r:id="rId176" w:tooltip="More information can be found at the following link" w:history="1">
        <w:r w:rsidRPr="00A268FA">
          <w:rPr>
            <w:rStyle w:val="Hyperlink"/>
            <w:i/>
            <w:iCs/>
          </w:rPr>
          <w:t>https://mhaustralia.org/publication/investing-save-kpmg-and-mental-health-australia-report-may-2018</w:t>
        </w:r>
      </w:hyperlink>
    </w:p>
  </w:footnote>
  <w:footnote w:id="535">
    <w:p w14:paraId="3DBC8222" w14:textId="77777777" w:rsidR="003235DB" w:rsidRDefault="003235DB" w:rsidP="00951EBC">
      <w:pPr>
        <w:pStyle w:val="FootnoteText"/>
      </w:pPr>
      <w:r>
        <w:rPr>
          <w:rStyle w:val="FootnoteReference"/>
        </w:rPr>
        <w:footnoteRef/>
      </w:r>
      <w:r>
        <w:t xml:space="preserve"> Using the change in mental health index in Carnemolla and Bridge (2016) study and the average mental health cost: $4,000 x (0.87</w:t>
      </w:r>
      <w:r w:rsidRPr="00477D04">
        <w:t>–0.82)/(1-0.</w:t>
      </w:r>
      <w:r>
        <w:t>82)</w:t>
      </w:r>
    </w:p>
  </w:footnote>
  <w:footnote w:id="536">
    <w:p w14:paraId="03D92EE4" w14:textId="77777777" w:rsidR="003235DB" w:rsidRDefault="003235DB" w:rsidP="00951EBC">
      <w:pPr>
        <w:pStyle w:val="FootnoteText"/>
      </w:pPr>
      <w:r>
        <w:rPr>
          <w:rStyle w:val="FootnoteReference"/>
        </w:rPr>
        <w:footnoteRef/>
      </w:r>
      <w:r>
        <w:t xml:space="preserve"> Hawthorne, G., S. Korn and J. Richardson 2013, ‘Population norms for the AQoL derived from the 2007 Australian National Survey of Mental Health and Wellbeing’, </w:t>
      </w:r>
      <w:r>
        <w:rPr>
          <w:i/>
          <w:iCs/>
        </w:rPr>
        <w:t>Australian and New Zealand Journal of Public Health</w:t>
      </w:r>
      <w:r>
        <w:t xml:space="preserve">, </w:t>
      </w:r>
      <w:r w:rsidRPr="008B6FBC">
        <w:rPr>
          <w:b/>
          <w:bCs/>
        </w:rPr>
        <w:t>37</w:t>
      </w:r>
      <w:r>
        <w:t>(1), p.7-16.</w:t>
      </w:r>
    </w:p>
  </w:footnote>
  <w:footnote w:id="537">
    <w:p w14:paraId="3DE8A0D1" w14:textId="77777777" w:rsidR="003235DB" w:rsidRDefault="003235DB" w:rsidP="00951EBC">
      <w:pPr>
        <w:pStyle w:val="FootnoteText"/>
      </w:pPr>
      <w:r>
        <w:rPr>
          <w:rStyle w:val="FootnoteReference"/>
        </w:rPr>
        <w:footnoteRef/>
      </w:r>
      <w:r>
        <w:t xml:space="preserve"> $4,000 * (1-0.30)/(1-0.81) = $14,736.8</w:t>
      </w:r>
    </w:p>
  </w:footnote>
  <w:footnote w:id="538">
    <w:p w14:paraId="206E506A" w14:textId="77777777" w:rsidR="003235DB" w:rsidRDefault="003235DB" w:rsidP="00951EBC">
      <w:pPr>
        <w:pStyle w:val="FootnoteText"/>
      </w:pPr>
      <w:r>
        <w:rPr>
          <w:rStyle w:val="FootnoteReference"/>
        </w:rPr>
        <w:footnoteRef/>
      </w:r>
      <w:r>
        <w:t xml:space="preserve"> McCallum, S.M., P.J. Batterham, A.L. Calear, M. Sunderland and N. Carragher 2019, ‘Reductions in quality of life and increased economic burden associated with mental disorders in an Australian adult sample’, </w:t>
      </w:r>
      <w:r>
        <w:rPr>
          <w:i/>
          <w:iCs/>
        </w:rPr>
        <w:t>Australian Health Review</w:t>
      </w:r>
      <w:r>
        <w:t xml:space="preserve">, 2019, 43, p.644-652, Table 3. </w:t>
      </w:r>
    </w:p>
  </w:footnote>
  <w:footnote w:id="539">
    <w:p w14:paraId="430FA7DB" w14:textId="77777777" w:rsidR="003235DB" w:rsidRDefault="003235DB" w:rsidP="00951EBC">
      <w:pPr>
        <w:pStyle w:val="FootnoteText"/>
      </w:pPr>
      <w:r>
        <w:rPr>
          <w:rStyle w:val="FootnoteReference"/>
        </w:rPr>
        <w:footnoteRef/>
      </w:r>
      <w:r>
        <w:t xml:space="preserve"> Carnemolla, P. 2015, </w:t>
      </w:r>
      <w:r>
        <w:rPr>
          <w:i/>
          <w:iCs/>
        </w:rPr>
        <w:t>Measuring non-shelter effects of housing design: A mixed-methods exploration of home modifications, care-giving and health-related quality of life</w:t>
      </w:r>
      <w:r>
        <w:t>, PhD thesis, University of New South Wales, p. 67.</w:t>
      </w:r>
    </w:p>
  </w:footnote>
  <w:footnote w:id="540">
    <w:p w14:paraId="4AA762FC" w14:textId="77777777" w:rsidR="003235DB" w:rsidRPr="009806BA" w:rsidRDefault="003235DB" w:rsidP="00032409">
      <w:pPr>
        <w:pStyle w:val="FootnoteText"/>
        <w:rPr>
          <w:lang w:val="en-US"/>
        </w:rPr>
      </w:pPr>
      <w:r>
        <w:rPr>
          <w:rStyle w:val="FootnoteReference"/>
        </w:rPr>
        <w:footnoteRef/>
      </w:r>
      <w:r>
        <w:t xml:space="preserve"> Data from 2018 was used to align with 2018 data used elsewhere. This is also the most recent release of this publication.</w:t>
      </w:r>
    </w:p>
  </w:footnote>
  <w:footnote w:id="541">
    <w:p w14:paraId="128D4301" w14:textId="77777777" w:rsidR="003235DB" w:rsidRPr="009806BA" w:rsidRDefault="003235DB" w:rsidP="00032409">
      <w:pPr>
        <w:pStyle w:val="FootnoteText"/>
        <w:rPr>
          <w:lang w:val="en-US"/>
        </w:rPr>
      </w:pPr>
      <w:r>
        <w:rPr>
          <w:rStyle w:val="FootnoteReference"/>
        </w:rPr>
        <w:footnoteRef/>
      </w:r>
      <w:r>
        <w:t xml:space="preserve"> </w:t>
      </w:r>
      <w:r>
        <w:rPr>
          <w:lang w:val="en-US"/>
        </w:rPr>
        <w:t>See NSW Treasury, NSW Government Guide to Cost</w:t>
      </w:r>
      <w:r>
        <w:rPr>
          <w:lang w:val="en-US"/>
        </w:rPr>
        <w:noBreakHyphen/>
        <w:t>Benefit Analysis, Policy and Guidelines Paper TPP 17</w:t>
      </w:r>
      <w:r>
        <w:rPr>
          <w:lang w:val="en-US"/>
        </w:rPr>
        <w:noBreakHyphen/>
        <w:t>03, March 2017, p. 32.</w:t>
      </w:r>
    </w:p>
  </w:footnote>
  <w:footnote w:id="542">
    <w:p w14:paraId="50502E97" w14:textId="77777777" w:rsidR="003235DB" w:rsidRPr="00AD52B9" w:rsidRDefault="003235DB" w:rsidP="00C46537">
      <w:pPr>
        <w:pStyle w:val="FootnoteText"/>
        <w:rPr>
          <w:lang w:val="en-US"/>
        </w:rPr>
      </w:pPr>
      <w:r>
        <w:rPr>
          <w:rStyle w:val="FootnoteReference"/>
        </w:rPr>
        <w:footnoteRef/>
      </w:r>
      <w:r>
        <w:t xml:space="preserve"> See for example, Commonwealth of Australia, 2015, </w:t>
      </w:r>
      <w:r w:rsidRPr="00AD52B9">
        <w:rPr>
          <w:i/>
          <w:iCs/>
        </w:rPr>
        <w:t>A</w:t>
      </w:r>
      <w:r>
        <w:t xml:space="preserve"> </w:t>
      </w:r>
      <w:r w:rsidRPr="00AD52B9">
        <w:rPr>
          <w:i/>
          <w:iCs/>
        </w:rPr>
        <w:t>New System for Better Employment and Social Outcomes</w:t>
      </w:r>
      <w:r>
        <w:t>, Report of the Reference Group on Welfare Reform to the Minister for Social Services, Final Report</w:t>
      </w:r>
      <w:r>
        <w:rPr>
          <w:lang w:val="en-US"/>
        </w:rPr>
        <w:t>, p. 24.</w:t>
      </w:r>
    </w:p>
  </w:footnote>
  <w:footnote w:id="543">
    <w:p w14:paraId="2F183DA9" w14:textId="77777777" w:rsidR="003235DB" w:rsidRPr="00A268FA" w:rsidRDefault="003235DB" w:rsidP="00D55C08">
      <w:pPr>
        <w:pStyle w:val="FootnoteText"/>
        <w:rPr>
          <w:rStyle w:val="Hyperlink"/>
          <w:i/>
          <w:iCs/>
        </w:rPr>
      </w:pPr>
      <w:r>
        <w:rPr>
          <w:rStyle w:val="FootnoteReference"/>
        </w:rPr>
        <w:footnoteRef/>
      </w:r>
      <w:r>
        <w:t xml:space="preserve"> Anonymous submission 284174932, a</w:t>
      </w:r>
      <w:r w:rsidRPr="00F915C5">
        <w:t xml:space="preserve">ccessed </w:t>
      </w:r>
      <w:r>
        <w:t xml:space="preserve">13 November 2020, </w:t>
      </w:r>
      <w:r w:rsidRPr="00A268FA">
        <w:rPr>
          <w:rStyle w:val="Hyperlink"/>
          <w:i/>
          <w:iCs/>
        </w:rPr>
        <w:t>https://consultation.abcb.gov.au/engagement/consult-ris-accessible-housing/consultation/view_respondent?_b_index=60&amp;uuId=284174932</w:t>
      </w:r>
    </w:p>
  </w:footnote>
  <w:footnote w:id="544">
    <w:p w14:paraId="500237F6" w14:textId="77777777" w:rsidR="003235DB" w:rsidRDefault="003235DB">
      <w:pPr>
        <w:pStyle w:val="FootnoteText"/>
      </w:pPr>
      <w:r>
        <w:rPr>
          <w:rStyle w:val="FootnoteReference"/>
        </w:rPr>
        <w:footnoteRef/>
      </w:r>
      <w:r>
        <w:t xml:space="preserve"> Provan, B. Burchardt, T. and Suh, E. </w:t>
      </w:r>
      <w:r w:rsidRPr="004317AD">
        <w:rPr>
          <w:i/>
          <w:iCs/>
        </w:rPr>
        <w:t>No Place Like Home</w:t>
      </w:r>
      <w:r>
        <w:t>, Quality of life and opportunity for disabled people with accessible housing needs, London School of Economics and Political Science and Centre for Analysis of Social Exclusion, CASE Report 109, p. 14.</w:t>
      </w:r>
    </w:p>
  </w:footnote>
  <w:footnote w:id="545">
    <w:p w14:paraId="0029C1B8" w14:textId="77777777" w:rsidR="003235DB" w:rsidRPr="00CF69BF" w:rsidRDefault="003235DB" w:rsidP="00CF69BF">
      <w:pPr>
        <w:pStyle w:val="FootnoteText"/>
        <w:rPr>
          <w:lang w:val="en-US"/>
        </w:rPr>
      </w:pPr>
      <w:r>
        <w:rPr>
          <w:rStyle w:val="FootnoteReference"/>
        </w:rPr>
        <w:footnoteRef/>
      </w:r>
      <w:r>
        <w:t xml:space="preserve"> Wiesel, I. </w:t>
      </w:r>
      <w:r w:rsidRPr="00345002">
        <w:rPr>
          <w:i/>
          <w:iCs/>
        </w:rPr>
        <w:t>Lived experience and social, health and economic impacts of inaccessible housing</w:t>
      </w:r>
      <w:r>
        <w:t>, prepared for the Melbourne Disability Institute, University of Melbourne and the Summer Foundation, 18 August 2020, as Appendix 2 of the submission by Melbourne Disability Institute (MDI) and Summer Foundation to the public consultation. p. 25.</w:t>
      </w:r>
    </w:p>
  </w:footnote>
  <w:footnote w:id="546">
    <w:p w14:paraId="5CF97227" w14:textId="77777777" w:rsidR="003235DB" w:rsidRPr="00CF69BF" w:rsidRDefault="003235DB" w:rsidP="00CF69BF">
      <w:pPr>
        <w:pStyle w:val="FootnoteText"/>
        <w:rPr>
          <w:lang w:val="en-US"/>
        </w:rPr>
      </w:pPr>
      <w:r>
        <w:rPr>
          <w:rStyle w:val="FootnoteReference"/>
        </w:rPr>
        <w:footnoteRef/>
      </w:r>
      <w:r>
        <w:t xml:space="preserve"> Wiesel, I. op.cit., p. 23.</w:t>
      </w:r>
    </w:p>
  </w:footnote>
  <w:footnote w:id="547">
    <w:p w14:paraId="689D38DB" w14:textId="77777777" w:rsidR="003235DB" w:rsidRPr="00AE6412" w:rsidRDefault="003235DB" w:rsidP="00AE6412">
      <w:pPr>
        <w:pStyle w:val="FootnoteText"/>
        <w:rPr>
          <w:lang w:val="en-US"/>
        </w:rPr>
      </w:pPr>
      <w:r>
        <w:rPr>
          <w:rStyle w:val="FootnoteReference"/>
        </w:rPr>
        <w:footnoteRef/>
      </w:r>
      <w:r>
        <w:t xml:space="preserve"> </w:t>
      </w:r>
      <w:r>
        <w:rPr>
          <w:lang w:val="en-US"/>
        </w:rPr>
        <w:t>Jane Scott, op.cit.</w:t>
      </w:r>
    </w:p>
  </w:footnote>
  <w:footnote w:id="548">
    <w:p w14:paraId="729B06FE" w14:textId="77777777" w:rsidR="003235DB" w:rsidRPr="00AE6412" w:rsidRDefault="003235DB" w:rsidP="00AE6412">
      <w:pPr>
        <w:pStyle w:val="FootnoteText"/>
        <w:rPr>
          <w:lang w:val="en-US"/>
        </w:rPr>
      </w:pPr>
      <w:r>
        <w:rPr>
          <w:rStyle w:val="FootnoteReference"/>
        </w:rPr>
        <w:footnoteRef/>
      </w:r>
      <w:r>
        <w:t xml:space="preserve"> Wiesel, I., op.cit., p. 19</w:t>
      </w:r>
    </w:p>
  </w:footnote>
  <w:footnote w:id="549">
    <w:p w14:paraId="40682B85" w14:textId="77777777" w:rsidR="003235DB" w:rsidRPr="006976E9" w:rsidRDefault="003235DB" w:rsidP="00AE6412">
      <w:pPr>
        <w:pStyle w:val="FootnoteText"/>
        <w:rPr>
          <w:lang w:val="en-US"/>
        </w:rPr>
      </w:pPr>
      <w:r>
        <w:rPr>
          <w:rStyle w:val="FootnoteReference"/>
        </w:rPr>
        <w:footnoteRef/>
      </w:r>
      <w:r>
        <w:t xml:space="preserve"> Wiesel, I., op.cit., p. 24.</w:t>
      </w:r>
    </w:p>
  </w:footnote>
  <w:footnote w:id="550">
    <w:p w14:paraId="775A60DC" w14:textId="77777777" w:rsidR="003235DB" w:rsidRDefault="003235DB">
      <w:pPr>
        <w:pStyle w:val="FootnoteText"/>
      </w:pPr>
      <w:r>
        <w:rPr>
          <w:rStyle w:val="FootnoteReference"/>
        </w:rPr>
        <w:footnoteRef/>
      </w:r>
      <w:r>
        <w:t xml:space="preserve"> </w:t>
      </w:r>
      <w:r>
        <w:rPr>
          <w:lang w:val="en-US"/>
        </w:rPr>
        <w:t xml:space="preserve">Productivity Commission, </w:t>
      </w:r>
      <w:r w:rsidRPr="00825915">
        <w:rPr>
          <w:i/>
          <w:iCs/>
          <w:lang w:val="en-US"/>
        </w:rPr>
        <w:t>Housing Assistance and Employment in Australia</w:t>
      </w:r>
      <w:r>
        <w:rPr>
          <w:lang w:val="en-US"/>
        </w:rPr>
        <w:t xml:space="preserve">, Productivity Commission Research Paper — Volume 1: Chapters, April 2015, </w:t>
      </w:r>
      <w:r w:rsidRPr="00AE6412">
        <w:rPr>
          <w:lang w:val="en-US"/>
        </w:rPr>
        <w:t>pp. 50-51.</w:t>
      </w:r>
    </w:p>
  </w:footnote>
  <w:footnote w:id="551">
    <w:p w14:paraId="6142C611" w14:textId="77777777" w:rsidR="003235DB" w:rsidRPr="006976E9" w:rsidRDefault="003235DB" w:rsidP="006976E9">
      <w:pPr>
        <w:pStyle w:val="FootnoteText"/>
        <w:rPr>
          <w:lang w:val="en-US"/>
        </w:rPr>
      </w:pPr>
      <w:r>
        <w:rPr>
          <w:rStyle w:val="FootnoteReference"/>
        </w:rPr>
        <w:footnoteRef/>
      </w:r>
      <w:r>
        <w:t xml:space="preserve"> Wiesel, I., op.cit., p. 21.</w:t>
      </w:r>
    </w:p>
  </w:footnote>
  <w:footnote w:id="552">
    <w:p w14:paraId="59B5549D" w14:textId="77777777" w:rsidR="003235DB" w:rsidRPr="006976E9" w:rsidRDefault="003235DB" w:rsidP="006976E9">
      <w:pPr>
        <w:pStyle w:val="FootnoteText"/>
        <w:rPr>
          <w:lang w:val="en-US"/>
        </w:rPr>
      </w:pPr>
      <w:r>
        <w:rPr>
          <w:rStyle w:val="FootnoteReference"/>
        </w:rPr>
        <w:footnoteRef/>
      </w:r>
      <w:r>
        <w:t xml:space="preserve"> Wiesel, I., op.cit., p. 21.</w:t>
      </w:r>
    </w:p>
  </w:footnote>
  <w:footnote w:id="553">
    <w:p w14:paraId="1C7BEE18" w14:textId="77777777" w:rsidR="003235DB" w:rsidRPr="00F36A14" w:rsidRDefault="003235DB" w:rsidP="00C74BEA">
      <w:pPr>
        <w:pStyle w:val="FootnoteText"/>
        <w:rPr>
          <w:lang w:val="en-US"/>
        </w:rPr>
      </w:pPr>
      <w:r>
        <w:rPr>
          <w:rStyle w:val="FootnoteReference"/>
        </w:rPr>
        <w:footnoteRef/>
      </w:r>
      <w:r>
        <w:t xml:space="preserve"> </w:t>
      </w:r>
      <w:r>
        <w:rPr>
          <w:lang w:val="en-US"/>
        </w:rPr>
        <w:t xml:space="preserve">Mitchell, W. Labour 2008, </w:t>
      </w:r>
      <w:r w:rsidRPr="00693157">
        <w:rPr>
          <w:i/>
          <w:iCs/>
          <w:lang w:val="en-US"/>
        </w:rPr>
        <w:t>Mobility and Low</w:t>
      </w:r>
      <w:r w:rsidRPr="00693157">
        <w:rPr>
          <w:i/>
          <w:iCs/>
          <w:lang w:val="en-US"/>
        </w:rPr>
        <w:noBreakHyphen/>
        <w:t>paid Workers</w:t>
      </w:r>
      <w:r>
        <w:rPr>
          <w:lang w:val="en-US"/>
        </w:rPr>
        <w:t>, Report commissioned by the Australian Fair Pay Commission, Centre for Full Employment and Equity, December 2008, p. 46.</w:t>
      </w:r>
    </w:p>
  </w:footnote>
  <w:footnote w:id="554">
    <w:p w14:paraId="5969C723" w14:textId="77777777" w:rsidR="003235DB" w:rsidRPr="00825915" w:rsidRDefault="003235DB" w:rsidP="00C74BEA">
      <w:pPr>
        <w:pStyle w:val="FootnoteText"/>
        <w:rPr>
          <w:lang w:val="en-US"/>
        </w:rPr>
      </w:pPr>
      <w:r>
        <w:rPr>
          <w:rStyle w:val="FootnoteReference"/>
        </w:rPr>
        <w:footnoteRef/>
      </w:r>
      <w:r>
        <w:t xml:space="preserve"> Bill, A. and Mitchell, W. 2006, </w:t>
      </w:r>
      <w:r w:rsidRPr="00693157">
        <w:rPr>
          <w:i/>
          <w:iCs/>
        </w:rPr>
        <w:t>Great Expectations – migration and labour market outcomes in Australia</w:t>
      </w:r>
      <w:r>
        <w:t>, Working Paper No. 06</w:t>
      </w:r>
      <w:r>
        <w:noBreakHyphen/>
        <w:t>08, Centre of Full Employment and Equity, University of Newcastle</w:t>
      </w:r>
      <w:r>
        <w:rPr>
          <w:lang w:val="en-US"/>
        </w:rPr>
        <w:t>, p. 24.</w:t>
      </w:r>
    </w:p>
  </w:footnote>
  <w:footnote w:id="555">
    <w:p w14:paraId="4A09814D" w14:textId="77777777" w:rsidR="003235DB" w:rsidRPr="00F36A14" w:rsidRDefault="003235DB" w:rsidP="00903172">
      <w:pPr>
        <w:pStyle w:val="FootnoteText"/>
        <w:rPr>
          <w:lang w:val="en-US"/>
        </w:rPr>
      </w:pPr>
      <w:r>
        <w:rPr>
          <w:rStyle w:val="FootnoteReference"/>
        </w:rPr>
        <w:footnoteRef/>
      </w:r>
      <w:r>
        <w:t xml:space="preserve"> </w:t>
      </w:r>
      <w:r>
        <w:rPr>
          <w:lang w:val="en-US"/>
        </w:rPr>
        <w:t xml:space="preserve">Productivity Commission, </w:t>
      </w:r>
      <w:r w:rsidRPr="00825915">
        <w:rPr>
          <w:i/>
          <w:iCs/>
          <w:lang w:val="en-US"/>
        </w:rPr>
        <w:t>Housing Assistance and Employment in Australia</w:t>
      </w:r>
      <w:r>
        <w:rPr>
          <w:lang w:val="en-US"/>
        </w:rPr>
        <w:t>, Productivity Commission Research Paper — Volume 1: Chapters, April 2015, pp. 50-51.</w:t>
      </w:r>
    </w:p>
  </w:footnote>
  <w:footnote w:id="556">
    <w:p w14:paraId="69B23CEA" w14:textId="77777777" w:rsidR="003235DB" w:rsidRPr="00D4368B" w:rsidRDefault="003235DB" w:rsidP="00CB75FE">
      <w:pPr>
        <w:pStyle w:val="FootnoteText"/>
        <w:rPr>
          <w:lang w:val="en-US"/>
        </w:rPr>
      </w:pPr>
      <w:r>
        <w:rPr>
          <w:rStyle w:val="FootnoteReference"/>
        </w:rPr>
        <w:footnoteRef/>
      </w:r>
      <w:r>
        <w:t xml:space="preserve"> Wiesel, I., op.cit., p. 25.</w:t>
      </w:r>
    </w:p>
  </w:footnote>
  <w:footnote w:id="557">
    <w:p w14:paraId="75D7C3F5" w14:textId="77777777" w:rsidR="003235DB" w:rsidRPr="00445027" w:rsidRDefault="003235DB" w:rsidP="00CB75FE">
      <w:pPr>
        <w:pStyle w:val="FootnoteText"/>
        <w:rPr>
          <w:lang w:val="en-US"/>
        </w:rPr>
      </w:pPr>
      <w:r>
        <w:rPr>
          <w:rStyle w:val="FootnoteReference"/>
        </w:rPr>
        <w:footnoteRef/>
      </w:r>
      <w:r>
        <w:t xml:space="preserve"> Wiesel, I., op.cit., pp. 23</w:t>
      </w:r>
      <w:r>
        <w:noBreakHyphen/>
        <w:t>24.</w:t>
      </w:r>
    </w:p>
  </w:footnote>
  <w:footnote w:id="558">
    <w:p w14:paraId="71857DDF" w14:textId="77777777" w:rsidR="003235DB" w:rsidRDefault="003235DB" w:rsidP="003D2051">
      <w:pPr>
        <w:pStyle w:val="FootnoteText"/>
      </w:pPr>
      <w:r>
        <w:rPr>
          <w:rStyle w:val="FootnoteReference"/>
        </w:rPr>
        <w:footnoteRef/>
      </w:r>
      <w:r>
        <w:t xml:space="preserve"> Australian Human Rights Commission website, </w:t>
      </w:r>
      <w:hyperlink r:id="rId177" w:tooltip="More information can be found at the following link" w:history="1">
        <w:r w:rsidRPr="00A268FA">
          <w:rPr>
            <w:rStyle w:val="Hyperlink"/>
            <w:i/>
            <w:iCs/>
          </w:rPr>
          <w:t>https://humanrights.gov.au/our-work/9-barriers-employment</w:t>
        </w:r>
      </w:hyperlink>
      <w:r w:rsidRPr="00A268FA">
        <w:rPr>
          <w:rStyle w:val="Hyperlink"/>
          <w:i/>
          <w:iCs/>
        </w:rPr>
        <w:t xml:space="preserve">, </w:t>
      </w:r>
      <w:r>
        <w:t>accessed 23 December 2020.</w:t>
      </w:r>
    </w:p>
  </w:footnote>
  <w:footnote w:id="559">
    <w:p w14:paraId="293AB532" w14:textId="77777777" w:rsidR="003235DB" w:rsidRPr="007D138A" w:rsidRDefault="003235DB" w:rsidP="00712E87">
      <w:pPr>
        <w:pStyle w:val="FootnoteText"/>
        <w:rPr>
          <w:lang w:val="en-US"/>
        </w:rPr>
      </w:pPr>
      <w:r>
        <w:rPr>
          <w:rStyle w:val="FootnoteReference"/>
        </w:rPr>
        <w:footnoteRef/>
      </w:r>
      <w:r>
        <w:t xml:space="preserve"> Wiesel, I., op.cit., p. 21.</w:t>
      </w:r>
    </w:p>
  </w:footnote>
  <w:footnote w:id="560">
    <w:p w14:paraId="4C460945" w14:textId="77777777" w:rsidR="003235DB" w:rsidRPr="00A268FA" w:rsidRDefault="003235DB" w:rsidP="005869A9">
      <w:pPr>
        <w:pStyle w:val="FootnoteText"/>
        <w:rPr>
          <w:rStyle w:val="Hyperlink"/>
        </w:rPr>
      </w:pPr>
      <w:r>
        <w:rPr>
          <w:rStyle w:val="FootnoteReference"/>
        </w:rPr>
        <w:footnoteRef/>
      </w:r>
      <w:r>
        <w:t xml:space="preserve"> ABS 2019, </w:t>
      </w:r>
      <w:r w:rsidRPr="007D138A">
        <w:rPr>
          <w:i/>
          <w:iCs/>
        </w:rPr>
        <w:t>Estimates of Industry Multifactor Productivity: Updates estimates of multifactor productivity (MFP) for the 16 industries defined to comprise the market sector from 1994-95</w:t>
      </w:r>
      <w:r>
        <w:t xml:space="preserve">, </w:t>
      </w:r>
      <w:hyperlink r:id="rId178" w:tooltip="More information can be found at the following link" w:history="1">
        <w:r w:rsidRPr="00A268FA">
          <w:rPr>
            <w:rStyle w:val="Hyperlink"/>
            <w:i/>
            <w:iCs/>
          </w:rPr>
          <w:t>https://www.abs.gov.au/statistics/industry/industry-overview/estimates-industry-multifactor-productivity/latest-release</w:t>
        </w:r>
      </w:hyperlink>
      <w:r w:rsidRPr="00A268FA">
        <w:rPr>
          <w:rStyle w:val="Hyperlink"/>
          <w:i/>
          <w:iCs/>
        </w:rPr>
        <w:t xml:space="preserve"> </w:t>
      </w:r>
    </w:p>
  </w:footnote>
  <w:footnote w:id="561">
    <w:p w14:paraId="35DE6832" w14:textId="77777777" w:rsidR="003235DB" w:rsidRDefault="003235DB" w:rsidP="005869A9">
      <w:pPr>
        <w:pStyle w:val="FootnoteText"/>
      </w:pPr>
      <w:r>
        <w:rPr>
          <w:rStyle w:val="FootnoteReference"/>
        </w:rPr>
        <w:footnoteRef/>
      </w:r>
      <w:r>
        <w:t xml:space="preserve"> See the case study of domestic and work trade-offs for CFS sufferer in MDI and Summer Foundation submission (p.20)</w:t>
      </w:r>
    </w:p>
  </w:footnote>
  <w:footnote w:id="562">
    <w:p w14:paraId="30500E9F" w14:textId="77777777" w:rsidR="003235DB" w:rsidRDefault="003235DB" w:rsidP="00CF6E40">
      <w:pPr>
        <w:pStyle w:val="FootnoteText"/>
      </w:pPr>
      <w:r>
        <w:rPr>
          <w:rStyle w:val="FootnoteReference"/>
        </w:rPr>
        <w:footnoteRef/>
      </w:r>
      <w:r>
        <w:t xml:space="preserve"> </w:t>
      </w:r>
      <w:r>
        <w:tab/>
        <w:t>Two designs were combined for the main wave of fieldwork – one for blocks 1-8 and another for blocks 9-16. The designs were generated to minimise D-error (Scarpa and Rose 2008). The prior parameter estimates used to generate the efficiency criteria were based on estimates of WTP from basic multinomial logit models run on the data collected in the first wave of fieldwork. Constraints were included in the design search to preclude illogical alternatives and to set ranges for the number of times each attribute level could appear in the design.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BB532" w14:textId="77777777" w:rsidR="003235DB" w:rsidRPr="009D4FBD" w:rsidRDefault="003235DB" w:rsidP="00677846">
    <w:pPr>
      <w:pStyle w:val="Header"/>
      <w:ind w:left="0" w:right="-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989E4" w14:textId="3E2192F9" w:rsidR="003235DB" w:rsidRPr="009106C5" w:rsidRDefault="003235DB" w:rsidP="004A1BA1">
    <w:pPr>
      <w:pStyle w:val="Header"/>
      <w:framePr w:w="11906" w:hSpace="181" w:wrap="around" w:vAnchor="text" w:hAnchor="page" w:x="1" w:y="1"/>
      <w:pBdr>
        <w:bottom w:val="single" w:sz="4" w:space="1" w:color="F61D12" w:themeColor="accent2"/>
      </w:pBdr>
      <w:tabs>
        <w:tab w:val="clear" w:pos="-567"/>
        <w:tab w:val="clear" w:pos="0"/>
        <w:tab w:val="clear" w:pos="7938"/>
        <w:tab w:val="clear" w:pos="8505"/>
        <w:tab w:val="left" w:pos="2268"/>
        <w:tab w:val="left" w:pos="3402"/>
        <w:tab w:val="right" w:pos="10206"/>
      </w:tabs>
      <w:ind w:left="0" w:right="-1"/>
      <w:suppressOverlap/>
      <w:rPr>
        <w:color w:val="FF0000"/>
      </w:rPr>
    </w:pPr>
    <w:r>
      <w:tab/>
    </w:r>
    <w:r>
      <w:rPr>
        <w:rStyle w:val="PageNumber"/>
      </w:rPr>
      <w:fldChar w:fldCharType="begin"/>
    </w:r>
    <w:r>
      <w:rPr>
        <w:rStyle w:val="PageNumber"/>
      </w:rPr>
      <w:instrText xml:space="preserve"> PAGE </w:instrText>
    </w:r>
    <w:r>
      <w:rPr>
        <w:rStyle w:val="PageNumber"/>
      </w:rPr>
      <w:fldChar w:fldCharType="separate"/>
    </w:r>
    <w:r w:rsidR="00EA1F73">
      <w:rPr>
        <w:rStyle w:val="PageNumber"/>
        <w:noProof/>
      </w:rPr>
      <w:t>ii</w:t>
    </w:r>
    <w:r>
      <w:rPr>
        <w:rStyle w:val="PageNumber"/>
      </w:rPr>
      <w:fldChar w:fldCharType="end"/>
    </w:r>
    <w:r>
      <w:tab/>
    </w:r>
    <w:r>
      <w:rPr>
        <w:noProof/>
      </w:rPr>
      <w:fldChar w:fldCharType="begin"/>
    </w:r>
    <w:r>
      <w:rPr>
        <w:noProof/>
      </w:rPr>
      <w:instrText xml:space="preserve"> DOCPROPERTY  ReportTitle </w:instrText>
    </w:r>
    <w:r>
      <w:rPr>
        <w:noProof/>
      </w:rPr>
      <w:fldChar w:fldCharType="separate"/>
    </w:r>
    <w:r>
      <w:rPr>
        <w:noProof/>
      </w:rPr>
      <w:t>Proposal to include minimum accessibility standards for housing in the National Construction Code</w:t>
    </w:r>
    <w:r>
      <w:rPr>
        <w:noProof/>
      </w:rPr>
      <w:fldChar w:fldCharType="end"/>
    </w:r>
    <w:r>
      <w:tab/>
    </w:r>
  </w:p>
  <w:p w14:paraId="146BC52D" w14:textId="77777777" w:rsidR="003235DB" w:rsidRDefault="003235DB" w:rsidP="00650F3E">
    <w:pPr>
      <w:pStyle w:val="Header"/>
      <w:ind w:left="0" w:right="-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D51B2" w14:textId="4C5B84AF" w:rsidR="003235DB" w:rsidRDefault="003235DB" w:rsidP="004A1BA1">
    <w:pPr>
      <w:pStyle w:val="Header"/>
      <w:framePr w:w="11766" w:hSpace="181" w:wrap="around" w:vAnchor="text" w:hAnchor="page" w:x="1" w:y="1"/>
      <w:pBdr>
        <w:bottom w:val="single" w:sz="4" w:space="1" w:color="F61D12" w:themeColor="accent2"/>
      </w:pBdr>
      <w:tabs>
        <w:tab w:val="clear" w:pos="-567"/>
        <w:tab w:val="clear" w:pos="0"/>
        <w:tab w:val="clear" w:pos="7938"/>
        <w:tab w:val="clear" w:pos="8505"/>
        <w:tab w:val="left" w:pos="2268"/>
        <w:tab w:val="left" w:pos="9781"/>
        <w:tab w:val="right" w:pos="10773"/>
      </w:tabs>
      <w:ind w:left="0" w:right="-1"/>
      <w:suppressOverlap/>
    </w:pPr>
    <w:r>
      <w:tab/>
    </w:r>
    <w:r>
      <w:rPr>
        <w:noProof/>
      </w:rPr>
      <w:fldChar w:fldCharType="begin"/>
    </w:r>
    <w:r>
      <w:rPr>
        <w:noProof/>
      </w:rPr>
      <w:instrText xml:space="preserve"> DOCPROPERTY  ReportTitle </w:instrText>
    </w:r>
    <w:r>
      <w:rPr>
        <w:noProof/>
      </w:rPr>
      <w:fldChar w:fldCharType="separate"/>
    </w:r>
    <w:r>
      <w:rPr>
        <w:noProof/>
      </w:rPr>
      <w:t>Proposal to include minimum accessibility standards for housing in the National Construction Code</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EA1F73">
      <w:rPr>
        <w:rStyle w:val="PageNumber"/>
        <w:noProof/>
      </w:rPr>
      <w:t>ix</w:t>
    </w:r>
    <w:r>
      <w:rPr>
        <w:rStyle w:val="PageNumber"/>
      </w:rPr>
      <w:fldChar w:fldCharType="end"/>
    </w:r>
    <w:r>
      <w:tab/>
    </w:r>
  </w:p>
  <w:p w14:paraId="67E3F7C6" w14:textId="77777777" w:rsidR="003235DB" w:rsidRPr="003D2A2B" w:rsidRDefault="003235DB" w:rsidP="009106C5">
    <w:pPr>
      <w:pStyle w:val="Header"/>
      <w:ind w:left="0" w:right="-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BB27C" w14:textId="77777777" w:rsidR="003235DB" w:rsidRDefault="003235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77C7E" w14:textId="47FCB31B" w:rsidR="003235DB" w:rsidRDefault="003235DB" w:rsidP="001F4E3F">
    <w:pPr>
      <w:pStyle w:val="Header"/>
      <w:framePr w:w="11908" w:hSpace="181" w:wrap="around" w:vAnchor="text" w:hAnchor="page" w:x="1" w:y="5"/>
      <w:pBdr>
        <w:bottom w:val="single" w:sz="4" w:space="1" w:color="F61D12" w:themeColor="accent2"/>
      </w:pBdr>
      <w:tabs>
        <w:tab w:val="clear" w:pos="-567"/>
        <w:tab w:val="clear" w:pos="0"/>
        <w:tab w:val="clear" w:pos="7938"/>
        <w:tab w:val="clear" w:pos="8505"/>
        <w:tab w:val="left" w:pos="2268"/>
        <w:tab w:val="left" w:pos="3402"/>
        <w:tab w:val="right" w:pos="10206"/>
      </w:tabs>
      <w:ind w:left="0" w:right="-1"/>
      <w:suppressOverlap/>
    </w:pPr>
    <w:r>
      <w:tab/>
    </w:r>
    <w:r>
      <w:rPr>
        <w:rStyle w:val="PageNumber"/>
      </w:rPr>
      <w:fldChar w:fldCharType="begin"/>
    </w:r>
    <w:r>
      <w:rPr>
        <w:rStyle w:val="PageNumber"/>
      </w:rPr>
      <w:instrText xml:space="preserve"> PAGE </w:instrText>
    </w:r>
    <w:r>
      <w:rPr>
        <w:rStyle w:val="PageNumber"/>
      </w:rPr>
      <w:fldChar w:fldCharType="separate"/>
    </w:r>
    <w:r w:rsidR="00EA1F73">
      <w:rPr>
        <w:rStyle w:val="PageNumber"/>
        <w:noProof/>
      </w:rPr>
      <w:t>284</w:t>
    </w:r>
    <w:r>
      <w:rPr>
        <w:rStyle w:val="PageNumber"/>
      </w:rPr>
      <w:fldChar w:fldCharType="end"/>
    </w:r>
    <w:r>
      <w:rPr>
        <w:rStyle w:val="PageNumber"/>
      </w:rPr>
      <w:tab/>
    </w:r>
    <w:r>
      <w:tab/>
    </w:r>
    <w:r>
      <w:rPr>
        <w:noProof/>
      </w:rPr>
      <w:fldChar w:fldCharType="begin"/>
    </w:r>
    <w:r>
      <w:rPr>
        <w:noProof/>
      </w:rPr>
      <w:instrText xml:space="preserve"> DOCPROPERTY  ReportTitle </w:instrText>
    </w:r>
    <w:r>
      <w:rPr>
        <w:noProof/>
      </w:rPr>
      <w:fldChar w:fldCharType="separate"/>
    </w:r>
    <w:r>
      <w:rPr>
        <w:noProof/>
      </w:rPr>
      <w:t>Proposal to include minimum accessibility standards for housing in the National Construction Code</w:t>
    </w:r>
    <w:r>
      <w:rPr>
        <w:noProof/>
      </w:rPr>
      <w:fldChar w:fldCharType="end"/>
    </w:r>
    <w:r>
      <w:tab/>
    </w:r>
  </w:p>
  <w:p w14:paraId="5F8FC43D" w14:textId="77777777" w:rsidR="003235DB" w:rsidRPr="009D4FBD" w:rsidRDefault="003235DB" w:rsidP="00677846">
    <w:pPr>
      <w:pStyle w:val="Header"/>
      <w:ind w:left="0" w:right="-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99311" w14:textId="699742B6" w:rsidR="003235DB" w:rsidRDefault="003235DB" w:rsidP="004A1BA1">
    <w:pPr>
      <w:pStyle w:val="Header"/>
      <w:framePr w:w="11906" w:hSpace="181" w:wrap="around" w:vAnchor="text" w:hAnchor="page" w:x="1" w:y="176"/>
      <w:pBdr>
        <w:bottom w:val="single" w:sz="4" w:space="1" w:color="F61D12" w:themeColor="accent2"/>
      </w:pBdr>
      <w:tabs>
        <w:tab w:val="clear" w:pos="-567"/>
        <w:tab w:val="clear" w:pos="0"/>
        <w:tab w:val="clear" w:pos="7938"/>
        <w:tab w:val="clear" w:pos="8505"/>
        <w:tab w:val="left" w:pos="2268"/>
        <w:tab w:val="left" w:pos="9781"/>
        <w:tab w:val="right" w:pos="10773"/>
      </w:tabs>
      <w:ind w:left="0" w:right="-1"/>
      <w:suppressOverlap/>
    </w:pPr>
    <w:r>
      <w:tab/>
    </w:r>
    <w:r>
      <w:rPr>
        <w:noProof/>
      </w:rPr>
      <w:fldChar w:fldCharType="begin"/>
    </w:r>
    <w:r>
      <w:rPr>
        <w:noProof/>
      </w:rPr>
      <w:instrText xml:space="preserve"> DOCPROPERTY  ReportTitle </w:instrText>
    </w:r>
    <w:r>
      <w:rPr>
        <w:noProof/>
      </w:rPr>
      <w:fldChar w:fldCharType="separate"/>
    </w:r>
    <w:r>
      <w:rPr>
        <w:noProof/>
      </w:rPr>
      <w:t>Proposal to include minimum accessibility standards for housing in the National Construction Code</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EA1F73">
      <w:rPr>
        <w:rStyle w:val="PageNumber"/>
        <w:noProof/>
      </w:rPr>
      <w:t>285</w:t>
    </w:r>
    <w:r>
      <w:rPr>
        <w:rStyle w:val="PageNumber"/>
      </w:rPr>
      <w:fldChar w:fldCharType="end"/>
    </w:r>
    <w:r>
      <w:tab/>
    </w:r>
  </w:p>
  <w:p w14:paraId="55EBB08B" w14:textId="77777777" w:rsidR="003235DB" w:rsidRPr="009D4FBD" w:rsidRDefault="003235DB" w:rsidP="004A1BA1">
    <w:pPr>
      <w:pStyle w:val="Header"/>
      <w:framePr w:wrap="auto" w:vAnchor="text" w:hAnchor="page" w:y="176"/>
      <w:ind w:left="0" w:right="-1"/>
      <w:suppressOverlap/>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1E69" w14:textId="77777777" w:rsidR="003235DB" w:rsidRDefault="00323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78FD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50738"/>
    <w:multiLevelType w:val="hybridMultilevel"/>
    <w:tmpl w:val="59A4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254EB"/>
    <w:multiLevelType w:val="multilevel"/>
    <w:tmpl w:val="A8A0795C"/>
    <w:numStyleLink w:val="RecommendationNumbers"/>
  </w:abstractNum>
  <w:abstractNum w:abstractNumId="3" w15:restartNumberingAfterBreak="0">
    <w:nsid w:val="0AC902B9"/>
    <w:multiLevelType w:val="multilevel"/>
    <w:tmpl w:val="7286E4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6C37E3"/>
    <w:multiLevelType w:val="multilevel"/>
    <w:tmpl w:val="5BCE45E4"/>
    <w:numStyleLink w:val="NoteListNumber"/>
  </w:abstractNum>
  <w:abstractNum w:abstractNumId="5"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370715C"/>
    <w:multiLevelType w:val="hybridMultilevel"/>
    <w:tmpl w:val="6DE2D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9"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416D84"/>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1" w15:restartNumberingAfterBreak="0">
    <w:nsid w:val="27006C08"/>
    <w:multiLevelType w:val="multilevel"/>
    <w:tmpl w:val="149034BA"/>
    <w:styleLink w:val="KeyPointBullets"/>
    <w:lvl w:ilvl="0">
      <w:start w:val="1"/>
      <w:numFmt w:val="bullet"/>
      <w:lvlText w:val="■"/>
      <w:lvlJc w:val="left"/>
      <w:pPr>
        <w:tabs>
          <w:tab w:val="num" w:pos="284"/>
        </w:tabs>
        <w:ind w:left="284" w:hanging="284"/>
      </w:pPr>
      <w:rPr>
        <w:rFonts w:ascii="Franklin Gothic Demi" w:hAnsi="Franklin Gothic Demi" w:hint="default"/>
        <w:color w:val="F61D12" w:themeColor="accent2"/>
      </w:rPr>
    </w:lvl>
    <w:lvl w:ilvl="1">
      <w:start w:val="1"/>
      <w:numFmt w:val="bullet"/>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624A0E"/>
    <w:multiLevelType w:val="multilevel"/>
    <w:tmpl w:val="5BCE45E4"/>
    <w:numStyleLink w:val="NoteListNumber"/>
  </w:abstractNum>
  <w:abstractNum w:abstractNumId="14" w15:restartNumberingAfterBreak="0">
    <w:nsid w:val="3487660B"/>
    <w:multiLevelType w:val="multilevel"/>
    <w:tmpl w:val="5BCE45E4"/>
    <w:numStyleLink w:val="NoteListNumber"/>
  </w:abstractNum>
  <w:abstractNum w:abstractNumId="15" w15:restartNumberingAfterBreak="0">
    <w:nsid w:val="38AA09C8"/>
    <w:multiLevelType w:val="hybridMultilevel"/>
    <w:tmpl w:val="E41C9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D715546"/>
    <w:multiLevelType w:val="hybridMultilevel"/>
    <w:tmpl w:val="6E88CC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4DD2386C"/>
    <w:multiLevelType w:val="hybridMultilevel"/>
    <w:tmpl w:val="191A64C8"/>
    <w:lvl w:ilvl="0" w:tplc="9F8E926E">
      <w:numFmt w:val="bullet"/>
      <w:lvlText w:val="-"/>
      <w:lvlJc w:val="left"/>
      <w:pPr>
        <w:ind w:left="3240" w:hanging="360"/>
      </w:pPr>
      <w:rPr>
        <w:rFonts w:ascii="Calibri" w:eastAsia="Calibri" w:hAnsi="Calibri" w:cs="Times New Roman" w:hint="default"/>
        <w:i/>
      </w:rPr>
    </w:lvl>
    <w:lvl w:ilvl="1" w:tplc="0C090003">
      <w:start w:val="1"/>
      <w:numFmt w:val="bullet"/>
      <w:lvlText w:val="o"/>
      <w:lvlJc w:val="left"/>
      <w:pPr>
        <w:ind w:left="3960" w:hanging="360"/>
      </w:pPr>
      <w:rPr>
        <w:rFonts w:ascii="Courier New" w:hAnsi="Courier New" w:cs="Courier New" w:hint="default"/>
      </w:rPr>
    </w:lvl>
    <w:lvl w:ilvl="2" w:tplc="0C090005">
      <w:start w:val="1"/>
      <w:numFmt w:val="bullet"/>
      <w:lvlText w:val=""/>
      <w:lvlJc w:val="left"/>
      <w:pPr>
        <w:ind w:left="4680" w:hanging="360"/>
      </w:pPr>
      <w:rPr>
        <w:rFonts w:ascii="Wingdings" w:hAnsi="Wingdings" w:hint="default"/>
      </w:rPr>
    </w:lvl>
    <w:lvl w:ilvl="3" w:tplc="0C090001">
      <w:start w:val="1"/>
      <w:numFmt w:val="bullet"/>
      <w:lvlText w:val=""/>
      <w:lvlJc w:val="left"/>
      <w:pPr>
        <w:ind w:left="5400" w:hanging="360"/>
      </w:pPr>
      <w:rPr>
        <w:rFonts w:ascii="Symbol" w:hAnsi="Symbol" w:hint="default"/>
      </w:rPr>
    </w:lvl>
    <w:lvl w:ilvl="4" w:tplc="0C090003">
      <w:start w:val="1"/>
      <w:numFmt w:val="bullet"/>
      <w:lvlText w:val="o"/>
      <w:lvlJc w:val="left"/>
      <w:pPr>
        <w:ind w:left="6120" w:hanging="360"/>
      </w:pPr>
      <w:rPr>
        <w:rFonts w:ascii="Courier New" w:hAnsi="Courier New" w:cs="Courier New" w:hint="default"/>
      </w:rPr>
    </w:lvl>
    <w:lvl w:ilvl="5" w:tplc="0C090005">
      <w:start w:val="1"/>
      <w:numFmt w:val="bullet"/>
      <w:lvlText w:val=""/>
      <w:lvlJc w:val="left"/>
      <w:pPr>
        <w:ind w:left="6840" w:hanging="360"/>
      </w:pPr>
      <w:rPr>
        <w:rFonts w:ascii="Wingdings" w:hAnsi="Wingdings" w:hint="default"/>
      </w:rPr>
    </w:lvl>
    <w:lvl w:ilvl="6" w:tplc="0C090001">
      <w:start w:val="1"/>
      <w:numFmt w:val="bullet"/>
      <w:lvlText w:val=""/>
      <w:lvlJc w:val="left"/>
      <w:pPr>
        <w:ind w:left="7560" w:hanging="360"/>
      </w:pPr>
      <w:rPr>
        <w:rFonts w:ascii="Symbol" w:hAnsi="Symbol" w:hint="default"/>
      </w:rPr>
    </w:lvl>
    <w:lvl w:ilvl="7" w:tplc="0C090003">
      <w:start w:val="1"/>
      <w:numFmt w:val="bullet"/>
      <w:lvlText w:val="o"/>
      <w:lvlJc w:val="left"/>
      <w:pPr>
        <w:ind w:left="8280" w:hanging="360"/>
      </w:pPr>
      <w:rPr>
        <w:rFonts w:ascii="Courier New" w:hAnsi="Courier New" w:cs="Courier New" w:hint="default"/>
      </w:rPr>
    </w:lvl>
    <w:lvl w:ilvl="8" w:tplc="0C090005">
      <w:start w:val="1"/>
      <w:numFmt w:val="bullet"/>
      <w:lvlText w:val=""/>
      <w:lvlJc w:val="left"/>
      <w:pPr>
        <w:ind w:left="9000" w:hanging="360"/>
      </w:pPr>
      <w:rPr>
        <w:rFonts w:ascii="Wingdings" w:hAnsi="Wingdings" w:hint="default"/>
      </w:rPr>
    </w:lvl>
  </w:abstractNum>
  <w:abstractNum w:abstractNumId="19" w15:restartNumberingAfterBreak="0">
    <w:nsid w:val="4E3E75E8"/>
    <w:multiLevelType w:val="multilevel"/>
    <w:tmpl w:val="9528C7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0"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787896"/>
    <w:multiLevelType w:val="multilevel"/>
    <w:tmpl w:val="567ADE74"/>
    <w:numStyleLink w:val="TableListBullets"/>
  </w:abstractNum>
  <w:abstractNum w:abstractNumId="22"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3"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33284"/>
    <w:multiLevelType w:val="hybridMultilevel"/>
    <w:tmpl w:val="390E274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72724DA2"/>
    <w:multiLevelType w:val="hybridMultilevel"/>
    <w:tmpl w:val="7AACB412"/>
    <w:lvl w:ilvl="0" w:tplc="672442DC">
      <w:numFmt w:val="bullet"/>
      <w:lvlText w:val="-"/>
      <w:lvlJc w:val="left"/>
      <w:pPr>
        <w:ind w:left="720" w:hanging="360"/>
      </w:pPr>
      <w:rPr>
        <w:rFonts w:ascii="Calisto MT" w:eastAsia="Times New Roman" w:hAnsi="Calisto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BB502B"/>
    <w:multiLevelType w:val="multilevel"/>
    <w:tmpl w:val="CB90F828"/>
    <w:lvl w:ilvl="0">
      <w:start w:val="1"/>
      <w:numFmt w:val="lowerLetter"/>
      <w:lvlRestart w:val="0"/>
      <w:lvlText w:val="%1"/>
      <w:lvlJc w:val="left"/>
      <w:pPr>
        <w:tabs>
          <w:tab w:val="num" w:pos="170"/>
        </w:tabs>
        <w:ind w:left="0" w:firstLine="0"/>
      </w:pPr>
      <w:rPr>
        <w:rFonts w:hint="default"/>
        <w:b/>
        <w:bCs w:val="0"/>
        <w:i w:val="0"/>
        <w:iCs w:val="0"/>
        <w:caps w:val="0"/>
        <w:smallCaps w:val="0"/>
        <w:strike w:val="0"/>
        <w:dstrike w:val="0"/>
        <w:noProof w:val="0"/>
        <w:vanish w:val="0"/>
        <w:color w:val="00497E"/>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9" w15:restartNumberingAfterBreak="0">
    <w:nsid w:val="741B015E"/>
    <w:multiLevelType w:val="hybridMultilevel"/>
    <w:tmpl w:val="3CCE34FA"/>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775D0484"/>
    <w:multiLevelType w:val="hybridMultilevel"/>
    <w:tmpl w:val="238AD7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3A0DF8"/>
    <w:multiLevelType w:val="multilevel"/>
    <w:tmpl w:val="E6863C72"/>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7"/>
  </w:num>
  <w:num w:numId="2">
    <w:abstractNumId w:val="20"/>
  </w:num>
  <w:num w:numId="3">
    <w:abstractNumId w:val="9"/>
  </w:num>
  <w:num w:numId="4">
    <w:abstractNumId w:val="23"/>
  </w:num>
  <w:num w:numId="5">
    <w:abstractNumId w:val="19"/>
  </w:num>
  <w:num w:numId="6">
    <w:abstractNumId w:val="12"/>
  </w:num>
  <w:num w:numId="7">
    <w:abstractNumId w:val="21"/>
  </w:num>
  <w:num w:numId="8">
    <w:abstractNumId w:val="2"/>
  </w:num>
  <w:num w:numId="9">
    <w:abstractNumId w:val="25"/>
  </w:num>
  <w:num w:numId="10">
    <w:abstractNumId w:val="6"/>
  </w:num>
  <w:num w:numId="11">
    <w:abstractNumId w:val="11"/>
  </w:num>
  <w:num w:numId="12">
    <w:abstractNumId w:val="8"/>
  </w:num>
  <w:num w:numId="13">
    <w:abstractNumId w:val="22"/>
  </w:num>
  <w:num w:numId="14">
    <w:abstractNumId w:val="19"/>
  </w:num>
  <w:num w:numId="15">
    <w:abstractNumId w:val="6"/>
  </w:num>
  <w:num w:numId="16">
    <w:abstractNumId w:val="25"/>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start w:val="1"/>
        <w:numFmt w:val="bullet"/>
        <w:pStyle w:val="ListBullet2"/>
        <w:lvlText w:val="–"/>
        <w:lvlJc w:val="left"/>
        <w:pPr>
          <w:tabs>
            <w:tab w:val="num" w:pos="567"/>
          </w:tabs>
          <w:ind w:left="567" w:hanging="283"/>
        </w:pPr>
        <w:rPr>
          <w:rFonts w:hint="default"/>
        </w:rPr>
      </w:lvl>
    </w:lvlOverride>
  </w:num>
  <w:num w:numId="17">
    <w:abstractNumId w:val="30"/>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16"/>
  </w:num>
  <w:num w:numId="26">
    <w:abstractNumId w:val="27"/>
  </w:num>
  <w:num w:numId="27">
    <w:abstractNumId w:val="18"/>
  </w:num>
  <w:num w:numId="28">
    <w:abstractNumId w:val="31"/>
  </w:num>
  <w:num w:numId="29">
    <w:abstractNumId w:val="25"/>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14"/>
  </w:num>
  <w:num w:numId="31">
    <w:abstractNumId w:val="3"/>
  </w:num>
  <w:num w:numId="32">
    <w:abstractNumId w:val="13"/>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0"/>
  </w:num>
  <w:num w:numId="39">
    <w:abstractNumId w:val="25"/>
  </w:num>
  <w:num w:numId="40">
    <w:abstractNumId w:val="25"/>
    <w:lvlOverride w:ilvl="0">
      <w:lvl w:ilvl="0">
        <w:start w:val="1"/>
        <w:numFmt w:val="decimal"/>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start w:val="1"/>
        <w:numFmt w:val="decimal"/>
        <w:pStyle w:val="ListBullet2"/>
        <w:lvlText w:val="–"/>
        <w:lvlJc w:val="left"/>
        <w:pPr>
          <w:tabs>
            <w:tab w:val="num" w:pos="567"/>
          </w:tabs>
          <w:ind w:left="567" w:hanging="283"/>
        </w:pPr>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1">
    <w:abstractNumId w:val="19"/>
  </w:num>
  <w:num w:numId="42">
    <w:abstractNumId w:val="25"/>
    <w:lvlOverride w:ilvl="0">
      <w:lvl w:ilvl="0">
        <w:start w:val="1"/>
        <w:numFmt w:val="decimal"/>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start w:val="1"/>
        <w:numFmt w:val="decimal"/>
        <w:pStyle w:val="ListBullet2"/>
        <w:lvlText w:val="–"/>
        <w:lvlJc w:val="left"/>
        <w:pPr>
          <w:tabs>
            <w:tab w:val="num" w:pos="567"/>
          </w:tabs>
          <w:ind w:left="567" w:hanging="283"/>
        </w:pPr>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3">
    <w:abstractNumId w:val="25"/>
    <w:lvlOverride w:ilvl="0">
      <w:lvl w:ilvl="0">
        <w:start w:val="1"/>
        <w:numFmt w:val="decimal"/>
        <w:pStyle w:val="ListBullet"/>
        <w:lvlText w:val="■"/>
        <w:lvlJc w:val="left"/>
        <w:pPr>
          <w:tabs>
            <w:tab w:val="num" w:pos="284"/>
          </w:tabs>
          <w:ind w:left="284" w:hanging="284"/>
        </w:pPr>
        <w:rPr>
          <w:rFonts w:ascii="Franklin Gothic Demi" w:hAnsi="Franklin Gothic Demi" w:hint="default"/>
          <w:color w:val="FFC000"/>
          <w:position w:val="3"/>
          <w:sz w:val="16"/>
        </w:rPr>
      </w:lvl>
    </w:lvlOverride>
    <w:lvlOverride w:ilvl="1">
      <w:lvl w:ilvl="1">
        <w:start w:val="1"/>
        <w:numFmt w:val="decimal"/>
        <w:pStyle w:val="ListBullet2"/>
        <w:lvlText w:val="–"/>
        <w:lvlJc w:val="left"/>
        <w:pPr>
          <w:tabs>
            <w:tab w:val="num" w:pos="567"/>
          </w:tabs>
          <w:ind w:left="567" w:hanging="283"/>
        </w:pPr>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4">
    <w:abstractNumId w:val="25"/>
  </w:num>
  <w:num w:numId="45">
    <w:abstractNumId w:val="25"/>
  </w:num>
  <w:num w:numId="46">
    <w:abstractNumId w:val="29"/>
  </w:num>
  <w:num w:numId="4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Moves/>
  <w:doNotTrackFormatting/>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36E"/>
    <w:rsid w:val="000001DC"/>
    <w:rsid w:val="00000726"/>
    <w:rsid w:val="00000A1B"/>
    <w:rsid w:val="00001534"/>
    <w:rsid w:val="000015DB"/>
    <w:rsid w:val="00001647"/>
    <w:rsid w:val="000026E7"/>
    <w:rsid w:val="00002721"/>
    <w:rsid w:val="000027B0"/>
    <w:rsid w:val="000034AD"/>
    <w:rsid w:val="00003AE9"/>
    <w:rsid w:val="00003DF0"/>
    <w:rsid w:val="0000404E"/>
    <w:rsid w:val="00004361"/>
    <w:rsid w:val="0000447C"/>
    <w:rsid w:val="00004642"/>
    <w:rsid w:val="00004FB1"/>
    <w:rsid w:val="000053BF"/>
    <w:rsid w:val="000053C6"/>
    <w:rsid w:val="00005768"/>
    <w:rsid w:val="00005B9E"/>
    <w:rsid w:val="00005D01"/>
    <w:rsid w:val="00005E76"/>
    <w:rsid w:val="00006135"/>
    <w:rsid w:val="00006740"/>
    <w:rsid w:val="00006756"/>
    <w:rsid w:val="00006A59"/>
    <w:rsid w:val="00006D68"/>
    <w:rsid w:val="000071F5"/>
    <w:rsid w:val="000074B1"/>
    <w:rsid w:val="000078F0"/>
    <w:rsid w:val="00007E67"/>
    <w:rsid w:val="00007EE1"/>
    <w:rsid w:val="00010135"/>
    <w:rsid w:val="000102B8"/>
    <w:rsid w:val="00010588"/>
    <w:rsid w:val="000112CF"/>
    <w:rsid w:val="0001184B"/>
    <w:rsid w:val="000126AD"/>
    <w:rsid w:val="00012DBB"/>
    <w:rsid w:val="00012E3E"/>
    <w:rsid w:val="00013048"/>
    <w:rsid w:val="0001348D"/>
    <w:rsid w:val="00013E6C"/>
    <w:rsid w:val="00014007"/>
    <w:rsid w:val="00014030"/>
    <w:rsid w:val="000140A6"/>
    <w:rsid w:val="0001417D"/>
    <w:rsid w:val="0001474C"/>
    <w:rsid w:val="00014B23"/>
    <w:rsid w:val="0001535B"/>
    <w:rsid w:val="000153FD"/>
    <w:rsid w:val="00015F08"/>
    <w:rsid w:val="00015F9E"/>
    <w:rsid w:val="000160F9"/>
    <w:rsid w:val="000168BA"/>
    <w:rsid w:val="00016AFB"/>
    <w:rsid w:val="00016B3E"/>
    <w:rsid w:val="00017849"/>
    <w:rsid w:val="000178D3"/>
    <w:rsid w:val="00017AED"/>
    <w:rsid w:val="00017CA5"/>
    <w:rsid w:val="00017D5A"/>
    <w:rsid w:val="0002005A"/>
    <w:rsid w:val="00020147"/>
    <w:rsid w:val="00021538"/>
    <w:rsid w:val="00021DD7"/>
    <w:rsid w:val="00021F8B"/>
    <w:rsid w:val="00022241"/>
    <w:rsid w:val="00022345"/>
    <w:rsid w:val="00022507"/>
    <w:rsid w:val="00022F10"/>
    <w:rsid w:val="0002334E"/>
    <w:rsid w:val="000238B4"/>
    <w:rsid w:val="00023D80"/>
    <w:rsid w:val="0002411F"/>
    <w:rsid w:val="00024206"/>
    <w:rsid w:val="000245A8"/>
    <w:rsid w:val="00024872"/>
    <w:rsid w:val="00024B50"/>
    <w:rsid w:val="00024DE5"/>
    <w:rsid w:val="00025482"/>
    <w:rsid w:val="00025646"/>
    <w:rsid w:val="00025C38"/>
    <w:rsid w:val="00025D5A"/>
    <w:rsid w:val="000267BB"/>
    <w:rsid w:val="00026B8A"/>
    <w:rsid w:val="00026DF0"/>
    <w:rsid w:val="00027945"/>
    <w:rsid w:val="00027CA0"/>
    <w:rsid w:val="00027E7C"/>
    <w:rsid w:val="00030249"/>
    <w:rsid w:val="000305B0"/>
    <w:rsid w:val="00030964"/>
    <w:rsid w:val="0003192F"/>
    <w:rsid w:val="00031AAC"/>
    <w:rsid w:val="00031F47"/>
    <w:rsid w:val="00032409"/>
    <w:rsid w:val="0003249E"/>
    <w:rsid w:val="00032832"/>
    <w:rsid w:val="00032935"/>
    <w:rsid w:val="00032DF2"/>
    <w:rsid w:val="00032E47"/>
    <w:rsid w:val="000331D6"/>
    <w:rsid w:val="0003335D"/>
    <w:rsid w:val="000333F8"/>
    <w:rsid w:val="000337BB"/>
    <w:rsid w:val="00033E5C"/>
    <w:rsid w:val="00034979"/>
    <w:rsid w:val="00034CBC"/>
    <w:rsid w:val="000355DB"/>
    <w:rsid w:val="00035D42"/>
    <w:rsid w:val="000360BE"/>
    <w:rsid w:val="0003666F"/>
    <w:rsid w:val="00036B4D"/>
    <w:rsid w:val="00036FD6"/>
    <w:rsid w:val="00037590"/>
    <w:rsid w:val="000376FD"/>
    <w:rsid w:val="000377AB"/>
    <w:rsid w:val="00037F9E"/>
    <w:rsid w:val="0004032A"/>
    <w:rsid w:val="00040588"/>
    <w:rsid w:val="00040F86"/>
    <w:rsid w:val="000410E6"/>
    <w:rsid w:val="0004130C"/>
    <w:rsid w:val="000413E7"/>
    <w:rsid w:val="000417BE"/>
    <w:rsid w:val="00041941"/>
    <w:rsid w:val="00042222"/>
    <w:rsid w:val="00042363"/>
    <w:rsid w:val="00042569"/>
    <w:rsid w:val="00042A87"/>
    <w:rsid w:val="00042C86"/>
    <w:rsid w:val="0004364D"/>
    <w:rsid w:val="00043C39"/>
    <w:rsid w:val="00043FE2"/>
    <w:rsid w:val="0004416D"/>
    <w:rsid w:val="00044511"/>
    <w:rsid w:val="00044945"/>
    <w:rsid w:val="00045326"/>
    <w:rsid w:val="0004543B"/>
    <w:rsid w:val="000455B7"/>
    <w:rsid w:val="00045801"/>
    <w:rsid w:val="000461CB"/>
    <w:rsid w:val="000462F0"/>
    <w:rsid w:val="00046348"/>
    <w:rsid w:val="000465B7"/>
    <w:rsid w:val="00046801"/>
    <w:rsid w:val="00046C64"/>
    <w:rsid w:val="000470EC"/>
    <w:rsid w:val="000471E4"/>
    <w:rsid w:val="000473DD"/>
    <w:rsid w:val="00047966"/>
    <w:rsid w:val="000505CB"/>
    <w:rsid w:val="00051172"/>
    <w:rsid w:val="00051265"/>
    <w:rsid w:val="00051D28"/>
    <w:rsid w:val="00051E54"/>
    <w:rsid w:val="00051E93"/>
    <w:rsid w:val="00052303"/>
    <w:rsid w:val="00052C34"/>
    <w:rsid w:val="00052E28"/>
    <w:rsid w:val="00053060"/>
    <w:rsid w:val="000531A4"/>
    <w:rsid w:val="00053742"/>
    <w:rsid w:val="00053A36"/>
    <w:rsid w:val="00053E01"/>
    <w:rsid w:val="00053E5D"/>
    <w:rsid w:val="000542CC"/>
    <w:rsid w:val="000543E9"/>
    <w:rsid w:val="0005455A"/>
    <w:rsid w:val="00054586"/>
    <w:rsid w:val="000545D2"/>
    <w:rsid w:val="00054974"/>
    <w:rsid w:val="00054AAC"/>
    <w:rsid w:val="000550AC"/>
    <w:rsid w:val="000551E9"/>
    <w:rsid w:val="00055392"/>
    <w:rsid w:val="00055CB0"/>
    <w:rsid w:val="00055E3D"/>
    <w:rsid w:val="000564C4"/>
    <w:rsid w:val="00056F0F"/>
    <w:rsid w:val="00056F2F"/>
    <w:rsid w:val="000573F1"/>
    <w:rsid w:val="00057629"/>
    <w:rsid w:val="000579C4"/>
    <w:rsid w:val="00057DF7"/>
    <w:rsid w:val="00057EEC"/>
    <w:rsid w:val="0006007D"/>
    <w:rsid w:val="00060136"/>
    <w:rsid w:val="000605C0"/>
    <w:rsid w:val="000611E1"/>
    <w:rsid w:val="0006134E"/>
    <w:rsid w:val="00061A48"/>
    <w:rsid w:val="00061CDB"/>
    <w:rsid w:val="00061F24"/>
    <w:rsid w:val="00062360"/>
    <w:rsid w:val="00062855"/>
    <w:rsid w:val="00063343"/>
    <w:rsid w:val="00063389"/>
    <w:rsid w:val="00063724"/>
    <w:rsid w:val="00063D61"/>
    <w:rsid w:val="00063E69"/>
    <w:rsid w:val="00063EA1"/>
    <w:rsid w:val="00063F93"/>
    <w:rsid w:val="00064056"/>
    <w:rsid w:val="000642B7"/>
    <w:rsid w:val="0006438A"/>
    <w:rsid w:val="000643AB"/>
    <w:rsid w:val="000643DA"/>
    <w:rsid w:val="000646E0"/>
    <w:rsid w:val="00064DDF"/>
    <w:rsid w:val="000652FC"/>
    <w:rsid w:val="00065889"/>
    <w:rsid w:val="00065C05"/>
    <w:rsid w:val="000664C3"/>
    <w:rsid w:val="00066D46"/>
    <w:rsid w:val="00067B3B"/>
    <w:rsid w:val="00067CC1"/>
    <w:rsid w:val="00070083"/>
    <w:rsid w:val="000701E7"/>
    <w:rsid w:val="00070654"/>
    <w:rsid w:val="00070940"/>
    <w:rsid w:val="00070A85"/>
    <w:rsid w:val="00070B01"/>
    <w:rsid w:val="00071126"/>
    <w:rsid w:val="0007143C"/>
    <w:rsid w:val="000719B3"/>
    <w:rsid w:val="000719EA"/>
    <w:rsid w:val="000720EB"/>
    <w:rsid w:val="000721C9"/>
    <w:rsid w:val="000725E4"/>
    <w:rsid w:val="00072873"/>
    <w:rsid w:val="00072A1D"/>
    <w:rsid w:val="0007362E"/>
    <w:rsid w:val="00073C36"/>
    <w:rsid w:val="00073CA2"/>
    <w:rsid w:val="00073FF8"/>
    <w:rsid w:val="00074261"/>
    <w:rsid w:val="0007473B"/>
    <w:rsid w:val="00074FFE"/>
    <w:rsid w:val="000750C1"/>
    <w:rsid w:val="0007512E"/>
    <w:rsid w:val="0007536B"/>
    <w:rsid w:val="00075553"/>
    <w:rsid w:val="00076100"/>
    <w:rsid w:val="00076C9B"/>
    <w:rsid w:val="00076D70"/>
    <w:rsid w:val="00076F5C"/>
    <w:rsid w:val="000774F3"/>
    <w:rsid w:val="000775CE"/>
    <w:rsid w:val="000777E2"/>
    <w:rsid w:val="000777EE"/>
    <w:rsid w:val="0007793C"/>
    <w:rsid w:val="00077F6A"/>
    <w:rsid w:val="00080460"/>
    <w:rsid w:val="0008183D"/>
    <w:rsid w:val="00081963"/>
    <w:rsid w:val="00082379"/>
    <w:rsid w:val="000823BF"/>
    <w:rsid w:val="000827B4"/>
    <w:rsid w:val="00082E92"/>
    <w:rsid w:val="0008329C"/>
    <w:rsid w:val="000836DF"/>
    <w:rsid w:val="0008370B"/>
    <w:rsid w:val="000839FE"/>
    <w:rsid w:val="00083D72"/>
    <w:rsid w:val="00083F4D"/>
    <w:rsid w:val="000843BC"/>
    <w:rsid w:val="00084759"/>
    <w:rsid w:val="000848F1"/>
    <w:rsid w:val="00084BB8"/>
    <w:rsid w:val="00085734"/>
    <w:rsid w:val="00085F2E"/>
    <w:rsid w:val="000866A5"/>
    <w:rsid w:val="00086BF4"/>
    <w:rsid w:val="00086F5B"/>
    <w:rsid w:val="000872FB"/>
    <w:rsid w:val="000873CC"/>
    <w:rsid w:val="00087C1B"/>
    <w:rsid w:val="00087E40"/>
    <w:rsid w:val="00090B41"/>
    <w:rsid w:val="00090C00"/>
    <w:rsid w:val="0009110F"/>
    <w:rsid w:val="000911DC"/>
    <w:rsid w:val="000912A1"/>
    <w:rsid w:val="00091D27"/>
    <w:rsid w:val="000923A8"/>
    <w:rsid w:val="000929C4"/>
    <w:rsid w:val="00092B16"/>
    <w:rsid w:val="00092BC9"/>
    <w:rsid w:val="00092C85"/>
    <w:rsid w:val="00092E6A"/>
    <w:rsid w:val="000930F8"/>
    <w:rsid w:val="00093A32"/>
    <w:rsid w:val="00093D7A"/>
    <w:rsid w:val="00093E41"/>
    <w:rsid w:val="00094293"/>
    <w:rsid w:val="00094483"/>
    <w:rsid w:val="0009463D"/>
    <w:rsid w:val="00094D8F"/>
    <w:rsid w:val="00094FC6"/>
    <w:rsid w:val="00095461"/>
    <w:rsid w:val="000954F6"/>
    <w:rsid w:val="00095562"/>
    <w:rsid w:val="00095C31"/>
    <w:rsid w:val="00095D2C"/>
    <w:rsid w:val="0009623A"/>
    <w:rsid w:val="00096576"/>
    <w:rsid w:val="000970DB"/>
    <w:rsid w:val="0009788F"/>
    <w:rsid w:val="000978D6"/>
    <w:rsid w:val="000A0121"/>
    <w:rsid w:val="000A04F6"/>
    <w:rsid w:val="000A0AFA"/>
    <w:rsid w:val="000A0B5B"/>
    <w:rsid w:val="000A0E83"/>
    <w:rsid w:val="000A0F17"/>
    <w:rsid w:val="000A1018"/>
    <w:rsid w:val="000A15C3"/>
    <w:rsid w:val="000A27AA"/>
    <w:rsid w:val="000A28CC"/>
    <w:rsid w:val="000A2B8E"/>
    <w:rsid w:val="000A3785"/>
    <w:rsid w:val="000A3975"/>
    <w:rsid w:val="000A3E2F"/>
    <w:rsid w:val="000A3F67"/>
    <w:rsid w:val="000A4089"/>
    <w:rsid w:val="000A40B5"/>
    <w:rsid w:val="000A43D9"/>
    <w:rsid w:val="000A4711"/>
    <w:rsid w:val="000A49B2"/>
    <w:rsid w:val="000A4AB4"/>
    <w:rsid w:val="000A4AB8"/>
    <w:rsid w:val="000A4D47"/>
    <w:rsid w:val="000A53C4"/>
    <w:rsid w:val="000A5563"/>
    <w:rsid w:val="000A56B6"/>
    <w:rsid w:val="000A58D1"/>
    <w:rsid w:val="000A5F83"/>
    <w:rsid w:val="000A5FDF"/>
    <w:rsid w:val="000A6634"/>
    <w:rsid w:val="000A67B4"/>
    <w:rsid w:val="000A744E"/>
    <w:rsid w:val="000A771F"/>
    <w:rsid w:val="000A7C69"/>
    <w:rsid w:val="000B0390"/>
    <w:rsid w:val="000B0659"/>
    <w:rsid w:val="000B0EA3"/>
    <w:rsid w:val="000B1A7D"/>
    <w:rsid w:val="000B1CA3"/>
    <w:rsid w:val="000B2602"/>
    <w:rsid w:val="000B2764"/>
    <w:rsid w:val="000B2BF3"/>
    <w:rsid w:val="000B2EC7"/>
    <w:rsid w:val="000B3706"/>
    <w:rsid w:val="000B397D"/>
    <w:rsid w:val="000B3B9A"/>
    <w:rsid w:val="000B46B9"/>
    <w:rsid w:val="000B4DAA"/>
    <w:rsid w:val="000B55CB"/>
    <w:rsid w:val="000B577C"/>
    <w:rsid w:val="000B6546"/>
    <w:rsid w:val="000B6DF3"/>
    <w:rsid w:val="000B71BE"/>
    <w:rsid w:val="000B786A"/>
    <w:rsid w:val="000B79E9"/>
    <w:rsid w:val="000B7C5C"/>
    <w:rsid w:val="000C088E"/>
    <w:rsid w:val="000C09F4"/>
    <w:rsid w:val="000C0FD8"/>
    <w:rsid w:val="000C1CE0"/>
    <w:rsid w:val="000C1F39"/>
    <w:rsid w:val="000C2083"/>
    <w:rsid w:val="000C26E9"/>
    <w:rsid w:val="000C2E65"/>
    <w:rsid w:val="000C35CB"/>
    <w:rsid w:val="000C385B"/>
    <w:rsid w:val="000C38DB"/>
    <w:rsid w:val="000C3ECE"/>
    <w:rsid w:val="000C438B"/>
    <w:rsid w:val="000C4AFB"/>
    <w:rsid w:val="000C5468"/>
    <w:rsid w:val="000C55C5"/>
    <w:rsid w:val="000C55EB"/>
    <w:rsid w:val="000C5F6E"/>
    <w:rsid w:val="000C6461"/>
    <w:rsid w:val="000C66EB"/>
    <w:rsid w:val="000C6B82"/>
    <w:rsid w:val="000C7375"/>
    <w:rsid w:val="000C77A5"/>
    <w:rsid w:val="000C7A10"/>
    <w:rsid w:val="000C7C3F"/>
    <w:rsid w:val="000D0051"/>
    <w:rsid w:val="000D01AA"/>
    <w:rsid w:val="000D048E"/>
    <w:rsid w:val="000D052F"/>
    <w:rsid w:val="000D08E3"/>
    <w:rsid w:val="000D0A20"/>
    <w:rsid w:val="000D1D4F"/>
    <w:rsid w:val="000D2717"/>
    <w:rsid w:val="000D293A"/>
    <w:rsid w:val="000D446A"/>
    <w:rsid w:val="000D48EF"/>
    <w:rsid w:val="000D4962"/>
    <w:rsid w:val="000D4B80"/>
    <w:rsid w:val="000D4C79"/>
    <w:rsid w:val="000D5000"/>
    <w:rsid w:val="000D53CB"/>
    <w:rsid w:val="000D53F1"/>
    <w:rsid w:val="000D5470"/>
    <w:rsid w:val="000D5779"/>
    <w:rsid w:val="000D588B"/>
    <w:rsid w:val="000D5DDB"/>
    <w:rsid w:val="000D6854"/>
    <w:rsid w:val="000D6979"/>
    <w:rsid w:val="000D6AB1"/>
    <w:rsid w:val="000D6BEB"/>
    <w:rsid w:val="000D6D12"/>
    <w:rsid w:val="000D738C"/>
    <w:rsid w:val="000D73BC"/>
    <w:rsid w:val="000D75AD"/>
    <w:rsid w:val="000D790B"/>
    <w:rsid w:val="000D7CEF"/>
    <w:rsid w:val="000E023F"/>
    <w:rsid w:val="000E06BD"/>
    <w:rsid w:val="000E103F"/>
    <w:rsid w:val="000E2015"/>
    <w:rsid w:val="000E2AF2"/>
    <w:rsid w:val="000E3271"/>
    <w:rsid w:val="000E39AB"/>
    <w:rsid w:val="000E39FF"/>
    <w:rsid w:val="000E3FE1"/>
    <w:rsid w:val="000E409B"/>
    <w:rsid w:val="000E486C"/>
    <w:rsid w:val="000E4A2A"/>
    <w:rsid w:val="000E4B3F"/>
    <w:rsid w:val="000E5329"/>
    <w:rsid w:val="000E54DB"/>
    <w:rsid w:val="000E5731"/>
    <w:rsid w:val="000E6EB0"/>
    <w:rsid w:val="000E7039"/>
    <w:rsid w:val="000E7163"/>
    <w:rsid w:val="000F0151"/>
    <w:rsid w:val="000F0B24"/>
    <w:rsid w:val="000F137E"/>
    <w:rsid w:val="000F1543"/>
    <w:rsid w:val="000F16E3"/>
    <w:rsid w:val="000F1718"/>
    <w:rsid w:val="000F1CEF"/>
    <w:rsid w:val="000F3606"/>
    <w:rsid w:val="000F3900"/>
    <w:rsid w:val="000F3D57"/>
    <w:rsid w:val="000F445C"/>
    <w:rsid w:val="000F4B73"/>
    <w:rsid w:val="000F4E4B"/>
    <w:rsid w:val="000F5AFE"/>
    <w:rsid w:val="000F62E9"/>
    <w:rsid w:val="000F74B5"/>
    <w:rsid w:val="000F76FA"/>
    <w:rsid w:val="000F77A8"/>
    <w:rsid w:val="000F7C9E"/>
    <w:rsid w:val="000F7D37"/>
    <w:rsid w:val="000F7DCD"/>
    <w:rsid w:val="000F7E27"/>
    <w:rsid w:val="001000DB"/>
    <w:rsid w:val="001001DD"/>
    <w:rsid w:val="00100339"/>
    <w:rsid w:val="00100463"/>
    <w:rsid w:val="001019EA"/>
    <w:rsid w:val="00101A30"/>
    <w:rsid w:val="00101C5E"/>
    <w:rsid w:val="00101EF0"/>
    <w:rsid w:val="00102087"/>
    <w:rsid w:val="0010251A"/>
    <w:rsid w:val="00102A2B"/>
    <w:rsid w:val="0010339F"/>
    <w:rsid w:val="001037B6"/>
    <w:rsid w:val="001037D4"/>
    <w:rsid w:val="00103E09"/>
    <w:rsid w:val="00103F88"/>
    <w:rsid w:val="0010449D"/>
    <w:rsid w:val="00104D48"/>
    <w:rsid w:val="001056A3"/>
    <w:rsid w:val="001063CB"/>
    <w:rsid w:val="00106726"/>
    <w:rsid w:val="00106A4C"/>
    <w:rsid w:val="00106B92"/>
    <w:rsid w:val="00106D04"/>
    <w:rsid w:val="00106DEC"/>
    <w:rsid w:val="00107095"/>
    <w:rsid w:val="0010789E"/>
    <w:rsid w:val="00107D25"/>
    <w:rsid w:val="00107E70"/>
    <w:rsid w:val="00110076"/>
    <w:rsid w:val="00110AC0"/>
    <w:rsid w:val="001113DF"/>
    <w:rsid w:val="0011165F"/>
    <w:rsid w:val="00111EF3"/>
    <w:rsid w:val="00111F5D"/>
    <w:rsid w:val="00112299"/>
    <w:rsid w:val="001122BD"/>
    <w:rsid w:val="001128EF"/>
    <w:rsid w:val="00112B4B"/>
    <w:rsid w:val="00112EE2"/>
    <w:rsid w:val="00113005"/>
    <w:rsid w:val="00113083"/>
    <w:rsid w:val="001132FF"/>
    <w:rsid w:val="0011342C"/>
    <w:rsid w:val="00114298"/>
    <w:rsid w:val="001146A2"/>
    <w:rsid w:val="001156CA"/>
    <w:rsid w:val="0011629F"/>
    <w:rsid w:val="00116508"/>
    <w:rsid w:val="001169A3"/>
    <w:rsid w:val="00116AB2"/>
    <w:rsid w:val="0011795C"/>
    <w:rsid w:val="00117BB7"/>
    <w:rsid w:val="00117C55"/>
    <w:rsid w:val="00120865"/>
    <w:rsid w:val="00120928"/>
    <w:rsid w:val="00120C99"/>
    <w:rsid w:val="00120D8D"/>
    <w:rsid w:val="00120F43"/>
    <w:rsid w:val="0012126C"/>
    <w:rsid w:val="001217F8"/>
    <w:rsid w:val="00122005"/>
    <w:rsid w:val="00122B1F"/>
    <w:rsid w:val="00122CBF"/>
    <w:rsid w:val="00123262"/>
    <w:rsid w:val="0012343C"/>
    <w:rsid w:val="00123574"/>
    <w:rsid w:val="00123D29"/>
    <w:rsid w:val="00124149"/>
    <w:rsid w:val="00124DA9"/>
    <w:rsid w:val="00124F56"/>
    <w:rsid w:val="00125045"/>
    <w:rsid w:val="00125A70"/>
    <w:rsid w:val="00125E49"/>
    <w:rsid w:val="00126376"/>
    <w:rsid w:val="00126672"/>
    <w:rsid w:val="001267A4"/>
    <w:rsid w:val="0012745E"/>
    <w:rsid w:val="00127A39"/>
    <w:rsid w:val="00127D10"/>
    <w:rsid w:val="00130D8E"/>
    <w:rsid w:val="0013120D"/>
    <w:rsid w:val="00131A17"/>
    <w:rsid w:val="00131BAE"/>
    <w:rsid w:val="00131D1E"/>
    <w:rsid w:val="00131EC3"/>
    <w:rsid w:val="00131F93"/>
    <w:rsid w:val="00131FDE"/>
    <w:rsid w:val="0013249B"/>
    <w:rsid w:val="00132A04"/>
    <w:rsid w:val="00132E65"/>
    <w:rsid w:val="00133827"/>
    <w:rsid w:val="00134A2B"/>
    <w:rsid w:val="00134E53"/>
    <w:rsid w:val="00135204"/>
    <w:rsid w:val="00135292"/>
    <w:rsid w:val="001352DF"/>
    <w:rsid w:val="001353BF"/>
    <w:rsid w:val="00135460"/>
    <w:rsid w:val="0013571D"/>
    <w:rsid w:val="00136132"/>
    <w:rsid w:val="0013651D"/>
    <w:rsid w:val="0013655A"/>
    <w:rsid w:val="001369EA"/>
    <w:rsid w:val="00136B08"/>
    <w:rsid w:val="00136C60"/>
    <w:rsid w:val="001370F6"/>
    <w:rsid w:val="00137115"/>
    <w:rsid w:val="00137548"/>
    <w:rsid w:val="001376A2"/>
    <w:rsid w:val="001377F8"/>
    <w:rsid w:val="00140070"/>
    <w:rsid w:val="00140885"/>
    <w:rsid w:val="00141251"/>
    <w:rsid w:val="00141B6B"/>
    <w:rsid w:val="00141BB6"/>
    <w:rsid w:val="00141E1F"/>
    <w:rsid w:val="00141FED"/>
    <w:rsid w:val="0014269E"/>
    <w:rsid w:val="00142D49"/>
    <w:rsid w:val="0014314A"/>
    <w:rsid w:val="0014353A"/>
    <w:rsid w:val="00143D1F"/>
    <w:rsid w:val="00143F02"/>
    <w:rsid w:val="00144AC4"/>
    <w:rsid w:val="00144B99"/>
    <w:rsid w:val="00145444"/>
    <w:rsid w:val="00145547"/>
    <w:rsid w:val="00145A70"/>
    <w:rsid w:val="00145CC6"/>
    <w:rsid w:val="00145F9A"/>
    <w:rsid w:val="00146598"/>
    <w:rsid w:val="00146B7C"/>
    <w:rsid w:val="00146F5E"/>
    <w:rsid w:val="00147133"/>
    <w:rsid w:val="00150BC3"/>
    <w:rsid w:val="00150F86"/>
    <w:rsid w:val="00151962"/>
    <w:rsid w:val="00151D8E"/>
    <w:rsid w:val="00152756"/>
    <w:rsid w:val="00152C14"/>
    <w:rsid w:val="0015309D"/>
    <w:rsid w:val="001532FD"/>
    <w:rsid w:val="00153A5D"/>
    <w:rsid w:val="00153D14"/>
    <w:rsid w:val="00153EB3"/>
    <w:rsid w:val="00154D6D"/>
    <w:rsid w:val="00154EE1"/>
    <w:rsid w:val="00155EBB"/>
    <w:rsid w:val="00156FB3"/>
    <w:rsid w:val="00157456"/>
    <w:rsid w:val="001578E8"/>
    <w:rsid w:val="00157B65"/>
    <w:rsid w:val="00157C75"/>
    <w:rsid w:val="00157FD4"/>
    <w:rsid w:val="001605E1"/>
    <w:rsid w:val="00160701"/>
    <w:rsid w:val="001609BC"/>
    <w:rsid w:val="001609D3"/>
    <w:rsid w:val="00160C29"/>
    <w:rsid w:val="00160E46"/>
    <w:rsid w:val="00160FB8"/>
    <w:rsid w:val="001611D7"/>
    <w:rsid w:val="00161E05"/>
    <w:rsid w:val="00161E5C"/>
    <w:rsid w:val="00161FB8"/>
    <w:rsid w:val="001624ED"/>
    <w:rsid w:val="00162961"/>
    <w:rsid w:val="00162C32"/>
    <w:rsid w:val="00162CEB"/>
    <w:rsid w:val="00162F9B"/>
    <w:rsid w:val="001638EE"/>
    <w:rsid w:val="00163B54"/>
    <w:rsid w:val="00164638"/>
    <w:rsid w:val="001647E4"/>
    <w:rsid w:val="001648D2"/>
    <w:rsid w:val="00164A52"/>
    <w:rsid w:val="00164B35"/>
    <w:rsid w:val="00164E8C"/>
    <w:rsid w:val="00164EA3"/>
    <w:rsid w:val="00165867"/>
    <w:rsid w:val="00165A18"/>
    <w:rsid w:val="001663FF"/>
    <w:rsid w:val="001669DC"/>
    <w:rsid w:val="00166F43"/>
    <w:rsid w:val="00167266"/>
    <w:rsid w:val="00167806"/>
    <w:rsid w:val="00167811"/>
    <w:rsid w:val="00167F46"/>
    <w:rsid w:val="0017038E"/>
    <w:rsid w:val="00170EDB"/>
    <w:rsid w:val="0017108E"/>
    <w:rsid w:val="0017135A"/>
    <w:rsid w:val="001714B5"/>
    <w:rsid w:val="00171942"/>
    <w:rsid w:val="00171D0A"/>
    <w:rsid w:val="0017247F"/>
    <w:rsid w:val="001729A7"/>
    <w:rsid w:val="00172A23"/>
    <w:rsid w:val="00172B67"/>
    <w:rsid w:val="00172EE8"/>
    <w:rsid w:val="0017310D"/>
    <w:rsid w:val="00173B54"/>
    <w:rsid w:val="00174572"/>
    <w:rsid w:val="00174977"/>
    <w:rsid w:val="00174ADE"/>
    <w:rsid w:val="00174B52"/>
    <w:rsid w:val="001750CC"/>
    <w:rsid w:val="00175471"/>
    <w:rsid w:val="0017547E"/>
    <w:rsid w:val="001754CB"/>
    <w:rsid w:val="0017605E"/>
    <w:rsid w:val="00176390"/>
    <w:rsid w:val="001767E4"/>
    <w:rsid w:val="001767F9"/>
    <w:rsid w:val="00177267"/>
    <w:rsid w:val="001774BF"/>
    <w:rsid w:val="0018077F"/>
    <w:rsid w:val="00180793"/>
    <w:rsid w:val="00181B00"/>
    <w:rsid w:val="00181C7C"/>
    <w:rsid w:val="00182068"/>
    <w:rsid w:val="001821F8"/>
    <w:rsid w:val="001822C7"/>
    <w:rsid w:val="001824DE"/>
    <w:rsid w:val="00182C4F"/>
    <w:rsid w:val="0018303D"/>
    <w:rsid w:val="00183483"/>
    <w:rsid w:val="00183D95"/>
    <w:rsid w:val="00183DF1"/>
    <w:rsid w:val="00184588"/>
    <w:rsid w:val="00184B1B"/>
    <w:rsid w:val="00184D9A"/>
    <w:rsid w:val="00184E9F"/>
    <w:rsid w:val="001850B1"/>
    <w:rsid w:val="001852E4"/>
    <w:rsid w:val="001854BE"/>
    <w:rsid w:val="00185D18"/>
    <w:rsid w:val="00186324"/>
    <w:rsid w:val="00186A87"/>
    <w:rsid w:val="00186F96"/>
    <w:rsid w:val="00186F97"/>
    <w:rsid w:val="00187011"/>
    <w:rsid w:val="00187C19"/>
    <w:rsid w:val="001909EC"/>
    <w:rsid w:val="00190CB1"/>
    <w:rsid w:val="00191677"/>
    <w:rsid w:val="0019235D"/>
    <w:rsid w:val="0019242D"/>
    <w:rsid w:val="0019261A"/>
    <w:rsid w:val="00192D12"/>
    <w:rsid w:val="00192E23"/>
    <w:rsid w:val="00193170"/>
    <w:rsid w:val="001935B5"/>
    <w:rsid w:val="00193954"/>
    <w:rsid w:val="001951A7"/>
    <w:rsid w:val="00195237"/>
    <w:rsid w:val="00195939"/>
    <w:rsid w:val="00195B75"/>
    <w:rsid w:val="00196CEF"/>
    <w:rsid w:val="0019703F"/>
    <w:rsid w:val="001970C9"/>
    <w:rsid w:val="00197371"/>
    <w:rsid w:val="0019786A"/>
    <w:rsid w:val="00197CC1"/>
    <w:rsid w:val="00197EDB"/>
    <w:rsid w:val="001A0013"/>
    <w:rsid w:val="001A019E"/>
    <w:rsid w:val="001A02DF"/>
    <w:rsid w:val="001A033D"/>
    <w:rsid w:val="001A066A"/>
    <w:rsid w:val="001A076C"/>
    <w:rsid w:val="001A08AD"/>
    <w:rsid w:val="001A0903"/>
    <w:rsid w:val="001A0B79"/>
    <w:rsid w:val="001A0CC5"/>
    <w:rsid w:val="001A1065"/>
    <w:rsid w:val="001A1E66"/>
    <w:rsid w:val="001A1F8F"/>
    <w:rsid w:val="001A1FC0"/>
    <w:rsid w:val="001A29F7"/>
    <w:rsid w:val="001A2A99"/>
    <w:rsid w:val="001A2D20"/>
    <w:rsid w:val="001A31E7"/>
    <w:rsid w:val="001A32A7"/>
    <w:rsid w:val="001A34D1"/>
    <w:rsid w:val="001A3917"/>
    <w:rsid w:val="001A3C7C"/>
    <w:rsid w:val="001A456F"/>
    <w:rsid w:val="001A46EB"/>
    <w:rsid w:val="001A4A8E"/>
    <w:rsid w:val="001A4BDB"/>
    <w:rsid w:val="001A4E70"/>
    <w:rsid w:val="001A595C"/>
    <w:rsid w:val="001A59B2"/>
    <w:rsid w:val="001A6223"/>
    <w:rsid w:val="001A648E"/>
    <w:rsid w:val="001A6EA7"/>
    <w:rsid w:val="001A6EAB"/>
    <w:rsid w:val="001A7147"/>
    <w:rsid w:val="001A7346"/>
    <w:rsid w:val="001A7665"/>
    <w:rsid w:val="001A7DEB"/>
    <w:rsid w:val="001A7F90"/>
    <w:rsid w:val="001B021B"/>
    <w:rsid w:val="001B0B61"/>
    <w:rsid w:val="001B0DF7"/>
    <w:rsid w:val="001B182C"/>
    <w:rsid w:val="001B196B"/>
    <w:rsid w:val="001B1B01"/>
    <w:rsid w:val="001B1E46"/>
    <w:rsid w:val="001B25D3"/>
    <w:rsid w:val="001B29FE"/>
    <w:rsid w:val="001B2F94"/>
    <w:rsid w:val="001B3438"/>
    <w:rsid w:val="001B36DA"/>
    <w:rsid w:val="001B3876"/>
    <w:rsid w:val="001B3A1F"/>
    <w:rsid w:val="001B3A92"/>
    <w:rsid w:val="001B3BB4"/>
    <w:rsid w:val="001B3CE4"/>
    <w:rsid w:val="001B4CFC"/>
    <w:rsid w:val="001B4EBC"/>
    <w:rsid w:val="001B598B"/>
    <w:rsid w:val="001B5ADF"/>
    <w:rsid w:val="001B5E76"/>
    <w:rsid w:val="001B6041"/>
    <w:rsid w:val="001B646C"/>
    <w:rsid w:val="001B6CEA"/>
    <w:rsid w:val="001B747F"/>
    <w:rsid w:val="001B7533"/>
    <w:rsid w:val="001B7834"/>
    <w:rsid w:val="001B79A1"/>
    <w:rsid w:val="001B7C04"/>
    <w:rsid w:val="001B7C37"/>
    <w:rsid w:val="001C0124"/>
    <w:rsid w:val="001C0337"/>
    <w:rsid w:val="001C04A8"/>
    <w:rsid w:val="001C0972"/>
    <w:rsid w:val="001C0E1F"/>
    <w:rsid w:val="001C0E54"/>
    <w:rsid w:val="001C111D"/>
    <w:rsid w:val="001C18B4"/>
    <w:rsid w:val="001C192A"/>
    <w:rsid w:val="001C1FCC"/>
    <w:rsid w:val="001C2082"/>
    <w:rsid w:val="001C20C2"/>
    <w:rsid w:val="001C24C9"/>
    <w:rsid w:val="001C296F"/>
    <w:rsid w:val="001C2B49"/>
    <w:rsid w:val="001C305E"/>
    <w:rsid w:val="001C3B97"/>
    <w:rsid w:val="001C3CC5"/>
    <w:rsid w:val="001C3D68"/>
    <w:rsid w:val="001C3E07"/>
    <w:rsid w:val="001C41C7"/>
    <w:rsid w:val="001C4281"/>
    <w:rsid w:val="001C44FD"/>
    <w:rsid w:val="001C4508"/>
    <w:rsid w:val="001C46CE"/>
    <w:rsid w:val="001C4E5A"/>
    <w:rsid w:val="001C4F80"/>
    <w:rsid w:val="001C560A"/>
    <w:rsid w:val="001C5BC3"/>
    <w:rsid w:val="001C5D55"/>
    <w:rsid w:val="001C5E5A"/>
    <w:rsid w:val="001C6315"/>
    <w:rsid w:val="001C6509"/>
    <w:rsid w:val="001C697B"/>
    <w:rsid w:val="001C699C"/>
    <w:rsid w:val="001C6B9C"/>
    <w:rsid w:val="001C707D"/>
    <w:rsid w:val="001D0402"/>
    <w:rsid w:val="001D07BC"/>
    <w:rsid w:val="001D086B"/>
    <w:rsid w:val="001D0B1C"/>
    <w:rsid w:val="001D0BED"/>
    <w:rsid w:val="001D0EBF"/>
    <w:rsid w:val="001D13FE"/>
    <w:rsid w:val="001D1DDB"/>
    <w:rsid w:val="001D200A"/>
    <w:rsid w:val="001D2766"/>
    <w:rsid w:val="001D27BB"/>
    <w:rsid w:val="001D2A32"/>
    <w:rsid w:val="001D2A42"/>
    <w:rsid w:val="001D2C03"/>
    <w:rsid w:val="001D2D60"/>
    <w:rsid w:val="001D305C"/>
    <w:rsid w:val="001D3069"/>
    <w:rsid w:val="001D335B"/>
    <w:rsid w:val="001D3863"/>
    <w:rsid w:val="001D3E1A"/>
    <w:rsid w:val="001D3F21"/>
    <w:rsid w:val="001D4BDE"/>
    <w:rsid w:val="001D4ECB"/>
    <w:rsid w:val="001D54E9"/>
    <w:rsid w:val="001D5576"/>
    <w:rsid w:val="001D5E47"/>
    <w:rsid w:val="001D5F90"/>
    <w:rsid w:val="001D6065"/>
    <w:rsid w:val="001D665C"/>
    <w:rsid w:val="001D67F2"/>
    <w:rsid w:val="001D6914"/>
    <w:rsid w:val="001D6C76"/>
    <w:rsid w:val="001D72A4"/>
    <w:rsid w:val="001D766F"/>
    <w:rsid w:val="001D7947"/>
    <w:rsid w:val="001D7B6A"/>
    <w:rsid w:val="001E04F5"/>
    <w:rsid w:val="001E09C0"/>
    <w:rsid w:val="001E0A62"/>
    <w:rsid w:val="001E0A8C"/>
    <w:rsid w:val="001E0CF9"/>
    <w:rsid w:val="001E0E85"/>
    <w:rsid w:val="001E11FE"/>
    <w:rsid w:val="001E296D"/>
    <w:rsid w:val="001E2A83"/>
    <w:rsid w:val="001E2C72"/>
    <w:rsid w:val="001E2CD1"/>
    <w:rsid w:val="001E2D47"/>
    <w:rsid w:val="001E2D52"/>
    <w:rsid w:val="001E31FC"/>
    <w:rsid w:val="001E34F6"/>
    <w:rsid w:val="001E3A3F"/>
    <w:rsid w:val="001E3BF4"/>
    <w:rsid w:val="001E3D69"/>
    <w:rsid w:val="001E42D2"/>
    <w:rsid w:val="001E430D"/>
    <w:rsid w:val="001E45D0"/>
    <w:rsid w:val="001E4807"/>
    <w:rsid w:val="001E48A8"/>
    <w:rsid w:val="001E4E51"/>
    <w:rsid w:val="001E502C"/>
    <w:rsid w:val="001E5038"/>
    <w:rsid w:val="001E5756"/>
    <w:rsid w:val="001E5A58"/>
    <w:rsid w:val="001E6A14"/>
    <w:rsid w:val="001E6B04"/>
    <w:rsid w:val="001E6DBE"/>
    <w:rsid w:val="001E727C"/>
    <w:rsid w:val="001E7283"/>
    <w:rsid w:val="001E7890"/>
    <w:rsid w:val="001E78BC"/>
    <w:rsid w:val="001F040F"/>
    <w:rsid w:val="001F064D"/>
    <w:rsid w:val="001F08C9"/>
    <w:rsid w:val="001F0C33"/>
    <w:rsid w:val="001F0CF7"/>
    <w:rsid w:val="001F1478"/>
    <w:rsid w:val="001F17FE"/>
    <w:rsid w:val="001F182E"/>
    <w:rsid w:val="001F2064"/>
    <w:rsid w:val="001F23EF"/>
    <w:rsid w:val="001F2906"/>
    <w:rsid w:val="001F3043"/>
    <w:rsid w:val="001F3A2E"/>
    <w:rsid w:val="001F3BCC"/>
    <w:rsid w:val="001F3D1C"/>
    <w:rsid w:val="001F3E78"/>
    <w:rsid w:val="001F42CB"/>
    <w:rsid w:val="001F438A"/>
    <w:rsid w:val="001F45EB"/>
    <w:rsid w:val="001F486D"/>
    <w:rsid w:val="001F4E3F"/>
    <w:rsid w:val="001F51CB"/>
    <w:rsid w:val="001F5217"/>
    <w:rsid w:val="001F53F0"/>
    <w:rsid w:val="001F5579"/>
    <w:rsid w:val="001F5611"/>
    <w:rsid w:val="001F5667"/>
    <w:rsid w:val="001F5C7F"/>
    <w:rsid w:val="001F5EB6"/>
    <w:rsid w:val="001F62C5"/>
    <w:rsid w:val="001F650C"/>
    <w:rsid w:val="001F678D"/>
    <w:rsid w:val="001F67AE"/>
    <w:rsid w:val="001F6960"/>
    <w:rsid w:val="001F7379"/>
    <w:rsid w:val="001F73DC"/>
    <w:rsid w:val="001F79C6"/>
    <w:rsid w:val="0020045D"/>
    <w:rsid w:val="002006A2"/>
    <w:rsid w:val="002006F2"/>
    <w:rsid w:val="00200B5C"/>
    <w:rsid w:val="00200DE7"/>
    <w:rsid w:val="002011D6"/>
    <w:rsid w:val="002014A4"/>
    <w:rsid w:val="0020150C"/>
    <w:rsid w:val="00201977"/>
    <w:rsid w:val="00201AA0"/>
    <w:rsid w:val="002023B6"/>
    <w:rsid w:val="00202BB1"/>
    <w:rsid w:val="00203607"/>
    <w:rsid w:val="002037B1"/>
    <w:rsid w:val="00203D96"/>
    <w:rsid w:val="00203EA4"/>
    <w:rsid w:val="00204054"/>
    <w:rsid w:val="00204241"/>
    <w:rsid w:val="002043F1"/>
    <w:rsid w:val="0020445B"/>
    <w:rsid w:val="002046CF"/>
    <w:rsid w:val="002054AC"/>
    <w:rsid w:val="00205F28"/>
    <w:rsid w:val="0020646B"/>
    <w:rsid w:val="00206BD0"/>
    <w:rsid w:val="00206E57"/>
    <w:rsid w:val="002070F2"/>
    <w:rsid w:val="002078CE"/>
    <w:rsid w:val="00207CC4"/>
    <w:rsid w:val="00210FAE"/>
    <w:rsid w:val="0021144A"/>
    <w:rsid w:val="00211AD1"/>
    <w:rsid w:val="00211E22"/>
    <w:rsid w:val="00211F47"/>
    <w:rsid w:val="00212629"/>
    <w:rsid w:val="00212A08"/>
    <w:rsid w:val="00212B92"/>
    <w:rsid w:val="00212CA5"/>
    <w:rsid w:val="00212F69"/>
    <w:rsid w:val="00212F8F"/>
    <w:rsid w:val="00213222"/>
    <w:rsid w:val="002133D1"/>
    <w:rsid w:val="00213619"/>
    <w:rsid w:val="00213C7A"/>
    <w:rsid w:val="00213F9F"/>
    <w:rsid w:val="00214778"/>
    <w:rsid w:val="002149C9"/>
    <w:rsid w:val="00214C4F"/>
    <w:rsid w:val="00214E29"/>
    <w:rsid w:val="002159B4"/>
    <w:rsid w:val="00215AE7"/>
    <w:rsid w:val="00215F5C"/>
    <w:rsid w:val="002164D6"/>
    <w:rsid w:val="00216A09"/>
    <w:rsid w:val="00216C8F"/>
    <w:rsid w:val="00217000"/>
    <w:rsid w:val="0021708E"/>
    <w:rsid w:val="002175B7"/>
    <w:rsid w:val="0021770B"/>
    <w:rsid w:val="002179A5"/>
    <w:rsid w:val="00217AAC"/>
    <w:rsid w:val="00217F36"/>
    <w:rsid w:val="002201BE"/>
    <w:rsid w:val="0022049B"/>
    <w:rsid w:val="00220909"/>
    <w:rsid w:val="002214CB"/>
    <w:rsid w:val="0022165D"/>
    <w:rsid w:val="00221BE0"/>
    <w:rsid w:val="00222007"/>
    <w:rsid w:val="00222459"/>
    <w:rsid w:val="0022260E"/>
    <w:rsid w:val="00222BF5"/>
    <w:rsid w:val="00222ED1"/>
    <w:rsid w:val="0022386A"/>
    <w:rsid w:val="002238F3"/>
    <w:rsid w:val="00223A4A"/>
    <w:rsid w:val="00223E6D"/>
    <w:rsid w:val="002249BD"/>
    <w:rsid w:val="00225068"/>
    <w:rsid w:val="00225D69"/>
    <w:rsid w:val="0022611C"/>
    <w:rsid w:val="00226230"/>
    <w:rsid w:val="002262E1"/>
    <w:rsid w:val="00226960"/>
    <w:rsid w:val="0022763B"/>
    <w:rsid w:val="00227F97"/>
    <w:rsid w:val="00230474"/>
    <w:rsid w:val="00230635"/>
    <w:rsid w:val="002307A3"/>
    <w:rsid w:val="00230CA5"/>
    <w:rsid w:val="00231416"/>
    <w:rsid w:val="002316DC"/>
    <w:rsid w:val="00231B7C"/>
    <w:rsid w:val="00231B9A"/>
    <w:rsid w:val="00231E48"/>
    <w:rsid w:val="00231E5E"/>
    <w:rsid w:val="00232104"/>
    <w:rsid w:val="002321B8"/>
    <w:rsid w:val="00232436"/>
    <w:rsid w:val="00232861"/>
    <w:rsid w:val="00232F15"/>
    <w:rsid w:val="0023380A"/>
    <w:rsid w:val="002339D9"/>
    <w:rsid w:val="00233AF7"/>
    <w:rsid w:val="00233C02"/>
    <w:rsid w:val="00233C64"/>
    <w:rsid w:val="00234760"/>
    <w:rsid w:val="0023483B"/>
    <w:rsid w:val="00234EAC"/>
    <w:rsid w:val="0023503E"/>
    <w:rsid w:val="002354D6"/>
    <w:rsid w:val="002355AE"/>
    <w:rsid w:val="00235787"/>
    <w:rsid w:val="00235C02"/>
    <w:rsid w:val="002367DA"/>
    <w:rsid w:val="00236C36"/>
    <w:rsid w:val="0023701E"/>
    <w:rsid w:val="002372B0"/>
    <w:rsid w:val="002375D5"/>
    <w:rsid w:val="0023783A"/>
    <w:rsid w:val="00237D6C"/>
    <w:rsid w:val="0024001F"/>
    <w:rsid w:val="00240978"/>
    <w:rsid w:val="002409D3"/>
    <w:rsid w:val="00240A03"/>
    <w:rsid w:val="00240F32"/>
    <w:rsid w:val="002411F9"/>
    <w:rsid w:val="0024138D"/>
    <w:rsid w:val="00241670"/>
    <w:rsid w:val="0024172A"/>
    <w:rsid w:val="00241E85"/>
    <w:rsid w:val="00242552"/>
    <w:rsid w:val="00242E1D"/>
    <w:rsid w:val="00243413"/>
    <w:rsid w:val="0024355F"/>
    <w:rsid w:val="0024391F"/>
    <w:rsid w:val="00243C53"/>
    <w:rsid w:val="00243FCF"/>
    <w:rsid w:val="00244476"/>
    <w:rsid w:val="00244D42"/>
    <w:rsid w:val="00245D24"/>
    <w:rsid w:val="0024627D"/>
    <w:rsid w:val="0024641D"/>
    <w:rsid w:val="00246FF6"/>
    <w:rsid w:val="002471BB"/>
    <w:rsid w:val="00247203"/>
    <w:rsid w:val="002474D4"/>
    <w:rsid w:val="002475E5"/>
    <w:rsid w:val="002478D9"/>
    <w:rsid w:val="00247E6E"/>
    <w:rsid w:val="0025014B"/>
    <w:rsid w:val="002501B3"/>
    <w:rsid w:val="002504F2"/>
    <w:rsid w:val="0025059C"/>
    <w:rsid w:val="002505A0"/>
    <w:rsid w:val="0025095F"/>
    <w:rsid w:val="00250FBA"/>
    <w:rsid w:val="002516EC"/>
    <w:rsid w:val="0025176F"/>
    <w:rsid w:val="002519F3"/>
    <w:rsid w:val="00251F30"/>
    <w:rsid w:val="00252772"/>
    <w:rsid w:val="00252984"/>
    <w:rsid w:val="00252A3F"/>
    <w:rsid w:val="00252BEA"/>
    <w:rsid w:val="00252C8A"/>
    <w:rsid w:val="00252E70"/>
    <w:rsid w:val="00252F91"/>
    <w:rsid w:val="0025306F"/>
    <w:rsid w:val="0025379D"/>
    <w:rsid w:val="00253D9A"/>
    <w:rsid w:val="00254178"/>
    <w:rsid w:val="00254D0F"/>
    <w:rsid w:val="002550AA"/>
    <w:rsid w:val="00255187"/>
    <w:rsid w:val="00255341"/>
    <w:rsid w:val="002562BE"/>
    <w:rsid w:val="002564F4"/>
    <w:rsid w:val="0025673D"/>
    <w:rsid w:val="002568C5"/>
    <w:rsid w:val="00257809"/>
    <w:rsid w:val="00257F35"/>
    <w:rsid w:val="00260070"/>
    <w:rsid w:val="00260349"/>
    <w:rsid w:val="0026037B"/>
    <w:rsid w:val="00260A24"/>
    <w:rsid w:val="00260D88"/>
    <w:rsid w:val="00261300"/>
    <w:rsid w:val="002613B7"/>
    <w:rsid w:val="00261A76"/>
    <w:rsid w:val="00261CD1"/>
    <w:rsid w:val="002624C5"/>
    <w:rsid w:val="00262923"/>
    <w:rsid w:val="00262F13"/>
    <w:rsid w:val="00263205"/>
    <w:rsid w:val="002632AB"/>
    <w:rsid w:val="002632FB"/>
    <w:rsid w:val="002636F7"/>
    <w:rsid w:val="002638B3"/>
    <w:rsid w:val="00263BA8"/>
    <w:rsid w:val="00264220"/>
    <w:rsid w:val="002645A4"/>
    <w:rsid w:val="002646BA"/>
    <w:rsid w:val="00264AED"/>
    <w:rsid w:val="00264D31"/>
    <w:rsid w:val="002658EB"/>
    <w:rsid w:val="00265B13"/>
    <w:rsid w:val="00266965"/>
    <w:rsid w:val="0026699A"/>
    <w:rsid w:val="00267132"/>
    <w:rsid w:val="002674B4"/>
    <w:rsid w:val="00267D7F"/>
    <w:rsid w:val="0027008A"/>
    <w:rsid w:val="00270CB0"/>
    <w:rsid w:val="00271083"/>
    <w:rsid w:val="0027127E"/>
    <w:rsid w:val="002714BD"/>
    <w:rsid w:val="00271567"/>
    <w:rsid w:val="0027189F"/>
    <w:rsid w:val="0027196F"/>
    <w:rsid w:val="0027207B"/>
    <w:rsid w:val="0027219B"/>
    <w:rsid w:val="002727DF"/>
    <w:rsid w:val="00272AF3"/>
    <w:rsid w:val="00273126"/>
    <w:rsid w:val="0027345F"/>
    <w:rsid w:val="00273AF0"/>
    <w:rsid w:val="00274BEB"/>
    <w:rsid w:val="002753E2"/>
    <w:rsid w:val="002761F9"/>
    <w:rsid w:val="00276737"/>
    <w:rsid w:val="00276E49"/>
    <w:rsid w:val="00277B80"/>
    <w:rsid w:val="00277DB4"/>
    <w:rsid w:val="00277ED2"/>
    <w:rsid w:val="00280175"/>
    <w:rsid w:val="0028037D"/>
    <w:rsid w:val="00280651"/>
    <w:rsid w:val="00280D84"/>
    <w:rsid w:val="00280DB0"/>
    <w:rsid w:val="00280EBE"/>
    <w:rsid w:val="00280FB4"/>
    <w:rsid w:val="002812E4"/>
    <w:rsid w:val="00281BA3"/>
    <w:rsid w:val="002829D9"/>
    <w:rsid w:val="00282DA0"/>
    <w:rsid w:val="00283689"/>
    <w:rsid w:val="00283817"/>
    <w:rsid w:val="00283F63"/>
    <w:rsid w:val="00284B21"/>
    <w:rsid w:val="00284C52"/>
    <w:rsid w:val="002856A0"/>
    <w:rsid w:val="00285A11"/>
    <w:rsid w:val="00285C6E"/>
    <w:rsid w:val="00286479"/>
    <w:rsid w:val="002864D7"/>
    <w:rsid w:val="002867C4"/>
    <w:rsid w:val="00286A29"/>
    <w:rsid w:val="00286E61"/>
    <w:rsid w:val="0028715E"/>
    <w:rsid w:val="00287234"/>
    <w:rsid w:val="00287441"/>
    <w:rsid w:val="002877EB"/>
    <w:rsid w:val="00287996"/>
    <w:rsid w:val="00290137"/>
    <w:rsid w:val="0029019B"/>
    <w:rsid w:val="00290273"/>
    <w:rsid w:val="00290880"/>
    <w:rsid w:val="00290DC7"/>
    <w:rsid w:val="002916A9"/>
    <w:rsid w:val="00291E64"/>
    <w:rsid w:val="0029208F"/>
    <w:rsid w:val="0029248B"/>
    <w:rsid w:val="002927E7"/>
    <w:rsid w:val="00292B71"/>
    <w:rsid w:val="00292D46"/>
    <w:rsid w:val="00292E93"/>
    <w:rsid w:val="00293087"/>
    <w:rsid w:val="002938B5"/>
    <w:rsid w:val="00293F2D"/>
    <w:rsid w:val="002941D6"/>
    <w:rsid w:val="00294601"/>
    <w:rsid w:val="00295012"/>
    <w:rsid w:val="00295145"/>
    <w:rsid w:val="00295412"/>
    <w:rsid w:val="002955AB"/>
    <w:rsid w:val="00296F77"/>
    <w:rsid w:val="00297505"/>
    <w:rsid w:val="002977AE"/>
    <w:rsid w:val="00297C8D"/>
    <w:rsid w:val="002A06EA"/>
    <w:rsid w:val="002A09E0"/>
    <w:rsid w:val="002A182D"/>
    <w:rsid w:val="002A224D"/>
    <w:rsid w:val="002A256F"/>
    <w:rsid w:val="002A29BF"/>
    <w:rsid w:val="002A2E30"/>
    <w:rsid w:val="002A2E7D"/>
    <w:rsid w:val="002A3531"/>
    <w:rsid w:val="002A377E"/>
    <w:rsid w:val="002A3ABF"/>
    <w:rsid w:val="002A3B3E"/>
    <w:rsid w:val="002A407F"/>
    <w:rsid w:val="002A416E"/>
    <w:rsid w:val="002A43BC"/>
    <w:rsid w:val="002A4591"/>
    <w:rsid w:val="002A4A12"/>
    <w:rsid w:val="002A4D70"/>
    <w:rsid w:val="002A5062"/>
    <w:rsid w:val="002A51CD"/>
    <w:rsid w:val="002A56A6"/>
    <w:rsid w:val="002A5F55"/>
    <w:rsid w:val="002A626C"/>
    <w:rsid w:val="002A63B7"/>
    <w:rsid w:val="002A679F"/>
    <w:rsid w:val="002A7161"/>
    <w:rsid w:val="002A7183"/>
    <w:rsid w:val="002A7FBB"/>
    <w:rsid w:val="002B0892"/>
    <w:rsid w:val="002B0E4B"/>
    <w:rsid w:val="002B127D"/>
    <w:rsid w:val="002B12E7"/>
    <w:rsid w:val="002B15AA"/>
    <w:rsid w:val="002B1B67"/>
    <w:rsid w:val="002B1CC2"/>
    <w:rsid w:val="002B21FB"/>
    <w:rsid w:val="002B22FE"/>
    <w:rsid w:val="002B23E5"/>
    <w:rsid w:val="002B23FD"/>
    <w:rsid w:val="002B2659"/>
    <w:rsid w:val="002B26C5"/>
    <w:rsid w:val="002B291D"/>
    <w:rsid w:val="002B2B3B"/>
    <w:rsid w:val="002B2BFC"/>
    <w:rsid w:val="002B3B11"/>
    <w:rsid w:val="002B418C"/>
    <w:rsid w:val="002B4A47"/>
    <w:rsid w:val="002B4B4E"/>
    <w:rsid w:val="002B4E3F"/>
    <w:rsid w:val="002B4FC0"/>
    <w:rsid w:val="002B53AA"/>
    <w:rsid w:val="002B61FD"/>
    <w:rsid w:val="002B6255"/>
    <w:rsid w:val="002B63A1"/>
    <w:rsid w:val="002B64BF"/>
    <w:rsid w:val="002B6700"/>
    <w:rsid w:val="002B68C2"/>
    <w:rsid w:val="002B6BB3"/>
    <w:rsid w:val="002B7228"/>
    <w:rsid w:val="002B76B3"/>
    <w:rsid w:val="002B7AA9"/>
    <w:rsid w:val="002B7CAB"/>
    <w:rsid w:val="002B7D4C"/>
    <w:rsid w:val="002C0234"/>
    <w:rsid w:val="002C0556"/>
    <w:rsid w:val="002C0760"/>
    <w:rsid w:val="002C099A"/>
    <w:rsid w:val="002C0B51"/>
    <w:rsid w:val="002C0B69"/>
    <w:rsid w:val="002C0F31"/>
    <w:rsid w:val="002C0FCE"/>
    <w:rsid w:val="002C1088"/>
    <w:rsid w:val="002C13E9"/>
    <w:rsid w:val="002C1D02"/>
    <w:rsid w:val="002C1EF1"/>
    <w:rsid w:val="002C34CC"/>
    <w:rsid w:val="002C37AB"/>
    <w:rsid w:val="002C3D78"/>
    <w:rsid w:val="002C3F8C"/>
    <w:rsid w:val="002C4053"/>
    <w:rsid w:val="002C4208"/>
    <w:rsid w:val="002C4DAF"/>
    <w:rsid w:val="002C5816"/>
    <w:rsid w:val="002C5E17"/>
    <w:rsid w:val="002C690E"/>
    <w:rsid w:val="002C6EE9"/>
    <w:rsid w:val="002C7117"/>
    <w:rsid w:val="002C71D3"/>
    <w:rsid w:val="002C7EF2"/>
    <w:rsid w:val="002D0950"/>
    <w:rsid w:val="002D0CD6"/>
    <w:rsid w:val="002D0F84"/>
    <w:rsid w:val="002D12E6"/>
    <w:rsid w:val="002D16DF"/>
    <w:rsid w:val="002D1CF9"/>
    <w:rsid w:val="002D1EA5"/>
    <w:rsid w:val="002D219D"/>
    <w:rsid w:val="002D245D"/>
    <w:rsid w:val="002D2E61"/>
    <w:rsid w:val="002D30A2"/>
    <w:rsid w:val="002D30F9"/>
    <w:rsid w:val="002D379A"/>
    <w:rsid w:val="002D37E2"/>
    <w:rsid w:val="002D45BC"/>
    <w:rsid w:val="002D4888"/>
    <w:rsid w:val="002D4C2F"/>
    <w:rsid w:val="002D4C31"/>
    <w:rsid w:val="002D4E85"/>
    <w:rsid w:val="002D54C3"/>
    <w:rsid w:val="002D5DA9"/>
    <w:rsid w:val="002D612D"/>
    <w:rsid w:val="002D6984"/>
    <w:rsid w:val="002D69F2"/>
    <w:rsid w:val="002D6A9B"/>
    <w:rsid w:val="002D6E3E"/>
    <w:rsid w:val="002D7073"/>
    <w:rsid w:val="002D72A3"/>
    <w:rsid w:val="002D74F5"/>
    <w:rsid w:val="002D78AD"/>
    <w:rsid w:val="002E012D"/>
    <w:rsid w:val="002E0533"/>
    <w:rsid w:val="002E0543"/>
    <w:rsid w:val="002E1277"/>
    <w:rsid w:val="002E14B2"/>
    <w:rsid w:val="002E1A6C"/>
    <w:rsid w:val="002E2224"/>
    <w:rsid w:val="002E2540"/>
    <w:rsid w:val="002E2C0F"/>
    <w:rsid w:val="002E2DE1"/>
    <w:rsid w:val="002E2DF8"/>
    <w:rsid w:val="002E3000"/>
    <w:rsid w:val="002E33C8"/>
    <w:rsid w:val="002E3A4A"/>
    <w:rsid w:val="002E3B08"/>
    <w:rsid w:val="002E3FB2"/>
    <w:rsid w:val="002E42E5"/>
    <w:rsid w:val="002E49AB"/>
    <w:rsid w:val="002E4AC3"/>
    <w:rsid w:val="002E4B26"/>
    <w:rsid w:val="002E4B3B"/>
    <w:rsid w:val="002E4B5D"/>
    <w:rsid w:val="002E4EEB"/>
    <w:rsid w:val="002E51ED"/>
    <w:rsid w:val="002E5345"/>
    <w:rsid w:val="002E578D"/>
    <w:rsid w:val="002E641C"/>
    <w:rsid w:val="002E6CCF"/>
    <w:rsid w:val="002E7563"/>
    <w:rsid w:val="002E76D5"/>
    <w:rsid w:val="002E7EDA"/>
    <w:rsid w:val="002E7FE4"/>
    <w:rsid w:val="002F0378"/>
    <w:rsid w:val="002F0710"/>
    <w:rsid w:val="002F0F22"/>
    <w:rsid w:val="002F1259"/>
    <w:rsid w:val="002F1496"/>
    <w:rsid w:val="002F166B"/>
    <w:rsid w:val="002F1FDA"/>
    <w:rsid w:val="002F228E"/>
    <w:rsid w:val="002F2AD2"/>
    <w:rsid w:val="002F2DAD"/>
    <w:rsid w:val="002F2FBF"/>
    <w:rsid w:val="002F381D"/>
    <w:rsid w:val="002F3B3C"/>
    <w:rsid w:val="002F3BED"/>
    <w:rsid w:val="002F3DDC"/>
    <w:rsid w:val="002F3F0C"/>
    <w:rsid w:val="002F400A"/>
    <w:rsid w:val="002F4176"/>
    <w:rsid w:val="002F44A4"/>
    <w:rsid w:val="002F4AA3"/>
    <w:rsid w:val="002F54D7"/>
    <w:rsid w:val="002F56FF"/>
    <w:rsid w:val="002F602F"/>
    <w:rsid w:val="002F61FB"/>
    <w:rsid w:val="002F7057"/>
    <w:rsid w:val="002F77B4"/>
    <w:rsid w:val="002F79F1"/>
    <w:rsid w:val="00300235"/>
    <w:rsid w:val="003006C6"/>
    <w:rsid w:val="00300876"/>
    <w:rsid w:val="00300939"/>
    <w:rsid w:val="00300B7C"/>
    <w:rsid w:val="00300FE4"/>
    <w:rsid w:val="00302450"/>
    <w:rsid w:val="0030262F"/>
    <w:rsid w:val="0030289E"/>
    <w:rsid w:val="00302B5E"/>
    <w:rsid w:val="00302B93"/>
    <w:rsid w:val="00302DCC"/>
    <w:rsid w:val="00303223"/>
    <w:rsid w:val="003034B0"/>
    <w:rsid w:val="003034B4"/>
    <w:rsid w:val="003037CA"/>
    <w:rsid w:val="00303818"/>
    <w:rsid w:val="00303B89"/>
    <w:rsid w:val="00303E96"/>
    <w:rsid w:val="00303F9A"/>
    <w:rsid w:val="00304634"/>
    <w:rsid w:val="00304C10"/>
    <w:rsid w:val="00305777"/>
    <w:rsid w:val="00305C7B"/>
    <w:rsid w:val="00305ECF"/>
    <w:rsid w:val="00307781"/>
    <w:rsid w:val="00307D48"/>
    <w:rsid w:val="0031072D"/>
    <w:rsid w:val="00310C06"/>
    <w:rsid w:val="00311072"/>
    <w:rsid w:val="00311440"/>
    <w:rsid w:val="00311D17"/>
    <w:rsid w:val="00311DCC"/>
    <w:rsid w:val="003126F2"/>
    <w:rsid w:val="00313786"/>
    <w:rsid w:val="0031383F"/>
    <w:rsid w:val="00313862"/>
    <w:rsid w:val="00313B07"/>
    <w:rsid w:val="00313F83"/>
    <w:rsid w:val="00314464"/>
    <w:rsid w:val="0031450A"/>
    <w:rsid w:val="0031499F"/>
    <w:rsid w:val="00314C61"/>
    <w:rsid w:val="00314C70"/>
    <w:rsid w:val="0031594B"/>
    <w:rsid w:val="003161DC"/>
    <w:rsid w:val="003167F2"/>
    <w:rsid w:val="00316FB2"/>
    <w:rsid w:val="00317638"/>
    <w:rsid w:val="003177BD"/>
    <w:rsid w:val="003202CB"/>
    <w:rsid w:val="003202E9"/>
    <w:rsid w:val="0032048D"/>
    <w:rsid w:val="00320797"/>
    <w:rsid w:val="0032087C"/>
    <w:rsid w:val="00320B11"/>
    <w:rsid w:val="00320C9E"/>
    <w:rsid w:val="00320D46"/>
    <w:rsid w:val="00321030"/>
    <w:rsid w:val="00321660"/>
    <w:rsid w:val="00321B1E"/>
    <w:rsid w:val="00321DB5"/>
    <w:rsid w:val="00322092"/>
    <w:rsid w:val="003220DF"/>
    <w:rsid w:val="003222F5"/>
    <w:rsid w:val="00322AA9"/>
    <w:rsid w:val="00322B67"/>
    <w:rsid w:val="003230C5"/>
    <w:rsid w:val="00323291"/>
    <w:rsid w:val="003235DB"/>
    <w:rsid w:val="00323682"/>
    <w:rsid w:val="0032371F"/>
    <w:rsid w:val="00323985"/>
    <w:rsid w:val="00323B76"/>
    <w:rsid w:val="00324044"/>
    <w:rsid w:val="003240BB"/>
    <w:rsid w:val="003243E7"/>
    <w:rsid w:val="00324447"/>
    <w:rsid w:val="003246EC"/>
    <w:rsid w:val="00324723"/>
    <w:rsid w:val="003247B1"/>
    <w:rsid w:val="00324AC0"/>
    <w:rsid w:val="00324BFE"/>
    <w:rsid w:val="00325292"/>
    <w:rsid w:val="00326A6B"/>
    <w:rsid w:val="00326BA0"/>
    <w:rsid w:val="00326D2F"/>
    <w:rsid w:val="003275B9"/>
    <w:rsid w:val="00327CFA"/>
    <w:rsid w:val="00327EEF"/>
    <w:rsid w:val="003309F5"/>
    <w:rsid w:val="00330BE7"/>
    <w:rsid w:val="00331427"/>
    <w:rsid w:val="00332AF8"/>
    <w:rsid w:val="003330E2"/>
    <w:rsid w:val="003331E1"/>
    <w:rsid w:val="0033324D"/>
    <w:rsid w:val="00333489"/>
    <w:rsid w:val="0033356B"/>
    <w:rsid w:val="003336FB"/>
    <w:rsid w:val="0033389D"/>
    <w:rsid w:val="00333A88"/>
    <w:rsid w:val="00333B22"/>
    <w:rsid w:val="0033409B"/>
    <w:rsid w:val="00334867"/>
    <w:rsid w:val="00334A3B"/>
    <w:rsid w:val="00334BFA"/>
    <w:rsid w:val="00334DB7"/>
    <w:rsid w:val="00335A77"/>
    <w:rsid w:val="003361F9"/>
    <w:rsid w:val="003363EB"/>
    <w:rsid w:val="003365D5"/>
    <w:rsid w:val="00337253"/>
    <w:rsid w:val="003372D2"/>
    <w:rsid w:val="00337419"/>
    <w:rsid w:val="00337449"/>
    <w:rsid w:val="00337510"/>
    <w:rsid w:val="00340000"/>
    <w:rsid w:val="00340449"/>
    <w:rsid w:val="0034059B"/>
    <w:rsid w:val="00340953"/>
    <w:rsid w:val="003412B5"/>
    <w:rsid w:val="003413B2"/>
    <w:rsid w:val="003418EF"/>
    <w:rsid w:val="00341A60"/>
    <w:rsid w:val="00341C6A"/>
    <w:rsid w:val="00341F26"/>
    <w:rsid w:val="00342223"/>
    <w:rsid w:val="003434EA"/>
    <w:rsid w:val="00343707"/>
    <w:rsid w:val="00343C52"/>
    <w:rsid w:val="00344521"/>
    <w:rsid w:val="0034455A"/>
    <w:rsid w:val="003447A2"/>
    <w:rsid w:val="00344AC0"/>
    <w:rsid w:val="00344CEC"/>
    <w:rsid w:val="00344D2F"/>
    <w:rsid w:val="00345002"/>
    <w:rsid w:val="003451B3"/>
    <w:rsid w:val="0034576A"/>
    <w:rsid w:val="00345A25"/>
    <w:rsid w:val="00345B8C"/>
    <w:rsid w:val="00345B94"/>
    <w:rsid w:val="00345BDE"/>
    <w:rsid w:val="00345DD3"/>
    <w:rsid w:val="00345E3E"/>
    <w:rsid w:val="00347146"/>
    <w:rsid w:val="0034759A"/>
    <w:rsid w:val="003475B1"/>
    <w:rsid w:val="0034766E"/>
    <w:rsid w:val="0034771D"/>
    <w:rsid w:val="00347926"/>
    <w:rsid w:val="00347B60"/>
    <w:rsid w:val="00347BBA"/>
    <w:rsid w:val="003501CB"/>
    <w:rsid w:val="003506C7"/>
    <w:rsid w:val="00350C07"/>
    <w:rsid w:val="00350F84"/>
    <w:rsid w:val="0035105D"/>
    <w:rsid w:val="003510A2"/>
    <w:rsid w:val="00351299"/>
    <w:rsid w:val="00351415"/>
    <w:rsid w:val="003514D7"/>
    <w:rsid w:val="00351521"/>
    <w:rsid w:val="00351C89"/>
    <w:rsid w:val="00352237"/>
    <w:rsid w:val="00352908"/>
    <w:rsid w:val="00352EC0"/>
    <w:rsid w:val="00353277"/>
    <w:rsid w:val="00353801"/>
    <w:rsid w:val="00353DD5"/>
    <w:rsid w:val="00354223"/>
    <w:rsid w:val="00354839"/>
    <w:rsid w:val="00355153"/>
    <w:rsid w:val="003551D8"/>
    <w:rsid w:val="00355442"/>
    <w:rsid w:val="003555F0"/>
    <w:rsid w:val="00355681"/>
    <w:rsid w:val="00355869"/>
    <w:rsid w:val="00355C62"/>
    <w:rsid w:val="003561F3"/>
    <w:rsid w:val="00356413"/>
    <w:rsid w:val="0035659D"/>
    <w:rsid w:val="00357024"/>
    <w:rsid w:val="00357067"/>
    <w:rsid w:val="003571CA"/>
    <w:rsid w:val="003573D1"/>
    <w:rsid w:val="00357547"/>
    <w:rsid w:val="00357593"/>
    <w:rsid w:val="00357853"/>
    <w:rsid w:val="00357B8F"/>
    <w:rsid w:val="00360168"/>
    <w:rsid w:val="003606B4"/>
    <w:rsid w:val="003609F2"/>
    <w:rsid w:val="00360B2E"/>
    <w:rsid w:val="00360E05"/>
    <w:rsid w:val="003619D6"/>
    <w:rsid w:val="00361E13"/>
    <w:rsid w:val="00362332"/>
    <w:rsid w:val="003625DA"/>
    <w:rsid w:val="003626FE"/>
    <w:rsid w:val="0036279D"/>
    <w:rsid w:val="00362BE3"/>
    <w:rsid w:val="00362CBE"/>
    <w:rsid w:val="00362DD4"/>
    <w:rsid w:val="00362E23"/>
    <w:rsid w:val="003636CB"/>
    <w:rsid w:val="00363A6B"/>
    <w:rsid w:val="00363A93"/>
    <w:rsid w:val="00363C20"/>
    <w:rsid w:val="00363EBC"/>
    <w:rsid w:val="00364352"/>
    <w:rsid w:val="00364961"/>
    <w:rsid w:val="00364BF0"/>
    <w:rsid w:val="003658F0"/>
    <w:rsid w:val="00366591"/>
    <w:rsid w:val="00366601"/>
    <w:rsid w:val="00366992"/>
    <w:rsid w:val="003671C9"/>
    <w:rsid w:val="00367D1F"/>
    <w:rsid w:val="00370408"/>
    <w:rsid w:val="003705B2"/>
    <w:rsid w:val="00370C88"/>
    <w:rsid w:val="0037127D"/>
    <w:rsid w:val="0037167C"/>
    <w:rsid w:val="003716A7"/>
    <w:rsid w:val="00371882"/>
    <w:rsid w:val="00371E1F"/>
    <w:rsid w:val="003726AE"/>
    <w:rsid w:val="0037275F"/>
    <w:rsid w:val="0037281D"/>
    <w:rsid w:val="00372E7F"/>
    <w:rsid w:val="00372EFE"/>
    <w:rsid w:val="00373459"/>
    <w:rsid w:val="00373512"/>
    <w:rsid w:val="00373553"/>
    <w:rsid w:val="003736C9"/>
    <w:rsid w:val="0037381B"/>
    <w:rsid w:val="0037389E"/>
    <w:rsid w:val="00373EFA"/>
    <w:rsid w:val="00374016"/>
    <w:rsid w:val="00375139"/>
    <w:rsid w:val="00375374"/>
    <w:rsid w:val="0037540E"/>
    <w:rsid w:val="00375845"/>
    <w:rsid w:val="00375A3B"/>
    <w:rsid w:val="00375BA6"/>
    <w:rsid w:val="00375ED6"/>
    <w:rsid w:val="00375F1A"/>
    <w:rsid w:val="0037625A"/>
    <w:rsid w:val="003766EB"/>
    <w:rsid w:val="00380285"/>
    <w:rsid w:val="003802BA"/>
    <w:rsid w:val="00380646"/>
    <w:rsid w:val="00380A33"/>
    <w:rsid w:val="00380B12"/>
    <w:rsid w:val="00380C8F"/>
    <w:rsid w:val="0038134A"/>
    <w:rsid w:val="0038138F"/>
    <w:rsid w:val="00381883"/>
    <w:rsid w:val="003818BB"/>
    <w:rsid w:val="00381BCB"/>
    <w:rsid w:val="0038223E"/>
    <w:rsid w:val="00382259"/>
    <w:rsid w:val="003822C2"/>
    <w:rsid w:val="003823A3"/>
    <w:rsid w:val="00382735"/>
    <w:rsid w:val="00382849"/>
    <w:rsid w:val="00382C96"/>
    <w:rsid w:val="003830ED"/>
    <w:rsid w:val="003835BF"/>
    <w:rsid w:val="00383CE8"/>
    <w:rsid w:val="00383FDA"/>
    <w:rsid w:val="00384703"/>
    <w:rsid w:val="003853DD"/>
    <w:rsid w:val="0038606D"/>
    <w:rsid w:val="00386498"/>
    <w:rsid w:val="003864DD"/>
    <w:rsid w:val="0038664C"/>
    <w:rsid w:val="00386B85"/>
    <w:rsid w:val="00386C73"/>
    <w:rsid w:val="0038709C"/>
    <w:rsid w:val="003876AB"/>
    <w:rsid w:val="003878D1"/>
    <w:rsid w:val="00387CB5"/>
    <w:rsid w:val="00387D6C"/>
    <w:rsid w:val="00387D78"/>
    <w:rsid w:val="00387F1E"/>
    <w:rsid w:val="00390399"/>
    <w:rsid w:val="003908D4"/>
    <w:rsid w:val="00390B6E"/>
    <w:rsid w:val="00390C6A"/>
    <w:rsid w:val="00390CDB"/>
    <w:rsid w:val="00391104"/>
    <w:rsid w:val="003916EA"/>
    <w:rsid w:val="00391DFD"/>
    <w:rsid w:val="003920FD"/>
    <w:rsid w:val="0039262C"/>
    <w:rsid w:val="00392882"/>
    <w:rsid w:val="00392952"/>
    <w:rsid w:val="003929F4"/>
    <w:rsid w:val="0039365C"/>
    <w:rsid w:val="00393DF9"/>
    <w:rsid w:val="00394072"/>
    <w:rsid w:val="003941B8"/>
    <w:rsid w:val="00394347"/>
    <w:rsid w:val="00394797"/>
    <w:rsid w:val="00394C52"/>
    <w:rsid w:val="00394D91"/>
    <w:rsid w:val="00394ECD"/>
    <w:rsid w:val="00395609"/>
    <w:rsid w:val="003956B3"/>
    <w:rsid w:val="00395D18"/>
    <w:rsid w:val="003960FD"/>
    <w:rsid w:val="003966C8"/>
    <w:rsid w:val="00396ABD"/>
    <w:rsid w:val="00396DA2"/>
    <w:rsid w:val="00396EB4"/>
    <w:rsid w:val="00396F36"/>
    <w:rsid w:val="0039719E"/>
    <w:rsid w:val="0039759F"/>
    <w:rsid w:val="00397674"/>
    <w:rsid w:val="003977E9"/>
    <w:rsid w:val="00397DC8"/>
    <w:rsid w:val="00397EF7"/>
    <w:rsid w:val="00397F44"/>
    <w:rsid w:val="003A0B82"/>
    <w:rsid w:val="003A1AB0"/>
    <w:rsid w:val="003A1DFF"/>
    <w:rsid w:val="003A1E79"/>
    <w:rsid w:val="003A20B3"/>
    <w:rsid w:val="003A2139"/>
    <w:rsid w:val="003A22CD"/>
    <w:rsid w:val="003A2496"/>
    <w:rsid w:val="003A24B5"/>
    <w:rsid w:val="003A28F7"/>
    <w:rsid w:val="003A2E3D"/>
    <w:rsid w:val="003A329C"/>
    <w:rsid w:val="003A3CDF"/>
    <w:rsid w:val="003A3D67"/>
    <w:rsid w:val="003A4189"/>
    <w:rsid w:val="003A4542"/>
    <w:rsid w:val="003A4887"/>
    <w:rsid w:val="003A49B7"/>
    <w:rsid w:val="003A4CCB"/>
    <w:rsid w:val="003A54EA"/>
    <w:rsid w:val="003A6489"/>
    <w:rsid w:val="003A64F6"/>
    <w:rsid w:val="003A7DEF"/>
    <w:rsid w:val="003B00B0"/>
    <w:rsid w:val="003B05FB"/>
    <w:rsid w:val="003B06F8"/>
    <w:rsid w:val="003B0BC5"/>
    <w:rsid w:val="003B0F2C"/>
    <w:rsid w:val="003B187C"/>
    <w:rsid w:val="003B192B"/>
    <w:rsid w:val="003B1DD0"/>
    <w:rsid w:val="003B212C"/>
    <w:rsid w:val="003B2947"/>
    <w:rsid w:val="003B2B11"/>
    <w:rsid w:val="003B2B17"/>
    <w:rsid w:val="003B2BF1"/>
    <w:rsid w:val="003B3BE9"/>
    <w:rsid w:val="003B3D27"/>
    <w:rsid w:val="003B4A5A"/>
    <w:rsid w:val="003B4AAA"/>
    <w:rsid w:val="003B4AD8"/>
    <w:rsid w:val="003B4AF1"/>
    <w:rsid w:val="003B4DAA"/>
    <w:rsid w:val="003B4E66"/>
    <w:rsid w:val="003B5B4F"/>
    <w:rsid w:val="003B5EBE"/>
    <w:rsid w:val="003B5F30"/>
    <w:rsid w:val="003B6005"/>
    <w:rsid w:val="003B7167"/>
    <w:rsid w:val="003B7787"/>
    <w:rsid w:val="003B797A"/>
    <w:rsid w:val="003B7A69"/>
    <w:rsid w:val="003B7F65"/>
    <w:rsid w:val="003C0EC7"/>
    <w:rsid w:val="003C13C0"/>
    <w:rsid w:val="003C166E"/>
    <w:rsid w:val="003C1A0B"/>
    <w:rsid w:val="003C1DA7"/>
    <w:rsid w:val="003C1DC1"/>
    <w:rsid w:val="003C201D"/>
    <w:rsid w:val="003C3101"/>
    <w:rsid w:val="003C31FF"/>
    <w:rsid w:val="003C342B"/>
    <w:rsid w:val="003C37F7"/>
    <w:rsid w:val="003C392D"/>
    <w:rsid w:val="003C3A35"/>
    <w:rsid w:val="003C420B"/>
    <w:rsid w:val="003C4701"/>
    <w:rsid w:val="003C4751"/>
    <w:rsid w:val="003C478E"/>
    <w:rsid w:val="003C4883"/>
    <w:rsid w:val="003C4A01"/>
    <w:rsid w:val="003C4C62"/>
    <w:rsid w:val="003C4E7B"/>
    <w:rsid w:val="003C50D4"/>
    <w:rsid w:val="003C53D9"/>
    <w:rsid w:val="003C5573"/>
    <w:rsid w:val="003C5A56"/>
    <w:rsid w:val="003C61E5"/>
    <w:rsid w:val="003C62AC"/>
    <w:rsid w:val="003C65F1"/>
    <w:rsid w:val="003C6A18"/>
    <w:rsid w:val="003C6D63"/>
    <w:rsid w:val="003C6ED6"/>
    <w:rsid w:val="003C750F"/>
    <w:rsid w:val="003C751F"/>
    <w:rsid w:val="003C7684"/>
    <w:rsid w:val="003C7C94"/>
    <w:rsid w:val="003D007E"/>
    <w:rsid w:val="003D084D"/>
    <w:rsid w:val="003D0A62"/>
    <w:rsid w:val="003D0C38"/>
    <w:rsid w:val="003D0C5A"/>
    <w:rsid w:val="003D0D11"/>
    <w:rsid w:val="003D114F"/>
    <w:rsid w:val="003D12B2"/>
    <w:rsid w:val="003D139A"/>
    <w:rsid w:val="003D13A6"/>
    <w:rsid w:val="003D1960"/>
    <w:rsid w:val="003D1DEF"/>
    <w:rsid w:val="003D1E74"/>
    <w:rsid w:val="003D2051"/>
    <w:rsid w:val="003D20A7"/>
    <w:rsid w:val="003D21EE"/>
    <w:rsid w:val="003D239B"/>
    <w:rsid w:val="003D2407"/>
    <w:rsid w:val="003D2A2B"/>
    <w:rsid w:val="003D2C28"/>
    <w:rsid w:val="003D380F"/>
    <w:rsid w:val="003D3D64"/>
    <w:rsid w:val="003D3E73"/>
    <w:rsid w:val="003D41EA"/>
    <w:rsid w:val="003D4566"/>
    <w:rsid w:val="003D45FB"/>
    <w:rsid w:val="003D4962"/>
    <w:rsid w:val="003D567A"/>
    <w:rsid w:val="003D56FC"/>
    <w:rsid w:val="003D5721"/>
    <w:rsid w:val="003D5A07"/>
    <w:rsid w:val="003D5CF0"/>
    <w:rsid w:val="003D6258"/>
    <w:rsid w:val="003D6841"/>
    <w:rsid w:val="003D69FD"/>
    <w:rsid w:val="003D6FA5"/>
    <w:rsid w:val="003D7406"/>
    <w:rsid w:val="003D7592"/>
    <w:rsid w:val="003D764D"/>
    <w:rsid w:val="003D7A04"/>
    <w:rsid w:val="003D7A7D"/>
    <w:rsid w:val="003D7E25"/>
    <w:rsid w:val="003E01F1"/>
    <w:rsid w:val="003E0249"/>
    <w:rsid w:val="003E0645"/>
    <w:rsid w:val="003E06DC"/>
    <w:rsid w:val="003E0775"/>
    <w:rsid w:val="003E0BF3"/>
    <w:rsid w:val="003E0C70"/>
    <w:rsid w:val="003E0CD4"/>
    <w:rsid w:val="003E0DB3"/>
    <w:rsid w:val="003E0DEC"/>
    <w:rsid w:val="003E158A"/>
    <w:rsid w:val="003E16A7"/>
    <w:rsid w:val="003E18A9"/>
    <w:rsid w:val="003E1F01"/>
    <w:rsid w:val="003E250E"/>
    <w:rsid w:val="003E274B"/>
    <w:rsid w:val="003E2DE8"/>
    <w:rsid w:val="003E2FD4"/>
    <w:rsid w:val="003E3009"/>
    <w:rsid w:val="003E3E97"/>
    <w:rsid w:val="003E428F"/>
    <w:rsid w:val="003E480F"/>
    <w:rsid w:val="003E4DFF"/>
    <w:rsid w:val="003E4E2B"/>
    <w:rsid w:val="003E547F"/>
    <w:rsid w:val="003E5943"/>
    <w:rsid w:val="003E5ECE"/>
    <w:rsid w:val="003E69AB"/>
    <w:rsid w:val="003E7141"/>
    <w:rsid w:val="003E719B"/>
    <w:rsid w:val="003E7209"/>
    <w:rsid w:val="003E78A0"/>
    <w:rsid w:val="003F05C2"/>
    <w:rsid w:val="003F08A2"/>
    <w:rsid w:val="003F0B0F"/>
    <w:rsid w:val="003F0D02"/>
    <w:rsid w:val="003F1EE7"/>
    <w:rsid w:val="003F2110"/>
    <w:rsid w:val="003F2688"/>
    <w:rsid w:val="003F26BD"/>
    <w:rsid w:val="003F2BCB"/>
    <w:rsid w:val="003F2D85"/>
    <w:rsid w:val="003F341E"/>
    <w:rsid w:val="003F3859"/>
    <w:rsid w:val="003F3BD6"/>
    <w:rsid w:val="003F3BE2"/>
    <w:rsid w:val="003F3E18"/>
    <w:rsid w:val="003F4D9B"/>
    <w:rsid w:val="003F4FE7"/>
    <w:rsid w:val="003F52F1"/>
    <w:rsid w:val="003F5D42"/>
    <w:rsid w:val="003F5EAC"/>
    <w:rsid w:val="003F6076"/>
    <w:rsid w:val="003F60C5"/>
    <w:rsid w:val="003F692A"/>
    <w:rsid w:val="003F6ACF"/>
    <w:rsid w:val="003F7020"/>
    <w:rsid w:val="004004D8"/>
    <w:rsid w:val="00400E5F"/>
    <w:rsid w:val="004014AF"/>
    <w:rsid w:val="004015C5"/>
    <w:rsid w:val="004026DC"/>
    <w:rsid w:val="00402DAF"/>
    <w:rsid w:val="00403B4F"/>
    <w:rsid w:val="004043E1"/>
    <w:rsid w:val="00404556"/>
    <w:rsid w:val="004046DB"/>
    <w:rsid w:val="00404F96"/>
    <w:rsid w:val="00405005"/>
    <w:rsid w:val="004057E0"/>
    <w:rsid w:val="004058F4"/>
    <w:rsid w:val="00405D21"/>
    <w:rsid w:val="00405F3D"/>
    <w:rsid w:val="00407097"/>
    <w:rsid w:val="00407359"/>
    <w:rsid w:val="004073EA"/>
    <w:rsid w:val="00407453"/>
    <w:rsid w:val="0040781F"/>
    <w:rsid w:val="00407B9C"/>
    <w:rsid w:val="00407DCA"/>
    <w:rsid w:val="00410642"/>
    <w:rsid w:val="004106D9"/>
    <w:rsid w:val="004113B4"/>
    <w:rsid w:val="0041182B"/>
    <w:rsid w:val="00411CF7"/>
    <w:rsid w:val="00411FDB"/>
    <w:rsid w:val="00412B02"/>
    <w:rsid w:val="00413EEB"/>
    <w:rsid w:val="00413F96"/>
    <w:rsid w:val="00414277"/>
    <w:rsid w:val="00414659"/>
    <w:rsid w:val="00415254"/>
    <w:rsid w:val="00415440"/>
    <w:rsid w:val="00415E68"/>
    <w:rsid w:val="0041602D"/>
    <w:rsid w:val="00416AA7"/>
    <w:rsid w:val="00416B4C"/>
    <w:rsid w:val="00416B6B"/>
    <w:rsid w:val="00416CFF"/>
    <w:rsid w:val="00416DDA"/>
    <w:rsid w:val="00416E69"/>
    <w:rsid w:val="0041723B"/>
    <w:rsid w:val="0041733A"/>
    <w:rsid w:val="004201BE"/>
    <w:rsid w:val="004202AC"/>
    <w:rsid w:val="00420756"/>
    <w:rsid w:val="004208AB"/>
    <w:rsid w:val="0042091F"/>
    <w:rsid w:val="00420C8B"/>
    <w:rsid w:val="00420D66"/>
    <w:rsid w:val="0042122B"/>
    <w:rsid w:val="00421A1D"/>
    <w:rsid w:val="00421A2F"/>
    <w:rsid w:val="00421CDC"/>
    <w:rsid w:val="00422431"/>
    <w:rsid w:val="00422897"/>
    <w:rsid w:val="00422A07"/>
    <w:rsid w:val="00422CC6"/>
    <w:rsid w:val="00423461"/>
    <w:rsid w:val="00424027"/>
    <w:rsid w:val="004240F3"/>
    <w:rsid w:val="00424324"/>
    <w:rsid w:val="00424939"/>
    <w:rsid w:val="00424B42"/>
    <w:rsid w:val="00424CC2"/>
    <w:rsid w:val="00424E1B"/>
    <w:rsid w:val="00425021"/>
    <w:rsid w:val="00425634"/>
    <w:rsid w:val="00425877"/>
    <w:rsid w:val="00425BAF"/>
    <w:rsid w:val="0042634F"/>
    <w:rsid w:val="004263AE"/>
    <w:rsid w:val="004265C2"/>
    <w:rsid w:val="004269D0"/>
    <w:rsid w:val="00426F8D"/>
    <w:rsid w:val="0042708B"/>
    <w:rsid w:val="004276BC"/>
    <w:rsid w:val="00427A2B"/>
    <w:rsid w:val="00427D8A"/>
    <w:rsid w:val="004301E2"/>
    <w:rsid w:val="0043049B"/>
    <w:rsid w:val="00430A82"/>
    <w:rsid w:val="00430C13"/>
    <w:rsid w:val="00430E53"/>
    <w:rsid w:val="00431443"/>
    <w:rsid w:val="004317AD"/>
    <w:rsid w:val="004317D5"/>
    <w:rsid w:val="004318E3"/>
    <w:rsid w:val="00431B6D"/>
    <w:rsid w:val="00431C8F"/>
    <w:rsid w:val="00432545"/>
    <w:rsid w:val="00432FA0"/>
    <w:rsid w:val="00433210"/>
    <w:rsid w:val="004334CC"/>
    <w:rsid w:val="00433738"/>
    <w:rsid w:val="00434558"/>
    <w:rsid w:val="0043464F"/>
    <w:rsid w:val="0043532A"/>
    <w:rsid w:val="0043569F"/>
    <w:rsid w:val="0043571E"/>
    <w:rsid w:val="0043594C"/>
    <w:rsid w:val="00435EE9"/>
    <w:rsid w:val="0043654B"/>
    <w:rsid w:val="004366AA"/>
    <w:rsid w:val="00436886"/>
    <w:rsid w:val="00436D74"/>
    <w:rsid w:val="00436EC7"/>
    <w:rsid w:val="004370DE"/>
    <w:rsid w:val="004377DF"/>
    <w:rsid w:val="00437D32"/>
    <w:rsid w:val="0044048A"/>
    <w:rsid w:val="00440638"/>
    <w:rsid w:val="004406F4"/>
    <w:rsid w:val="00440936"/>
    <w:rsid w:val="00440A06"/>
    <w:rsid w:val="00440B70"/>
    <w:rsid w:val="00440C1E"/>
    <w:rsid w:val="00440E6F"/>
    <w:rsid w:val="00440F6D"/>
    <w:rsid w:val="004411DB"/>
    <w:rsid w:val="004416C3"/>
    <w:rsid w:val="00441701"/>
    <w:rsid w:val="00441DA4"/>
    <w:rsid w:val="00442515"/>
    <w:rsid w:val="004427B6"/>
    <w:rsid w:val="00442A2D"/>
    <w:rsid w:val="00442F43"/>
    <w:rsid w:val="004435A1"/>
    <w:rsid w:val="00443896"/>
    <w:rsid w:val="00443DDD"/>
    <w:rsid w:val="00443E7D"/>
    <w:rsid w:val="0044402D"/>
    <w:rsid w:val="004440FF"/>
    <w:rsid w:val="00444736"/>
    <w:rsid w:val="00444A1C"/>
    <w:rsid w:val="00445027"/>
    <w:rsid w:val="004452F5"/>
    <w:rsid w:val="0044541C"/>
    <w:rsid w:val="00445D6D"/>
    <w:rsid w:val="00445DC0"/>
    <w:rsid w:val="004460B1"/>
    <w:rsid w:val="004462C4"/>
    <w:rsid w:val="00446640"/>
    <w:rsid w:val="00446683"/>
    <w:rsid w:val="004472E4"/>
    <w:rsid w:val="0044762A"/>
    <w:rsid w:val="00447854"/>
    <w:rsid w:val="00447AEE"/>
    <w:rsid w:val="00447C66"/>
    <w:rsid w:val="00447E52"/>
    <w:rsid w:val="004502AA"/>
    <w:rsid w:val="00450D8A"/>
    <w:rsid w:val="00450ED3"/>
    <w:rsid w:val="004511A8"/>
    <w:rsid w:val="00451406"/>
    <w:rsid w:val="00451981"/>
    <w:rsid w:val="00451BAD"/>
    <w:rsid w:val="00451CC6"/>
    <w:rsid w:val="00451F31"/>
    <w:rsid w:val="004528D5"/>
    <w:rsid w:val="00452B11"/>
    <w:rsid w:val="00452D8B"/>
    <w:rsid w:val="00452E03"/>
    <w:rsid w:val="00454098"/>
    <w:rsid w:val="004540B6"/>
    <w:rsid w:val="004541AF"/>
    <w:rsid w:val="004543B4"/>
    <w:rsid w:val="004543BF"/>
    <w:rsid w:val="0045456F"/>
    <w:rsid w:val="00455206"/>
    <w:rsid w:val="00455443"/>
    <w:rsid w:val="0045559C"/>
    <w:rsid w:val="004555B1"/>
    <w:rsid w:val="004559DC"/>
    <w:rsid w:val="00455A3F"/>
    <w:rsid w:val="00455BAD"/>
    <w:rsid w:val="00455D46"/>
    <w:rsid w:val="0045605B"/>
    <w:rsid w:val="004562C8"/>
    <w:rsid w:val="004563C5"/>
    <w:rsid w:val="00456EEA"/>
    <w:rsid w:val="00456EFD"/>
    <w:rsid w:val="004571AC"/>
    <w:rsid w:val="004571E7"/>
    <w:rsid w:val="00457205"/>
    <w:rsid w:val="00457271"/>
    <w:rsid w:val="004573BC"/>
    <w:rsid w:val="00457570"/>
    <w:rsid w:val="00457B62"/>
    <w:rsid w:val="00457CDE"/>
    <w:rsid w:val="00457E0A"/>
    <w:rsid w:val="004603D9"/>
    <w:rsid w:val="00460718"/>
    <w:rsid w:val="0046098B"/>
    <w:rsid w:val="0046109F"/>
    <w:rsid w:val="0046162D"/>
    <w:rsid w:val="0046191F"/>
    <w:rsid w:val="00461B22"/>
    <w:rsid w:val="00461D2B"/>
    <w:rsid w:val="004627EC"/>
    <w:rsid w:val="00462BF2"/>
    <w:rsid w:val="00462CE7"/>
    <w:rsid w:val="00462EE3"/>
    <w:rsid w:val="0046310B"/>
    <w:rsid w:val="00463765"/>
    <w:rsid w:val="00463768"/>
    <w:rsid w:val="00463DE9"/>
    <w:rsid w:val="0046437D"/>
    <w:rsid w:val="0046445A"/>
    <w:rsid w:val="0046449E"/>
    <w:rsid w:val="00464683"/>
    <w:rsid w:val="004649C6"/>
    <w:rsid w:val="00464BCD"/>
    <w:rsid w:val="00465609"/>
    <w:rsid w:val="004660B0"/>
    <w:rsid w:val="00466377"/>
    <w:rsid w:val="00466894"/>
    <w:rsid w:val="00466946"/>
    <w:rsid w:val="004669BD"/>
    <w:rsid w:val="00466C69"/>
    <w:rsid w:val="00466D4C"/>
    <w:rsid w:val="00466E75"/>
    <w:rsid w:val="0046709B"/>
    <w:rsid w:val="00467315"/>
    <w:rsid w:val="0046751C"/>
    <w:rsid w:val="00467C91"/>
    <w:rsid w:val="00467D80"/>
    <w:rsid w:val="00467DD6"/>
    <w:rsid w:val="00467FBA"/>
    <w:rsid w:val="00470EA9"/>
    <w:rsid w:val="00470EF1"/>
    <w:rsid w:val="004713B9"/>
    <w:rsid w:val="0047158C"/>
    <w:rsid w:val="0047188E"/>
    <w:rsid w:val="00471A32"/>
    <w:rsid w:val="00471EE4"/>
    <w:rsid w:val="00471F96"/>
    <w:rsid w:val="00471FDA"/>
    <w:rsid w:val="00472262"/>
    <w:rsid w:val="004725BD"/>
    <w:rsid w:val="0047263E"/>
    <w:rsid w:val="0047368B"/>
    <w:rsid w:val="0047396D"/>
    <w:rsid w:val="004742B8"/>
    <w:rsid w:val="0047445B"/>
    <w:rsid w:val="004751DA"/>
    <w:rsid w:val="00475A61"/>
    <w:rsid w:val="00475B93"/>
    <w:rsid w:val="00475BA5"/>
    <w:rsid w:val="00475C6C"/>
    <w:rsid w:val="0047625F"/>
    <w:rsid w:val="0047640F"/>
    <w:rsid w:val="004765C0"/>
    <w:rsid w:val="004769FA"/>
    <w:rsid w:val="00477432"/>
    <w:rsid w:val="00477CBC"/>
    <w:rsid w:val="0048044D"/>
    <w:rsid w:val="0048046F"/>
    <w:rsid w:val="00481E74"/>
    <w:rsid w:val="00481F6D"/>
    <w:rsid w:val="004820CF"/>
    <w:rsid w:val="004824A3"/>
    <w:rsid w:val="004824CE"/>
    <w:rsid w:val="00482E69"/>
    <w:rsid w:val="00482EB7"/>
    <w:rsid w:val="0048300A"/>
    <w:rsid w:val="00483058"/>
    <w:rsid w:val="004832DB"/>
    <w:rsid w:val="00483437"/>
    <w:rsid w:val="004836D8"/>
    <w:rsid w:val="00483957"/>
    <w:rsid w:val="00483ED1"/>
    <w:rsid w:val="00483F03"/>
    <w:rsid w:val="00484535"/>
    <w:rsid w:val="0048494F"/>
    <w:rsid w:val="004851C6"/>
    <w:rsid w:val="00485A83"/>
    <w:rsid w:val="00485BEE"/>
    <w:rsid w:val="00485E52"/>
    <w:rsid w:val="00486049"/>
    <w:rsid w:val="00486A43"/>
    <w:rsid w:val="00486B43"/>
    <w:rsid w:val="0048716F"/>
    <w:rsid w:val="004872C6"/>
    <w:rsid w:val="0049011A"/>
    <w:rsid w:val="00490205"/>
    <w:rsid w:val="00490273"/>
    <w:rsid w:val="004905B2"/>
    <w:rsid w:val="00490D12"/>
    <w:rsid w:val="00490F02"/>
    <w:rsid w:val="00491771"/>
    <w:rsid w:val="00491C57"/>
    <w:rsid w:val="004923B1"/>
    <w:rsid w:val="0049244A"/>
    <w:rsid w:val="0049283E"/>
    <w:rsid w:val="00492E43"/>
    <w:rsid w:val="00493062"/>
    <w:rsid w:val="004932C7"/>
    <w:rsid w:val="00493461"/>
    <w:rsid w:val="00493E19"/>
    <w:rsid w:val="00494153"/>
    <w:rsid w:val="0049422F"/>
    <w:rsid w:val="00494836"/>
    <w:rsid w:val="00495BA2"/>
    <w:rsid w:val="00495C32"/>
    <w:rsid w:val="00495E87"/>
    <w:rsid w:val="0049684E"/>
    <w:rsid w:val="00496A24"/>
    <w:rsid w:val="00496CD5"/>
    <w:rsid w:val="00497862"/>
    <w:rsid w:val="004978E4"/>
    <w:rsid w:val="00497BEE"/>
    <w:rsid w:val="004A0269"/>
    <w:rsid w:val="004A02A0"/>
    <w:rsid w:val="004A0662"/>
    <w:rsid w:val="004A0B8F"/>
    <w:rsid w:val="004A1B3F"/>
    <w:rsid w:val="004A1B8D"/>
    <w:rsid w:val="004A1BA1"/>
    <w:rsid w:val="004A1D3C"/>
    <w:rsid w:val="004A20FC"/>
    <w:rsid w:val="004A217A"/>
    <w:rsid w:val="004A26AE"/>
    <w:rsid w:val="004A272C"/>
    <w:rsid w:val="004A2859"/>
    <w:rsid w:val="004A2B30"/>
    <w:rsid w:val="004A375F"/>
    <w:rsid w:val="004A399A"/>
    <w:rsid w:val="004A3D87"/>
    <w:rsid w:val="004A3E82"/>
    <w:rsid w:val="004A3FA1"/>
    <w:rsid w:val="004A40E3"/>
    <w:rsid w:val="004A44DE"/>
    <w:rsid w:val="004A4C27"/>
    <w:rsid w:val="004A5105"/>
    <w:rsid w:val="004A570B"/>
    <w:rsid w:val="004A5ACF"/>
    <w:rsid w:val="004A6747"/>
    <w:rsid w:val="004A67DA"/>
    <w:rsid w:val="004A6E23"/>
    <w:rsid w:val="004A7714"/>
    <w:rsid w:val="004A77A3"/>
    <w:rsid w:val="004A7A88"/>
    <w:rsid w:val="004A7A8F"/>
    <w:rsid w:val="004A7F86"/>
    <w:rsid w:val="004B01D9"/>
    <w:rsid w:val="004B03BC"/>
    <w:rsid w:val="004B0C23"/>
    <w:rsid w:val="004B0D21"/>
    <w:rsid w:val="004B0E30"/>
    <w:rsid w:val="004B1244"/>
    <w:rsid w:val="004B15D9"/>
    <w:rsid w:val="004B1755"/>
    <w:rsid w:val="004B1875"/>
    <w:rsid w:val="004B1ACF"/>
    <w:rsid w:val="004B1C73"/>
    <w:rsid w:val="004B1CE6"/>
    <w:rsid w:val="004B22A1"/>
    <w:rsid w:val="004B2CFB"/>
    <w:rsid w:val="004B3D68"/>
    <w:rsid w:val="004B4302"/>
    <w:rsid w:val="004B4481"/>
    <w:rsid w:val="004B44A9"/>
    <w:rsid w:val="004B450C"/>
    <w:rsid w:val="004B4733"/>
    <w:rsid w:val="004B4749"/>
    <w:rsid w:val="004B4881"/>
    <w:rsid w:val="004B4898"/>
    <w:rsid w:val="004B48EC"/>
    <w:rsid w:val="004B4968"/>
    <w:rsid w:val="004B4A44"/>
    <w:rsid w:val="004B5AE8"/>
    <w:rsid w:val="004B5CD1"/>
    <w:rsid w:val="004B67F0"/>
    <w:rsid w:val="004B74DD"/>
    <w:rsid w:val="004B781D"/>
    <w:rsid w:val="004B78B7"/>
    <w:rsid w:val="004B79EC"/>
    <w:rsid w:val="004B7EA5"/>
    <w:rsid w:val="004C0656"/>
    <w:rsid w:val="004C0993"/>
    <w:rsid w:val="004C0EBC"/>
    <w:rsid w:val="004C1240"/>
    <w:rsid w:val="004C1481"/>
    <w:rsid w:val="004C1978"/>
    <w:rsid w:val="004C1A9F"/>
    <w:rsid w:val="004C1C7D"/>
    <w:rsid w:val="004C1EC5"/>
    <w:rsid w:val="004C20F4"/>
    <w:rsid w:val="004C31EE"/>
    <w:rsid w:val="004C32C3"/>
    <w:rsid w:val="004C3491"/>
    <w:rsid w:val="004C35D7"/>
    <w:rsid w:val="004C37E9"/>
    <w:rsid w:val="004C3833"/>
    <w:rsid w:val="004C3CCE"/>
    <w:rsid w:val="004C407C"/>
    <w:rsid w:val="004C4A9E"/>
    <w:rsid w:val="004C50F9"/>
    <w:rsid w:val="004C5201"/>
    <w:rsid w:val="004C54C7"/>
    <w:rsid w:val="004C5593"/>
    <w:rsid w:val="004C57F5"/>
    <w:rsid w:val="004C5AA6"/>
    <w:rsid w:val="004C5D8C"/>
    <w:rsid w:val="004C5FD0"/>
    <w:rsid w:val="004C6101"/>
    <w:rsid w:val="004C6442"/>
    <w:rsid w:val="004C656D"/>
    <w:rsid w:val="004C6640"/>
    <w:rsid w:val="004C7587"/>
    <w:rsid w:val="004C758E"/>
    <w:rsid w:val="004C7859"/>
    <w:rsid w:val="004C78DF"/>
    <w:rsid w:val="004C7A95"/>
    <w:rsid w:val="004C7B57"/>
    <w:rsid w:val="004C7DF1"/>
    <w:rsid w:val="004D024C"/>
    <w:rsid w:val="004D0813"/>
    <w:rsid w:val="004D095D"/>
    <w:rsid w:val="004D11A3"/>
    <w:rsid w:val="004D126A"/>
    <w:rsid w:val="004D1AA0"/>
    <w:rsid w:val="004D2283"/>
    <w:rsid w:val="004D2679"/>
    <w:rsid w:val="004D26C7"/>
    <w:rsid w:val="004D3357"/>
    <w:rsid w:val="004D35CC"/>
    <w:rsid w:val="004D3BC0"/>
    <w:rsid w:val="004D3E17"/>
    <w:rsid w:val="004D3F73"/>
    <w:rsid w:val="004D3FB4"/>
    <w:rsid w:val="004D4096"/>
    <w:rsid w:val="004D41FF"/>
    <w:rsid w:val="004D42F4"/>
    <w:rsid w:val="004D472E"/>
    <w:rsid w:val="004D47B7"/>
    <w:rsid w:val="004D4A3D"/>
    <w:rsid w:val="004D4CE8"/>
    <w:rsid w:val="004D5011"/>
    <w:rsid w:val="004D515B"/>
    <w:rsid w:val="004D5353"/>
    <w:rsid w:val="004D55B1"/>
    <w:rsid w:val="004D5649"/>
    <w:rsid w:val="004D5744"/>
    <w:rsid w:val="004D5B18"/>
    <w:rsid w:val="004D5FFA"/>
    <w:rsid w:val="004D61C9"/>
    <w:rsid w:val="004D6AA5"/>
    <w:rsid w:val="004D6B33"/>
    <w:rsid w:val="004D76D8"/>
    <w:rsid w:val="004D7713"/>
    <w:rsid w:val="004D7A65"/>
    <w:rsid w:val="004E00A4"/>
    <w:rsid w:val="004E0A7E"/>
    <w:rsid w:val="004E0CD6"/>
    <w:rsid w:val="004E0FE7"/>
    <w:rsid w:val="004E1233"/>
    <w:rsid w:val="004E13DA"/>
    <w:rsid w:val="004E1852"/>
    <w:rsid w:val="004E1ACA"/>
    <w:rsid w:val="004E2553"/>
    <w:rsid w:val="004E27F8"/>
    <w:rsid w:val="004E2A32"/>
    <w:rsid w:val="004E2D7F"/>
    <w:rsid w:val="004E2F20"/>
    <w:rsid w:val="004E3854"/>
    <w:rsid w:val="004E4883"/>
    <w:rsid w:val="004E4A71"/>
    <w:rsid w:val="004E5295"/>
    <w:rsid w:val="004E5756"/>
    <w:rsid w:val="004E5DDD"/>
    <w:rsid w:val="004E5F82"/>
    <w:rsid w:val="004E736E"/>
    <w:rsid w:val="004E7550"/>
    <w:rsid w:val="004E7620"/>
    <w:rsid w:val="004E79C3"/>
    <w:rsid w:val="004E7F73"/>
    <w:rsid w:val="004F1362"/>
    <w:rsid w:val="004F1824"/>
    <w:rsid w:val="004F1A4A"/>
    <w:rsid w:val="004F2248"/>
    <w:rsid w:val="004F25F4"/>
    <w:rsid w:val="004F2BC2"/>
    <w:rsid w:val="004F3465"/>
    <w:rsid w:val="004F34B5"/>
    <w:rsid w:val="004F3AA1"/>
    <w:rsid w:val="004F40A3"/>
    <w:rsid w:val="004F4116"/>
    <w:rsid w:val="004F4198"/>
    <w:rsid w:val="004F46AC"/>
    <w:rsid w:val="004F52AC"/>
    <w:rsid w:val="004F57BA"/>
    <w:rsid w:val="004F58BC"/>
    <w:rsid w:val="004F5C63"/>
    <w:rsid w:val="004F5E60"/>
    <w:rsid w:val="004F5F90"/>
    <w:rsid w:val="004F61E1"/>
    <w:rsid w:val="004F6255"/>
    <w:rsid w:val="004F6FF2"/>
    <w:rsid w:val="004F7137"/>
    <w:rsid w:val="004F751E"/>
    <w:rsid w:val="004F76C9"/>
    <w:rsid w:val="004F785D"/>
    <w:rsid w:val="004F7DFE"/>
    <w:rsid w:val="00500292"/>
    <w:rsid w:val="00500DAC"/>
    <w:rsid w:val="00500DE6"/>
    <w:rsid w:val="005015D9"/>
    <w:rsid w:val="00501A93"/>
    <w:rsid w:val="00501E6E"/>
    <w:rsid w:val="00502254"/>
    <w:rsid w:val="00502303"/>
    <w:rsid w:val="00502351"/>
    <w:rsid w:val="00502699"/>
    <w:rsid w:val="00502978"/>
    <w:rsid w:val="00502A83"/>
    <w:rsid w:val="005030D2"/>
    <w:rsid w:val="00503593"/>
    <w:rsid w:val="00503800"/>
    <w:rsid w:val="005039E5"/>
    <w:rsid w:val="00503B49"/>
    <w:rsid w:val="00504133"/>
    <w:rsid w:val="00504655"/>
    <w:rsid w:val="0050505D"/>
    <w:rsid w:val="00505430"/>
    <w:rsid w:val="005055CE"/>
    <w:rsid w:val="005059F7"/>
    <w:rsid w:val="00505BE4"/>
    <w:rsid w:val="005060A4"/>
    <w:rsid w:val="005069DD"/>
    <w:rsid w:val="00506E64"/>
    <w:rsid w:val="00507193"/>
    <w:rsid w:val="005072A9"/>
    <w:rsid w:val="005105E5"/>
    <w:rsid w:val="0051089E"/>
    <w:rsid w:val="005109E1"/>
    <w:rsid w:val="00510B61"/>
    <w:rsid w:val="00510BF5"/>
    <w:rsid w:val="00511175"/>
    <w:rsid w:val="00511262"/>
    <w:rsid w:val="00511610"/>
    <w:rsid w:val="00511766"/>
    <w:rsid w:val="0051189F"/>
    <w:rsid w:val="00511BCC"/>
    <w:rsid w:val="005124E1"/>
    <w:rsid w:val="00512EC0"/>
    <w:rsid w:val="0051330D"/>
    <w:rsid w:val="005135A9"/>
    <w:rsid w:val="00515B43"/>
    <w:rsid w:val="00515CB5"/>
    <w:rsid w:val="00515E8D"/>
    <w:rsid w:val="00516935"/>
    <w:rsid w:val="00516EAF"/>
    <w:rsid w:val="005170CE"/>
    <w:rsid w:val="005171E7"/>
    <w:rsid w:val="005172FF"/>
    <w:rsid w:val="00517655"/>
    <w:rsid w:val="00517977"/>
    <w:rsid w:val="0052020B"/>
    <w:rsid w:val="00520BAB"/>
    <w:rsid w:val="005211EC"/>
    <w:rsid w:val="0052177E"/>
    <w:rsid w:val="0052196B"/>
    <w:rsid w:val="00521C6D"/>
    <w:rsid w:val="00521E95"/>
    <w:rsid w:val="00522249"/>
    <w:rsid w:val="00523204"/>
    <w:rsid w:val="00523429"/>
    <w:rsid w:val="00523924"/>
    <w:rsid w:val="00523AC7"/>
    <w:rsid w:val="00523C02"/>
    <w:rsid w:val="00524339"/>
    <w:rsid w:val="005246A9"/>
    <w:rsid w:val="00524A5D"/>
    <w:rsid w:val="00524E1B"/>
    <w:rsid w:val="00524E74"/>
    <w:rsid w:val="0052538D"/>
    <w:rsid w:val="00525404"/>
    <w:rsid w:val="005258A2"/>
    <w:rsid w:val="00525A4D"/>
    <w:rsid w:val="00525AD1"/>
    <w:rsid w:val="00525BD7"/>
    <w:rsid w:val="00525D23"/>
    <w:rsid w:val="00525FEC"/>
    <w:rsid w:val="0052602A"/>
    <w:rsid w:val="0052646F"/>
    <w:rsid w:val="00526A47"/>
    <w:rsid w:val="00526AF5"/>
    <w:rsid w:val="00526DF5"/>
    <w:rsid w:val="00526F2A"/>
    <w:rsid w:val="0052706C"/>
    <w:rsid w:val="00527A84"/>
    <w:rsid w:val="00527E7D"/>
    <w:rsid w:val="0053022E"/>
    <w:rsid w:val="00530589"/>
    <w:rsid w:val="00530667"/>
    <w:rsid w:val="0053103E"/>
    <w:rsid w:val="00531127"/>
    <w:rsid w:val="00531909"/>
    <w:rsid w:val="00531AEF"/>
    <w:rsid w:val="00531F97"/>
    <w:rsid w:val="00532456"/>
    <w:rsid w:val="005324E6"/>
    <w:rsid w:val="00532528"/>
    <w:rsid w:val="00532726"/>
    <w:rsid w:val="0053282E"/>
    <w:rsid w:val="00532A31"/>
    <w:rsid w:val="005331B4"/>
    <w:rsid w:val="0053328C"/>
    <w:rsid w:val="00533DF1"/>
    <w:rsid w:val="00534137"/>
    <w:rsid w:val="00534273"/>
    <w:rsid w:val="0053428B"/>
    <w:rsid w:val="0053451D"/>
    <w:rsid w:val="00534F47"/>
    <w:rsid w:val="005355B0"/>
    <w:rsid w:val="00535F8B"/>
    <w:rsid w:val="00536225"/>
    <w:rsid w:val="005362A0"/>
    <w:rsid w:val="005362A1"/>
    <w:rsid w:val="00536980"/>
    <w:rsid w:val="0053699A"/>
    <w:rsid w:val="00536D4D"/>
    <w:rsid w:val="00537002"/>
    <w:rsid w:val="00537A68"/>
    <w:rsid w:val="00537B32"/>
    <w:rsid w:val="00540432"/>
    <w:rsid w:val="005404AE"/>
    <w:rsid w:val="005406A4"/>
    <w:rsid w:val="005409B7"/>
    <w:rsid w:val="005409C5"/>
    <w:rsid w:val="00541050"/>
    <w:rsid w:val="00541A2A"/>
    <w:rsid w:val="00541CF8"/>
    <w:rsid w:val="00542040"/>
    <w:rsid w:val="005420E7"/>
    <w:rsid w:val="00542A3C"/>
    <w:rsid w:val="00542AC5"/>
    <w:rsid w:val="00542D14"/>
    <w:rsid w:val="00542D66"/>
    <w:rsid w:val="00542FAC"/>
    <w:rsid w:val="00543728"/>
    <w:rsid w:val="00543E2D"/>
    <w:rsid w:val="00543E7F"/>
    <w:rsid w:val="005441EE"/>
    <w:rsid w:val="00544D6C"/>
    <w:rsid w:val="00545637"/>
    <w:rsid w:val="00545844"/>
    <w:rsid w:val="00545A81"/>
    <w:rsid w:val="00546110"/>
    <w:rsid w:val="00546289"/>
    <w:rsid w:val="00546483"/>
    <w:rsid w:val="00547184"/>
    <w:rsid w:val="00547AE8"/>
    <w:rsid w:val="00547EC9"/>
    <w:rsid w:val="00547FFC"/>
    <w:rsid w:val="00550324"/>
    <w:rsid w:val="00550429"/>
    <w:rsid w:val="005509B8"/>
    <w:rsid w:val="00550FDA"/>
    <w:rsid w:val="00551164"/>
    <w:rsid w:val="005514A0"/>
    <w:rsid w:val="00551A1C"/>
    <w:rsid w:val="00551D79"/>
    <w:rsid w:val="00551E5B"/>
    <w:rsid w:val="00552321"/>
    <w:rsid w:val="00552574"/>
    <w:rsid w:val="00552D4B"/>
    <w:rsid w:val="00552D9A"/>
    <w:rsid w:val="00553140"/>
    <w:rsid w:val="00553273"/>
    <w:rsid w:val="00553A65"/>
    <w:rsid w:val="00554233"/>
    <w:rsid w:val="00554412"/>
    <w:rsid w:val="0055459B"/>
    <w:rsid w:val="00554685"/>
    <w:rsid w:val="00554883"/>
    <w:rsid w:val="00554FDC"/>
    <w:rsid w:val="00555223"/>
    <w:rsid w:val="005556D4"/>
    <w:rsid w:val="005558F8"/>
    <w:rsid w:val="00555E95"/>
    <w:rsid w:val="00556412"/>
    <w:rsid w:val="00556530"/>
    <w:rsid w:val="0055702E"/>
    <w:rsid w:val="00557511"/>
    <w:rsid w:val="00557D11"/>
    <w:rsid w:val="005600BF"/>
    <w:rsid w:val="0056021E"/>
    <w:rsid w:val="005607C9"/>
    <w:rsid w:val="00560FD5"/>
    <w:rsid w:val="0056144E"/>
    <w:rsid w:val="00561596"/>
    <w:rsid w:val="005615A1"/>
    <w:rsid w:val="00561612"/>
    <w:rsid w:val="005621AD"/>
    <w:rsid w:val="00562458"/>
    <w:rsid w:val="00562EE1"/>
    <w:rsid w:val="00563578"/>
    <w:rsid w:val="00563DE6"/>
    <w:rsid w:val="0056421D"/>
    <w:rsid w:val="00564851"/>
    <w:rsid w:val="005652F6"/>
    <w:rsid w:val="00565F03"/>
    <w:rsid w:val="00566BC3"/>
    <w:rsid w:val="00567718"/>
    <w:rsid w:val="0056775D"/>
    <w:rsid w:val="00567822"/>
    <w:rsid w:val="00570533"/>
    <w:rsid w:val="005709FE"/>
    <w:rsid w:val="00570FDC"/>
    <w:rsid w:val="00571072"/>
    <w:rsid w:val="005711AE"/>
    <w:rsid w:val="0057158F"/>
    <w:rsid w:val="00571867"/>
    <w:rsid w:val="005718F0"/>
    <w:rsid w:val="0057194A"/>
    <w:rsid w:val="00571B66"/>
    <w:rsid w:val="00571E16"/>
    <w:rsid w:val="0057238B"/>
    <w:rsid w:val="0057294A"/>
    <w:rsid w:val="00572993"/>
    <w:rsid w:val="00572A63"/>
    <w:rsid w:val="005732EC"/>
    <w:rsid w:val="0057368F"/>
    <w:rsid w:val="005738E7"/>
    <w:rsid w:val="00573AB9"/>
    <w:rsid w:val="00573B72"/>
    <w:rsid w:val="00573FA9"/>
    <w:rsid w:val="0057447B"/>
    <w:rsid w:val="0057491C"/>
    <w:rsid w:val="00574E38"/>
    <w:rsid w:val="005751C1"/>
    <w:rsid w:val="00575562"/>
    <w:rsid w:val="00575AC1"/>
    <w:rsid w:val="005761C0"/>
    <w:rsid w:val="005763D1"/>
    <w:rsid w:val="005765B2"/>
    <w:rsid w:val="005767CE"/>
    <w:rsid w:val="00576C2E"/>
    <w:rsid w:val="00576D6F"/>
    <w:rsid w:val="00576F1D"/>
    <w:rsid w:val="00577476"/>
    <w:rsid w:val="00580169"/>
    <w:rsid w:val="00580428"/>
    <w:rsid w:val="005809B1"/>
    <w:rsid w:val="00580B03"/>
    <w:rsid w:val="00580E06"/>
    <w:rsid w:val="005810CD"/>
    <w:rsid w:val="00581145"/>
    <w:rsid w:val="00581A92"/>
    <w:rsid w:val="00582149"/>
    <w:rsid w:val="00582365"/>
    <w:rsid w:val="00582D98"/>
    <w:rsid w:val="00582DB3"/>
    <w:rsid w:val="00583256"/>
    <w:rsid w:val="0058372D"/>
    <w:rsid w:val="005837B5"/>
    <w:rsid w:val="00583808"/>
    <w:rsid w:val="005839F6"/>
    <w:rsid w:val="00583A56"/>
    <w:rsid w:val="0058403E"/>
    <w:rsid w:val="0058427A"/>
    <w:rsid w:val="00585877"/>
    <w:rsid w:val="0058597E"/>
    <w:rsid w:val="00585CE3"/>
    <w:rsid w:val="00585F69"/>
    <w:rsid w:val="00585FF1"/>
    <w:rsid w:val="005869A9"/>
    <w:rsid w:val="00586CDD"/>
    <w:rsid w:val="0058705E"/>
    <w:rsid w:val="00587286"/>
    <w:rsid w:val="00587291"/>
    <w:rsid w:val="0058744D"/>
    <w:rsid w:val="0058748F"/>
    <w:rsid w:val="00587754"/>
    <w:rsid w:val="0059014E"/>
    <w:rsid w:val="005908AC"/>
    <w:rsid w:val="00590988"/>
    <w:rsid w:val="00590DE3"/>
    <w:rsid w:val="005912F9"/>
    <w:rsid w:val="005913B3"/>
    <w:rsid w:val="0059143D"/>
    <w:rsid w:val="0059177A"/>
    <w:rsid w:val="00591B4E"/>
    <w:rsid w:val="00591C8C"/>
    <w:rsid w:val="00591E5D"/>
    <w:rsid w:val="00591EDC"/>
    <w:rsid w:val="00591F5D"/>
    <w:rsid w:val="00591F65"/>
    <w:rsid w:val="00591F69"/>
    <w:rsid w:val="00592907"/>
    <w:rsid w:val="00592EA1"/>
    <w:rsid w:val="005939FA"/>
    <w:rsid w:val="00593FF1"/>
    <w:rsid w:val="0059485C"/>
    <w:rsid w:val="00594A58"/>
    <w:rsid w:val="00594B71"/>
    <w:rsid w:val="00594CAA"/>
    <w:rsid w:val="00595340"/>
    <w:rsid w:val="00595B86"/>
    <w:rsid w:val="00595DE2"/>
    <w:rsid w:val="00595EEF"/>
    <w:rsid w:val="005961AB"/>
    <w:rsid w:val="00596689"/>
    <w:rsid w:val="005967C7"/>
    <w:rsid w:val="00596811"/>
    <w:rsid w:val="00596939"/>
    <w:rsid w:val="00596EBF"/>
    <w:rsid w:val="00597C4B"/>
    <w:rsid w:val="005A043C"/>
    <w:rsid w:val="005A0595"/>
    <w:rsid w:val="005A05FE"/>
    <w:rsid w:val="005A0B2B"/>
    <w:rsid w:val="005A1887"/>
    <w:rsid w:val="005A1AFB"/>
    <w:rsid w:val="005A1B86"/>
    <w:rsid w:val="005A1FB8"/>
    <w:rsid w:val="005A20E5"/>
    <w:rsid w:val="005A224A"/>
    <w:rsid w:val="005A28C0"/>
    <w:rsid w:val="005A29AB"/>
    <w:rsid w:val="005A2F9F"/>
    <w:rsid w:val="005A37A9"/>
    <w:rsid w:val="005A3A61"/>
    <w:rsid w:val="005A3AAC"/>
    <w:rsid w:val="005A3D51"/>
    <w:rsid w:val="005A4102"/>
    <w:rsid w:val="005A411F"/>
    <w:rsid w:val="005A4194"/>
    <w:rsid w:val="005A437C"/>
    <w:rsid w:val="005A47DA"/>
    <w:rsid w:val="005A4A01"/>
    <w:rsid w:val="005A5063"/>
    <w:rsid w:val="005A5104"/>
    <w:rsid w:val="005A575E"/>
    <w:rsid w:val="005A5DA9"/>
    <w:rsid w:val="005A6134"/>
    <w:rsid w:val="005A6F87"/>
    <w:rsid w:val="005A71B5"/>
    <w:rsid w:val="005A786F"/>
    <w:rsid w:val="005A7A2C"/>
    <w:rsid w:val="005A7F4A"/>
    <w:rsid w:val="005A7FEC"/>
    <w:rsid w:val="005B0289"/>
    <w:rsid w:val="005B035D"/>
    <w:rsid w:val="005B0F58"/>
    <w:rsid w:val="005B1154"/>
    <w:rsid w:val="005B14C0"/>
    <w:rsid w:val="005B14FB"/>
    <w:rsid w:val="005B1673"/>
    <w:rsid w:val="005B1D53"/>
    <w:rsid w:val="005B1FD7"/>
    <w:rsid w:val="005B22AC"/>
    <w:rsid w:val="005B2377"/>
    <w:rsid w:val="005B2616"/>
    <w:rsid w:val="005B30E1"/>
    <w:rsid w:val="005B3204"/>
    <w:rsid w:val="005B3587"/>
    <w:rsid w:val="005B3A25"/>
    <w:rsid w:val="005B3A90"/>
    <w:rsid w:val="005B3D08"/>
    <w:rsid w:val="005B3D0D"/>
    <w:rsid w:val="005B435E"/>
    <w:rsid w:val="005B4670"/>
    <w:rsid w:val="005B4AF7"/>
    <w:rsid w:val="005B5266"/>
    <w:rsid w:val="005B543C"/>
    <w:rsid w:val="005B5AFB"/>
    <w:rsid w:val="005B5FD2"/>
    <w:rsid w:val="005B6954"/>
    <w:rsid w:val="005B73C7"/>
    <w:rsid w:val="005B7C40"/>
    <w:rsid w:val="005C00F7"/>
    <w:rsid w:val="005C00F8"/>
    <w:rsid w:val="005C01FA"/>
    <w:rsid w:val="005C046D"/>
    <w:rsid w:val="005C08D6"/>
    <w:rsid w:val="005C0F1D"/>
    <w:rsid w:val="005C0F81"/>
    <w:rsid w:val="005C1E44"/>
    <w:rsid w:val="005C1EFC"/>
    <w:rsid w:val="005C2384"/>
    <w:rsid w:val="005C24AF"/>
    <w:rsid w:val="005C26EC"/>
    <w:rsid w:val="005C286B"/>
    <w:rsid w:val="005C2D42"/>
    <w:rsid w:val="005C2E60"/>
    <w:rsid w:val="005C366F"/>
    <w:rsid w:val="005C373C"/>
    <w:rsid w:val="005C374E"/>
    <w:rsid w:val="005C386A"/>
    <w:rsid w:val="005C3A63"/>
    <w:rsid w:val="005C42B4"/>
    <w:rsid w:val="005C49DD"/>
    <w:rsid w:val="005C4E10"/>
    <w:rsid w:val="005C4E7D"/>
    <w:rsid w:val="005C5257"/>
    <w:rsid w:val="005C5337"/>
    <w:rsid w:val="005C56EB"/>
    <w:rsid w:val="005C586E"/>
    <w:rsid w:val="005C5910"/>
    <w:rsid w:val="005C5C33"/>
    <w:rsid w:val="005C5F2B"/>
    <w:rsid w:val="005C5F5A"/>
    <w:rsid w:val="005C5FB3"/>
    <w:rsid w:val="005C66CA"/>
    <w:rsid w:val="005C689A"/>
    <w:rsid w:val="005C6AEE"/>
    <w:rsid w:val="005C6D4F"/>
    <w:rsid w:val="005C708D"/>
    <w:rsid w:val="005C758E"/>
    <w:rsid w:val="005C76A4"/>
    <w:rsid w:val="005C7918"/>
    <w:rsid w:val="005D0C5F"/>
    <w:rsid w:val="005D11A4"/>
    <w:rsid w:val="005D14B4"/>
    <w:rsid w:val="005D1813"/>
    <w:rsid w:val="005D18E9"/>
    <w:rsid w:val="005D1A9B"/>
    <w:rsid w:val="005D203B"/>
    <w:rsid w:val="005D251A"/>
    <w:rsid w:val="005D2BE4"/>
    <w:rsid w:val="005D2EB3"/>
    <w:rsid w:val="005D3347"/>
    <w:rsid w:val="005D3C6B"/>
    <w:rsid w:val="005D3CB0"/>
    <w:rsid w:val="005D3F1B"/>
    <w:rsid w:val="005D3F4E"/>
    <w:rsid w:val="005D3F6F"/>
    <w:rsid w:val="005D41AD"/>
    <w:rsid w:val="005D466E"/>
    <w:rsid w:val="005D47ED"/>
    <w:rsid w:val="005D53D5"/>
    <w:rsid w:val="005D586F"/>
    <w:rsid w:val="005D5879"/>
    <w:rsid w:val="005D59B1"/>
    <w:rsid w:val="005D5B85"/>
    <w:rsid w:val="005D5BD8"/>
    <w:rsid w:val="005D5C34"/>
    <w:rsid w:val="005D693A"/>
    <w:rsid w:val="005D6F19"/>
    <w:rsid w:val="005D7C32"/>
    <w:rsid w:val="005D7D1F"/>
    <w:rsid w:val="005D7FBE"/>
    <w:rsid w:val="005E0275"/>
    <w:rsid w:val="005E02C6"/>
    <w:rsid w:val="005E084E"/>
    <w:rsid w:val="005E1007"/>
    <w:rsid w:val="005E13F7"/>
    <w:rsid w:val="005E1C09"/>
    <w:rsid w:val="005E1CC1"/>
    <w:rsid w:val="005E1D27"/>
    <w:rsid w:val="005E1E7D"/>
    <w:rsid w:val="005E1F7C"/>
    <w:rsid w:val="005E2066"/>
    <w:rsid w:val="005E2144"/>
    <w:rsid w:val="005E2466"/>
    <w:rsid w:val="005E29AC"/>
    <w:rsid w:val="005E43A8"/>
    <w:rsid w:val="005E4B08"/>
    <w:rsid w:val="005E4B2D"/>
    <w:rsid w:val="005E4D4B"/>
    <w:rsid w:val="005E5514"/>
    <w:rsid w:val="005E556B"/>
    <w:rsid w:val="005E56D4"/>
    <w:rsid w:val="005E5D54"/>
    <w:rsid w:val="005E614A"/>
    <w:rsid w:val="005E617A"/>
    <w:rsid w:val="005E6916"/>
    <w:rsid w:val="005E69E3"/>
    <w:rsid w:val="005E6ACF"/>
    <w:rsid w:val="005E6B5F"/>
    <w:rsid w:val="005E6D09"/>
    <w:rsid w:val="005E6E64"/>
    <w:rsid w:val="005E710A"/>
    <w:rsid w:val="005E7491"/>
    <w:rsid w:val="005F0346"/>
    <w:rsid w:val="005F0659"/>
    <w:rsid w:val="005F06E3"/>
    <w:rsid w:val="005F10B0"/>
    <w:rsid w:val="005F11C7"/>
    <w:rsid w:val="005F17BE"/>
    <w:rsid w:val="005F1A31"/>
    <w:rsid w:val="005F1EF2"/>
    <w:rsid w:val="005F2110"/>
    <w:rsid w:val="005F246F"/>
    <w:rsid w:val="005F24C3"/>
    <w:rsid w:val="005F257B"/>
    <w:rsid w:val="005F2E4B"/>
    <w:rsid w:val="005F328E"/>
    <w:rsid w:val="005F33AB"/>
    <w:rsid w:val="005F3A7A"/>
    <w:rsid w:val="005F42E6"/>
    <w:rsid w:val="005F4930"/>
    <w:rsid w:val="005F4B75"/>
    <w:rsid w:val="005F4D37"/>
    <w:rsid w:val="005F4EB8"/>
    <w:rsid w:val="005F4FC0"/>
    <w:rsid w:val="005F50B7"/>
    <w:rsid w:val="005F5151"/>
    <w:rsid w:val="005F5898"/>
    <w:rsid w:val="005F59CB"/>
    <w:rsid w:val="005F5B77"/>
    <w:rsid w:val="005F5D00"/>
    <w:rsid w:val="005F62EB"/>
    <w:rsid w:val="005F636C"/>
    <w:rsid w:val="005F689C"/>
    <w:rsid w:val="005F689F"/>
    <w:rsid w:val="005F68DE"/>
    <w:rsid w:val="005F6B0D"/>
    <w:rsid w:val="005F6DD9"/>
    <w:rsid w:val="005F6E78"/>
    <w:rsid w:val="005F701F"/>
    <w:rsid w:val="005F7CD6"/>
    <w:rsid w:val="006005D0"/>
    <w:rsid w:val="0060090F"/>
    <w:rsid w:val="00601173"/>
    <w:rsid w:val="0060177E"/>
    <w:rsid w:val="00601D2E"/>
    <w:rsid w:val="006025D8"/>
    <w:rsid w:val="006025FB"/>
    <w:rsid w:val="00602602"/>
    <w:rsid w:val="00602E15"/>
    <w:rsid w:val="0060345F"/>
    <w:rsid w:val="0060361B"/>
    <w:rsid w:val="006036AF"/>
    <w:rsid w:val="00603A94"/>
    <w:rsid w:val="00603EA1"/>
    <w:rsid w:val="0060478E"/>
    <w:rsid w:val="00604E37"/>
    <w:rsid w:val="0060506D"/>
    <w:rsid w:val="006058BE"/>
    <w:rsid w:val="00605959"/>
    <w:rsid w:val="00605AC1"/>
    <w:rsid w:val="00605D38"/>
    <w:rsid w:val="00606272"/>
    <w:rsid w:val="00606B6D"/>
    <w:rsid w:val="00607006"/>
    <w:rsid w:val="00607579"/>
    <w:rsid w:val="0060783A"/>
    <w:rsid w:val="00607D4B"/>
    <w:rsid w:val="006103CC"/>
    <w:rsid w:val="00610462"/>
    <w:rsid w:val="006104AF"/>
    <w:rsid w:val="00610CC1"/>
    <w:rsid w:val="00610D54"/>
    <w:rsid w:val="0061121D"/>
    <w:rsid w:val="00611232"/>
    <w:rsid w:val="00611243"/>
    <w:rsid w:val="006114E6"/>
    <w:rsid w:val="00612162"/>
    <w:rsid w:val="0061240C"/>
    <w:rsid w:val="006124D4"/>
    <w:rsid w:val="00612C01"/>
    <w:rsid w:val="00612C19"/>
    <w:rsid w:val="00612F99"/>
    <w:rsid w:val="006132D8"/>
    <w:rsid w:val="00613616"/>
    <w:rsid w:val="006139AC"/>
    <w:rsid w:val="006139D1"/>
    <w:rsid w:val="00613CFC"/>
    <w:rsid w:val="00613E14"/>
    <w:rsid w:val="0061412E"/>
    <w:rsid w:val="006149B7"/>
    <w:rsid w:val="00614CC8"/>
    <w:rsid w:val="00615336"/>
    <w:rsid w:val="006154F2"/>
    <w:rsid w:val="00615D78"/>
    <w:rsid w:val="006161C1"/>
    <w:rsid w:val="0061620A"/>
    <w:rsid w:val="00616CEB"/>
    <w:rsid w:val="00616E20"/>
    <w:rsid w:val="00616E6E"/>
    <w:rsid w:val="0062084A"/>
    <w:rsid w:val="00620E26"/>
    <w:rsid w:val="00620E39"/>
    <w:rsid w:val="00621A6E"/>
    <w:rsid w:val="00621B0C"/>
    <w:rsid w:val="00621D2F"/>
    <w:rsid w:val="00621E3C"/>
    <w:rsid w:val="006220D4"/>
    <w:rsid w:val="006223E1"/>
    <w:rsid w:val="00622549"/>
    <w:rsid w:val="00622A10"/>
    <w:rsid w:val="00622A77"/>
    <w:rsid w:val="00622BDD"/>
    <w:rsid w:val="00622F21"/>
    <w:rsid w:val="006230E4"/>
    <w:rsid w:val="0062334D"/>
    <w:rsid w:val="00623FE0"/>
    <w:rsid w:val="00624432"/>
    <w:rsid w:val="006245B0"/>
    <w:rsid w:val="00624AB5"/>
    <w:rsid w:val="00624CA2"/>
    <w:rsid w:val="00624E85"/>
    <w:rsid w:val="00624F08"/>
    <w:rsid w:val="0062566A"/>
    <w:rsid w:val="00625D1B"/>
    <w:rsid w:val="006261BF"/>
    <w:rsid w:val="0062632B"/>
    <w:rsid w:val="00626A2B"/>
    <w:rsid w:val="00626C54"/>
    <w:rsid w:val="00627DF4"/>
    <w:rsid w:val="006304D0"/>
    <w:rsid w:val="0063090D"/>
    <w:rsid w:val="00630F4D"/>
    <w:rsid w:val="006310E8"/>
    <w:rsid w:val="00631A1E"/>
    <w:rsid w:val="00632023"/>
    <w:rsid w:val="00632180"/>
    <w:rsid w:val="0063244A"/>
    <w:rsid w:val="00632AF6"/>
    <w:rsid w:val="00632BBD"/>
    <w:rsid w:val="00632C2A"/>
    <w:rsid w:val="00633011"/>
    <w:rsid w:val="006333D1"/>
    <w:rsid w:val="00633594"/>
    <w:rsid w:val="00633A7B"/>
    <w:rsid w:val="00633DB1"/>
    <w:rsid w:val="00634611"/>
    <w:rsid w:val="00634A91"/>
    <w:rsid w:val="00634BFE"/>
    <w:rsid w:val="006356D4"/>
    <w:rsid w:val="0063605D"/>
    <w:rsid w:val="00636756"/>
    <w:rsid w:val="006368DA"/>
    <w:rsid w:val="00636AAB"/>
    <w:rsid w:val="00636B5B"/>
    <w:rsid w:val="00637168"/>
    <w:rsid w:val="00637B52"/>
    <w:rsid w:val="00637C29"/>
    <w:rsid w:val="00640507"/>
    <w:rsid w:val="006408CD"/>
    <w:rsid w:val="006409F7"/>
    <w:rsid w:val="00640A54"/>
    <w:rsid w:val="00640BE2"/>
    <w:rsid w:val="00640DCB"/>
    <w:rsid w:val="00640FE2"/>
    <w:rsid w:val="006417B1"/>
    <w:rsid w:val="0064237B"/>
    <w:rsid w:val="006439E0"/>
    <w:rsid w:val="00644067"/>
    <w:rsid w:val="006448EE"/>
    <w:rsid w:val="006455D2"/>
    <w:rsid w:val="00645EDE"/>
    <w:rsid w:val="00645FD0"/>
    <w:rsid w:val="006463B8"/>
    <w:rsid w:val="006468CD"/>
    <w:rsid w:val="0064735E"/>
    <w:rsid w:val="006474E8"/>
    <w:rsid w:val="00647B74"/>
    <w:rsid w:val="00647D26"/>
    <w:rsid w:val="006501D0"/>
    <w:rsid w:val="006502AB"/>
    <w:rsid w:val="00650743"/>
    <w:rsid w:val="0065080C"/>
    <w:rsid w:val="006508EF"/>
    <w:rsid w:val="00650B99"/>
    <w:rsid w:val="00650C89"/>
    <w:rsid w:val="00650F3E"/>
    <w:rsid w:val="00651197"/>
    <w:rsid w:val="0065121E"/>
    <w:rsid w:val="0065125A"/>
    <w:rsid w:val="00651AA1"/>
    <w:rsid w:val="00651C94"/>
    <w:rsid w:val="00651D6F"/>
    <w:rsid w:val="0065255D"/>
    <w:rsid w:val="006529D1"/>
    <w:rsid w:val="006529FB"/>
    <w:rsid w:val="00652CE1"/>
    <w:rsid w:val="00653B45"/>
    <w:rsid w:val="00654045"/>
    <w:rsid w:val="00654141"/>
    <w:rsid w:val="006544F3"/>
    <w:rsid w:val="006549D5"/>
    <w:rsid w:val="00654F10"/>
    <w:rsid w:val="00655575"/>
    <w:rsid w:val="00655656"/>
    <w:rsid w:val="00655720"/>
    <w:rsid w:val="00655F3E"/>
    <w:rsid w:val="00655F53"/>
    <w:rsid w:val="00656B70"/>
    <w:rsid w:val="00656D2E"/>
    <w:rsid w:val="0065798A"/>
    <w:rsid w:val="00657EA3"/>
    <w:rsid w:val="0066010E"/>
    <w:rsid w:val="00660951"/>
    <w:rsid w:val="00660B2D"/>
    <w:rsid w:val="00660FC7"/>
    <w:rsid w:val="0066127B"/>
    <w:rsid w:val="00661569"/>
    <w:rsid w:val="00661923"/>
    <w:rsid w:val="00661B9C"/>
    <w:rsid w:val="00661D2C"/>
    <w:rsid w:val="00661D90"/>
    <w:rsid w:val="00661FA5"/>
    <w:rsid w:val="0066215E"/>
    <w:rsid w:val="006622E6"/>
    <w:rsid w:val="00662466"/>
    <w:rsid w:val="006625F6"/>
    <w:rsid w:val="006626C4"/>
    <w:rsid w:val="00663324"/>
    <w:rsid w:val="006634C5"/>
    <w:rsid w:val="00663AA6"/>
    <w:rsid w:val="00663C3C"/>
    <w:rsid w:val="006642B0"/>
    <w:rsid w:val="00664723"/>
    <w:rsid w:val="00664736"/>
    <w:rsid w:val="0066488D"/>
    <w:rsid w:val="00664D6F"/>
    <w:rsid w:val="0066514C"/>
    <w:rsid w:val="006653AD"/>
    <w:rsid w:val="0066558D"/>
    <w:rsid w:val="00665697"/>
    <w:rsid w:val="006657CD"/>
    <w:rsid w:val="00665E4E"/>
    <w:rsid w:val="0066601C"/>
    <w:rsid w:val="006663E3"/>
    <w:rsid w:val="006668A8"/>
    <w:rsid w:val="00667187"/>
    <w:rsid w:val="0066723B"/>
    <w:rsid w:val="00667378"/>
    <w:rsid w:val="0066776B"/>
    <w:rsid w:val="006677C1"/>
    <w:rsid w:val="00667979"/>
    <w:rsid w:val="00667ABB"/>
    <w:rsid w:val="00667DFB"/>
    <w:rsid w:val="0067052D"/>
    <w:rsid w:val="00670536"/>
    <w:rsid w:val="0067107A"/>
    <w:rsid w:val="006712CD"/>
    <w:rsid w:val="0067175B"/>
    <w:rsid w:val="00672150"/>
    <w:rsid w:val="00672603"/>
    <w:rsid w:val="00672786"/>
    <w:rsid w:val="00672BF1"/>
    <w:rsid w:val="006730DA"/>
    <w:rsid w:val="00673794"/>
    <w:rsid w:val="0067389D"/>
    <w:rsid w:val="006738FB"/>
    <w:rsid w:val="00673A2C"/>
    <w:rsid w:val="00673C24"/>
    <w:rsid w:val="00673F8E"/>
    <w:rsid w:val="00674052"/>
    <w:rsid w:val="006740E8"/>
    <w:rsid w:val="00674239"/>
    <w:rsid w:val="00675411"/>
    <w:rsid w:val="0067593A"/>
    <w:rsid w:val="0067669D"/>
    <w:rsid w:val="00676E23"/>
    <w:rsid w:val="006774D5"/>
    <w:rsid w:val="00677846"/>
    <w:rsid w:val="0067794A"/>
    <w:rsid w:val="00677955"/>
    <w:rsid w:val="00677B81"/>
    <w:rsid w:val="00677C5D"/>
    <w:rsid w:val="00677D54"/>
    <w:rsid w:val="00677ED3"/>
    <w:rsid w:val="0068075B"/>
    <w:rsid w:val="00680DA7"/>
    <w:rsid w:val="006814DC"/>
    <w:rsid w:val="00681572"/>
    <w:rsid w:val="006815A7"/>
    <w:rsid w:val="00681AAA"/>
    <w:rsid w:val="00681F0E"/>
    <w:rsid w:val="00682820"/>
    <w:rsid w:val="00683004"/>
    <w:rsid w:val="00683706"/>
    <w:rsid w:val="00683E41"/>
    <w:rsid w:val="0068423F"/>
    <w:rsid w:val="00684320"/>
    <w:rsid w:val="006848C0"/>
    <w:rsid w:val="00685811"/>
    <w:rsid w:val="00685A22"/>
    <w:rsid w:val="006862A5"/>
    <w:rsid w:val="006864B7"/>
    <w:rsid w:val="00686561"/>
    <w:rsid w:val="0068659C"/>
    <w:rsid w:val="006865DE"/>
    <w:rsid w:val="00686E72"/>
    <w:rsid w:val="00686FF2"/>
    <w:rsid w:val="0068760C"/>
    <w:rsid w:val="00690836"/>
    <w:rsid w:val="006912C7"/>
    <w:rsid w:val="00691483"/>
    <w:rsid w:val="0069153C"/>
    <w:rsid w:val="00691782"/>
    <w:rsid w:val="006919D2"/>
    <w:rsid w:val="006922E0"/>
    <w:rsid w:val="0069258E"/>
    <w:rsid w:val="00692803"/>
    <w:rsid w:val="00692AC1"/>
    <w:rsid w:val="00693157"/>
    <w:rsid w:val="006932E3"/>
    <w:rsid w:val="00693947"/>
    <w:rsid w:val="00693CD2"/>
    <w:rsid w:val="00693EAE"/>
    <w:rsid w:val="0069468B"/>
    <w:rsid w:val="0069485B"/>
    <w:rsid w:val="00694A97"/>
    <w:rsid w:val="00694D7C"/>
    <w:rsid w:val="00695436"/>
    <w:rsid w:val="00695931"/>
    <w:rsid w:val="00695A92"/>
    <w:rsid w:val="00695AB5"/>
    <w:rsid w:val="00695B33"/>
    <w:rsid w:val="00695C1B"/>
    <w:rsid w:val="00695C93"/>
    <w:rsid w:val="00695FC9"/>
    <w:rsid w:val="00696BD0"/>
    <w:rsid w:val="00696C70"/>
    <w:rsid w:val="00696E6C"/>
    <w:rsid w:val="0069747E"/>
    <w:rsid w:val="006976E9"/>
    <w:rsid w:val="006A02A8"/>
    <w:rsid w:val="006A0644"/>
    <w:rsid w:val="006A143B"/>
    <w:rsid w:val="006A161D"/>
    <w:rsid w:val="006A19FE"/>
    <w:rsid w:val="006A2468"/>
    <w:rsid w:val="006A24DA"/>
    <w:rsid w:val="006A26E6"/>
    <w:rsid w:val="006A3255"/>
    <w:rsid w:val="006A3582"/>
    <w:rsid w:val="006A3B37"/>
    <w:rsid w:val="006A449D"/>
    <w:rsid w:val="006A452A"/>
    <w:rsid w:val="006A4630"/>
    <w:rsid w:val="006A4A09"/>
    <w:rsid w:val="006A4DFD"/>
    <w:rsid w:val="006A5117"/>
    <w:rsid w:val="006A5AD0"/>
    <w:rsid w:val="006A5E5F"/>
    <w:rsid w:val="006A5F11"/>
    <w:rsid w:val="006A614B"/>
    <w:rsid w:val="006A62FB"/>
    <w:rsid w:val="006A693A"/>
    <w:rsid w:val="006A6DBF"/>
    <w:rsid w:val="006A7274"/>
    <w:rsid w:val="006A76AD"/>
    <w:rsid w:val="006A78D4"/>
    <w:rsid w:val="006B0D55"/>
    <w:rsid w:val="006B0EAD"/>
    <w:rsid w:val="006B10CE"/>
    <w:rsid w:val="006B1600"/>
    <w:rsid w:val="006B1DC6"/>
    <w:rsid w:val="006B2045"/>
    <w:rsid w:val="006B21B6"/>
    <w:rsid w:val="006B2949"/>
    <w:rsid w:val="006B2A88"/>
    <w:rsid w:val="006B2C19"/>
    <w:rsid w:val="006B2CAC"/>
    <w:rsid w:val="006B3313"/>
    <w:rsid w:val="006B3382"/>
    <w:rsid w:val="006B34C3"/>
    <w:rsid w:val="006B352F"/>
    <w:rsid w:val="006B37C2"/>
    <w:rsid w:val="006B3A0D"/>
    <w:rsid w:val="006B3FE2"/>
    <w:rsid w:val="006B4618"/>
    <w:rsid w:val="006B4C97"/>
    <w:rsid w:val="006B557D"/>
    <w:rsid w:val="006B57AA"/>
    <w:rsid w:val="006B5901"/>
    <w:rsid w:val="006B609D"/>
    <w:rsid w:val="006B6291"/>
    <w:rsid w:val="006B62AE"/>
    <w:rsid w:val="006B65C5"/>
    <w:rsid w:val="006B6BF5"/>
    <w:rsid w:val="006B6D7D"/>
    <w:rsid w:val="006B723C"/>
    <w:rsid w:val="006B75A3"/>
    <w:rsid w:val="006B7980"/>
    <w:rsid w:val="006B7E34"/>
    <w:rsid w:val="006B7EBD"/>
    <w:rsid w:val="006C0343"/>
    <w:rsid w:val="006C0525"/>
    <w:rsid w:val="006C07E4"/>
    <w:rsid w:val="006C0B04"/>
    <w:rsid w:val="006C11D2"/>
    <w:rsid w:val="006C19B5"/>
    <w:rsid w:val="006C1F12"/>
    <w:rsid w:val="006C20BD"/>
    <w:rsid w:val="006C2309"/>
    <w:rsid w:val="006C2472"/>
    <w:rsid w:val="006C25FC"/>
    <w:rsid w:val="006C27C9"/>
    <w:rsid w:val="006C2CC3"/>
    <w:rsid w:val="006C3639"/>
    <w:rsid w:val="006C382C"/>
    <w:rsid w:val="006C3A0D"/>
    <w:rsid w:val="006C4922"/>
    <w:rsid w:val="006C4A9A"/>
    <w:rsid w:val="006C4FF3"/>
    <w:rsid w:val="006C5646"/>
    <w:rsid w:val="006C5856"/>
    <w:rsid w:val="006C65D6"/>
    <w:rsid w:val="006C65D7"/>
    <w:rsid w:val="006C6F15"/>
    <w:rsid w:val="006C74B9"/>
    <w:rsid w:val="006D0F27"/>
    <w:rsid w:val="006D10AA"/>
    <w:rsid w:val="006D2671"/>
    <w:rsid w:val="006D26BA"/>
    <w:rsid w:val="006D2FD5"/>
    <w:rsid w:val="006D366B"/>
    <w:rsid w:val="006D3FE8"/>
    <w:rsid w:val="006D4107"/>
    <w:rsid w:val="006D44B3"/>
    <w:rsid w:val="006D452F"/>
    <w:rsid w:val="006D47A3"/>
    <w:rsid w:val="006D4A2B"/>
    <w:rsid w:val="006D4C53"/>
    <w:rsid w:val="006D4DC7"/>
    <w:rsid w:val="006D4DD2"/>
    <w:rsid w:val="006D5583"/>
    <w:rsid w:val="006D595F"/>
    <w:rsid w:val="006D5994"/>
    <w:rsid w:val="006D6517"/>
    <w:rsid w:val="006D6A8E"/>
    <w:rsid w:val="006D6C87"/>
    <w:rsid w:val="006D6FC1"/>
    <w:rsid w:val="006D7948"/>
    <w:rsid w:val="006D7ACB"/>
    <w:rsid w:val="006D7BDA"/>
    <w:rsid w:val="006D7EDA"/>
    <w:rsid w:val="006D7FBF"/>
    <w:rsid w:val="006E00B8"/>
    <w:rsid w:val="006E0165"/>
    <w:rsid w:val="006E02EF"/>
    <w:rsid w:val="006E03FF"/>
    <w:rsid w:val="006E0528"/>
    <w:rsid w:val="006E0578"/>
    <w:rsid w:val="006E0584"/>
    <w:rsid w:val="006E0787"/>
    <w:rsid w:val="006E088C"/>
    <w:rsid w:val="006E0952"/>
    <w:rsid w:val="006E1CD0"/>
    <w:rsid w:val="006E2174"/>
    <w:rsid w:val="006E2350"/>
    <w:rsid w:val="006E2EE9"/>
    <w:rsid w:val="006E2F16"/>
    <w:rsid w:val="006E31DA"/>
    <w:rsid w:val="006E324D"/>
    <w:rsid w:val="006E3DC4"/>
    <w:rsid w:val="006E3EE5"/>
    <w:rsid w:val="006E409D"/>
    <w:rsid w:val="006E41DF"/>
    <w:rsid w:val="006E45AE"/>
    <w:rsid w:val="006E4CA3"/>
    <w:rsid w:val="006E4D9A"/>
    <w:rsid w:val="006E4F00"/>
    <w:rsid w:val="006E4FE9"/>
    <w:rsid w:val="006E511E"/>
    <w:rsid w:val="006E5440"/>
    <w:rsid w:val="006E5A4F"/>
    <w:rsid w:val="006E5B85"/>
    <w:rsid w:val="006E5DA7"/>
    <w:rsid w:val="006E6099"/>
    <w:rsid w:val="006E6764"/>
    <w:rsid w:val="006E7155"/>
    <w:rsid w:val="006E7292"/>
    <w:rsid w:val="006E72AE"/>
    <w:rsid w:val="006E73B2"/>
    <w:rsid w:val="006E7F19"/>
    <w:rsid w:val="006F043F"/>
    <w:rsid w:val="006F05CC"/>
    <w:rsid w:val="006F0892"/>
    <w:rsid w:val="006F0CF7"/>
    <w:rsid w:val="006F1603"/>
    <w:rsid w:val="006F16A2"/>
    <w:rsid w:val="006F18DD"/>
    <w:rsid w:val="006F19F5"/>
    <w:rsid w:val="006F1BD6"/>
    <w:rsid w:val="006F1D90"/>
    <w:rsid w:val="006F21C3"/>
    <w:rsid w:val="006F28A2"/>
    <w:rsid w:val="006F2FE8"/>
    <w:rsid w:val="006F3007"/>
    <w:rsid w:val="006F3F36"/>
    <w:rsid w:val="006F421F"/>
    <w:rsid w:val="006F4FDE"/>
    <w:rsid w:val="006F557A"/>
    <w:rsid w:val="006F565A"/>
    <w:rsid w:val="006F5B77"/>
    <w:rsid w:val="006F5DA3"/>
    <w:rsid w:val="006F644B"/>
    <w:rsid w:val="006F7527"/>
    <w:rsid w:val="006F7698"/>
    <w:rsid w:val="006F7DD1"/>
    <w:rsid w:val="00700417"/>
    <w:rsid w:val="00700AED"/>
    <w:rsid w:val="00700F64"/>
    <w:rsid w:val="00701BBA"/>
    <w:rsid w:val="0070231D"/>
    <w:rsid w:val="0070252A"/>
    <w:rsid w:val="00702F7B"/>
    <w:rsid w:val="007033A7"/>
    <w:rsid w:val="007039DA"/>
    <w:rsid w:val="0070466B"/>
    <w:rsid w:val="00704A2B"/>
    <w:rsid w:val="00704A32"/>
    <w:rsid w:val="00704A94"/>
    <w:rsid w:val="00704FB5"/>
    <w:rsid w:val="007054AC"/>
    <w:rsid w:val="007054C2"/>
    <w:rsid w:val="00705895"/>
    <w:rsid w:val="00706285"/>
    <w:rsid w:val="00706740"/>
    <w:rsid w:val="00706EE6"/>
    <w:rsid w:val="00707009"/>
    <w:rsid w:val="00707222"/>
    <w:rsid w:val="0070765A"/>
    <w:rsid w:val="007076DE"/>
    <w:rsid w:val="007077E1"/>
    <w:rsid w:val="00707DBC"/>
    <w:rsid w:val="00707E4C"/>
    <w:rsid w:val="00707F5D"/>
    <w:rsid w:val="00710190"/>
    <w:rsid w:val="0071092B"/>
    <w:rsid w:val="0071092E"/>
    <w:rsid w:val="00710A10"/>
    <w:rsid w:val="00710CD5"/>
    <w:rsid w:val="00710EAB"/>
    <w:rsid w:val="00710EE1"/>
    <w:rsid w:val="00711822"/>
    <w:rsid w:val="007118EE"/>
    <w:rsid w:val="00711A13"/>
    <w:rsid w:val="00712004"/>
    <w:rsid w:val="0071288A"/>
    <w:rsid w:val="00712E5B"/>
    <w:rsid w:val="00712E87"/>
    <w:rsid w:val="00713136"/>
    <w:rsid w:val="00713E56"/>
    <w:rsid w:val="007140D3"/>
    <w:rsid w:val="007143DC"/>
    <w:rsid w:val="0071480D"/>
    <w:rsid w:val="0071617D"/>
    <w:rsid w:val="0071652F"/>
    <w:rsid w:val="0071734B"/>
    <w:rsid w:val="00717541"/>
    <w:rsid w:val="00717BD9"/>
    <w:rsid w:val="0072096E"/>
    <w:rsid w:val="0072115C"/>
    <w:rsid w:val="00721CE9"/>
    <w:rsid w:val="00721DF2"/>
    <w:rsid w:val="00722469"/>
    <w:rsid w:val="0072286A"/>
    <w:rsid w:val="007232BA"/>
    <w:rsid w:val="00723662"/>
    <w:rsid w:val="00723738"/>
    <w:rsid w:val="00723BE6"/>
    <w:rsid w:val="00723CF0"/>
    <w:rsid w:val="00723DEF"/>
    <w:rsid w:val="007246CA"/>
    <w:rsid w:val="007248CB"/>
    <w:rsid w:val="00724AB0"/>
    <w:rsid w:val="0072548C"/>
    <w:rsid w:val="007257F4"/>
    <w:rsid w:val="00725BD1"/>
    <w:rsid w:val="00725DBC"/>
    <w:rsid w:val="007263B5"/>
    <w:rsid w:val="0072674A"/>
    <w:rsid w:val="00726AA9"/>
    <w:rsid w:val="0072710B"/>
    <w:rsid w:val="00727360"/>
    <w:rsid w:val="00727552"/>
    <w:rsid w:val="0073012B"/>
    <w:rsid w:val="00730454"/>
    <w:rsid w:val="0073094C"/>
    <w:rsid w:val="00730D3B"/>
    <w:rsid w:val="0073110C"/>
    <w:rsid w:val="0073118C"/>
    <w:rsid w:val="00731C2A"/>
    <w:rsid w:val="00731FC7"/>
    <w:rsid w:val="0073236C"/>
    <w:rsid w:val="007324F2"/>
    <w:rsid w:val="00732966"/>
    <w:rsid w:val="00732BC9"/>
    <w:rsid w:val="00733EE0"/>
    <w:rsid w:val="007342A2"/>
    <w:rsid w:val="00734840"/>
    <w:rsid w:val="007348DE"/>
    <w:rsid w:val="0073494B"/>
    <w:rsid w:val="00734C7D"/>
    <w:rsid w:val="00735164"/>
    <w:rsid w:val="0073551E"/>
    <w:rsid w:val="007355F8"/>
    <w:rsid w:val="0073582F"/>
    <w:rsid w:val="00735F59"/>
    <w:rsid w:val="00736114"/>
    <w:rsid w:val="00736117"/>
    <w:rsid w:val="00736BD8"/>
    <w:rsid w:val="00736E88"/>
    <w:rsid w:val="0073712F"/>
    <w:rsid w:val="007375DA"/>
    <w:rsid w:val="007400BB"/>
    <w:rsid w:val="0074018D"/>
    <w:rsid w:val="00740354"/>
    <w:rsid w:val="00740F5A"/>
    <w:rsid w:val="007415B7"/>
    <w:rsid w:val="007418A9"/>
    <w:rsid w:val="00741FFF"/>
    <w:rsid w:val="007423F3"/>
    <w:rsid w:val="00742579"/>
    <w:rsid w:val="007425B0"/>
    <w:rsid w:val="00742863"/>
    <w:rsid w:val="00742A5F"/>
    <w:rsid w:val="00742E3B"/>
    <w:rsid w:val="00742FAC"/>
    <w:rsid w:val="007438FF"/>
    <w:rsid w:val="00743E1C"/>
    <w:rsid w:val="00743F39"/>
    <w:rsid w:val="00744037"/>
    <w:rsid w:val="0074441D"/>
    <w:rsid w:val="0074489F"/>
    <w:rsid w:val="00744A93"/>
    <w:rsid w:val="0074523E"/>
    <w:rsid w:val="0074529F"/>
    <w:rsid w:val="00745415"/>
    <w:rsid w:val="00745458"/>
    <w:rsid w:val="0074547C"/>
    <w:rsid w:val="00745869"/>
    <w:rsid w:val="00745902"/>
    <w:rsid w:val="00745B58"/>
    <w:rsid w:val="00745C88"/>
    <w:rsid w:val="00745D52"/>
    <w:rsid w:val="00745DC0"/>
    <w:rsid w:val="007466F4"/>
    <w:rsid w:val="00746B43"/>
    <w:rsid w:val="00746E18"/>
    <w:rsid w:val="00746E39"/>
    <w:rsid w:val="0074727D"/>
    <w:rsid w:val="007474F7"/>
    <w:rsid w:val="00747AFF"/>
    <w:rsid w:val="00747B36"/>
    <w:rsid w:val="007505E8"/>
    <w:rsid w:val="007506B7"/>
    <w:rsid w:val="007506CC"/>
    <w:rsid w:val="00750D36"/>
    <w:rsid w:val="007514B9"/>
    <w:rsid w:val="00751DDC"/>
    <w:rsid w:val="00751F3B"/>
    <w:rsid w:val="00751F87"/>
    <w:rsid w:val="007524EE"/>
    <w:rsid w:val="0075287B"/>
    <w:rsid w:val="007529F1"/>
    <w:rsid w:val="00752A77"/>
    <w:rsid w:val="00752C5C"/>
    <w:rsid w:val="007531FF"/>
    <w:rsid w:val="00753209"/>
    <w:rsid w:val="0075413C"/>
    <w:rsid w:val="00754A5B"/>
    <w:rsid w:val="00755518"/>
    <w:rsid w:val="00756038"/>
    <w:rsid w:val="0075618D"/>
    <w:rsid w:val="007563C2"/>
    <w:rsid w:val="00756554"/>
    <w:rsid w:val="00756880"/>
    <w:rsid w:val="00756CA5"/>
    <w:rsid w:val="00757044"/>
    <w:rsid w:val="007570FF"/>
    <w:rsid w:val="00757229"/>
    <w:rsid w:val="007573EF"/>
    <w:rsid w:val="00757632"/>
    <w:rsid w:val="007604B6"/>
    <w:rsid w:val="007607D4"/>
    <w:rsid w:val="00760C0A"/>
    <w:rsid w:val="00761543"/>
    <w:rsid w:val="00761663"/>
    <w:rsid w:val="0076173C"/>
    <w:rsid w:val="00761937"/>
    <w:rsid w:val="00761993"/>
    <w:rsid w:val="00761F60"/>
    <w:rsid w:val="00761FD2"/>
    <w:rsid w:val="00762D3B"/>
    <w:rsid w:val="00762E91"/>
    <w:rsid w:val="00763174"/>
    <w:rsid w:val="0076374E"/>
    <w:rsid w:val="00763F1D"/>
    <w:rsid w:val="00764477"/>
    <w:rsid w:val="007644B6"/>
    <w:rsid w:val="00764D08"/>
    <w:rsid w:val="00764DB2"/>
    <w:rsid w:val="00765577"/>
    <w:rsid w:val="007669C0"/>
    <w:rsid w:val="00766D17"/>
    <w:rsid w:val="00766D69"/>
    <w:rsid w:val="00766FB8"/>
    <w:rsid w:val="00767378"/>
    <w:rsid w:val="0076787A"/>
    <w:rsid w:val="00767B48"/>
    <w:rsid w:val="00770017"/>
    <w:rsid w:val="007701E2"/>
    <w:rsid w:val="007706F4"/>
    <w:rsid w:val="00770801"/>
    <w:rsid w:val="00770950"/>
    <w:rsid w:val="00770CAE"/>
    <w:rsid w:val="007714E2"/>
    <w:rsid w:val="00771537"/>
    <w:rsid w:val="00771664"/>
    <w:rsid w:val="00771BA4"/>
    <w:rsid w:val="00771E94"/>
    <w:rsid w:val="007730F1"/>
    <w:rsid w:val="007736D1"/>
    <w:rsid w:val="00773AA7"/>
    <w:rsid w:val="00773D69"/>
    <w:rsid w:val="00773FE1"/>
    <w:rsid w:val="0077493B"/>
    <w:rsid w:val="00774954"/>
    <w:rsid w:val="007749DF"/>
    <w:rsid w:val="00774C97"/>
    <w:rsid w:val="00775130"/>
    <w:rsid w:val="0077517E"/>
    <w:rsid w:val="007751CF"/>
    <w:rsid w:val="00775CCB"/>
    <w:rsid w:val="00775D2C"/>
    <w:rsid w:val="00775E85"/>
    <w:rsid w:val="0077601B"/>
    <w:rsid w:val="00776106"/>
    <w:rsid w:val="00776379"/>
    <w:rsid w:val="00776B5B"/>
    <w:rsid w:val="007772AA"/>
    <w:rsid w:val="007773A0"/>
    <w:rsid w:val="00777513"/>
    <w:rsid w:val="00777737"/>
    <w:rsid w:val="00777C4D"/>
    <w:rsid w:val="00780249"/>
    <w:rsid w:val="007804DC"/>
    <w:rsid w:val="00780D3E"/>
    <w:rsid w:val="007819D4"/>
    <w:rsid w:val="00782750"/>
    <w:rsid w:val="007829A6"/>
    <w:rsid w:val="0078336D"/>
    <w:rsid w:val="00783462"/>
    <w:rsid w:val="00783610"/>
    <w:rsid w:val="00783D66"/>
    <w:rsid w:val="007841AC"/>
    <w:rsid w:val="0078436A"/>
    <w:rsid w:val="00784615"/>
    <w:rsid w:val="0078476D"/>
    <w:rsid w:val="00784F08"/>
    <w:rsid w:val="00784FD7"/>
    <w:rsid w:val="00785318"/>
    <w:rsid w:val="00785447"/>
    <w:rsid w:val="00785944"/>
    <w:rsid w:val="00785D5C"/>
    <w:rsid w:val="00786086"/>
    <w:rsid w:val="007865EC"/>
    <w:rsid w:val="0078661C"/>
    <w:rsid w:val="00786727"/>
    <w:rsid w:val="00786E51"/>
    <w:rsid w:val="0078727B"/>
    <w:rsid w:val="00787477"/>
    <w:rsid w:val="007875AD"/>
    <w:rsid w:val="00787992"/>
    <w:rsid w:val="00787CD2"/>
    <w:rsid w:val="00787D15"/>
    <w:rsid w:val="00787ED2"/>
    <w:rsid w:val="0079124B"/>
    <w:rsid w:val="00791B52"/>
    <w:rsid w:val="0079268F"/>
    <w:rsid w:val="00792F17"/>
    <w:rsid w:val="00792FBF"/>
    <w:rsid w:val="00793112"/>
    <w:rsid w:val="007933D9"/>
    <w:rsid w:val="007935B2"/>
    <w:rsid w:val="00795231"/>
    <w:rsid w:val="007952ED"/>
    <w:rsid w:val="0079591B"/>
    <w:rsid w:val="00795BD2"/>
    <w:rsid w:val="00796431"/>
    <w:rsid w:val="0079671B"/>
    <w:rsid w:val="00796984"/>
    <w:rsid w:val="007969BE"/>
    <w:rsid w:val="007970B6"/>
    <w:rsid w:val="007975B3"/>
    <w:rsid w:val="007A0201"/>
    <w:rsid w:val="007A0A96"/>
    <w:rsid w:val="007A0B49"/>
    <w:rsid w:val="007A1A0A"/>
    <w:rsid w:val="007A1AD1"/>
    <w:rsid w:val="007A1F18"/>
    <w:rsid w:val="007A22A8"/>
    <w:rsid w:val="007A295D"/>
    <w:rsid w:val="007A29AC"/>
    <w:rsid w:val="007A2A3B"/>
    <w:rsid w:val="007A2C68"/>
    <w:rsid w:val="007A2EFE"/>
    <w:rsid w:val="007A3956"/>
    <w:rsid w:val="007A3D55"/>
    <w:rsid w:val="007A3E43"/>
    <w:rsid w:val="007A43BB"/>
    <w:rsid w:val="007A4A55"/>
    <w:rsid w:val="007A5039"/>
    <w:rsid w:val="007A5368"/>
    <w:rsid w:val="007A547C"/>
    <w:rsid w:val="007A5A7B"/>
    <w:rsid w:val="007A5B73"/>
    <w:rsid w:val="007A61BD"/>
    <w:rsid w:val="007A64B0"/>
    <w:rsid w:val="007A6812"/>
    <w:rsid w:val="007A6A7B"/>
    <w:rsid w:val="007A7117"/>
    <w:rsid w:val="007A739A"/>
    <w:rsid w:val="007A73D0"/>
    <w:rsid w:val="007A77F0"/>
    <w:rsid w:val="007A7B24"/>
    <w:rsid w:val="007B0420"/>
    <w:rsid w:val="007B0ED3"/>
    <w:rsid w:val="007B14BD"/>
    <w:rsid w:val="007B15E9"/>
    <w:rsid w:val="007B1A22"/>
    <w:rsid w:val="007B206F"/>
    <w:rsid w:val="007B22A9"/>
    <w:rsid w:val="007B2C93"/>
    <w:rsid w:val="007B2CEA"/>
    <w:rsid w:val="007B2F9D"/>
    <w:rsid w:val="007B3109"/>
    <w:rsid w:val="007B3F04"/>
    <w:rsid w:val="007B4C8A"/>
    <w:rsid w:val="007B5078"/>
    <w:rsid w:val="007B5C92"/>
    <w:rsid w:val="007B5CF2"/>
    <w:rsid w:val="007B67A8"/>
    <w:rsid w:val="007B6E3C"/>
    <w:rsid w:val="007B6EF5"/>
    <w:rsid w:val="007B70E6"/>
    <w:rsid w:val="007B7358"/>
    <w:rsid w:val="007B7CBE"/>
    <w:rsid w:val="007C0583"/>
    <w:rsid w:val="007C09DB"/>
    <w:rsid w:val="007C0BFC"/>
    <w:rsid w:val="007C147A"/>
    <w:rsid w:val="007C1F09"/>
    <w:rsid w:val="007C2001"/>
    <w:rsid w:val="007C2120"/>
    <w:rsid w:val="007C2655"/>
    <w:rsid w:val="007C2717"/>
    <w:rsid w:val="007C3085"/>
    <w:rsid w:val="007C30CE"/>
    <w:rsid w:val="007C3502"/>
    <w:rsid w:val="007C3AD1"/>
    <w:rsid w:val="007C4C46"/>
    <w:rsid w:val="007C5210"/>
    <w:rsid w:val="007C5387"/>
    <w:rsid w:val="007C559F"/>
    <w:rsid w:val="007C6201"/>
    <w:rsid w:val="007C6335"/>
    <w:rsid w:val="007C67EA"/>
    <w:rsid w:val="007C6A5F"/>
    <w:rsid w:val="007C6A96"/>
    <w:rsid w:val="007C6BE2"/>
    <w:rsid w:val="007C7036"/>
    <w:rsid w:val="007C7C4C"/>
    <w:rsid w:val="007C7D05"/>
    <w:rsid w:val="007C7DD8"/>
    <w:rsid w:val="007D07A2"/>
    <w:rsid w:val="007D0840"/>
    <w:rsid w:val="007D08E8"/>
    <w:rsid w:val="007D0D7B"/>
    <w:rsid w:val="007D0F7C"/>
    <w:rsid w:val="007D105E"/>
    <w:rsid w:val="007D138A"/>
    <w:rsid w:val="007D13E1"/>
    <w:rsid w:val="007D1605"/>
    <w:rsid w:val="007D1B4F"/>
    <w:rsid w:val="007D26C8"/>
    <w:rsid w:val="007D2F50"/>
    <w:rsid w:val="007D3927"/>
    <w:rsid w:val="007D3F40"/>
    <w:rsid w:val="007D40FE"/>
    <w:rsid w:val="007D4305"/>
    <w:rsid w:val="007D44E4"/>
    <w:rsid w:val="007D4AE8"/>
    <w:rsid w:val="007D4B7A"/>
    <w:rsid w:val="007D4E08"/>
    <w:rsid w:val="007D4FCC"/>
    <w:rsid w:val="007D55E4"/>
    <w:rsid w:val="007D58E9"/>
    <w:rsid w:val="007D676F"/>
    <w:rsid w:val="007D68E1"/>
    <w:rsid w:val="007D6A63"/>
    <w:rsid w:val="007D6CC1"/>
    <w:rsid w:val="007D7594"/>
    <w:rsid w:val="007D79A9"/>
    <w:rsid w:val="007D7EE6"/>
    <w:rsid w:val="007E0671"/>
    <w:rsid w:val="007E0B0E"/>
    <w:rsid w:val="007E0B60"/>
    <w:rsid w:val="007E0CC5"/>
    <w:rsid w:val="007E1005"/>
    <w:rsid w:val="007E1820"/>
    <w:rsid w:val="007E2754"/>
    <w:rsid w:val="007E2AB4"/>
    <w:rsid w:val="007E2F6B"/>
    <w:rsid w:val="007E308B"/>
    <w:rsid w:val="007E34AF"/>
    <w:rsid w:val="007E387B"/>
    <w:rsid w:val="007E3E40"/>
    <w:rsid w:val="007E420E"/>
    <w:rsid w:val="007E44F6"/>
    <w:rsid w:val="007E4850"/>
    <w:rsid w:val="007E4EDA"/>
    <w:rsid w:val="007E5871"/>
    <w:rsid w:val="007E5FED"/>
    <w:rsid w:val="007E621F"/>
    <w:rsid w:val="007E6799"/>
    <w:rsid w:val="007E6AF4"/>
    <w:rsid w:val="007E6E80"/>
    <w:rsid w:val="007E7120"/>
    <w:rsid w:val="007E757C"/>
    <w:rsid w:val="007E7A48"/>
    <w:rsid w:val="007E7EDF"/>
    <w:rsid w:val="007F008C"/>
    <w:rsid w:val="007F0CC0"/>
    <w:rsid w:val="007F104C"/>
    <w:rsid w:val="007F153B"/>
    <w:rsid w:val="007F1578"/>
    <w:rsid w:val="007F1C74"/>
    <w:rsid w:val="007F1CEF"/>
    <w:rsid w:val="007F1EFB"/>
    <w:rsid w:val="007F2077"/>
    <w:rsid w:val="007F2365"/>
    <w:rsid w:val="007F23CC"/>
    <w:rsid w:val="007F310F"/>
    <w:rsid w:val="007F33BF"/>
    <w:rsid w:val="007F37CE"/>
    <w:rsid w:val="007F3BBA"/>
    <w:rsid w:val="007F3C6B"/>
    <w:rsid w:val="007F493C"/>
    <w:rsid w:val="007F50D3"/>
    <w:rsid w:val="007F56B3"/>
    <w:rsid w:val="007F57A2"/>
    <w:rsid w:val="007F5A4B"/>
    <w:rsid w:val="007F5DD3"/>
    <w:rsid w:val="007F7490"/>
    <w:rsid w:val="007F767F"/>
    <w:rsid w:val="007F7A98"/>
    <w:rsid w:val="007F7AEF"/>
    <w:rsid w:val="008008BE"/>
    <w:rsid w:val="00800A2A"/>
    <w:rsid w:val="00800AFC"/>
    <w:rsid w:val="00800EC1"/>
    <w:rsid w:val="0080129B"/>
    <w:rsid w:val="008012DD"/>
    <w:rsid w:val="00801784"/>
    <w:rsid w:val="00801E47"/>
    <w:rsid w:val="00801EC2"/>
    <w:rsid w:val="00802075"/>
    <w:rsid w:val="00802352"/>
    <w:rsid w:val="00802498"/>
    <w:rsid w:val="00802685"/>
    <w:rsid w:val="008028D7"/>
    <w:rsid w:val="00802B83"/>
    <w:rsid w:val="008035E1"/>
    <w:rsid w:val="008036B8"/>
    <w:rsid w:val="00803AE5"/>
    <w:rsid w:val="00803FE7"/>
    <w:rsid w:val="008044E5"/>
    <w:rsid w:val="008049A2"/>
    <w:rsid w:val="00804BEF"/>
    <w:rsid w:val="00805480"/>
    <w:rsid w:val="00806409"/>
    <w:rsid w:val="008067C6"/>
    <w:rsid w:val="008067E6"/>
    <w:rsid w:val="00806ED7"/>
    <w:rsid w:val="008073EF"/>
    <w:rsid w:val="00807BEB"/>
    <w:rsid w:val="00807D82"/>
    <w:rsid w:val="00807E40"/>
    <w:rsid w:val="0081013A"/>
    <w:rsid w:val="0081036A"/>
    <w:rsid w:val="00811E51"/>
    <w:rsid w:val="00811EC1"/>
    <w:rsid w:val="0081242E"/>
    <w:rsid w:val="00812B7C"/>
    <w:rsid w:val="00813488"/>
    <w:rsid w:val="00813773"/>
    <w:rsid w:val="008137E2"/>
    <w:rsid w:val="00813860"/>
    <w:rsid w:val="00813CEB"/>
    <w:rsid w:val="00813D4A"/>
    <w:rsid w:val="00814188"/>
    <w:rsid w:val="0081491B"/>
    <w:rsid w:val="00814A0C"/>
    <w:rsid w:val="00814B8B"/>
    <w:rsid w:val="00814E01"/>
    <w:rsid w:val="00815A78"/>
    <w:rsid w:val="00815A90"/>
    <w:rsid w:val="00815DE4"/>
    <w:rsid w:val="0081659D"/>
    <w:rsid w:val="00816AC7"/>
    <w:rsid w:val="00816C03"/>
    <w:rsid w:val="0081731F"/>
    <w:rsid w:val="00817D3A"/>
    <w:rsid w:val="00820150"/>
    <w:rsid w:val="00820190"/>
    <w:rsid w:val="008209BC"/>
    <w:rsid w:val="00820CC0"/>
    <w:rsid w:val="00820EDC"/>
    <w:rsid w:val="008211FF"/>
    <w:rsid w:val="008216AF"/>
    <w:rsid w:val="00821B44"/>
    <w:rsid w:val="00821E6C"/>
    <w:rsid w:val="008222CC"/>
    <w:rsid w:val="00822345"/>
    <w:rsid w:val="00822635"/>
    <w:rsid w:val="008229C0"/>
    <w:rsid w:val="00822A20"/>
    <w:rsid w:val="00823491"/>
    <w:rsid w:val="00825668"/>
    <w:rsid w:val="008258EF"/>
    <w:rsid w:val="00825B6E"/>
    <w:rsid w:val="00826061"/>
    <w:rsid w:val="0082607B"/>
    <w:rsid w:val="00826A9F"/>
    <w:rsid w:val="00827085"/>
    <w:rsid w:val="00827105"/>
    <w:rsid w:val="008271D3"/>
    <w:rsid w:val="008274D9"/>
    <w:rsid w:val="00827516"/>
    <w:rsid w:val="0082762B"/>
    <w:rsid w:val="0083088E"/>
    <w:rsid w:val="00830E27"/>
    <w:rsid w:val="00830E79"/>
    <w:rsid w:val="00831759"/>
    <w:rsid w:val="0083188A"/>
    <w:rsid w:val="00831B9F"/>
    <w:rsid w:val="008326FA"/>
    <w:rsid w:val="0083278C"/>
    <w:rsid w:val="00833931"/>
    <w:rsid w:val="008340D9"/>
    <w:rsid w:val="008342FB"/>
    <w:rsid w:val="00834383"/>
    <w:rsid w:val="00834991"/>
    <w:rsid w:val="00834C05"/>
    <w:rsid w:val="00835EBD"/>
    <w:rsid w:val="008363EF"/>
    <w:rsid w:val="008366CE"/>
    <w:rsid w:val="00837E27"/>
    <w:rsid w:val="00840359"/>
    <w:rsid w:val="00840DE6"/>
    <w:rsid w:val="00840FD6"/>
    <w:rsid w:val="00841F96"/>
    <w:rsid w:val="00842118"/>
    <w:rsid w:val="008427B2"/>
    <w:rsid w:val="00842871"/>
    <w:rsid w:val="00842B43"/>
    <w:rsid w:val="00842D54"/>
    <w:rsid w:val="00842DE9"/>
    <w:rsid w:val="0084319C"/>
    <w:rsid w:val="0084334F"/>
    <w:rsid w:val="00843DF8"/>
    <w:rsid w:val="00844410"/>
    <w:rsid w:val="0084480A"/>
    <w:rsid w:val="00844AB2"/>
    <w:rsid w:val="00844CB9"/>
    <w:rsid w:val="0084552C"/>
    <w:rsid w:val="008457CC"/>
    <w:rsid w:val="00845C06"/>
    <w:rsid w:val="0084614B"/>
    <w:rsid w:val="00846382"/>
    <w:rsid w:val="00846689"/>
    <w:rsid w:val="008467C9"/>
    <w:rsid w:val="008472FB"/>
    <w:rsid w:val="008473CF"/>
    <w:rsid w:val="0084796E"/>
    <w:rsid w:val="00847AB2"/>
    <w:rsid w:val="00847CEB"/>
    <w:rsid w:val="00847F97"/>
    <w:rsid w:val="0085029A"/>
    <w:rsid w:val="00850A2E"/>
    <w:rsid w:val="00850B31"/>
    <w:rsid w:val="00850B88"/>
    <w:rsid w:val="00850BD8"/>
    <w:rsid w:val="00850CFC"/>
    <w:rsid w:val="00850F28"/>
    <w:rsid w:val="008511BA"/>
    <w:rsid w:val="00851917"/>
    <w:rsid w:val="008519F1"/>
    <w:rsid w:val="00851D03"/>
    <w:rsid w:val="00851E1C"/>
    <w:rsid w:val="0085245D"/>
    <w:rsid w:val="00852572"/>
    <w:rsid w:val="00852C21"/>
    <w:rsid w:val="00852E11"/>
    <w:rsid w:val="00852F91"/>
    <w:rsid w:val="00853324"/>
    <w:rsid w:val="00853897"/>
    <w:rsid w:val="00853D3F"/>
    <w:rsid w:val="008544EC"/>
    <w:rsid w:val="008548E0"/>
    <w:rsid w:val="008556BF"/>
    <w:rsid w:val="0085578A"/>
    <w:rsid w:val="00856305"/>
    <w:rsid w:val="00856642"/>
    <w:rsid w:val="008566BE"/>
    <w:rsid w:val="00856EB9"/>
    <w:rsid w:val="0085717E"/>
    <w:rsid w:val="00857754"/>
    <w:rsid w:val="008579F6"/>
    <w:rsid w:val="00857FF8"/>
    <w:rsid w:val="0086087F"/>
    <w:rsid w:val="00860A7E"/>
    <w:rsid w:val="00860CC6"/>
    <w:rsid w:val="00860F3E"/>
    <w:rsid w:val="00860FAF"/>
    <w:rsid w:val="00861243"/>
    <w:rsid w:val="00861514"/>
    <w:rsid w:val="00861E71"/>
    <w:rsid w:val="00862122"/>
    <w:rsid w:val="0086270E"/>
    <w:rsid w:val="00862E4E"/>
    <w:rsid w:val="00862E5B"/>
    <w:rsid w:val="0086302E"/>
    <w:rsid w:val="008631F2"/>
    <w:rsid w:val="0086337F"/>
    <w:rsid w:val="00863779"/>
    <w:rsid w:val="0086389A"/>
    <w:rsid w:val="0086398E"/>
    <w:rsid w:val="008639A0"/>
    <w:rsid w:val="00863E3F"/>
    <w:rsid w:val="008643AA"/>
    <w:rsid w:val="008644EF"/>
    <w:rsid w:val="00864874"/>
    <w:rsid w:val="00864A96"/>
    <w:rsid w:val="00865244"/>
    <w:rsid w:val="0086524A"/>
    <w:rsid w:val="0086533B"/>
    <w:rsid w:val="0086533D"/>
    <w:rsid w:val="008655D2"/>
    <w:rsid w:val="00865799"/>
    <w:rsid w:val="00865AF7"/>
    <w:rsid w:val="00865BAD"/>
    <w:rsid w:val="00865E3E"/>
    <w:rsid w:val="00866943"/>
    <w:rsid w:val="00866BDA"/>
    <w:rsid w:val="00866F41"/>
    <w:rsid w:val="00867422"/>
    <w:rsid w:val="008674BD"/>
    <w:rsid w:val="00867645"/>
    <w:rsid w:val="00867843"/>
    <w:rsid w:val="00867A84"/>
    <w:rsid w:val="00867F98"/>
    <w:rsid w:val="00870804"/>
    <w:rsid w:val="0087084F"/>
    <w:rsid w:val="0087097F"/>
    <w:rsid w:val="00870BC5"/>
    <w:rsid w:val="0087141C"/>
    <w:rsid w:val="00871816"/>
    <w:rsid w:val="00871EBE"/>
    <w:rsid w:val="00872D4A"/>
    <w:rsid w:val="00873727"/>
    <w:rsid w:val="00873A97"/>
    <w:rsid w:val="00873D6F"/>
    <w:rsid w:val="00874890"/>
    <w:rsid w:val="008749D8"/>
    <w:rsid w:val="00875FF2"/>
    <w:rsid w:val="00876A19"/>
    <w:rsid w:val="00876CEE"/>
    <w:rsid w:val="00876E65"/>
    <w:rsid w:val="008771EC"/>
    <w:rsid w:val="0087746A"/>
    <w:rsid w:val="00877619"/>
    <w:rsid w:val="00880026"/>
    <w:rsid w:val="00880162"/>
    <w:rsid w:val="0088031C"/>
    <w:rsid w:val="00880622"/>
    <w:rsid w:val="00880CA0"/>
    <w:rsid w:val="00880CBF"/>
    <w:rsid w:val="00880FDC"/>
    <w:rsid w:val="00881089"/>
    <w:rsid w:val="00881676"/>
    <w:rsid w:val="008817AC"/>
    <w:rsid w:val="00881934"/>
    <w:rsid w:val="008819BB"/>
    <w:rsid w:val="00881ACE"/>
    <w:rsid w:val="0088211D"/>
    <w:rsid w:val="008823DC"/>
    <w:rsid w:val="00882F30"/>
    <w:rsid w:val="0088371F"/>
    <w:rsid w:val="00883739"/>
    <w:rsid w:val="00883784"/>
    <w:rsid w:val="00883B7A"/>
    <w:rsid w:val="00883FCA"/>
    <w:rsid w:val="00883FFA"/>
    <w:rsid w:val="00884458"/>
    <w:rsid w:val="008845DD"/>
    <w:rsid w:val="00884722"/>
    <w:rsid w:val="0088479C"/>
    <w:rsid w:val="008849D5"/>
    <w:rsid w:val="008854B9"/>
    <w:rsid w:val="00885A29"/>
    <w:rsid w:val="00885BED"/>
    <w:rsid w:val="0088620E"/>
    <w:rsid w:val="00886565"/>
    <w:rsid w:val="00886ACB"/>
    <w:rsid w:val="00886C11"/>
    <w:rsid w:val="008871F6"/>
    <w:rsid w:val="00887545"/>
    <w:rsid w:val="008875B5"/>
    <w:rsid w:val="00887BDA"/>
    <w:rsid w:val="00890DDA"/>
    <w:rsid w:val="00890F3F"/>
    <w:rsid w:val="008913FE"/>
    <w:rsid w:val="00891416"/>
    <w:rsid w:val="008916EC"/>
    <w:rsid w:val="00891818"/>
    <w:rsid w:val="008925F7"/>
    <w:rsid w:val="0089278E"/>
    <w:rsid w:val="0089280E"/>
    <w:rsid w:val="00893306"/>
    <w:rsid w:val="008933AA"/>
    <w:rsid w:val="0089349E"/>
    <w:rsid w:val="00893564"/>
    <w:rsid w:val="008938AC"/>
    <w:rsid w:val="00893E33"/>
    <w:rsid w:val="008943D8"/>
    <w:rsid w:val="008949E5"/>
    <w:rsid w:val="00894C5F"/>
    <w:rsid w:val="00894CA4"/>
    <w:rsid w:val="00894E40"/>
    <w:rsid w:val="0089508C"/>
    <w:rsid w:val="008950DF"/>
    <w:rsid w:val="0089523D"/>
    <w:rsid w:val="008954D7"/>
    <w:rsid w:val="00896025"/>
    <w:rsid w:val="0089608F"/>
    <w:rsid w:val="00896172"/>
    <w:rsid w:val="00896722"/>
    <w:rsid w:val="0089698C"/>
    <w:rsid w:val="00896FDA"/>
    <w:rsid w:val="0089766E"/>
    <w:rsid w:val="008A0296"/>
    <w:rsid w:val="008A036A"/>
    <w:rsid w:val="008A08D3"/>
    <w:rsid w:val="008A09B4"/>
    <w:rsid w:val="008A0DE9"/>
    <w:rsid w:val="008A0E66"/>
    <w:rsid w:val="008A0F72"/>
    <w:rsid w:val="008A220E"/>
    <w:rsid w:val="008A2494"/>
    <w:rsid w:val="008A24D7"/>
    <w:rsid w:val="008A298E"/>
    <w:rsid w:val="008A2DF3"/>
    <w:rsid w:val="008A3013"/>
    <w:rsid w:val="008A3171"/>
    <w:rsid w:val="008A31C7"/>
    <w:rsid w:val="008A3C9B"/>
    <w:rsid w:val="008A3E2C"/>
    <w:rsid w:val="008A3F50"/>
    <w:rsid w:val="008A407F"/>
    <w:rsid w:val="008A40D1"/>
    <w:rsid w:val="008A4341"/>
    <w:rsid w:val="008A4600"/>
    <w:rsid w:val="008A47B8"/>
    <w:rsid w:val="008A4EB3"/>
    <w:rsid w:val="008A51D1"/>
    <w:rsid w:val="008A5312"/>
    <w:rsid w:val="008A5374"/>
    <w:rsid w:val="008A586E"/>
    <w:rsid w:val="008A5C96"/>
    <w:rsid w:val="008A5DE8"/>
    <w:rsid w:val="008A6012"/>
    <w:rsid w:val="008A624D"/>
    <w:rsid w:val="008A659F"/>
    <w:rsid w:val="008A6FDE"/>
    <w:rsid w:val="008A706C"/>
    <w:rsid w:val="008A7D48"/>
    <w:rsid w:val="008B002D"/>
    <w:rsid w:val="008B0030"/>
    <w:rsid w:val="008B034B"/>
    <w:rsid w:val="008B047F"/>
    <w:rsid w:val="008B0566"/>
    <w:rsid w:val="008B082F"/>
    <w:rsid w:val="008B0A89"/>
    <w:rsid w:val="008B1414"/>
    <w:rsid w:val="008B1550"/>
    <w:rsid w:val="008B1991"/>
    <w:rsid w:val="008B1AED"/>
    <w:rsid w:val="008B2ADA"/>
    <w:rsid w:val="008B38C0"/>
    <w:rsid w:val="008B4609"/>
    <w:rsid w:val="008B49E5"/>
    <w:rsid w:val="008B57A8"/>
    <w:rsid w:val="008B5C24"/>
    <w:rsid w:val="008B5EEA"/>
    <w:rsid w:val="008B67FA"/>
    <w:rsid w:val="008B6A3D"/>
    <w:rsid w:val="008B6CC5"/>
    <w:rsid w:val="008B701E"/>
    <w:rsid w:val="008B76F7"/>
    <w:rsid w:val="008B7A7E"/>
    <w:rsid w:val="008B7C04"/>
    <w:rsid w:val="008C01E7"/>
    <w:rsid w:val="008C0328"/>
    <w:rsid w:val="008C039C"/>
    <w:rsid w:val="008C0AAB"/>
    <w:rsid w:val="008C0CAA"/>
    <w:rsid w:val="008C0E2E"/>
    <w:rsid w:val="008C0E90"/>
    <w:rsid w:val="008C11C5"/>
    <w:rsid w:val="008C121C"/>
    <w:rsid w:val="008C13AF"/>
    <w:rsid w:val="008C1AB6"/>
    <w:rsid w:val="008C1F2A"/>
    <w:rsid w:val="008C2369"/>
    <w:rsid w:val="008C2448"/>
    <w:rsid w:val="008C2537"/>
    <w:rsid w:val="008C26D0"/>
    <w:rsid w:val="008C2C28"/>
    <w:rsid w:val="008C3117"/>
    <w:rsid w:val="008C3750"/>
    <w:rsid w:val="008C3F92"/>
    <w:rsid w:val="008C429E"/>
    <w:rsid w:val="008C46C0"/>
    <w:rsid w:val="008C4D10"/>
    <w:rsid w:val="008C529C"/>
    <w:rsid w:val="008C52A8"/>
    <w:rsid w:val="008C52C2"/>
    <w:rsid w:val="008C5902"/>
    <w:rsid w:val="008C5B32"/>
    <w:rsid w:val="008C5B49"/>
    <w:rsid w:val="008C6546"/>
    <w:rsid w:val="008C6D7D"/>
    <w:rsid w:val="008C7497"/>
    <w:rsid w:val="008C7563"/>
    <w:rsid w:val="008D029C"/>
    <w:rsid w:val="008D0C8B"/>
    <w:rsid w:val="008D1901"/>
    <w:rsid w:val="008D23B4"/>
    <w:rsid w:val="008D286A"/>
    <w:rsid w:val="008D2948"/>
    <w:rsid w:val="008D2E56"/>
    <w:rsid w:val="008D3341"/>
    <w:rsid w:val="008D3393"/>
    <w:rsid w:val="008D402B"/>
    <w:rsid w:val="008D4084"/>
    <w:rsid w:val="008D4351"/>
    <w:rsid w:val="008D437C"/>
    <w:rsid w:val="008D45C2"/>
    <w:rsid w:val="008D4FF6"/>
    <w:rsid w:val="008D5863"/>
    <w:rsid w:val="008D5EE7"/>
    <w:rsid w:val="008D621C"/>
    <w:rsid w:val="008D62AD"/>
    <w:rsid w:val="008D63BD"/>
    <w:rsid w:val="008D742A"/>
    <w:rsid w:val="008E0164"/>
    <w:rsid w:val="008E0867"/>
    <w:rsid w:val="008E0999"/>
    <w:rsid w:val="008E0D72"/>
    <w:rsid w:val="008E131E"/>
    <w:rsid w:val="008E14CA"/>
    <w:rsid w:val="008E197C"/>
    <w:rsid w:val="008E1E19"/>
    <w:rsid w:val="008E1E96"/>
    <w:rsid w:val="008E2290"/>
    <w:rsid w:val="008E2800"/>
    <w:rsid w:val="008E2EA1"/>
    <w:rsid w:val="008E3770"/>
    <w:rsid w:val="008E3D25"/>
    <w:rsid w:val="008E4BDC"/>
    <w:rsid w:val="008E50AB"/>
    <w:rsid w:val="008E5FCF"/>
    <w:rsid w:val="008E67D6"/>
    <w:rsid w:val="008E6925"/>
    <w:rsid w:val="008E697D"/>
    <w:rsid w:val="008E6B4E"/>
    <w:rsid w:val="008E74BA"/>
    <w:rsid w:val="008E7546"/>
    <w:rsid w:val="008E7604"/>
    <w:rsid w:val="008F013B"/>
    <w:rsid w:val="008F015F"/>
    <w:rsid w:val="008F01A4"/>
    <w:rsid w:val="008F110B"/>
    <w:rsid w:val="008F1153"/>
    <w:rsid w:val="008F11C4"/>
    <w:rsid w:val="008F1A78"/>
    <w:rsid w:val="008F1D32"/>
    <w:rsid w:val="008F21FF"/>
    <w:rsid w:val="008F26F5"/>
    <w:rsid w:val="008F2CA3"/>
    <w:rsid w:val="008F2E1F"/>
    <w:rsid w:val="008F2E64"/>
    <w:rsid w:val="008F30B6"/>
    <w:rsid w:val="008F31DD"/>
    <w:rsid w:val="008F38BF"/>
    <w:rsid w:val="008F40B6"/>
    <w:rsid w:val="008F5238"/>
    <w:rsid w:val="008F55E3"/>
    <w:rsid w:val="008F5B2D"/>
    <w:rsid w:val="008F5CBF"/>
    <w:rsid w:val="008F5EF8"/>
    <w:rsid w:val="008F62FA"/>
    <w:rsid w:val="008F6EF9"/>
    <w:rsid w:val="008F71F4"/>
    <w:rsid w:val="008F7260"/>
    <w:rsid w:val="008F7F1D"/>
    <w:rsid w:val="00900120"/>
    <w:rsid w:val="00900989"/>
    <w:rsid w:val="00901BFC"/>
    <w:rsid w:val="00902741"/>
    <w:rsid w:val="009029E8"/>
    <w:rsid w:val="00902CC2"/>
    <w:rsid w:val="00902F1A"/>
    <w:rsid w:val="00903172"/>
    <w:rsid w:val="0090342C"/>
    <w:rsid w:val="009035AC"/>
    <w:rsid w:val="00903D5D"/>
    <w:rsid w:val="00903E27"/>
    <w:rsid w:val="0090406D"/>
    <w:rsid w:val="00904634"/>
    <w:rsid w:val="00904CDC"/>
    <w:rsid w:val="00905BF7"/>
    <w:rsid w:val="00905F62"/>
    <w:rsid w:val="00906094"/>
    <w:rsid w:val="00906371"/>
    <w:rsid w:val="00906E09"/>
    <w:rsid w:val="00906E21"/>
    <w:rsid w:val="00906EBA"/>
    <w:rsid w:val="0090719A"/>
    <w:rsid w:val="009072DD"/>
    <w:rsid w:val="009106C5"/>
    <w:rsid w:val="00910A31"/>
    <w:rsid w:val="0091103C"/>
    <w:rsid w:val="009113AF"/>
    <w:rsid w:val="00911C1F"/>
    <w:rsid w:val="00911D9A"/>
    <w:rsid w:val="00912399"/>
    <w:rsid w:val="009126C5"/>
    <w:rsid w:val="009134EF"/>
    <w:rsid w:val="00913DAE"/>
    <w:rsid w:val="00913DB5"/>
    <w:rsid w:val="009153C1"/>
    <w:rsid w:val="009155D7"/>
    <w:rsid w:val="00915A1C"/>
    <w:rsid w:val="00915ED0"/>
    <w:rsid w:val="00916A3E"/>
    <w:rsid w:val="00916A8A"/>
    <w:rsid w:val="00916D3B"/>
    <w:rsid w:val="009205B7"/>
    <w:rsid w:val="00920A35"/>
    <w:rsid w:val="00920B3E"/>
    <w:rsid w:val="00921518"/>
    <w:rsid w:val="009215F5"/>
    <w:rsid w:val="00921644"/>
    <w:rsid w:val="00921C17"/>
    <w:rsid w:val="00921CBC"/>
    <w:rsid w:val="00922132"/>
    <w:rsid w:val="0092239A"/>
    <w:rsid w:val="00922418"/>
    <w:rsid w:val="00922B83"/>
    <w:rsid w:val="00922E6D"/>
    <w:rsid w:val="00922F40"/>
    <w:rsid w:val="009249A8"/>
    <w:rsid w:val="00925744"/>
    <w:rsid w:val="00925756"/>
    <w:rsid w:val="00925CD5"/>
    <w:rsid w:val="009264BE"/>
    <w:rsid w:val="0092690B"/>
    <w:rsid w:val="00926CC0"/>
    <w:rsid w:val="00927109"/>
    <w:rsid w:val="0092744D"/>
    <w:rsid w:val="00927B48"/>
    <w:rsid w:val="00927C1F"/>
    <w:rsid w:val="00927C47"/>
    <w:rsid w:val="00927E2E"/>
    <w:rsid w:val="00930189"/>
    <w:rsid w:val="009303C9"/>
    <w:rsid w:val="00930EC9"/>
    <w:rsid w:val="0093108B"/>
    <w:rsid w:val="00931182"/>
    <w:rsid w:val="0093131C"/>
    <w:rsid w:val="009314A1"/>
    <w:rsid w:val="009314BA"/>
    <w:rsid w:val="00931A63"/>
    <w:rsid w:val="00932A47"/>
    <w:rsid w:val="00932B94"/>
    <w:rsid w:val="00933130"/>
    <w:rsid w:val="009332EE"/>
    <w:rsid w:val="0093333F"/>
    <w:rsid w:val="00933446"/>
    <w:rsid w:val="00933801"/>
    <w:rsid w:val="00933EC1"/>
    <w:rsid w:val="00934464"/>
    <w:rsid w:val="00935064"/>
    <w:rsid w:val="009351C1"/>
    <w:rsid w:val="00935703"/>
    <w:rsid w:val="0093592C"/>
    <w:rsid w:val="009359F4"/>
    <w:rsid w:val="009360A4"/>
    <w:rsid w:val="0093625F"/>
    <w:rsid w:val="00936579"/>
    <w:rsid w:val="00936942"/>
    <w:rsid w:val="00937775"/>
    <w:rsid w:val="00937CCE"/>
    <w:rsid w:val="00940742"/>
    <w:rsid w:val="00940CE0"/>
    <w:rsid w:val="009419D6"/>
    <w:rsid w:val="00942229"/>
    <w:rsid w:val="009424E9"/>
    <w:rsid w:val="00942B7A"/>
    <w:rsid w:val="00942CAF"/>
    <w:rsid w:val="0094321E"/>
    <w:rsid w:val="00943237"/>
    <w:rsid w:val="00943316"/>
    <w:rsid w:val="00943E98"/>
    <w:rsid w:val="00943EC0"/>
    <w:rsid w:val="00944CF8"/>
    <w:rsid w:val="00945936"/>
    <w:rsid w:val="00945FEA"/>
    <w:rsid w:val="009467F1"/>
    <w:rsid w:val="009472FE"/>
    <w:rsid w:val="009478EE"/>
    <w:rsid w:val="0095034A"/>
    <w:rsid w:val="009505F5"/>
    <w:rsid w:val="0095067E"/>
    <w:rsid w:val="00951A99"/>
    <w:rsid w:val="00951AF4"/>
    <w:rsid w:val="00951EA6"/>
    <w:rsid w:val="00951EBC"/>
    <w:rsid w:val="0095212E"/>
    <w:rsid w:val="00952167"/>
    <w:rsid w:val="0095240A"/>
    <w:rsid w:val="009527F4"/>
    <w:rsid w:val="00952899"/>
    <w:rsid w:val="009529B0"/>
    <w:rsid w:val="00952DAC"/>
    <w:rsid w:val="00953051"/>
    <w:rsid w:val="00953136"/>
    <w:rsid w:val="009533E3"/>
    <w:rsid w:val="0095360C"/>
    <w:rsid w:val="00953AF6"/>
    <w:rsid w:val="00953B78"/>
    <w:rsid w:val="00953E16"/>
    <w:rsid w:val="00953E86"/>
    <w:rsid w:val="009541B9"/>
    <w:rsid w:val="0095428A"/>
    <w:rsid w:val="009542DD"/>
    <w:rsid w:val="009544CD"/>
    <w:rsid w:val="00954785"/>
    <w:rsid w:val="009554D2"/>
    <w:rsid w:val="00955D68"/>
    <w:rsid w:val="009560FB"/>
    <w:rsid w:val="009564EE"/>
    <w:rsid w:val="00956696"/>
    <w:rsid w:val="00956C30"/>
    <w:rsid w:val="00956C91"/>
    <w:rsid w:val="00956CE2"/>
    <w:rsid w:val="009572E5"/>
    <w:rsid w:val="00957C2C"/>
    <w:rsid w:val="00957C93"/>
    <w:rsid w:val="00957F31"/>
    <w:rsid w:val="009602F2"/>
    <w:rsid w:val="00960564"/>
    <w:rsid w:val="00960745"/>
    <w:rsid w:val="00960FA0"/>
    <w:rsid w:val="0096111B"/>
    <w:rsid w:val="00961762"/>
    <w:rsid w:val="009618FE"/>
    <w:rsid w:val="00961E45"/>
    <w:rsid w:val="00961E52"/>
    <w:rsid w:val="009620FE"/>
    <w:rsid w:val="00962198"/>
    <w:rsid w:val="00962896"/>
    <w:rsid w:val="009628A3"/>
    <w:rsid w:val="00963191"/>
    <w:rsid w:val="00963A38"/>
    <w:rsid w:val="009649CE"/>
    <w:rsid w:val="00964B59"/>
    <w:rsid w:val="00964F2B"/>
    <w:rsid w:val="00965C87"/>
    <w:rsid w:val="00966B46"/>
    <w:rsid w:val="00967FA4"/>
    <w:rsid w:val="0097035F"/>
    <w:rsid w:val="00970430"/>
    <w:rsid w:val="009706C3"/>
    <w:rsid w:val="00970767"/>
    <w:rsid w:val="009708A4"/>
    <w:rsid w:val="0097092C"/>
    <w:rsid w:val="009709FC"/>
    <w:rsid w:val="00970AB1"/>
    <w:rsid w:val="009711D2"/>
    <w:rsid w:val="009717D2"/>
    <w:rsid w:val="00971E7A"/>
    <w:rsid w:val="009720AD"/>
    <w:rsid w:val="00972FED"/>
    <w:rsid w:val="009733D3"/>
    <w:rsid w:val="00973754"/>
    <w:rsid w:val="009744BB"/>
    <w:rsid w:val="00974BDC"/>
    <w:rsid w:val="00975240"/>
    <w:rsid w:val="009752E9"/>
    <w:rsid w:val="009753BF"/>
    <w:rsid w:val="009754AF"/>
    <w:rsid w:val="00975509"/>
    <w:rsid w:val="00975DC1"/>
    <w:rsid w:val="0097604B"/>
    <w:rsid w:val="009764C8"/>
    <w:rsid w:val="00976BF3"/>
    <w:rsid w:val="00976C42"/>
    <w:rsid w:val="00976D59"/>
    <w:rsid w:val="00976EA5"/>
    <w:rsid w:val="00976EDD"/>
    <w:rsid w:val="0097714B"/>
    <w:rsid w:val="0097729E"/>
    <w:rsid w:val="00977447"/>
    <w:rsid w:val="00977BE8"/>
    <w:rsid w:val="00980C3D"/>
    <w:rsid w:val="00980FEC"/>
    <w:rsid w:val="00981007"/>
    <w:rsid w:val="0098136A"/>
    <w:rsid w:val="009814EE"/>
    <w:rsid w:val="0098223D"/>
    <w:rsid w:val="009823CB"/>
    <w:rsid w:val="00982D83"/>
    <w:rsid w:val="00982EEB"/>
    <w:rsid w:val="00983770"/>
    <w:rsid w:val="00984655"/>
    <w:rsid w:val="009847FE"/>
    <w:rsid w:val="00984A9D"/>
    <w:rsid w:val="00984D56"/>
    <w:rsid w:val="00984FED"/>
    <w:rsid w:val="00985733"/>
    <w:rsid w:val="00985A2C"/>
    <w:rsid w:val="00985A8A"/>
    <w:rsid w:val="00985E84"/>
    <w:rsid w:val="00986003"/>
    <w:rsid w:val="009861C7"/>
    <w:rsid w:val="009863B4"/>
    <w:rsid w:val="009866DF"/>
    <w:rsid w:val="00986A16"/>
    <w:rsid w:val="009875FF"/>
    <w:rsid w:val="00987D15"/>
    <w:rsid w:val="009901A9"/>
    <w:rsid w:val="009914A6"/>
    <w:rsid w:val="00991AAD"/>
    <w:rsid w:val="00992178"/>
    <w:rsid w:val="009921FE"/>
    <w:rsid w:val="00992282"/>
    <w:rsid w:val="00993095"/>
    <w:rsid w:val="00993155"/>
    <w:rsid w:val="009931BB"/>
    <w:rsid w:val="00993B77"/>
    <w:rsid w:val="009943BF"/>
    <w:rsid w:val="009949F0"/>
    <w:rsid w:val="00994D80"/>
    <w:rsid w:val="00994EBA"/>
    <w:rsid w:val="00995299"/>
    <w:rsid w:val="0099593B"/>
    <w:rsid w:val="009959C5"/>
    <w:rsid w:val="00995B0F"/>
    <w:rsid w:val="00995C93"/>
    <w:rsid w:val="00995CDF"/>
    <w:rsid w:val="00995EE1"/>
    <w:rsid w:val="00995F82"/>
    <w:rsid w:val="0099602A"/>
    <w:rsid w:val="00996425"/>
    <w:rsid w:val="0099647A"/>
    <w:rsid w:val="009967E6"/>
    <w:rsid w:val="00996DC5"/>
    <w:rsid w:val="00996F49"/>
    <w:rsid w:val="009976DE"/>
    <w:rsid w:val="00997AA5"/>
    <w:rsid w:val="00997BC1"/>
    <w:rsid w:val="009A006F"/>
    <w:rsid w:val="009A1965"/>
    <w:rsid w:val="009A2056"/>
    <w:rsid w:val="009A284D"/>
    <w:rsid w:val="009A3273"/>
    <w:rsid w:val="009A3356"/>
    <w:rsid w:val="009A339F"/>
    <w:rsid w:val="009A4238"/>
    <w:rsid w:val="009A4262"/>
    <w:rsid w:val="009A4394"/>
    <w:rsid w:val="009A451D"/>
    <w:rsid w:val="009A4680"/>
    <w:rsid w:val="009A470B"/>
    <w:rsid w:val="009A56D9"/>
    <w:rsid w:val="009A5E32"/>
    <w:rsid w:val="009A5EA2"/>
    <w:rsid w:val="009A5F5B"/>
    <w:rsid w:val="009A601A"/>
    <w:rsid w:val="009A65AC"/>
    <w:rsid w:val="009A6E90"/>
    <w:rsid w:val="009A72BC"/>
    <w:rsid w:val="009A766E"/>
    <w:rsid w:val="009A7C33"/>
    <w:rsid w:val="009A7FA6"/>
    <w:rsid w:val="009B039F"/>
    <w:rsid w:val="009B1206"/>
    <w:rsid w:val="009B1852"/>
    <w:rsid w:val="009B1C38"/>
    <w:rsid w:val="009B1DFD"/>
    <w:rsid w:val="009B1EBC"/>
    <w:rsid w:val="009B2169"/>
    <w:rsid w:val="009B2CC5"/>
    <w:rsid w:val="009B2FFD"/>
    <w:rsid w:val="009B3666"/>
    <w:rsid w:val="009B3F4B"/>
    <w:rsid w:val="009B46C3"/>
    <w:rsid w:val="009B48F3"/>
    <w:rsid w:val="009B5919"/>
    <w:rsid w:val="009B6423"/>
    <w:rsid w:val="009B6923"/>
    <w:rsid w:val="009B6B15"/>
    <w:rsid w:val="009B6C13"/>
    <w:rsid w:val="009B700D"/>
    <w:rsid w:val="009B72BA"/>
    <w:rsid w:val="009B7832"/>
    <w:rsid w:val="009B7865"/>
    <w:rsid w:val="009B7E72"/>
    <w:rsid w:val="009B7FAE"/>
    <w:rsid w:val="009C017A"/>
    <w:rsid w:val="009C0B20"/>
    <w:rsid w:val="009C1E6B"/>
    <w:rsid w:val="009C22BE"/>
    <w:rsid w:val="009C231E"/>
    <w:rsid w:val="009C3029"/>
    <w:rsid w:val="009C34D1"/>
    <w:rsid w:val="009C3826"/>
    <w:rsid w:val="009C40E7"/>
    <w:rsid w:val="009C436D"/>
    <w:rsid w:val="009C43E0"/>
    <w:rsid w:val="009C48FC"/>
    <w:rsid w:val="009C49CE"/>
    <w:rsid w:val="009C52C6"/>
    <w:rsid w:val="009C53D0"/>
    <w:rsid w:val="009C5A0E"/>
    <w:rsid w:val="009C608D"/>
    <w:rsid w:val="009C63C0"/>
    <w:rsid w:val="009C64DC"/>
    <w:rsid w:val="009C66A8"/>
    <w:rsid w:val="009C6774"/>
    <w:rsid w:val="009C6C79"/>
    <w:rsid w:val="009C6C95"/>
    <w:rsid w:val="009C727A"/>
    <w:rsid w:val="009C749D"/>
    <w:rsid w:val="009C793C"/>
    <w:rsid w:val="009C7C89"/>
    <w:rsid w:val="009C7EDC"/>
    <w:rsid w:val="009C7FEF"/>
    <w:rsid w:val="009D0070"/>
    <w:rsid w:val="009D0459"/>
    <w:rsid w:val="009D0C33"/>
    <w:rsid w:val="009D1178"/>
    <w:rsid w:val="009D1202"/>
    <w:rsid w:val="009D133A"/>
    <w:rsid w:val="009D1764"/>
    <w:rsid w:val="009D1947"/>
    <w:rsid w:val="009D1DA3"/>
    <w:rsid w:val="009D2690"/>
    <w:rsid w:val="009D297C"/>
    <w:rsid w:val="009D2BA3"/>
    <w:rsid w:val="009D2CE8"/>
    <w:rsid w:val="009D3939"/>
    <w:rsid w:val="009D3EFF"/>
    <w:rsid w:val="009D3F22"/>
    <w:rsid w:val="009D40B3"/>
    <w:rsid w:val="009D41EB"/>
    <w:rsid w:val="009D4955"/>
    <w:rsid w:val="009D4CFA"/>
    <w:rsid w:val="009D4D2D"/>
    <w:rsid w:val="009D4FA8"/>
    <w:rsid w:val="009D5436"/>
    <w:rsid w:val="009D614B"/>
    <w:rsid w:val="009D6615"/>
    <w:rsid w:val="009D667E"/>
    <w:rsid w:val="009D693E"/>
    <w:rsid w:val="009D69E9"/>
    <w:rsid w:val="009D6D7C"/>
    <w:rsid w:val="009D6FD4"/>
    <w:rsid w:val="009D7035"/>
    <w:rsid w:val="009D7A56"/>
    <w:rsid w:val="009D7D16"/>
    <w:rsid w:val="009E0370"/>
    <w:rsid w:val="009E03FA"/>
    <w:rsid w:val="009E1140"/>
    <w:rsid w:val="009E1203"/>
    <w:rsid w:val="009E1490"/>
    <w:rsid w:val="009E15B2"/>
    <w:rsid w:val="009E18CA"/>
    <w:rsid w:val="009E1F16"/>
    <w:rsid w:val="009E1F4C"/>
    <w:rsid w:val="009E222A"/>
    <w:rsid w:val="009E3479"/>
    <w:rsid w:val="009E3F0F"/>
    <w:rsid w:val="009E4A64"/>
    <w:rsid w:val="009E4C36"/>
    <w:rsid w:val="009E544B"/>
    <w:rsid w:val="009E5718"/>
    <w:rsid w:val="009E593B"/>
    <w:rsid w:val="009E5EB9"/>
    <w:rsid w:val="009E6CD4"/>
    <w:rsid w:val="009E6ED0"/>
    <w:rsid w:val="009E70D3"/>
    <w:rsid w:val="009E7509"/>
    <w:rsid w:val="009E78A8"/>
    <w:rsid w:val="009E79BC"/>
    <w:rsid w:val="009E7DDD"/>
    <w:rsid w:val="009F01AA"/>
    <w:rsid w:val="009F06F1"/>
    <w:rsid w:val="009F0BEF"/>
    <w:rsid w:val="009F0BF9"/>
    <w:rsid w:val="009F0D2E"/>
    <w:rsid w:val="009F156C"/>
    <w:rsid w:val="009F16D9"/>
    <w:rsid w:val="009F18CD"/>
    <w:rsid w:val="009F1AC1"/>
    <w:rsid w:val="009F1AFC"/>
    <w:rsid w:val="009F1BA4"/>
    <w:rsid w:val="009F1D80"/>
    <w:rsid w:val="009F2199"/>
    <w:rsid w:val="009F25B0"/>
    <w:rsid w:val="009F26F8"/>
    <w:rsid w:val="009F2E80"/>
    <w:rsid w:val="009F2F16"/>
    <w:rsid w:val="009F2FE2"/>
    <w:rsid w:val="009F3295"/>
    <w:rsid w:val="009F3859"/>
    <w:rsid w:val="009F3D4A"/>
    <w:rsid w:val="009F4017"/>
    <w:rsid w:val="009F4981"/>
    <w:rsid w:val="009F4986"/>
    <w:rsid w:val="009F5140"/>
    <w:rsid w:val="009F5142"/>
    <w:rsid w:val="009F5151"/>
    <w:rsid w:val="009F5738"/>
    <w:rsid w:val="009F5D68"/>
    <w:rsid w:val="009F5E2D"/>
    <w:rsid w:val="009F6957"/>
    <w:rsid w:val="00A005C4"/>
    <w:rsid w:val="00A00796"/>
    <w:rsid w:val="00A01AA8"/>
    <w:rsid w:val="00A01AFA"/>
    <w:rsid w:val="00A01B85"/>
    <w:rsid w:val="00A020BE"/>
    <w:rsid w:val="00A023DC"/>
    <w:rsid w:val="00A027E2"/>
    <w:rsid w:val="00A02AC7"/>
    <w:rsid w:val="00A02D1D"/>
    <w:rsid w:val="00A031A3"/>
    <w:rsid w:val="00A03280"/>
    <w:rsid w:val="00A0356F"/>
    <w:rsid w:val="00A03CAC"/>
    <w:rsid w:val="00A03FA5"/>
    <w:rsid w:val="00A04140"/>
    <w:rsid w:val="00A04B25"/>
    <w:rsid w:val="00A0531F"/>
    <w:rsid w:val="00A05355"/>
    <w:rsid w:val="00A0551F"/>
    <w:rsid w:val="00A05E8A"/>
    <w:rsid w:val="00A0602B"/>
    <w:rsid w:val="00A060B6"/>
    <w:rsid w:val="00A06836"/>
    <w:rsid w:val="00A068A1"/>
    <w:rsid w:val="00A068BA"/>
    <w:rsid w:val="00A0695E"/>
    <w:rsid w:val="00A06AE6"/>
    <w:rsid w:val="00A06B35"/>
    <w:rsid w:val="00A070FA"/>
    <w:rsid w:val="00A0759B"/>
    <w:rsid w:val="00A07A4F"/>
    <w:rsid w:val="00A07CD8"/>
    <w:rsid w:val="00A1002F"/>
    <w:rsid w:val="00A104AB"/>
    <w:rsid w:val="00A10C79"/>
    <w:rsid w:val="00A129C5"/>
    <w:rsid w:val="00A12A3A"/>
    <w:rsid w:val="00A12B50"/>
    <w:rsid w:val="00A12CD8"/>
    <w:rsid w:val="00A13110"/>
    <w:rsid w:val="00A136E1"/>
    <w:rsid w:val="00A1395F"/>
    <w:rsid w:val="00A13CE4"/>
    <w:rsid w:val="00A13E34"/>
    <w:rsid w:val="00A144D9"/>
    <w:rsid w:val="00A1477A"/>
    <w:rsid w:val="00A154B5"/>
    <w:rsid w:val="00A15741"/>
    <w:rsid w:val="00A159EA"/>
    <w:rsid w:val="00A15A42"/>
    <w:rsid w:val="00A15BAC"/>
    <w:rsid w:val="00A15D8A"/>
    <w:rsid w:val="00A15E60"/>
    <w:rsid w:val="00A16277"/>
    <w:rsid w:val="00A168BC"/>
    <w:rsid w:val="00A16B74"/>
    <w:rsid w:val="00A16DAB"/>
    <w:rsid w:val="00A16DAF"/>
    <w:rsid w:val="00A1723F"/>
    <w:rsid w:val="00A177A6"/>
    <w:rsid w:val="00A17C01"/>
    <w:rsid w:val="00A17E81"/>
    <w:rsid w:val="00A20DAB"/>
    <w:rsid w:val="00A2131D"/>
    <w:rsid w:val="00A21414"/>
    <w:rsid w:val="00A2169A"/>
    <w:rsid w:val="00A21A20"/>
    <w:rsid w:val="00A21A83"/>
    <w:rsid w:val="00A22275"/>
    <w:rsid w:val="00A22376"/>
    <w:rsid w:val="00A22B04"/>
    <w:rsid w:val="00A22B65"/>
    <w:rsid w:val="00A22BC4"/>
    <w:rsid w:val="00A23338"/>
    <w:rsid w:val="00A23674"/>
    <w:rsid w:val="00A24BBF"/>
    <w:rsid w:val="00A25344"/>
    <w:rsid w:val="00A257AB"/>
    <w:rsid w:val="00A25EA9"/>
    <w:rsid w:val="00A2601A"/>
    <w:rsid w:val="00A265E1"/>
    <w:rsid w:val="00A268DB"/>
    <w:rsid w:val="00A268FA"/>
    <w:rsid w:val="00A26AA9"/>
    <w:rsid w:val="00A277D9"/>
    <w:rsid w:val="00A27A2F"/>
    <w:rsid w:val="00A27C1E"/>
    <w:rsid w:val="00A27DBE"/>
    <w:rsid w:val="00A30229"/>
    <w:rsid w:val="00A30396"/>
    <w:rsid w:val="00A305F0"/>
    <w:rsid w:val="00A309FB"/>
    <w:rsid w:val="00A30F2E"/>
    <w:rsid w:val="00A31A52"/>
    <w:rsid w:val="00A320EA"/>
    <w:rsid w:val="00A324CA"/>
    <w:rsid w:val="00A3251A"/>
    <w:rsid w:val="00A327D7"/>
    <w:rsid w:val="00A3326A"/>
    <w:rsid w:val="00A338AD"/>
    <w:rsid w:val="00A33901"/>
    <w:rsid w:val="00A33DE3"/>
    <w:rsid w:val="00A34174"/>
    <w:rsid w:val="00A34B89"/>
    <w:rsid w:val="00A35239"/>
    <w:rsid w:val="00A3554C"/>
    <w:rsid w:val="00A35577"/>
    <w:rsid w:val="00A357F0"/>
    <w:rsid w:val="00A35B39"/>
    <w:rsid w:val="00A3631C"/>
    <w:rsid w:val="00A37148"/>
    <w:rsid w:val="00A37315"/>
    <w:rsid w:val="00A37A32"/>
    <w:rsid w:val="00A37B90"/>
    <w:rsid w:val="00A37CAD"/>
    <w:rsid w:val="00A37D32"/>
    <w:rsid w:val="00A40051"/>
    <w:rsid w:val="00A402F6"/>
    <w:rsid w:val="00A40A9B"/>
    <w:rsid w:val="00A4135D"/>
    <w:rsid w:val="00A416DC"/>
    <w:rsid w:val="00A416FA"/>
    <w:rsid w:val="00A418CC"/>
    <w:rsid w:val="00A41A3D"/>
    <w:rsid w:val="00A42582"/>
    <w:rsid w:val="00A42D20"/>
    <w:rsid w:val="00A42E61"/>
    <w:rsid w:val="00A4316E"/>
    <w:rsid w:val="00A43182"/>
    <w:rsid w:val="00A43492"/>
    <w:rsid w:val="00A43A96"/>
    <w:rsid w:val="00A43AF7"/>
    <w:rsid w:val="00A43C0F"/>
    <w:rsid w:val="00A44667"/>
    <w:rsid w:val="00A45123"/>
    <w:rsid w:val="00A45326"/>
    <w:rsid w:val="00A454E1"/>
    <w:rsid w:val="00A459E1"/>
    <w:rsid w:val="00A46778"/>
    <w:rsid w:val="00A46782"/>
    <w:rsid w:val="00A468CF"/>
    <w:rsid w:val="00A468FE"/>
    <w:rsid w:val="00A46B33"/>
    <w:rsid w:val="00A46E3A"/>
    <w:rsid w:val="00A47007"/>
    <w:rsid w:val="00A4710C"/>
    <w:rsid w:val="00A471A1"/>
    <w:rsid w:val="00A473FA"/>
    <w:rsid w:val="00A47715"/>
    <w:rsid w:val="00A47889"/>
    <w:rsid w:val="00A4797F"/>
    <w:rsid w:val="00A501F2"/>
    <w:rsid w:val="00A5048A"/>
    <w:rsid w:val="00A50A82"/>
    <w:rsid w:val="00A50FB9"/>
    <w:rsid w:val="00A51094"/>
    <w:rsid w:val="00A510ED"/>
    <w:rsid w:val="00A51593"/>
    <w:rsid w:val="00A5163C"/>
    <w:rsid w:val="00A518C7"/>
    <w:rsid w:val="00A51B29"/>
    <w:rsid w:val="00A51BBF"/>
    <w:rsid w:val="00A51F8C"/>
    <w:rsid w:val="00A5227D"/>
    <w:rsid w:val="00A530DE"/>
    <w:rsid w:val="00A53138"/>
    <w:rsid w:val="00A53178"/>
    <w:rsid w:val="00A5318A"/>
    <w:rsid w:val="00A53448"/>
    <w:rsid w:val="00A53AF7"/>
    <w:rsid w:val="00A53D8D"/>
    <w:rsid w:val="00A54026"/>
    <w:rsid w:val="00A543E9"/>
    <w:rsid w:val="00A54479"/>
    <w:rsid w:val="00A54A84"/>
    <w:rsid w:val="00A55CAD"/>
    <w:rsid w:val="00A55E31"/>
    <w:rsid w:val="00A55E6A"/>
    <w:rsid w:val="00A55F38"/>
    <w:rsid w:val="00A560AD"/>
    <w:rsid w:val="00A56B54"/>
    <w:rsid w:val="00A56EF9"/>
    <w:rsid w:val="00A570C3"/>
    <w:rsid w:val="00A57459"/>
    <w:rsid w:val="00A57506"/>
    <w:rsid w:val="00A577E2"/>
    <w:rsid w:val="00A57A06"/>
    <w:rsid w:val="00A600AB"/>
    <w:rsid w:val="00A6014F"/>
    <w:rsid w:val="00A603B7"/>
    <w:rsid w:val="00A60476"/>
    <w:rsid w:val="00A60C04"/>
    <w:rsid w:val="00A60FD9"/>
    <w:rsid w:val="00A6177F"/>
    <w:rsid w:val="00A61853"/>
    <w:rsid w:val="00A6210B"/>
    <w:rsid w:val="00A624AD"/>
    <w:rsid w:val="00A62AB7"/>
    <w:rsid w:val="00A62CD5"/>
    <w:rsid w:val="00A62D1C"/>
    <w:rsid w:val="00A6375C"/>
    <w:rsid w:val="00A63776"/>
    <w:rsid w:val="00A64157"/>
    <w:rsid w:val="00A642F0"/>
    <w:rsid w:val="00A644B7"/>
    <w:rsid w:val="00A64AF1"/>
    <w:rsid w:val="00A64CF9"/>
    <w:rsid w:val="00A65253"/>
    <w:rsid w:val="00A65409"/>
    <w:rsid w:val="00A65A90"/>
    <w:rsid w:val="00A65DC6"/>
    <w:rsid w:val="00A65E57"/>
    <w:rsid w:val="00A66C42"/>
    <w:rsid w:val="00A67265"/>
    <w:rsid w:val="00A67576"/>
    <w:rsid w:val="00A67AD8"/>
    <w:rsid w:val="00A67DE0"/>
    <w:rsid w:val="00A67E8A"/>
    <w:rsid w:val="00A70272"/>
    <w:rsid w:val="00A702AE"/>
    <w:rsid w:val="00A70469"/>
    <w:rsid w:val="00A70510"/>
    <w:rsid w:val="00A707DB"/>
    <w:rsid w:val="00A70ADF"/>
    <w:rsid w:val="00A70C07"/>
    <w:rsid w:val="00A7149F"/>
    <w:rsid w:val="00A71734"/>
    <w:rsid w:val="00A718EB"/>
    <w:rsid w:val="00A71CB4"/>
    <w:rsid w:val="00A720DE"/>
    <w:rsid w:val="00A725AE"/>
    <w:rsid w:val="00A726E9"/>
    <w:rsid w:val="00A72B8B"/>
    <w:rsid w:val="00A72CDC"/>
    <w:rsid w:val="00A72E36"/>
    <w:rsid w:val="00A731D9"/>
    <w:rsid w:val="00A734CA"/>
    <w:rsid w:val="00A7369E"/>
    <w:rsid w:val="00A73873"/>
    <w:rsid w:val="00A73C89"/>
    <w:rsid w:val="00A73D6E"/>
    <w:rsid w:val="00A745D0"/>
    <w:rsid w:val="00A74782"/>
    <w:rsid w:val="00A74911"/>
    <w:rsid w:val="00A74988"/>
    <w:rsid w:val="00A753E8"/>
    <w:rsid w:val="00A75770"/>
    <w:rsid w:val="00A758FA"/>
    <w:rsid w:val="00A75CEE"/>
    <w:rsid w:val="00A75D3B"/>
    <w:rsid w:val="00A75E13"/>
    <w:rsid w:val="00A76057"/>
    <w:rsid w:val="00A76264"/>
    <w:rsid w:val="00A76273"/>
    <w:rsid w:val="00A765D3"/>
    <w:rsid w:val="00A767AB"/>
    <w:rsid w:val="00A76BAA"/>
    <w:rsid w:val="00A770BC"/>
    <w:rsid w:val="00A77690"/>
    <w:rsid w:val="00A777DE"/>
    <w:rsid w:val="00A8019C"/>
    <w:rsid w:val="00A80506"/>
    <w:rsid w:val="00A81539"/>
    <w:rsid w:val="00A816D5"/>
    <w:rsid w:val="00A817C0"/>
    <w:rsid w:val="00A81EF2"/>
    <w:rsid w:val="00A821C9"/>
    <w:rsid w:val="00A821CB"/>
    <w:rsid w:val="00A8253D"/>
    <w:rsid w:val="00A827B1"/>
    <w:rsid w:val="00A82E5E"/>
    <w:rsid w:val="00A833BB"/>
    <w:rsid w:val="00A837DE"/>
    <w:rsid w:val="00A838D1"/>
    <w:rsid w:val="00A83E39"/>
    <w:rsid w:val="00A8441B"/>
    <w:rsid w:val="00A8461A"/>
    <w:rsid w:val="00A84878"/>
    <w:rsid w:val="00A84925"/>
    <w:rsid w:val="00A84953"/>
    <w:rsid w:val="00A84D61"/>
    <w:rsid w:val="00A85AB5"/>
    <w:rsid w:val="00A85BF2"/>
    <w:rsid w:val="00A85C7A"/>
    <w:rsid w:val="00A85C99"/>
    <w:rsid w:val="00A861CA"/>
    <w:rsid w:val="00A864B7"/>
    <w:rsid w:val="00A869C3"/>
    <w:rsid w:val="00A86A2E"/>
    <w:rsid w:val="00A8712C"/>
    <w:rsid w:val="00A8789F"/>
    <w:rsid w:val="00A9009D"/>
    <w:rsid w:val="00A90502"/>
    <w:rsid w:val="00A90BF2"/>
    <w:rsid w:val="00A912ED"/>
    <w:rsid w:val="00A916A4"/>
    <w:rsid w:val="00A91BD1"/>
    <w:rsid w:val="00A921E3"/>
    <w:rsid w:val="00A92576"/>
    <w:rsid w:val="00A927E4"/>
    <w:rsid w:val="00A92DE0"/>
    <w:rsid w:val="00A92E4B"/>
    <w:rsid w:val="00A92E85"/>
    <w:rsid w:val="00A931F2"/>
    <w:rsid w:val="00A93D56"/>
    <w:rsid w:val="00A944A1"/>
    <w:rsid w:val="00A95375"/>
    <w:rsid w:val="00A953AD"/>
    <w:rsid w:val="00A95537"/>
    <w:rsid w:val="00A957C5"/>
    <w:rsid w:val="00A95C22"/>
    <w:rsid w:val="00A960EA"/>
    <w:rsid w:val="00A961C3"/>
    <w:rsid w:val="00A967A2"/>
    <w:rsid w:val="00A96846"/>
    <w:rsid w:val="00A9690F"/>
    <w:rsid w:val="00A96B1A"/>
    <w:rsid w:val="00A96D10"/>
    <w:rsid w:val="00A971A1"/>
    <w:rsid w:val="00A97285"/>
    <w:rsid w:val="00A974DB"/>
    <w:rsid w:val="00A978BE"/>
    <w:rsid w:val="00A97960"/>
    <w:rsid w:val="00A97BEC"/>
    <w:rsid w:val="00A97F4D"/>
    <w:rsid w:val="00AA0496"/>
    <w:rsid w:val="00AA0555"/>
    <w:rsid w:val="00AA07AB"/>
    <w:rsid w:val="00AA0852"/>
    <w:rsid w:val="00AA0858"/>
    <w:rsid w:val="00AA0C52"/>
    <w:rsid w:val="00AA0EEB"/>
    <w:rsid w:val="00AA16CF"/>
    <w:rsid w:val="00AA16FA"/>
    <w:rsid w:val="00AA2506"/>
    <w:rsid w:val="00AA3057"/>
    <w:rsid w:val="00AA319D"/>
    <w:rsid w:val="00AA3716"/>
    <w:rsid w:val="00AA4661"/>
    <w:rsid w:val="00AA51EC"/>
    <w:rsid w:val="00AA51F6"/>
    <w:rsid w:val="00AA5E2B"/>
    <w:rsid w:val="00AA5E86"/>
    <w:rsid w:val="00AA65C3"/>
    <w:rsid w:val="00AA6781"/>
    <w:rsid w:val="00AA67C8"/>
    <w:rsid w:val="00AA7687"/>
    <w:rsid w:val="00AA7958"/>
    <w:rsid w:val="00AA7A29"/>
    <w:rsid w:val="00AA7E96"/>
    <w:rsid w:val="00AB00C7"/>
    <w:rsid w:val="00AB111F"/>
    <w:rsid w:val="00AB189B"/>
    <w:rsid w:val="00AB198F"/>
    <w:rsid w:val="00AB1D6A"/>
    <w:rsid w:val="00AB20A3"/>
    <w:rsid w:val="00AB31E6"/>
    <w:rsid w:val="00AB381F"/>
    <w:rsid w:val="00AB39AF"/>
    <w:rsid w:val="00AB3C02"/>
    <w:rsid w:val="00AB3CFE"/>
    <w:rsid w:val="00AB47E4"/>
    <w:rsid w:val="00AB489E"/>
    <w:rsid w:val="00AB4D48"/>
    <w:rsid w:val="00AB4FA6"/>
    <w:rsid w:val="00AB532E"/>
    <w:rsid w:val="00AB5591"/>
    <w:rsid w:val="00AB5805"/>
    <w:rsid w:val="00AB5D83"/>
    <w:rsid w:val="00AB6245"/>
    <w:rsid w:val="00AB63C3"/>
    <w:rsid w:val="00AB6415"/>
    <w:rsid w:val="00AB649A"/>
    <w:rsid w:val="00AB68C4"/>
    <w:rsid w:val="00AB6E89"/>
    <w:rsid w:val="00AB7613"/>
    <w:rsid w:val="00AB774E"/>
    <w:rsid w:val="00AB7899"/>
    <w:rsid w:val="00AB7C3A"/>
    <w:rsid w:val="00AC015C"/>
    <w:rsid w:val="00AC05DC"/>
    <w:rsid w:val="00AC06A7"/>
    <w:rsid w:val="00AC072B"/>
    <w:rsid w:val="00AC0A12"/>
    <w:rsid w:val="00AC0E9D"/>
    <w:rsid w:val="00AC1240"/>
    <w:rsid w:val="00AC1724"/>
    <w:rsid w:val="00AC1919"/>
    <w:rsid w:val="00AC1A5D"/>
    <w:rsid w:val="00AC1AF8"/>
    <w:rsid w:val="00AC261D"/>
    <w:rsid w:val="00AC2B23"/>
    <w:rsid w:val="00AC2BBB"/>
    <w:rsid w:val="00AC3156"/>
    <w:rsid w:val="00AC35F9"/>
    <w:rsid w:val="00AC365E"/>
    <w:rsid w:val="00AC386C"/>
    <w:rsid w:val="00AC3C18"/>
    <w:rsid w:val="00AC3C3F"/>
    <w:rsid w:val="00AC3F82"/>
    <w:rsid w:val="00AC4174"/>
    <w:rsid w:val="00AC4510"/>
    <w:rsid w:val="00AC4A90"/>
    <w:rsid w:val="00AC4A9C"/>
    <w:rsid w:val="00AC4E65"/>
    <w:rsid w:val="00AC503F"/>
    <w:rsid w:val="00AC52AA"/>
    <w:rsid w:val="00AC5321"/>
    <w:rsid w:val="00AC541E"/>
    <w:rsid w:val="00AC5527"/>
    <w:rsid w:val="00AC58CF"/>
    <w:rsid w:val="00AC5B42"/>
    <w:rsid w:val="00AC5BDC"/>
    <w:rsid w:val="00AC5DED"/>
    <w:rsid w:val="00AC5EBD"/>
    <w:rsid w:val="00AC62A1"/>
    <w:rsid w:val="00AC6CC7"/>
    <w:rsid w:val="00AC70E9"/>
    <w:rsid w:val="00AD008E"/>
    <w:rsid w:val="00AD0509"/>
    <w:rsid w:val="00AD0929"/>
    <w:rsid w:val="00AD0C27"/>
    <w:rsid w:val="00AD1046"/>
    <w:rsid w:val="00AD1397"/>
    <w:rsid w:val="00AD14EC"/>
    <w:rsid w:val="00AD15B6"/>
    <w:rsid w:val="00AD19C1"/>
    <w:rsid w:val="00AD19E9"/>
    <w:rsid w:val="00AD2137"/>
    <w:rsid w:val="00AD249A"/>
    <w:rsid w:val="00AD25E4"/>
    <w:rsid w:val="00AD284D"/>
    <w:rsid w:val="00AD29E8"/>
    <w:rsid w:val="00AD2A89"/>
    <w:rsid w:val="00AD2EE2"/>
    <w:rsid w:val="00AD3048"/>
    <w:rsid w:val="00AD345F"/>
    <w:rsid w:val="00AD3890"/>
    <w:rsid w:val="00AD3E42"/>
    <w:rsid w:val="00AD408C"/>
    <w:rsid w:val="00AD4296"/>
    <w:rsid w:val="00AD4338"/>
    <w:rsid w:val="00AD487F"/>
    <w:rsid w:val="00AD4B11"/>
    <w:rsid w:val="00AD4F54"/>
    <w:rsid w:val="00AD50D7"/>
    <w:rsid w:val="00AD519B"/>
    <w:rsid w:val="00AD5708"/>
    <w:rsid w:val="00AD57F4"/>
    <w:rsid w:val="00AD5EED"/>
    <w:rsid w:val="00AD6076"/>
    <w:rsid w:val="00AD6548"/>
    <w:rsid w:val="00AD670D"/>
    <w:rsid w:val="00AD6993"/>
    <w:rsid w:val="00AD6B2F"/>
    <w:rsid w:val="00AD70CB"/>
    <w:rsid w:val="00AD7241"/>
    <w:rsid w:val="00AD736F"/>
    <w:rsid w:val="00AD7469"/>
    <w:rsid w:val="00AD75C3"/>
    <w:rsid w:val="00AD75DD"/>
    <w:rsid w:val="00AD7DF1"/>
    <w:rsid w:val="00AD7E96"/>
    <w:rsid w:val="00AE0320"/>
    <w:rsid w:val="00AE06F0"/>
    <w:rsid w:val="00AE1102"/>
    <w:rsid w:val="00AE1AEB"/>
    <w:rsid w:val="00AE2134"/>
    <w:rsid w:val="00AE25EA"/>
    <w:rsid w:val="00AE2669"/>
    <w:rsid w:val="00AE2F6C"/>
    <w:rsid w:val="00AE2FCE"/>
    <w:rsid w:val="00AE3C67"/>
    <w:rsid w:val="00AE425E"/>
    <w:rsid w:val="00AE426B"/>
    <w:rsid w:val="00AE4341"/>
    <w:rsid w:val="00AE465A"/>
    <w:rsid w:val="00AE4681"/>
    <w:rsid w:val="00AE4C09"/>
    <w:rsid w:val="00AE52AE"/>
    <w:rsid w:val="00AE574C"/>
    <w:rsid w:val="00AE5787"/>
    <w:rsid w:val="00AE593F"/>
    <w:rsid w:val="00AE5969"/>
    <w:rsid w:val="00AE5980"/>
    <w:rsid w:val="00AE5F92"/>
    <w:rsid w:val="00AE60FB"/>
    <w:rsid w:val="00AE6412"/>
    <w:rsid w:val="00AE706E"/>
    <w:rsid w:val="00AF005F"/>
    <w:rsid w:val="00AF08A7"/>
    <w:rsid w:val="00AF0B26"/>
    <w:rsid w:val="00AF1AB5"/>
    <w:rsid w:val="00AF23F5"/>
    <w:rsid w:val="00AF2698"/>
    <w:rsid w:val="00AF2A3E"/>
    <w:rsid w:val="00AF2E03"/>
    <w:rsid w:val="00AF30CB"/>
    <w:rsid w:val="00AF30DA"/>
    <w:rsid w:val="00AF315E"/>
    <w:rsid w:val="00AF362F"/>
    <w:rsid w:val="00AF3722"/>
    <w:rsid w:val="00AF40DF"/>
    <w:rsid w:val="00AF46C0"/>
    <w:rsid w:val="00AF4776"/>
    <w:rsid w:val="00AF4E66"/>
    <w:rsid w:val="00AF4FCA"/>
    <w:rsid w:val="00AF5044"/>
    <w:rsid w:val="00AF56E8"/>
    <w:rsid w:val="00AF5770"/>
    <w:rsid w:val="00AF5A33"/>
    <w:rsid w:val="00AF5C0A"/>
    <w:rsid w:val="00AF5FEC"/>
    <w:rsid w:val="00AF685F"/>
    <w:rsid w:val="00AF6DD3"/>
    <w:rsid w:val="00AF714B"/>
    <w:rsid w:val="00AF79EB"/>
    <w:rsid w:val="00AF79FE"/>
    <w:rsid w:val="00AF7FE3"/>
    <w:rsid w:val="00B0043C"/>
    <w:rsid w:val="00B00845"/>
    <w:rsid w:val="00B0088E"/>
    <w:rsid w:val="00B00D42"/>
    <w:rsid w:val="00B00F97"/>
    <w:rsid w:val="00B013C5"/>
    <w:rsid w:val="00B0163B"/>
    <w:rsid w:val="00B01BA7"/>
    <w:rsid w:val="00B01E99"/>
    <w:rsid w:val="00B02E48"/>
    <w:rsid w:val="00B02ECB"/>
    <w:rsid w:val="00B03166"/>
    <w:rsid w:val="00B03192"/>
    <w:rsid w:val="00B03294"/>
    <w:rsid w:val="00B03565"/>
    <w:rsid w:val="00B03C0B"/>
    <w:rsid w:val="00B04094"/>
    <w:rsid w:val="00B04778"/>
    <w:rsid w:val="00B04A82"/>
    <w:rsid w:val="00B04C9A"/>
    <w:rsid w:val="00B04C9F"/>
    <w:rsid w:val="00B04F8C"/>
    <w:rsid w:val="00B05254"/>
    <w:rsid w:val="00B05517"/>
    <w:rsid w:val="00B0651C"/>
    <w:rsid w:val="00B06537"/>
    <w:rsid w:val="00B0676F"/>
    <w:rsid w:val="00B06982"/>
    <w:rsid w:val="00B06D40"/>
    <w:rsid w:val="00B071CF"/>
    <w:rsid w:val="00B07285"/>
    <w:rsid w:val="00B07676"/>
    <w:rsid w:val="00B07D45"/>
    <w:rsid w:val="00B07D6A"/>
    <w:rsid w:val="00B1087D"/>
    <w:rsid w:val="00B10BA8"/>
    <w:rsid w:val="00B10CFF"/>
    <w:rsid w:val="00B10FF3"/>
    <w:rsid w:val="00B112D2"/>
    <w:rsid w:val="00B11675"/>
    <w:rsid w:val="00B12589"/>
    <w:rsid w:val="00B12903"/>
    <w:rsid w:val="00B132BA"/>
    <w:rsid w:val="00B13B7D"/>
    <w:rsid w:val="00B14A2E"/>
    <w:rsid w:val="00B15A6E"/>
    <w:rsid w:val="00B1642A"/>
    <w:rsid w:val="00B16526"/>
    <w:rsid w:val="00B16794"/>
    <w:rsid w:val="00B16DBB"/>
    <w:rsid w:val="00B16E0D"/>
    <w:rsid w:val="00B17149"/>
    <w:rsid w:val="00B2006A"/>
    <w:rsid w:val="00B201A7"/>
    <w:rsid w:val="00B204B6"/>
    <w:rsid w:val="00B205D8"/>
    <w:rsid w:val="00B20747"/>
    <w:rsid w:val="00B20D31"/>
    <w:rsid w:val="00B20E49"/>
    <w:rsid w:val="00B210BC"/>
    <w:rsid w:val="00B213E7"/>
    <w:rsid w:val="00B213EF"/>
    <w:rsid w:val="00B21A9B"/>
    <w:rsid w:val="00B21EBE"/>
    <w:rsid w:val="00B226FA"/>
    <w:rsid w:val="00B22903"/>
    <w:rsid w:val="00B23151"/>
    <w:rsid w:val="00B231EF"/>
    <w:rsid w:val="00B233A1"/>
    <w:rsid w:val="00B23461"/>
    <w:rsid w:val="00B23B3C"/>
    <w:rsid w:val="00B23B52"/>
    <w:rsid w:val="00B23D77"/>
    <w:rsid w:val="00B240BC"/>
    <w:rsid w:val="00B243E7"/>
    <w:rsid w:val="00B24A70"/>
    <w:rsid w:val="00B2553D"/>
    <w:rsid w:val="00B266FD"/>
    <w:rsid w:val="00B26FF0"/>
    <w:rsid w:val="00B27387"/>
    <w:rsid w:val="00B2780A"/>
    <w:rsid w:val="00B27C5D"/>
    <w:rsid w:val="00B27E24"/>
    <w:rsid w:val="00B27E6E"/>
    <w:rsid w:val="00B30698"/>
    <w:rsid w:val="00B30AFA"/>
    <w:rsid w:val="00B30C70"/>
    <w:rsid w:val="00B30E6E"/>
    <w:rsid w:val="00B30F48"/>
    <w:rsid w:val="00B31214"/>
    <w:rsid w:val="00B3179E"/>
    <w:rsid w:val="00B317B8"/>
    <w:rsid w:val="00B318C9"/>
    <w:rsid w:val="00B3197F"/>
    <w:rsid w:val="00B3388E"/>
    <w:rsid w:val="00B340A0"/>
    <w:rsid w:val="00B34201"/>
    <w:rsid w:val="00B3421C"/>
    <w:rsid w:val="00B3436A"/>
    <w:rsid w:val="00B34B55"/>
    <w:rsid w:val="00B34C0E"/>
    <w:rsid w:val="00B34E3B"/>
    <w:rsid w:val="00B34F5F"/>
    <w:rsid w:val="00B35571"/>
    <w:rsid w:val="00B358A9"/>
    <w:rsid w:val="00B3590D"/>
    <w:rsid w:val="00B35B49"/>
    <w:rsid w:val="00B36C01"/>
    <w:rsid w:val="00B36DB1"/>
    <w:rsid w:val="00B37208"/>
    <w:rsid w:val="00B37399"/>
    <w:rsid w:val="00B37D73"/>
    <w:rsid w:val="00B402A3"/>
    <w:rsid w:val="00B41C0E"/>
    <w:rsid w:val="00B41C95"/>
    <w:rsid w:val="00B42D99"/>
    <w:rsid w:val="00B42DF8"/>
    <w:rsid w:val="00B42E7D"/>
    <w:rsid w:val="00B42FD3"/>
    <w:rsid w:val="00B4385D"/>
    <w:rsid w:val="00B43A0B"/>
    <w:rsid w:val="00B43CCB"/>
    <w:rsid w:val="00B43D17"/>
    <w:rsid w:val="00B4408E"/>
    <w:rsid w:val="00B443F0"/>
    <w:rsid w:val="00B452B9"/>
    <w:rsid w:val="00B453DC"/>
    <w:rsid w:val="00B45F1B"/>
    <w:rsid w:val="00B46024"/>
    <w:rsid w:val="00B46BCC"/>
    <w:rsid w:val="00B46EF0"/>
    <w:rsid w:val="00B46F2D"/>
    <w:rsid w:val="00B46F4F"/>
    <w:rsid w:val="00B474A2"/>
    <w:rsid w:val="00B4791E"/>
    <w:rsid w:val="00B50EC7"/>
    <w:rsid w:val="00B5159C"/>
    <w:rsid w:val="00B5160B"/>
    <w:rsid w:val="00B52205"/>
    <w:rsid w:val="00B522DD"/>
    <w:rsid w:val="00B523B5"/>
    <w:rsid w:val="00B52632"/>
    <w:rsid w:val="00B52931"/>
    <w:rsid w:val="00B52E92"/>
    <w:rsid w:val="00B5322D"/>
    <w:rsid w:val="00B53322"/>
    <w:rsid w:val="00B5349C"/>
    <w:rsid w:val="00B53BAC"/>
    <w:rsid w:val="00B53C8E"/>
    <w:rsid w:val="00B547E5"/>
    <w:rsid w:val="00B5498E"/>
    <w:rsid w:val="00B54D12"/>
    <w:rsid w:val="00B54D48"/>
    <w:rsid w:val="00B55773"/>
    <w:rsid w:val="00B55AD3"/>
    <w:rsid w:val="00B561B3"/>
    <w:rsid w:val="00B56586"/>
    <w:rsid w:val="00B56615"/>
    <w:rsid w:val="00B56A8B"/>
    <w:rsid w:val="00B56E40"/>
    <w:rsid w:val="00B57D3F"/>
    <w:rsid w:val="00B57EBC"/>
    <w:rsid w:val="00B601AE"/>
    <w:rsid w:val="00B60248"/>
    <w:rsid w:val="00B60289"/>
    <w:rsid w:val="00B6076D"/>
    <w:rsid w:val="00B61233"/>
    <w:rsid w:val="00B616C1"/>
    <w:rsid w:val="00B61718"/>
    <w:rsid w:val="00B61A1C"/>
    <w:rsid w:val="00B61A47"/>
    <w:rsid w:val="00B6259E"/>
    <w:rsid w:val="00B626B2"/>
    <w:rsid w:val="00B62E89"/>
    <w:rsid w:val="00B63051"/>
    <w:rsid w:val="00B630C4"/>
    <w:rsid w:val="00B636D3"/>
    <w:rsid w:val="00B63F37"/>
    <w:rsid w:val="00B64886"/>
    <w:rsid w:val="00B6504D"/>
    <w:rsid w:val="00B65666"/>
    <w:rsid w:val="00B6577E"/>
    <w:rsid w:val="00B65A71"/>
    <w:rsid w:val="00B65C19"/>
    <w:rsid w:val="00B66AC9"/>
    <w:rsid w:val="00B66EEB"/>
    <w:rsid w:val="00B67052"/>
    <w:rsid w:val="00B67057"/>
    <w:rsid w:val="00B671B0"/>
    <w:rsid w:val="00B674F0"/>
    <w:rsid w:val="00B677FB"/>
    <w:rsid w:val="00B70105"/>
    <w:rsid w:val="00B70217"/>
    <w:rsid w:val="00B703C0"/>
    <w:rsid w:val="00B706DD"/>
    <w:rsid w:val="00B70713"/>
    <w:rsid w:val="00B70DB5"/>
    <w:rsid w:val="00B70DD7"/>
    <w:rsid w:val="00B70F45"/>
    <w:rsid w:val="00B71ECC"/>
    <w:rsid w:val="00B723C0"/>
    <w:rsid w:val="00B72731"/>
    <w:rsid w:val="00B732A0"/>
    <w:rsid w:val="00B73454"/>
    <w:rsid w:val="00B73911"/>
    <w:rsid w:val="00B73E55"/>
    <w:rsid w:val="00B7402C"/>
    <w:rsid w:val="00B742DC"/>
    <w:rsid w:val="00B744CC"/>
    <w:rsid w:val="00B749AA"/>
    <w:rsid w:val="00B74B6A"/>
    <w:rsid w:val="00B755C2"/>
    <w:rsid w:val="00B75719"/>
    <w:rsid w:val="00B75852"/>
    <w:rsid w:val="00B75A66"/>
    <w:rsid w:val="00B760F0"/>
    <w:rsid w:val="00B763CA"/>
    <w:rsid w:val="00B77860"/>
    <w:rsid w:val="00B80403"/>
    <w:rsid w:val="00B80427"/>
    <w:rsid w:val="00B80B3A"/>
    <w:rsid w:val="00B811D2"/>
    <w:rsid w:val="00B8192F"/>
    <w:rsid w:val="00B81C4A"/>
    <w:rsid w:val="00B8305C"/>
    <w:rsid w:val="00B833D1"/>
    <w:rsid w:val="00B838F6"/>
    <w:rsid w:val="00B839A1"/>
    <w:rsid w:val="00B83A22"/>
    <w:rsid w:val="00B83A80"/>
    <w:rsid w:val="00B841E6"/>
    <w:rsid w:val="00B844CB"/>
    <w:rsid w:val="00B844DC"/>
    <w:rsid w:val="00B8469E"/>
    <w:rsid w:val="00B84DB5"/>
    <w:rsid w:val="00B84E1F"/>
    <w:rsid w:val="00B85162"/>
    <w:rsid w:val="00B854A0"/>
    <w:rsid w:val="00B86101"/>
    <w:rsid w:val="00B868FE"/>
    <w:rsid w:val="00B876A1"/>
    <w:rsid w:val="00B87CA0"/>
    <w:rsid w:val="00B87D4B"/>
    <w:rsid w:val="00B87F9A"/>
    <w:rsid w:val="00B90074"/>
    <w:rsid w:val="00B90397"/>
    <w:rsid w:val="00B90733"/>
    <w:rsid w:val="00B90B2D"/>
    <w:rsid w:val="00B90F6E"/>
    <w:rsid w:val="00B91312"/>
    <w:rsid w:val="00B913E0"/>
    <w:rsid w:val="00B91742"/>
    <w:rsid w:val="00B91833"/>
    <w:rsid w:val="00B91890"/>
    <w:rsid w:val="00B91BC4"/>
    <w:rsid w:val="00B91CD4"/>
    <w:rsid w:val="00B921D7"/>
    <w:rsid w:val="00B926D0"/>
    <w:rsid w:val="00B9295E"/>
    <w:rsid w:val="00B92965"/>
    <w:rsid w:val="00B93B94"/>
    <w:rsid w:val="00B942EA"/>
    <w:rsid w:val="00B94AE6"/>
    <w:rsid w:val="00B94FA4"/>
    <w:rsid w:val="00B950A4"/>
    <w:rsid w:val="00B953CC"/>
    <w:rsid w:val="00B95666"/>
    <w:rsid w:val="00B961BF"/>
    <w:rsid w:val="00B965F1"/>
    <w:rsid w:val="00B966A3"/>
    <w:rsid w:val="00B966C6"/>
    <w:rsid w:val="00B96755"/>
    <w:rsid w:val="00B9695D"/>
    <w:rsid w:val="00B96A0D"/>
    <w:rsid w:val="00B96CA0"/>
    <w:rsid w:val="00B9716D"/>
    <w:rsid w:val="00B97264"/>
    <w:rsid w:val="00B974A4"/>
    <w:rsid w:val="00B97915"/>
    <w:rsid w:val="00B97ED1"/>
    <w:rsid w:val="00BA01DA"/>
    <w:rsid w:val="00BA0546"/>
    <w:rsid w:val="00BA08A6"/>
    <w:rsid w:val="00BA1241"/>
    <w:rsid w:val="00BA1860"/>
    <w:rsid w:val="00BA24C2"/>
    <w:rsid w:val="00BA277B"/>
    <w:rsid w:val="00BA2A24"/>
    <w:rsid w:val="00BA2C1D"/>
    <w:rsid w:val="00BA3027"/>
    <w:rsid w:val="00BA30AB"/>
    <w:rsid w:val="00BA3439"/>
    <w:rsid w:val="00BA39E8"/>
    <w:rsid w:val="00BA3BE7"/>
    <w:rsid w:val="00BA3E31"/>
    <w:rsid w:val="00BA3E6C"/>
    <w:rsid w:val="00BA432E"/>
    <w:rsid w:val="00BA466F"/>
    <w:rsid w:val="00BA4DC4"/>
    <w:rsid w:val="00BA4E6B"/>
    <w:rsid w:val="00BA517F"/>
    <w:rsid w:val="00BA51A0"/>
    <w:rsid w:val="00BA5A04"/>
    <w:rsid w:val="00BA5A28"/>
    <w:rsid w:val="00BA5E30"/>
    <w:rsid w:val="00BA5FA1"/>
    <w:rsid w:val="00BA6A3B"/>
    <w:rsid w:val="00BA6DF5"/>
    <w:rsid w:val="00BA6F45"/>
    <w:rsid w:val="00BA7331"/>
    <w:rsid w:val="00BA7707"/>
    <w:rsid w:val="00BA7AC6"/>
    <w:rsid w:val="00BA7F3C"/>
    <w:rsid w:val="00BB0326"/>
    <w:rsid w:val="00BB04AB"/>
    <w:rsid w:val="00BB0526"/>
    <w:rsid w:val="00BB1148"/>
    <w:rsid w:val="00BB1299"/>
    <w:rsid w:val="00BB14B4"/>
    <w:rsid w:val="00BB159C"/>
    <w:rsid w:val="00BB16E4"/>
    <w:rsid w:val="00BB17A1"/>
    <w:rsid w:val="00BB1BB2"/>
    <w:rsid w:val="00BB1F68"/>
    <w:rsid w:val="00BB2480"/>
    <w:rsid w:val="00BB28EF"/>
    <w:rsid w:val="00BB3974"/>
    <w:rsid w:val="00BB5430"/>
    <w:rsid w:val="00BB5728"/>
    <w:rsid w:val="00BB5DA2"/>
    <w:rsid w:val="00BB6AEA"/>
    <w:rsid w:val="00BB73F1"/>
    <w:rsid w:val="00BB770E"/>
    <w:rsid w:val="00BB7C25"/>
    <w:rsid w:val="00BC0E70"/>
    <w:rsid w:val="00BC153C"/>
    <w:rsid w:val="00BC163A"/>
    <w:rsid w:val="00BC1A71"/>
    <w:rsid w:val="00BC1C84"/>
    <w:rsid w:val="00BC1E61"/>
    <w:rsid w:val="00BC2071"/>
    <w:rsid w:val="00BC2453"/>
    <w:rsid w:val="00BC2780"/>
    <w:rsid w:val="00BC31FE"/>
    <w:rsid w:val="00BC37A2"/>
    <w:rsid w:val="00BC3F41"/>
    <w:rsid w:val="00BC3F9D"/>
    <w:rsid w:val="00BC41A9"/>
    <w:rsid w:val="00BC4823"/>
    <w:rsid w:val="00BC4B4B"/>
    <w:rsid w:val="00BC580A"/>
    <w:rsid w:val="00BC5B9C"/>
    <w:rsid w:val="00BC5DA5"/>
    <w:rsid w:val="00BC60AC"/>
    <w:rsid w:val="00BC78A4"/>
    <w:rsid w:val="00BC7974"/>
    <w:rsid w:val="00BC7C40"/>
    <w:rsid w:val="00BD079E"/>
    <w:rsid w:val="00BD0CAF"/>
    <w:rsid w:val="00BD0FF8"/>
    <w:rsid w:val="00BD14D5"/>
    <w:rsid w:val="00BD1512"/>
    <w:rsid w:val="00BD176C"/>
    <w:rsid w:val="00BD1797"/>
    <w:rsid w:val="00BD17F9"/>
    <w:rsid w:val="00BD1B4F"/>
    <w:rsid w:val="00BD27E8"/>
    <w:rsid w:val="00BD2BF1"/>
    <w:rsid w:val="00BD3007"/>
    <w:rsid w:val="00BD3266"/>
    <w:rsid w:val="00BD32A0"/>
    <w:rsid w:val="00BD39E4"/>
    <w:rsid w:val="00BD41F9"/>
    <w:rsid w:val="00BD428A"/>
    <w:rsid w:val="00BD43AF"/>
    <w:rsid w:val="00BD4DF6"/>
    <w:rsid w:val="00BD5376"/>
    <w:rsid w:val="00BD593E"/>
    <w:rsid w:val="00BD5D82"/>
    <w:rsid w:val="00BD61D8"/>
    <w:rsid w:val="00BD626B"/>
    <w:rsid w:val="00BD6A2F"/>
    <w:rsid w:val="00BD6AA5"/>
    <w:rsid w:val="00BD6D0E"/>
    <w:rsid w:val="00BD6F11"/>
    <w:rsid w:val="00BD7012"/>
    <w:rsid w:val="00BD7150"/>
    <w:rsid w:val="00BD75CD"/>
    <w:rsid w:val="00BE03A2"/>
    <w:rsid w:val="00BE09FF"/>
    <w:rsid w:val="00BE115C"/>
    <w:rsid w:val="00BE133F"/>
    <w:rsid w:val="00BE16EF"/>
    <w:rsid w:val="00BE1751"/>
    <w:rsid w:val="00BE216A"/>
    <w:rsid w:val="00BE240B"/>
    <w:rsid w:val="00BE245D"/>
    <w:rsid w:val="00BE29C0"/>
    <w:rsid w:val="00BE33C2"/>
    <w:rsid w:val="00BE34F9"/>
    <w:rsid w:val="00BE3A3B"/>
    <w:rsid w:val="00BE3B15"/>
    <w:rsid w:val="00BE3BF1"/>
    <w:rsid w:val="00BE3E30"/>
    <w:rsid w:val="00BE43C9"/>
    <w:rsid w:val="00BE47AA"/>
    <w:rsid w:val="00BE47D2"/>
    <w:rsid w:val="00BE4848"/>
    <w:rsid w:val="00BE4C14"/>
    <w:rsid w:val="00BE4D9E"/>
    <w:rsid w:val="00BE5066"/>
    <w:rsid w:val="00BE52B8"/>
    <w:rsid w:val="00BE5507"/>
    <w:rsid w:val="00BE5A18"/>
    <w:rsid w:val="00BE5A9A"/>
    <w:rsid w:val="00BE67D2"/>
    <w:rsid w:val="00BE729A"/>
    <w:rsid w:val="00BE79AC"/>
    <w:rsid w:val="00BE7A43"/>
    <w:rsid w:val="00BE7BDE"/>
    <w:rsid w:val="00BE7DAA"/>
    <w:rsid w:val="00BF064F"/>
    <w:rsid w:val="00BF06E0"/>
    <w:rsid w:val="00BF10BC"/>
    <w:rsid w:val="00BF1A13"/>
    <w:rsid w:val="00BF1D3A"/>
    <w:rsid w:val="00BF21BB"/>
    <w:rsid w:val="00BF27ED"/>
    <w:rsid w:val="00BF290A"/>
    <w:rsid w:val="00BF2EF6"/>
    <w:rsid w:val="00BF2F02"/>
    <w:rsid w:val="00BF2F67"/>
    <w:rsid w:val="00BF393E"/>
    <w:rsid w:val="00BF463F"/>
    <w:rsid w:val="00BF5152"/>
    <w:rsid w:val="00BF57A5"/>
    <w:rsid w:val="00BF5801"/>
    <w:rsid w:val="00BF5A58"/>
    <w:rsid w:val="00BF5F50"/>
    <w:rsid w:val="00BF601F"/>
    <w:rsid w:val="00BF6110"/>
    <w:rsid w:val="00BF6148"/>
    <w:rsid w:val="00BF6158"/>
    <w:rsid w:val="00BF6B65"/>
    <w:rsid w:val="00BF6DE2"/>
    <w:rsid w:val="00BF71D9"/>
    <w:rsid w:val="00BF752F"/>
    <w:rsid w:val="00BF76BA"/>
    <w:rsid w:val="00BF7A33"/>
    <w:rsid w:val="00BF7B44"/>
    <w:rsid w:val="00C0043F"/>
    <w:rsid w:val="00C004DB"/>
    <w:rsid w:val="00C005E9"/>
    <w:rsid w:val="00C00763"/>
    <w:rsid w:val="00C008FB"/>
    <w:rsid w:val="00C00FB4"/>
    <w:rsid w:val="00C01A24"/>
    <w:rsid w:val="00C01B81"/>
    <w:rsid w:val="00C01DEF"/>
    <w:rsid w:val="00C01F7F"/>
    <w:rsid w:val="00C0204B"/>
    <w:rsid w:val="00C02254"/>
    <w:rsid w:val="00C02A01"/>
    <w:rsid w:val="00C02A86"/>
    <w:rsid w:val="00C030AC"/>
    <w:rsid w:val="00C03C17"/>
    <w:rsid w:val="00C03EAA"/>
    <w:rsid w:val="00C042A5"/>
    <w:rsid w:val="00C042E3"/>
    <w:rsid w:val="00C046B0"/>
    <w:rsid w:val="00C04711"/>
    <w:rsid w:val="00C04ED2"/>
    <w:rsid w:val="00C0507E"/>
    <w:rsid w:val="00C050E7"/>
    <w:rsid w:val="00C05439"/>
    <w:rsid w:val="00C054C7"/>
    <w:rsid w:val="00C0553D"/>
    <w:rsid w:val="00C05708"/>
    <w:rsid w:val="00C0592C"/>
    <w:rsid w:val="00C06228"/>
    <w:rsid w:val="00C0628F"/>
    <w:rsid w:val="00C065D1"/>
    <w:rsid w:val="00C0683D"/>
    <w:rsid w:val="00C0749D"/>
    <w:rsid w:val="00C07A57"/>
    <w:rsid w:val="00C103FD"/>
    <w:rsid w:val="00C10423"/>
    <w:rsid w:val="00C10938"/>
    <w:rsid w:val="00C10C72"/>
    <w:rsid w:val="00C10EA6"/>
    <w:rsid w:val="00C11127"/>
    <w:rsid w:val="00C12909"/>
    <w:rsid w:val="00C1346B"/>
    <w:rsid w:val="00C134D7"/>
    <w:rsid w:val="00C136AC"/>
    <w:rsid w:val="00C139BC"/>
    <w:rsid w:val="00C13DC2"/>
    <w:rsid w:val="00C146DD"/>
    <w:rsid w:val="00C1471C"/>
    <w:rsid w:val="00C1499E"/>
    <w:rsid w:val="00C1515A"/>
    <w:rsid w:val="00C152E0"/>
    <w:rsid w:val="00C154E7"/>
    <w:rsid w:val="00C15E45"/>
    <w:rsid w:val="00C16486"/>
    <w:rsid w:val="00C1659E"/>
    <w:rsid w:val="00C166AA"/>
    <w:rsid w:val="00C16C01"/>
    <w:rsid w:val="00C16E05"/>
    <w:rsid w:val="00C17114"/>
    <w:rsid w:val="00C17CDF"/>
    <w:rsid w:val="00C205C5"/>
    <w:rsid w:val="00C2098F"/>
    <w:rsid w:val="00C20C31"/>
    <w:rsid w:val="00C211E2"/>
    <w:rsid w:val="00C21694"/>
    <w:rsid w:val="00C21D58"/>
    <w:rsid w:val="00C2217B"/>
    <w:rsid w:val="00C222CA"/>
    <w:rsid w:val="00C2233C"/>
    <w:rsid w:val="00C22373"/>
    <w:rsid w:val="00C2264F"/>
    <w:rsid w:val="00C22D78"/>
    <w:rsid w:val="00C22DF2"/>
    <w:rsid w:val="00C22F52"/>
    <w:rsid w:val="00C23797"/>
    <w:rsid w:val="00C238B0"/>
    <w:rsid w:val="00C23975"/>
    <w:rsid w:val="00C23A5C"/>
    <w:rsid w:val="00C23FC8"/>
    <w:rsid w:val="00C241F1"/>
    <w:rsid w:val="00C24569"/>
    <w:rsid w:val="00C24756"/>
    <w:rsid w:val="00C24E4B"/>
    <w:rsid w:val="00C2509B"/>
    <w:rsid w:val="00C2539F"/>
    <w:rsid w:val="00C2576A"/>
    <w:rsid w:val="00C25A9B"/>
    <w:rsid w:val="00C26548"/>
    <w:rsid w:val="00C268D5"/>
    <w:rsid w:val="00C278E0"/>
    <w:rsid w:val="00C2797C"/>
    <w:rsid w:val="00C27A70"/>
    <w:rsid w:val="00C27A9A"/>
    <w:rsid w:val="00C27D17"/>
    <w:rsid w:val="00C27ED9"/>
    <w:rsid w:val="00C311AE"/>
    <w:rsid w:val="00C313ED"/>
    <w:rsid w:val="00C31660"/>
    <w:rsid w:val="00C31B99"/>
    <w:rsid w:val="00C31BC3"/>
    <w:rsid w:val="00C32126"/>
    <w:rsid w:val="00C32439"/>
    <w:rsid w:val="00C32849"/>
    <w:rsid w:val="00C32859"/>
    <w:rsid w:val="00C33515"/>
    <w:rsid w:val="00C33581"/>
    <w:rsid w:val="00C3402A"/>
    <w:rsid w:val="00C3428C"/>
    <w:rsid w:val="00C343BC"/>
    <w:rsid w:val="00C3473C"/>
    <w:rsid w:val="00C349E2"/>
    <w:rsid w:val="00C34B83"/>
    <w:rsid w:val="00C34EDE"/>
    <w:rsid w:val="00C35097"/>
    <w:rsid w:val="00C353A3"/>
    <w:rsid w:val="00C35D84"/>
    <w:rsid w:val="00C36248"/>
    <w:rsid w:val="00C36B74"/>
    <w:rsid w:val="00C36C0C"/>
    <w:rsid w:val="00C36DA4"/>
    <w:rsid w:val="00C370C4"/>
    <w:rsid w:val="00C3710F"/>
    <w:rsid w:val="00C375D9"/>
    <w:rsid w:val="00C37AC4"/>
    <w:rsid w:val="00C40056"/>
    <w:rsid w:val="00C40294"/>
    <w:rsid w:val="00C4050C"/>
    <w:rsid w:val="00C405D2"/>
    <w:rsid w:val="00C40B4B"/>
    <w:rsid w:val="00C40C45"/>
    <w:rsid w:val="00C40D7B"/>
    <w:rsid w:val="00C40EBB"/>
    <w:rsid w:val="00C41119"/>
    <w:rsid w:val="00C4159B"/>
    <w:rsid w:val="00C415B8"/>
    <w:rsid w:val="00C415FC"/>
    <w:rsid w:val="00C41B38"/>
    <w:rsid w:val="00C41F95"/>
    <w:rsid w:val="00C4226F"/>
    <w:rsid w:val="00C422BF"/>
    <w:rsid w:val="00C42647"/>
    <w:rsid w:val="00C42D1A"/>
    <w:rsid w:val="00C42E81"/>
    <w:rsid w:val="00C43283"/>
    <w:rsid w:val="00C4458F"/>
    <w:rsid w:val="00C4462A"/>
    <w:rsid w:val="00C446DA"/>
    <w:rsid w:val="00C44764"/>
    <w:rsid w:val="00C448FC"/>
    <w:rsid w:val="00C45022"/>
    <w:rsid w:val="00C452B4"/>
    <w:rsid w:val="00C453C2"/>
    <w:rsid w:val="00C45676"/>
    <w:rsid w:val="00C456D1"/>
    <w:rsid w:val="00C45B1D"/>
    <w:rsid w:val="00C46537"/>
    <w:rsid w:val="00C46984"/>
    <w:rsid w:val="00C469DC"/>
    <w:rsid w:val="00C46BA1"/>
    <w:rsid w:val="00C46D80"/>
    <w:rsid w:val="00C4704C"/>
    <w:rsid w:val="00C4722A"/>
    <w:rsid w:val="00C4775A"/>
    <w:rsid w:val="00C506EF"/>
    <w:rsid w:val="00C50E5C"/>
    <w:rsid w:val="00C50F10"/>
    <w:rsid w:val="00C51A8E"/>
    <w:rsid w:val="00C51B33"/>
    <w:rsid w:val="00C52144"/>
    <w:rsid w:val="00C53E4F"/>
    <w:rsid w:val="00C54F29"/>
    <w:rsid w:val="00C55332"/>
    <w:rsid w:val="00C55533"/>
    <w:rsid w:val="00C55E7A"/>
    <w:rsid w:val="00C561AB"/>
    <w:rsid w:val="00C56333"/>
    <w:rsid w:val="00C56680"/>
    <w:rsid w:val="00C56718"/>
    <w:rsid w:val="00C56748"/>
    <w:rsid w:val="00C568B2"/>
    <w:rsid w:val="00C56962"/>
    <w:rsid w:val="00C57612"/>
    <w:rsid w:val="00C57808"/>
    <w:rsid w:val="00C579DC"/>
    <w:rsid w:val="00C57D1D"/>
    <w:rsid w:val="00C60262"/>
    <w:rsid w:val="00C60D67"/>
    <w:rsid w:val="00C61238"/>
    <w:rsid w:val="00C612B9"/>
    <w:rsid w:val="00C619C1"/>
    <w:rsid w:val="00C61F4D"/>
    <w:rsid w:val="00C62C70"/>
    <w:rsid w:val="00C62DEC"/>
    <w:rsid w:val="00C63049"/>
    <w:rsid w:val="00C631A2"/>
    <w:rsid w:val="00C635EC"/>
    <w:rsid w:val="00C63D46"/>
    <w:rsid w:val="00C644AD"/>
    <w:rsid w:val="00C64A16"/>
    <w:rsid w:val="00C65294"/>
    <w:rsid w:val="00C65619"/>
    <w:rsid w:val="00C658DD"/>
    <w:rsid w:val="00C65AEA"/>
    <w:rsid w:val="00C65B0B"/>
    <w:rsid w:val="00C65BB9"/>
    <w:rsid w:val="00C65C3A"/>
    <w:rsid w:val="00C65C7D"/>
    <w:rsid w:val="00C662E5"/>
    <w:rsid w:val="00C6660D"/>
    <w:rsid w:val="00C66898"/>
    <w:rsid w:val="00C66AE1"/>
    <w:rsid w:val="00C66C3C"/>
    <w:rsid w:val="00C676DB"/>
    <w:rsid w:val="00C67887"/>
    <w:rsid w:val="00C67985"/>
    <w:rsid w:val="00C67CC3"/>
    <w:rsid w:val="00C70661"/>
    <w:rsid w:val="00C706D1"/>
    <w:rsid w:val="00C70960"/>
    <w:rsid w:val="00C70BA2"/>
    <w:rsid w:val="00C71077"/>
    <w:rsid w:val="00C72492"/>
    <w:rsid w:val="00C7290F"/>
    <w:rsid w:val="00C72A74"/>
    <w:rsid w:val="00C72C82"/>
    <w:rsid w:val="00C72E7C"/>
    <w:rsid w:val="00C73487"/>
    <w:rsid w:val="00C738BB"/>
    <w:rsid w:val="00C73A67"/>
    <w:rsid w:val="00C73CA1"/>
    <w:rsid w:val="00C73E17"/>
    <w:rsid w:val="00C74BEA"/>
    <w:rsid w:val="00C751D6"/>
    <w:rsid w:val="00C76439"/>
    <w:rsid w:val="00C76FD6"/>
    <w:rsid w:val="00C771AE"/>
    <w:rsid w:val="00C7723A"/>
    <w:rsid w:val="00C77323"/>
    <w:rsid w:val="00C778E9"/>
    <w:rsid w:val="00C80371"/>
    <w:rsid w:val="00C80403"/>
    <w:rsid w:val="00C808FE"/>
    <w:rsid w:val="00C809AB"/>
    <w:rsid w:val="00C8179B"/>
    <w:rsid w:val="00C81B96"/>
    <w:rsid w:val="00C8201D"/>
    <w:rsid w:val="00C82918"/>
    <w:rsid w:val="00C82EA0"/>
    <w:rsid w:val="00C83317"/>
    <w:rsid w:val="00C839B7"/>
    <w:rsid w:val="00C8432F"/>
    <w:rsid w:val="00C8466E"/>
    <w:rsid w:val="00C851ED"/>
    <w:rsid w:val="00C85426"/>
    <w:rsid w:val="00C856DA"/>
    <w:rsid w:val="00C85AAE"/>
    <w:rsid w:val="00C85C47"/>
    <w:rsid w:val="00C85CCB"/>
    <w:rsid w:val="00C85E7E"/>
    <w:rsid w:val="00C865D8"/>
    <w:rsid w:val="00C8685E"/>
    <w:rsid w:val="00C86955"/>
    <w:rsid w:val="00C86B66"/>
    <w:rsid w:val="00C86B8A"/>
    <w:rsid w:val="00C871C2"/>
    <w:rsid w:val="00C877D5"/>
    <w:rsid w:val="00C877E4"/>
    <w:rsid w:val="00C8783A"/>
    <w:rsid w:val="00C878DD"/>
    <w:rsid w:val="00C878F6"/>
    <w:rsid w:val="00C87D2E"/>
    <w:rsid w:val="00C87ED3"/>
    <w:rsid w:val="00C901D0"/>
    <w:rsid w:val="00C9023D"/>
    <w:rsid w:val="00C902DC"/>
    <w:rsid w:val="00C90922"/>
    <w:rsid w:val="00C9093E"/>
    <w:rsid w:val="00C91516"/>
    <w:rsid w:val="00C91839"/>
    <w:rsid w:val="00C92205"/>
    <w:rsid w:val="00C928C5"/>
    <w:rsid w:val="00C92D6D"/>
    <w:rsid w:val="00C92D9E"/>
    <w:rsid w:val="00C92F15"/>
    <w:rsid w:val="00C9344B"/>
    <w:rsid w:val="00C934E1"/>
    <w:rsid w:val="00C93691"/>
    <w:rsid w:val="00C938AE"/>
    <w:rsid w:val="00C93B97"/>
    <w:rsid w:val="00C93C00"/>
    <w:rsid w:val="00C93DD6"/>
    <w:rsid w:val="00C943A7"/>
    <w:rsid w:val="00C947D0"/>
    <w:rsid w:val="00C948A4"/>
    <w:rsid w:val="00C94A7C"/>
    <w:rsid w:val="00C95474"/>
    <w:rsid w:val="00C959BB"/>
    <w:rsid w:val="00C959F7"/>
    <w:rsid w:val="00C9602F"/>
    <w:rsid w:val="00C9691F"/>
    <w:rsid w:val="00C96B1F"/>
    <w:rsid w:val="00C96BD3"/>
    <w:rsid w:val="00C97B9D"/>
    <w:rsid w:val="00C97D74"/>
    <w:rsid w:val="00CA0061"/>
    <w:rsid w:val="00CA13DD"/>
    <w:rsid w:val="00CA15EF"/>
    <w:rsid w:val="00CA174E"/>
    <w:rsid w:val="00CA1C47"/>
    <w:rsid w:val="00CA2231"/>
    <w:rsid w:val="00CA22F2"/>
    <w:rsid w:val="00CA2585"/>
    <w:rsid w:val="00CA291B"/>
    <w:rsid w:val="00CA2CCC"/>
    <w:rsid w:val="00CA33E3"/>
    <w:rsid w:val="00CA364E"/>
    <w:rsid w:val="00CA3F10"/>
    <w:rsid w:val="00CA43BF"/>
    <w:rsid w:val="00CA459A"/>
    <w:rsid w:val="00CA4EA5"/>
    <w:rsid w:val="00CA51D3"/>
    <w:rsid w:val="00CA6398"/>
    <w:rsid w:val="00CA6616"/>
    <w:rsid w:val="00CA66C6"/>
    <w:rsid w:val="00CA6D72"/>
    <w:rsid w:val="00CA6E86"/>
    <w:rsid w:val="00CA7005"/>
    <w:rsid w:val="00CA7432"/>
    <w:rsid w:val="00CA7695"/>
    <w:rsid w:val="00CA77B7"/>
    <w:rsid w:val="00CA7895"/>
    <w:rsid w:val="00CA7DE6"/>
    <w:rsid w:val="00CA7EF2"/>
    <w:rsid w:val="00CB02C1"/>
    <w:rsid w:val="00CB0838"/>
    <w:rsid w:val="00CB088C"/>
    <w:rsid w:val="00CB09EE"/>
    <w:rsid w:val="00CB0AE1"/>
    <w:rsid w:val="00CB1041"/>
    <w:rsid w:val="00CB1263"/>
    <w:rsid w:val="00CB1AE7"/>
    <w:rsid w:val="00CB1C52"/>
    <w:rsid w:val="00CB277A"/>
    <w:rsid w:val="00CB28A4"/>
    <w:rsid w:val="00CB2BDF"/>
    <w:rsid w:val="00CB367B"/>
    <w:rsid w:val="00CB397A"/>
    <w:rsid w:val="00CB3D2F"/>
    <w:rsid w:val="00CB4186"/>
    <w:rsid w:val="00CB43CD"/>
    <w:rsid w:val="00CB468B"/>
    <w:rsid w:val="00CB477C"/>
    <w:rsid w:val="00CB4991"/>
    <w:rsid w:val="00CB4D85"/>
    <w:rsid w:val="00CB4DA5"/>
    <w:rsid w:val="00CB550E"/>
    <w:rsid w:val="00CB5691"/>
    <w:rsid w:val="00CB5AE2"/>
    <w:rsid w:val="00CB5D29"/>
    <w:rsid w:val="00CB5D90"/>
    <w:rsid w:val="00CB5F45"/>
    <w:rsid w:val="00CB6198"/>
    <w:rsid w:val="00CB6439"/>
    <w:rsid w:val="00CB6488"/>
    <w:rsid w:val="00CB755B"/>
    <w:rsid w:val="00CB75FE"/>
    <w:rsid w:val="00CB7651"/>
    <w:rsid w:val="00CB7EBF"/>
    <w:rsid w:val="00CB7FDC"/>
    <w:rsid w:val="00CC054E"/>
    <w:rsid w:val="00CC085F"/>
    <w:rsid w:val="00CC0A1A"/>
    <w:rsid w:val="00CC10C0"/>
    <w:rsid w:val="00CC118F"/>
    <w:rsid w:val="00CC1B1E"/>
    <w:rsid w:val="00CC2329"/>
    <w:rsid w:val="00CC23FD"/>
    <w:rsid w:val="00CC2503"/>
    <w:rsid w:val="00CC262F"/>
    <w:rsid w:val="00CC3BCF"/>
    <w:rsid w:val="00CC3C2D"/>
    <w:rsid w:val="00CC3FD8"/>
    <w:rsid w:val="00CC42AA"/>
    <w:rsid w:val="00CC446E"/>
    <w:rsid w:val="00CC4551"/>
    <w:rsid w:val="00CC4851"/>
    <w:rsid w:val="00CC4D4E"/>
    <w:rsid w:val="00CC5131"/>
    <w:rsid w:val="00CC59CE"/>
    <w:rsid w:val="00CC5B39"/>
    <w:rsid w:val="00CC5C24"/>
    <w:rsid w:val="00CC5E74"/>
    <w:rsid w:val="00CC60A3"/>
    <w:rsid w:val="00CC65F4"/>
    <w:rsid w:val="00CC68EA"/>
    <w:rsid w:val="00CC6E3F"/>
    <w:rsid w:val="00CC7166"/>
    <w:rsid w:val="00CC723D"/>
    <w:rsid w:val="00CC74B7"/>
    <w:rsid w:val="00CC787C"/>
    <w:rsid w:val="00CD0184"/>
    <w:rsid w:val="00CD06B5"/>
    <w:rsid w:val="00CD0827"/>
    <w:rsid w:val="00CD0A37"/>
    <w:rsid w:val="00CD0DAE"/>
    <w:rsid w:val="00CD111E"/>
    <w:rsid w:val="00CD12E1"/>
    <w:rsid w:val="00CD15D8"/>
    <w:rsid w:val="00CD19AD"/>
    <w:rsid w:val="00CD1D04"/>
    <w:rsid w:val="00CD1DA9"/>
    <w:rsid w:val="00CD28AF"/>
    <w:rsid w:val="00CD28EF"/>
    <w:rsid w:val="00CD2B32"/>
    <w:rsid w:val="00CD2B8A"/>
    <w:rsid w:val="00CD2E35"/>
    <w:rsid w:val="00CD31AE"/>
    <w:rsid w:val="00CD32E3"/>
    <w:rsid w:val="00CD3407"/>
    <w:rsid w:val="00CD35AD"/>
    <w:rsid w:val="00CD38C9"/>
    <w:rsid w:val="00CD3CC7"/>
    <w:rsid w:val="00CD41BD"/>
    <w:rsid w:val="00CD4203"/>
    <w:rsid w:val="00CD4B6E"/>
    <w:rsid w:val="00CD4F2D"/>
    <w:rsid w:val="00CD4F6B"/>
    <w:rsid w:val="00CD4F77"/>
    <w:rsid w:val="00CD5352"/>
    <w:rsid w:val="00CD5790"/>
    <w:rsid w:val="00CD5B46"/>
    <w:rsid w:val="00CD5DF2"/>
    <w:rsid w:val="00CD62FC"/>
    <w:rsid w:val="00CD738A"/>
    <w:rsid w:val="00CD7A67"/>
    <w:rsid w:val="00CD7C6D"/>
    <w:rsid w:val="00CE09F1"/>
    <w:rsid w:val="00CE0A32"/>
    <w:rsid w:val="00CE0F29"/>
    <w:rsid w:val="00CE11E9"/>
    <w:rsid w:val="00CE132F"/>
    <w:rsid w:val="00CE14AC"/>
    <w:rsid w:val="00CE3386"/>
    <w:rsid w:val="00CE407E"/>
    <w:rsid w:val="00CE479D"/>
    <w:rsid w:val="00CE4851"/>
    <w:rsid w:val="00CE6355"/>
    <w:rsid w:val="00CE64AD"/>
    <w:rsid w:val="00CE650A"/>
    <w:rsid w:val="00CE6C2B"/>
    <w:rsid w:val="00CE7012"/>
    <w:rsid w:val="00CE7135"/>
    <w:rsid w:val="00CE75D6"/>
    <w:rsid w:val="00CE7C24"/>
    <w:rsid w:val="00CE7C64"/>
    <w:rsid w:val="00CE7CFB"/>
    <w:rsid w:val="00CF0766"/>
    <w:rsid w:val="00CF09C0"/>
    <w:rsid w:val="00CF1174"/>
    <w:rsid w:val="00CF1551"/>
    <w:rsid w:val="00CF1B4C"/>
    <w:rsid w:val="00CF1C0D"/>
    <w:rsid w:val="00CF1D90"/>
    <w:rsid w:val="00CF266E"/>
    <w:rsid w:val="00CF2999"/>
    <w:rsid w:val="00CF3739"/>
    <w:rsid w:val="00CF4633"/>
    <w:rsid w:val="00CF4CE1"/>
    <w:rsid w:val="00CF545D"/>
    <w:rsid w:val="00CF57D6"/>
    <w:rsid w:val="00CF57E2"/>
    <w:rsid w:val="00CF60FD"/>
    <w:rsid w:val="00CF62DB"/>
    <w:rsid w:val="00CF6651"/>
    <w:rsid w:val="00CF6739"/>
    <w:rsid w:val="00CF6790"/>
    <w:rsid w:val="00CF690C"/>
    <w:rsid w:val="00CF69A6"/>
    <w:rsid w:val="00CF69BF"/>
    <w:rsid w:val="00CF6E40"/>
    <w:rsid w:val="00CF710F"/>
    <w:rsid w:val="00CF73B8"/>
    <w:rsid w:val="00D00133"/>
    <w:rsid w:val="00D00413"/>
    <w:rsid w:val="00D009C8"/>
    <w:rsid w:val="00D01160"/>
    <w:rsid w:val="00D0124D"/>
    <w:rsid w:val="00D013CA"/>
    <w:rsid w:val="00D02C83"/>
    <w:rsid w:val="00D030EE"/>
    <w:rsid w:val="00D039F4"/>
    <w:rsid w:val="00D03ED3"/>
    <w:rsid w:val="00D03F54"/>
    <w:rsid w:val="00D042D0"/>
    <w:rsid w:val="00D05022"/>
    <w:rsid w:val="00D051B6"/>
    <w:rsid w:val="00D053E3"/>
    <w:rsid w:val="00D05BE2"/>
    <w:rsid w:val="00D05EB2"/>
    <w:rsid w:val="00D0609C"/>
    <w:rsid w:val="00D061A1"/>
    <w:rsid w:val="00D0665C"/>
    <w:rsid w:val="00D0697F"/>
    <w:rsid w:val="00D078DF"/>
    <w:rsid w:val="00D078E8"/>
    <w:rsid w:val="00D0799D"/>
    <w:rsid w:val="00D07BAE"/>
    <w:rsid w:val="00D07C19"/>
    <w:rsid w:val="00D103CE"/>
    <w:rsid w:val="00D10420"/>
    <w:rsid w:val="00D10883"/>
    <w:rsid w:val="00D10891"/>
    <w:rsid w:val="00D10A29"/>
    <w:rsid w:val="00D10AEA"/>
    <w:rsid w:val="00D1100E"/>
    <w:rsid w:val="00D1107A"/>
    <w:rsid w:val="00D113E8"/>
    <w:rsid w:val="00D1156B"/>
    <w:rsid w:val="00D11BEA"/>
    <w:rsid w:val="00D11C02"/>
    <w:rsid w:val="00D11D2F"/>
    <w:rsid w:val="00D11DA5"/>
    <w:rsid w:val="00D120BA"/>
    <w:rsid w:val="00D120C8"/>
    <w:rsid w:val="00D12406"/>
    <w:rsid w:val="00D12689"/>
    <w:rsid w:val="00D132CC"/>
    <w:rsid w:val="00D1344A"/>
    <w:rsid w:val="00D13BB4"/>
    <w:rsid w:val="00D13F4A"/>
    <w:rsid w:val="00D15314"/>
    <w:rsid w:val="00D15544"/>
    <w:rsid w:val="00D158FA"/>
    <w:rsid w:val="00D15B70"/>
    <w:rsid w:val="00D16137"/>
    <w:rsid w:val="00D163A3"/>
    <w:rsid w:val="00D1641D"/>
    <w:rsid w:val="00D16A50"/>
    <w:rsid w:val="00D1776D"/>
    <w:rsid w:val="00D1798E"/>
    <w:rsid w:val="00D17ABB"/>
    <w:rsid w:val="00D17BDB"/>
    <w:rsid w:val="00D2034E"/>
    <w:rsid w:val="00D206E4"/>
    <w:rsid w:val="00D20A7B"/>
    <w:rsid w:val="00D21343"/>
    <w:rsid w:val="00D21A58"/>
    <w:rsid w:val="00D21BA9"/>
    <w:rsid w:val="00D21EBC"/>
    <w:rsid w:val="00D22231"/>
    <w:rsid w:val="00D226DD"/>
    <w:rsid w:val="00D22793"/>
    <w:rsid w:val="00D22812"/>
    <w:rsid w:val="00D22E54"/>
    <w:rsid w:val="00D22E66"/>
    <w:rsid w:val="00D23884"/>
    <w:rsid w:val="00D239CA"/>
    <w:rsid w:val="00D242A2"/>
    <w:rsid w:val="00D24560"/>
    <w:rsid w:val="00D24B7E"/>
    <w:rsid w:val="00D24ECC"/>
    <w:rsid w:val="00D2510A"/>
    <w:rsid w:val="00D25342"/>
    <w:rsid w:val="00D2553E"/>
    <w:rsid w:val="00D255E8"/>
    <w:rsid w:val="00D25DBE"/>
    <w:rsid w:val="00D25EF2"/>
    <w:rsid w:val="00D2630D"/>
    <w:rsid w:val="00D263FF"/>
    <w:rsid w:val="00D26EBF"/>
    <w:rsid w:val="00D273D5"/>
    <w:rsid w:val="00D277A4"/>
    <w:rsid w:val="00D27C4D"/>
    <w:rsid w:val="00D27C95"/>
    <w:rsid w:val="00D3053E"/>
    <w:rsid w:val="00D3080F"/>
    <w:rsid w:val="00D30A6B"/>
    <w:rsid w:val="00D30FD7"/>
    <w:rsid w:val="00D313A1"/>
    <w:rsid w:val="00D313C1"/>
    <w:rsid w:val="00D31548"/>
    <w:rsid w:val="00D31549"/>
    <w:rsid w:val="00D316F6"/>
    <w:rsid w:val="00D3187A"/>
    <w:rsid w:val="00D319DE"/>
    <w:rsid w:val="00D31E4D"/>
    <w:rsid w:val="00D31F02"/>
    <w:rsid w:val="00D32E0A"/>
    <w:rsid w:val="00D3303D"/>
    <w:rsid w:val="00D33106"/>
    <w:rsid w:val="00D333EC"/>
    <w:rsid w:val="00D335B5"/>
    <w:rsid w:val="00D33838"/>
    <w:rsid w:val="00D33A4E"/>
    <w:rsid w:val="00D33A91"/>
    <w:rsid w:val="00D33D0C"/>
    <w:rsid w:val="00D34138"/>
    <w:rsid w:val="00D3435F"/>
    <w:rsid w:val="00D3489E"/>
    <w:rsid w:val="00D34A35"/>
    <w:rsid w:val="00D35224"/>
    <w:rsid w:val="00D355BC"/>
    <w:rsid w:val="00D356B9"/>
    <w:rsid w:val="00D35BD5"/>
    <w:rsid w:val="00D35E4B"/>
    <w:rsid w:val="00D36196"/>
    <w:rsid w:val="00D36422"/>
    <w:rsid w:val="00D365BE"/>
    <w:rsid w:val="00D37759"/>
    <w:rsid w:val="00D377D5"/>
    <w:rsid w:val="00D37B45"/>
    <w:rsid w:val="00D37D30"/>
    <w:rsid w:val="00D40333"/>
    <w:rsid w:val="00D4033F"/>
    <w:rsid w:val="00D41916"/>
    <w:rsid w:val="00D424D7"/>
    <w:rsid w:val="00D42CCC"/>
    <w:rsid w:val="00D42F67"/>
    <w:rsid w:val="00D4364D"/>
    <w:rsid w:val="00D439DA"/>
    <w:rsid w:val="00D43B65"/>
    <w:rsid w:val="00D44032"/>
    <w:rsid w:val="00D44607"/>
    <w:rsid w:val="00D44D70"/>
    <w:rsid w:val="00D44E0F"/>
    <w:rsid w:val="00D450EF"/>
    <w:rsid w:val="00D452ED"/>
    <w:rsid w:val="00D454C9"/>
    <w:rsid w:val="00D4550D"/>
    <w:rsid w:val="00D4564F"/>
    <w:rsid w:val="00D45893"/>
    <w:rsid w:val="00D45A72"/>
    <w:rsid w:val="00D46681"/>
    <w:rsid w:val="00D466A4"/>
    <w:rsid w:val="00D46AEA"/>
    <w:rsid w:val="00D46D27"/>
    <w:rsid w:val="00D474A3"/>
    <w:rsid w:val="00D47BF3"/>
    <w:rsid w:val="00D50654"/>
    <w:rsid w:val="00D50E1A"/>
    <w:rsid w:val="00D510F5"/>
    <w:rsid w:val="00D5127D"/>
    <w:rsid w:val="00D518A6"/>
    <w:rsid w:val="00D51DAC"/>
    <w:rsid w:val="00D52089"/>
    <w:rsid w:val="00D524C4"/>
    <w:rsid w:val="00D53139"/>
    <w:rsid w:val="00D53179"/>
    <w:rsid w:val="00D5404F"/>
    <w:rsid w:val="00D54256"/>
    <w:rsid w:val="00D54257"/>
    <w:rsid w:val="00D54597"/>
    <w:rsid w:val="00D54C3C"/>
    <w:rsid w:val="00D54D32"/>
    <w:rsid w:val="00D54DA6"/>
    <w:rsid w:val="00D54F4E"/>
    <w:rsid w:val="00D558E4"/>
    <w:rsid w:val="00D5593A"/>
    <w:rsid w:val="00D55C08"/>
    <w:rsid w:val="00D55F15"/>
    <w:rsid w:val="00D568E8"/>
    <w:rsid w:val="00D5696D"/>
    <w:rsid w:val="00D570FB"/>
    <w:rsid w:val="00D571AB"/>
    <w:rsid w:val="00D579DC"/>
    <w:rsid w:val="00D57CC7"/>
    <w:rsid w:val="00D6007D"/>
    <w:rsid w:val="00D601F7"/>
    <w:rsid w:val="00D603EC"/>
    <w:rsid w:val="00D6057A"/>
    <w:rsid w:val="00D6075A"/>
    <w:rsid w:val="00D60819"/>
    <w:rsid w:val="00D609A8"/>
    <w:rsid w:val="00D60F58"/>
    <w:rsid w:val="00D61314"/>
    <w:rsid w:val="00D61347"/>
    <w:rsid w:val="00D61531"/>
    <w:rsid w:val="00D615ED"/>
    <w:rsid w:val="00D616D2"/>
    <w:rsid w:val="00D61710"/>
    <w:rsid w:val="00D61E9E"/>
    <w:rsid w:val="00D61FA0"/>
    <w:rsid w:val="00D62175"/>
    <w:rsid w:val="00D623B0"/>
    <w:rsid w:val="00D63B31"/>
    <w:rsid w:val="00D63CBB"/>
    <w:rsid w:val="00D6506C"/>
    <w:rsid w:val="00D6511F"/>
    <w:rsid w:val="00D65188"/>
    <w:rsid w:val="00D65984"/>
    <w:rsid w:val="00D659B7"/>
    <w:rsid w:val="00D66346"/>
    <w:rsid w:val="00D665FD"/>
    <w:rsid w:val="00D66679"/>
    <w:rsid w:val="00D668D7"/>
    <w:rsid w:val="00D66CB4"/>
    <w:rsid w:val="00D6774F"/>
    <w:rsid w:val="00D6782D"/>
    <w:rsid w:val="00D67EE9"/>
    <w:rsid w:val="00D701C2"/>
    <w:rsid w:val="00D704BE"/>
    <w:rsid w:val="00D7066F"/>
    <w:rsid w:val="00D70778"/>
    <w:rsid w:val="00D70884"/>
    <w:rsid w:val="00D70A2B"/>
    <w:rsid w:val="00D71175"/>
    <w:rsid w:val="00D71EAD"/>
    <w:rsid w:val="00D72291"/>
    <w:rsid w:val="00D727E8"/>
    <w:rsid w:val="00D72FB7"/>
    <w:rsid w:val="00D743E8"/>
    <w:rsid w:val="00D74621"/>
    <w:rsid w:val="00D75227"/>
    <w:rsid w:val="00D754CE"/>
    <w:rsid w:val="00D75754"/>
    <w:rsid w:val="00D758D5"/>
    <w:rsid w:val="00D76650"/>
    <w:rsid w:val="00D76DC6"/>
    <w:rsid w:val="00D76E19"/>
    <w:rsid w:val="00D771F1"/>
    <w:rsid w:val="00D8070D"/>
    <w:rsid w:val="00D81B63"/>
    <w:rsid w:val="00D821B9"/>
    <w:rsid w:val="00D82A3E"/>
    <w:rsid w:val="00D82A92"/>
    <w:rsid w:val="00D82C80"/>
    <w:rsid w:val="00D82C9D"/>
    <w:rsid w:val="00D82CF8"/>
    <w:rsid w:val="00D82DD9"/>
    <w:rsid w:val="00D82F28"/>
    <w:rsid w:val="00D835FC"/>
    <w:rsid w:val="00D836FD"/>
    <w:rsid w:val="00D83A2B"/>
    <w:rsid w:val="00D841B1"/>
    <w:rsid w:val="00D842BB"/>
    <w:rsid w:val="00D842C3"/>
    <w:rsid w:val="00D843D9"/>
    <w:rsid w:val="00D844AC"/>
    <w:rsid w:val="00D84525"/>
    <w:rsid w:val="00D85160"/>
    <w:rsid w:val="00D85783"/>
    <w:rsid w:val="00D85ED2"/>
    <w:rsid w:val="00D86704"/>
    <w:rsid w:val="00D86F26"/>
    <w:rsid w:val="00D870C0"/>
    <w:rsid w:val="00D87F1F"/>
    <w:rsid w:val="00D908FD"/>
    <w:rsid w:val="00D90D8B"/>
    <w:rsid w:val="00D90F20"/>
    <w:rsid w:val="00D91A6C"/>
    <w:rsid w:val="00D91B52"/>
    <w:rsid w:val="00D92781"/>
    <w:rsid w:val="00D927D2"/>
    <w:rsid w:val="00D92ACE"/>
    <w:rsid w:val="00D93496"/>
    <w:rsid w:val="00D93BBB"/>
    <w:rsid w:val="00D94BA7"/>
    <w:rsid w:val="00D950CE"/>
    <w:rsid w:val="00D951B7"/>
    <w:rsid w:val="00D952B5"/>
    <w:rsid w:val="00D95458"/>
    <w:rsid w:val="00D95787"/>
    <w:rsid w:val="00D95A75"/>
    <w:rsid w:val="00D95ED6"/>
    <w:rsid w:val="00D96800"/>
    <w:rsid w:val="00D96BFC"/>
    <w:rsid w:val="00D96D87"/>
    <w:rsid w:val="00D96E10"/>
    <w:rsid w:val="00D97357"/>
    <w:rsid w:val="00D9764E"/>
    <w:rsid w:val="00D9767F"/>
    <w:rsid w:val="00D9774A"/>
    <w:rsid w:val="00D97A4E"/>
    <w:rsid w:val="00D97FC5"/>
    <w:rsid w:val="00DA0599"/>
    <w:rsid w:val="00DA0874"/>
    <w:rsid w:val="00DA0EE7"/>
    <w:rsid w:val="00DA0F34"/>
    <w:rsid w:val="00DA10E6"/>
    <w:rsid w:val="00DA12E8"/>
    <w:rsid w:val="00DA16AE"/>
    <w:rsid w:val="00DA1C9F"/>
    <w:rsid w:val="00DA1E17"/>
    <w:rsid w:val="00DA2AB5"/>
    <w:rsid w:val="00DA32D9"/>
    <w:rsid w:val="00DA33CC"/>
    <w:rsid w:val="00DA3B77"/>
    <w:rsid w:val="00DA40B0"/>
    <w:rsid w:val="00DA5658"/>
    <w:rsid w:val="00DA5E37"/>
    <w:rsid w:val="00DA6084"/>
    <w:rsid w:val="00DA6093"/>
    <w:rsid w:val="00DA7867"/>
    <w:rsid w:val="00DA7885"/>
    <w:rsid w:val="00DA7AFC"/>
    <w:rsid w:val="00DB008B"/>
    <w:rsid w:val="00DB046D"/>
    <w:rsid w:val="00DB05CD"/>
    <w:rsid w:val="00DB06BC"/>
    <w:rsid w:val="00DB0D33"/>
    <w:rsid w:val="00DB1746"/>
    <w:rsid w:val="00DB1ABC"/>
    <w:rsid w:val="00DB1F7B"/>
    <w:rsid w:val="00DB2110"/>
    <w:rsid w:val="00DB240F"/>
    <w:rsid w:val="00DB24EF"/>
    <w:rsid w:val="00DB27E3"/>
    <w:rsid w:val="00DB2805"/>
    <w:rsid w:val="00DB28F5"/>
    <w:rsid w:val="00DB293E"/>
    <w:rsid w:val="00DB29FD"/>
    <w:rsid w:val="00DB3230"/>
    <w:rsid w:val="00DB33BA"/>
    <w:rsid w:val="00DB43B0"/>
    <w:rsid w:val="00DB4B92"/>
    <w:rsid w:val="00DB4EE8"/>
    <w:rsid w:val="00DB55E0"/>
    <w:rsid w:val="00DB5A14"/>
    <w:rsid w:val="00DB63F4"/>
    <w:rsid w:val="00DB6659"/>
    <w:rsid w:val="00DB67E1"/>
    <w:rsid w:val="00DB69B4"/>
    <w:rsid w:val="00DB7162"/>
    <w:rsid w:val="00DB71A4"/>
    <w:rsid w:val="00DB7240"/>
    <w:rsid w:val="00DB72EA"/>
    <w:rsid w:val="00DB7694"/>
    <w:rsid w:val="00DB79FF"/>
    <w:rsid w:val="00DB7CB4"/>
    <w:rsid w:val="00DC04B6"/>
    <w:rsid w:val="00DC0903"/>
    <w:rsid w:val="00DC096C"/>
    <w:rsid w:val="00DC1656"/>
    <w:rsid w:val="00DC1786"/>
    <w:rsid w:val="00DC188B"/>
    <w:rsid w:val="00DC2F5B"/>
    <w:rsid w:val="00DC3006"/>
    <w:rsid w:val="00DC39ED"/>
    <w:rsid w:val="00DC3D2A"/>
    <w:rsid w:val="00DC3F86"/>
    <w:rsid w:val="00DC4075"/>
    <w:rsid w:val="00DC40EF"/>
    <w:rsid w:val="00DC4314"/>
    <w:rsid w:val="00DC43C5"/>
    <w:rsid w:val="00DC43F3"/>
    <w:rsid w:val="00DC45B4"/>
    <w:rsid w:val="00DC45E9"/>
    <w:rsid w:val="00DC4A71"/>
    <w:rsid w:val="00DC4B0E"/>
    <w:rsid w:val="00DC5176"/>
    <w:rsid w:val="00DC53CD"/>
    <w:rsid w:val="00DC574E"/>
    <w:rsid w:val="00DC5D3B"/>
    <w:rsid w:val="00DC626A"/>
    <w:rsid w:val="00DC64F3"/>
    <w:rsid w:val="00DC6615"/>
    <w:rsid w:val="00DC6696"/>
    <w:rsid w:val="00DC683A"/>
    <w:rsid w:val="00DC6D13"/>
    <w:rsid w:val="00DC76D5"/>
    <w:rsid w:val="00DC78C0"/>
    <w:rsid w:val="00DC7B75"/>
    <w:rsid w:val="00DC7D26"/>
    <w:rsid w:val="00DD018A"/>
    <w:rsid w:val="00DD062A"/>
    <w:rsid w:val="00DD0CD4"/>
    <w:rsid w:val="00DD10F2"/>
    <w:rsid w:val="00DD13E8"/>
    <w:rsid w:val="00DD16D2"/>
    <w:rsid w:val="00DD16E2"/>
    <w:rsid w:val="00DD2346"/>
    <w:rsid w:val="00DD24BA"/>
    <w:rsid w:val="00DD287C"/>
    <w:rsid w:val="00DD2C86"/>
    <w:rsid w:val="00DD3320"/>
    <w:rsid w:val="00DD38CE"/>
    <w:rsid w:val="00DD426F"/>
    <w:rsid w:val="00DD4E2B"/>
    <w:rsid w:val="00DD4EE7"/>
    <w:rsid w:val="00DD563E"/>
    <w:rsid w:val="00DD569B"/>
    <w:rsid w:val="00DD577E"/>
    <w:rsid w:val="00DD5A7F"/>
    <w:rsid w:val="00DD5C35"/>
    <w:rsid w:val="00DD5DAA"/>
    <w:rsid w:val="00DD6207"/>
    <w:rsid w:val="00DD627C"/>
    <w:rsid w:val="00DD726E"/>
    <w:rsid w:val="00DD72D3"/>
    <w:rsid w:val="00DD7A31"/>
    <w:rsid w:val="00DD7B16"/>
    <w:rsid w:val="00DE05D3"/>
    <w:rsid w:val="00DE08D3"/>
    <w:rsid w:val="00DE11C3"/>
    <w:rsid w:val="00DE1A68"/>
    <w:rsid w:val="00DE2446"/>
    <w:rsid w:val="00DE24B1"/>
    <w:rsid w:val="00DE261D"/>
    <w:rsid w:val="00DE277A"/>
    <w:rsid w:val="00DE2815"/>
    <w:rsid w:val="00DE2979"/>
    <w:rsid w:val="00DE3178"/>
    <w:rsid w:val="00DE3193"/>
    <w:rsid w:val="00DE3596"/>
    <w:rsid w:val="00DE3A78"/>
    <w:rsid w:val="00DE3EE6"/>
    <w:rsid w:val="00DE40D3"/>
    <w:rsid w:val="00DE44B2"/>
    <w:rsid w:val="00DE48E3"/>
    <w:rsid w:val="00DE4AC4"/>
    <w:rsid w:val="00DE51C7"/>
    <w:rsid w:val="00DE525B"/>
    <w:rsid w:val="00DE535C"/>
    <w:rsid w:val="00DE5490"/>
    <w:rsid w:val="00DE552F"/>
    <w:rsid w:val="00DE5596"/>
    <w:rsid w:val="00DE55E1"/>
    <w:rsid w:val="00DE5C2F"/>
    <w:rsid w:val="00DE6165"/>
    <w:rsid w:val="00DE620B"/>
    <w:rsid w:val="00DE71A3"/>
    <w:rsid w:val="00DE73EB"/>
    <w:rsid w:val="00DE785C"/>
    <w:rsid w:val="00DE7CE0"/>
    <w:rsid w:val="00DE7D58"/>
    <w:rsid w:val="00DF01AA"/>
    <w:rsid w:val="00DF0B40"/>
    <w:rsid w:val="00DF0E99"/>
    <w:rsid w:val="00DF0EF2"/>
    <w:rsid w:val="00DF16E8"/>
    <w:rsid w:val="00DF1724"/>
    <w:rsid w:val="00DF1836"/>
    <w:rsid w:val="00DF184E"/>
    <w:rsid w:val="00DF1E8B"/>
    <w:rsid w:val="00DF2DF9"/>
    <w:rsid w:val="00DF2EDB"/>
    <w:rsid w:val="00DF3101"/>
    <w:rsid w:val="00DF353B"/>
    <w:rsid w:val="00DF367E"/>
    <w:rsid w:val="00DF3C8F"/>
    <w:rsid w:val="00DF3D2D"/>
    <w:rsid w:val="00DF3E08"/>
    <w:rsid w:val="00DF3E96"/>
    <w:rsid w:val="00DF3EE6"/>
    <w:rsid w:val="00DF3F38"/>
    <w:rsid w:val="00DF4D27"/>
    <w:rsid w:val="00DF589A"/>
    <w:rsid w:val="00DF5CC3"/>
    <w:rsid w:val="00DF61D3"/>
    <w:rsid w:val="00DF650C"/>
    <w:rsid w:val="00DF6746"/>
    <w:rsid w:val="00DF6806"/>
    <w:rsid w:val="00DF6B16"/>
    <w:rsid w:val="00DF7168"/>
    <w:rsid w:val="00DF725C"/>
    <w:rsid w:val="00DF7970"/>
    <w:rsid w:val="00DF7B02"/>
    <w:rsid w:val="00DF7C7E"/>
    <w:rsid w:val="00DF7CF6"/>
    <w:rsid w:val="00DF7E1F"/>
    <w:rsid w:val="00E00181"/>
    <w:rsid w:val="00E00422"/>
    <w:rsid w:val="00E008D8"/>
    <w:rsid w:val="00E0091C"/>
    <w:rsid w:val="00E013A8"/>
    <w:rsid w:val="00E01461"/>
    <w:rsid w:val="00E015C6"/>
    <w:rsid w:val="00E019D1"/>
    <w:rsid w:val="00E01F9D"/>
    <w:rsid w:val="00E0211E"/>
    <w:rsid w:val="00E029B5"/>
    <w:rsid w:val="00E02E2F"/>
    <w:rsid w:val="00E02F82"/>
    <w:rsid w:val="00E0314E"/>
    <w:rsid w:val="00E03323"/>
    <w:rsid w:val="00E0345A"/>
    <w:rsid w:val="00E037A9"/>
    <w:rsid w:val="00E03F47"/>
    <w:rsid w:val="00E040FE"/>
    <w:rsid w:val="00E04509"/>
    <w:rsid w:val="00E053FD"/>
    <w:rsid w:val="00E05406"/>
    <w:rsid w:val="00E05C8C"/>
    <w:rsid w:val="00E05E12"/>
    <w:rsid w:val="00E05EEC"/>
    <w:rsid w:val="00E0608A"/>
    <w:rsid w:val="00E060DD"/>
    <w:rsid w:val="00E06322"/>
    <w:rsid w:val="00E06420"/>
    <w:rsid w:val="00E066B8"/>
    <w:rsid w:val="00E067E9"/>
    <w:rsid w:val="00E0725C"/>
    <w:rsid w:val="00E07507"/>
    <w:rsid w:val="00E0756A"/>
    <w:rsid w:val="00E07A2E"/>
    <w:rsid w:val="00E07D31"/>
    <w:rsid w:val="00E07F08"/>
    <w:rsid w:val="00E1081E"/>
    <w:rsid w:val="00E10BA8"/>
    <w:rsid w:val="00E1100C"/>
    <w:rsid w:val="00E11625"/>
    <w:rsid w:val="00E11E4F"/>
    <w:rsid w:val="00E11F63"/>
    <w:rsid w:val="00E120C8"/>
    <w:rsid w:val="00E12AF6"/>
    <w:rsid w:val="00E12BCC"/>
    <w:rsid w:val="00E131F0"/>
    <w:rsid w:val="00E137EB"/>
    <w:rsid w:val="00E14583"/>
    <w:rsid w:val="00E14F35"/>
    <w:rsid w:val="00E150F5"/>
    <w:rsid w:val="00E15216"/>
    <w:rsid w:val="00E157DB"/>
    <w:rsid w:val="00E15B49"/>
    <w:rsid w:val="00E1653F"/>
    <w:rsid w:val="00E16739"/>
    <w:rsid w:val="00E16B76"/>
    <w:rsid w:val="00E16DCE"/>
    <w:rsid w:val="00E176B1"/>
    <w:rsid w:val="00E1796C"/>
    <w:rsid w:val="00E17A99"/>
    <w:rsid w:val="00E17AD6"/>
    <w:rsid w:val="00E2034B"/>
    <w:rsid w:val="00E2092B"/>
    <w:rsid w:val="00E20BF2"/>
    <w:rsid w:val="00E20FEC"/>
    <w:rsid w:val="00E21170"/>
    <w:rsid w:val="00E21903"/>
    <w:rsid w:val="00E21A4C"/>
    <w:rsid w:val="00E21D5B"/>
    <w:rsid w:val="00E21F18"/>
    <w:rsid w:val="00E22B24"/>
    <w:rsid w:val="00E22E9E"/>
    <w:rsid w:val="00E2386C"/>
    <w:rsid w:val="00E2387A"/>
    <w:rsid w:val="00E23890"/>
    <w:rsid w:val="00E23BB8"/>
    <w:rsid w:val="00E23BBA"/>
    <w:rsid w:val="00E23D80"/>
    <w:rsid w:val="00E24174"/>
    <w:rsid w:val="00E2444F"/>
    <w:rsid w:val="00E2462A"/>
    <w:rsid w:val="00E24C3A"/>
    <w:rsid w:val="00E2582A"/>
    <w:rsid w:val="00E25A63"/>
    <w:rsid w:val="00E25C5E"/>
    <w:rsid w:val="00E25E7D"/>
    <w:rsid w:val="00E2610D"/>
    <w:rsid w:val="00E27C5B"/>
    <w:rsid w:val="00E302D8"/>
    <w:rsid w:val="00E30369"/>
    <w:rsid w:val="00E305A0"/>
    <w:rsid w:val="00E309AA"/>
    <w:rsid w:val="00E3132B"/>
    <w:rsid w:val="00E315A2"/>
    <w:rsid w:val="00E316AA"/>
    <w:rsid w:val="00E316D3"/>
    <w:rsid w:val="00E3173E"/>
    <w:rsid w:val="00E319BE"/>
    <w:rsid w:val="00E31EBD"/>
    <w:rsid w:val="00E325B6"/>
    <w:rsid w:val="00E32C45"/>
    <w:rsid w:val="00E333AD"/>
    <w:rsid w:val="00E3367D"/>
    <w:rsid w:val="00E33EB4"/>
    <w:rsid w:val="00E344AD"/>
    <w:rsid w:val="00E34AAC"/>
    <w:rsid w:val="00E34B6E"/>
    <w:rsid w:val="00E34E8C"/>
    <w:rsid w:val="00E34F79"/>
    <w:rsid w:val="00E35815"/>
    <w:rsid w:val="00E35986"/>
    <w:rsid w:val="00E359BA"/>
    <w:rsid w:val="00E35B83"/>
    <w:rsid w:val="00E362DE"/>
    <w:rsid w:val="00E36305"/>
    <w:rsid w:val="00E36B6D"/>
    <w:rsid w:val="00E36DF1"/>
    <w:rsid w:val="00E4023A"/>
    <w:rsid w:val="00E40456"/>
    <w:rsid w:val="00E40BB3"/>
    <w:rsid w:val="00E415AF"/>
    <w:rsid w:val="00E417A5"/>
    <w:rsid w:val="00E41ADA"/>
    <w:rsid w:val="00E422D6"/>
    <w:rsid w:val="00E4232C"/>
    <w:rsid w:val="00E4233F"/>
    <w:rsid w:val="00E4234A"/>
    <w:rsid w:val="00E42473"/>
    <w:rsid w:val="00E4261B"/>
    <w:rsid w:val="00E42BD6"/>
    <w:rsid w:val="00E42D08"/>
    <w:rsid w:val="00E43751"/>
    <w:rsid w:val="00E44035"/>
    <w:rsid w:val="00E440AC"/>
    <w:rsid w:val="00E44158"/>
    <w:rsid w:val="00E44949"/>
    <w:rsid w:val="00E44C81"/>
    <w:rsid w:val="00E44D24"/>
    <w:rsid w:val="00E44FCD"/>
    <w:rsid w:val="00E45304"/>
    <w:rsid w:val="00E45A33"/>
    <w:rsid w:val="00E46041"/>
    <w:rsid w:val="00E463FF"/>
    <w:rsid w:val="00E4640E"/>
    <w:rsid w:val="00E465EC"/>
    <w:rsid w:val="00E466EB"/>
    <w:rsid w:val="00E46A5A"/>
    <w:rsid w:val="00E47D32"/>
    <w:rsid w:val="00E502EE"/>
    <w:rsid w:val="00E50316"/>
    <w:rsid w:val="00E50A6D"/>
    <w:rsid w:val="00E50BE4"/>
    <w:rsid w:val="00E51129"/>
    <w:rsid w:val="00E5142A"/>
    <w:rsid w:val="00E5155D"/>
    <w:rsid w:val="00E51647"/>
    <w:rsid w:val="00E51788"/>
    <w:rsid w:val="00E51D71"/>
    <w:rsid w:val="00E51F68"/>
    <w:rsid w:val="00E52045"/>
    <w:rsid w:val="00E520BF"/>
    <w:rsid w:val="00E52757"/>
    <w:rsid w:val="00E52D3D"/>
    <w:rsid w:val="00E52ECC"/>
    <w:rsid w:val="00E530B9"/>
    <w:rsid w:val="00E532E3"/>
    <w:rsid w:val="00E5377F"/>
    <w:rsid w:val="00E53C61"/>
    <w:rsid w:val="00E53E43"/>
    <w:rsid w:val="00E54729"/>
    <w:rsid w:val="00E5489B"/>
    <w:rsid w:val="00E56783"/>
    <w:rsid w:val="00E567B2"/>
    <w:rsid w:val="00E56F58"/>
    <w:rsid w:val="00E57134"/>
    <w:rsid w:val="00E57409"/>
    <w:rsid w:val="00E60068"/>
    <w:rsid w:val="00E6041E"/>
    <w:rsid w:val="00E605BA"/>
    <w:rsid w:val="00E60EBD"/>
    <w:rsid w:val="00E616BB"/>
    <w:rsid w:val="00E61C96"/>
    <w:rsid w:val="00E61F97"/>
    <w:rsid w:val="00E620E5"/>
    <w:rsid w:val="00E62D58"/>
    <w:rsid w:val="00E63A50"/>
    <w:rsid w:val="00E64099"/>
    <w:rsid w:val="00E640A2"/>
    <w:rsid w:val="00E64650"/>
    <w:rsid w:val="00E650AE"/>
    <w:rsid w:val="00E6522B"/>
    <w:rsid w:val="00E6524C"/>
    <w:rsid w:val="00E6555A"/>
    <w:rsid w:val="00E65598"/>
    <w:rsid w:val="00E6628C"/>
    <w:rsid w:val="00E669F0"/>
    <w:rsid w:val="00E66AC2"/>
    <w:rsid w:val="00E6712B"/>
    <w:rsid w:val="00E673BA"/>
    <w:rsid w:val="00E674BB"/>
    <w:rsid w:val="00E67A99"/>
    <w:rsid w:val="00E67C4F"/>
    <w:rsid w:val="00E7017D"/>
    <w:rsid w:val="00E701E6"/>
    <w:rsid w:val="00E70405"/>
    <w:rsid w:val="00E70442"/>
    <w:rsid w:val="00E71AAF"/>
    <w:rsid w:val="00E71B2D"/>
    <w:rsid w:val="00E7265F"/>
    <w:rsid w:val="00E72E9B"/>
    <w:rsid w:val="00E735E8"/>
    <w:rsid w:val="00E737CB"/>
    <w:rsid w:val="00E73DEE"/>
    <w:rsid w:val="00E74687"/>
    <w:rsid w:val="00E749AF"/>
    <w:rsid w:val="00E74CEF"/>
    <w:rsid w:val="00E755EB"/>
    <w:rsid w:val="00E7588C"/>
    <w:rsid w:val="00E75B60"/>
    <w:rsid w:val="00E75D59"/>
    <w:rsid w:val="00E75D62"/>
    <w:rsid w:val="00E764DE"/>
    <w:rsid w:val="00E7652C"/>
    <w:rsid w:val="00E765EA"/>
    <w:rsid w:val="00E76825"/>
    <w:rsid w:val="00E76828"/>
    <w:rsid w:val="00E76D22"/>
    <w:rsid w:val="00E76D41"/>
    <w:rsid w:val="00E76DB7"/>
    <w:rsid w:val="00E77093"/>
    <w:rsid w:val="00E770C6"/>
    <w:rsid w:val="00E7719F"/>
    <w:rsid w:val="00E773A8"/>
    <w:rsid w:val="00E77543"/>
    <w:rsid w:val="00E807DE"/>
    <w:rsid w:val="00E80C85"/>
    <w:rsid w:val="00E80CF6"/>
    <w:rsid w:val="00E813BF"/>
    <w:rsid w:val="00E81834"/>
    <w:rsid w:val="00E81C2F"/>
    <w:rsid w:val="00E81DD3"/>
    <w:rsid w:val="00E820A7"/>
    <w:rsid w:val="00E8238F"/>
    <w:rsid w:val="00E8286A"/>
    <w:rsid w:val="00E82F9E"/>
    <w:rsid w:val="00E82FDE"/>
    <w:rsid w:val="00E83AD6"/>
    <w:rsid w:val="00E84111"/>
    <w:rsid w:val="00E84112"/>
    <w:rsid w:val="00E8425B"/>
    <w:rsid w:val="00E8472A"/>
    <w:rsid w:val="00E847D5"/>
    <w:rsid w:val="00E855ED"/>
    <w:rsid w:val="00E85660"/>
    <w:rsid w:val="00E8596E"/>
    <w:rsid w:val="00E8599C"/>
    <w:rsid w:val="00E85B3E"/>
    <w:rsid w:val="00E85E8F"/>
    <w:rsid w:val="00E85FA1"/>
    <w:rsid w:val="00E8612C"/>
    <w:rsid w:val="00E862E9"/>
    <w:rsid w:val="00E86459"/>
    <w:rsid w:val="00E864C1"/>
    <w:rsid w:val="00E864FF"/>
    <w:rsid w:val="00E86DF0"/>
    <w:rsid w:val="00E87747"/>
    <w:rsid w:val="00E87938"/>
    <w:rsid w:val="00E879B8"/>
    <w:rsid w:val="00E87BF7"/>
    <w:rsid w:val="00E903A9"/>
    <w:rsid w:val="00E90688"/>
    <w:rsid w:val="00E90CD9"/>
    <w:rsid w:val="00E90FD3"/>
    <w:rsid w:val="00E91208"/>
    <w:rsid w:val="00E912B0"/>
    <w:rsid w:val="00E91422"/>
    <w:rsid w:val="00E9165A"/>
    <w:rsid w:val="00E91C0B"/>
    <w:rsid w:val="00E91DB1"/>
    <w:rsid w:val="00E91EDB"/>
    <w:rsid w:val="00E92174"/>
    <w:rsid w:val="00E929F5"/>
    <w:rsid w:val="00E940F4"/>
    <w:rsid w:val="00E94313"/>
    <w:rsid w:val="00E9439A"/>
    <w:rsid w:val="00E94645"/>
    <w:rsid w:val="00E949EB"/>
    <w:rsid w:val="00E94D8C"/>
    <w:rsid w:val="00E94DBB"/>
    <w:rsid w:val="00E94DDA"/>
    <w:rsid w:val="00E9507E"/>
    <w:rsid w:val="00E95793"/>
    <w:rsid w:val="00E95C9F"/>
    <w:rsid w:val="00E95FA4"/>
    <w:rsid w:val="00E961C5"/>
    <w:rsid w:val="00E971E3"/>
    <w:rsid w:val="00E976D6"/>
    <w:rsid w:val="00E97DEF"/>
    <w:rsid w:val="00E97F1B"/>
    <w:rsid w:val="00EA00D3"/>
    <w:rsid w:val="00EA02C3"/>
    <w:rsid w:val="00EA067F"/>
    <w:rsid w:val="00EA08AA"/>
    <w:rsid w:val="00EA127E"/>
    <w:rsid w:val="00EA12AF"/>
    <w:rsid w:val="00EA13FE"/>
    <w:rsid w:val="00EA1F73"/>
    <w:rsid w:val="00EA253D"/>
    <w:rsid w:val="00EA2542"/>
    <w:rsid w:val="00EA2E86"/>
    <w:rsid w:val="00EA32D1"/>
    <w:rsid w:val="00EA367B"/>
    <w:rsid w:val="00EA39E8"/>
    <w:rsid w:val="00EA3D5B"/>
    <w:rsid w:val="00EA3E89"/>
    <w:rsid w:val="00EA4503"/>
    <w:rsid w:val="00EA4D12"/>
    <w:rsid w:val="00EA5D75"/>
    <w:rsid w:val="00EA655F"/>
    <w:rsid w:val="00EA6A49"/>
    <w:rsid w:val="00EA6A80"/>
    <w:rsid w:val="00EA6DAF"/>
    <w:rsid w:val="00EA7092"/>
    <w:rsid w:val="00EA7702"/>
    <w:rsid w:val="00EA7848"/>
    <w:rsid w:val="00EA7B99"/>
    <w:rsid w:val="00EA7DA9"/>
    <w:rsid w:val="00EB0017"/>
    <w:rsid w:val="00EB042C"/>
    <w:rsid w:val="00EB059B"/>
    <w:rsid w:val="00EB0AFE"/>
    <w:rsid w:val="00EB0C3B"/>
    <w:rsid w:val="00EB11F2"/>
    <w:rsid w:val="00EB14A9"/>
    <w:rsid w:val="00EB1726"/>
    <w:rsid w:val="00EB19FA"/>
    <w:rsid w:val="00EB1A11"/>
    <w:rsid w:val="00EB1FC1"/>
    <w:rsid w:val="00EB1FCC"/>
    <w:rsid w:val="00EB23FE"/>
    <w:rsid w:val="00EB26A0"/>
    <w:rsid w:val="00EB2CA2"/>
    <w:rsid w:val="00EB3146"/>
    <w:rsid w:val="00EB3218"/>
    <w:rsid w:val="00EB35C4"/>
    <w:rsid w:val="00EB3964"/>
    <w:rsid w:val="00EB3BF9"/>
    <w:rsid w:val="00EB46D8"/>
    <w:rsid w:val="00EB4808"/>
    <w:rsid w:val="00EB4ED8"/>
    <w:rsid w:val="00EB505D"/>
    <w:rsid w:val="00EB5A31"/>
    <w:rsid w:val="00EB5C47"/>
    <w:rsid w:val="00EB66C5"/>
    <w:rsid w:val="00EB6720"/>
    <w:rsid w:val="00EB69FC"/>
    <w:rsid w:val="00EB6A05"/>
    <w:rsid w:val="00EB6D5D"/>
    <w:rsid w:val="00EB6E3A"/>
    <w:rsid w:val="00EB6EE0"/>
    <w:rsid w:val="00EB7E95"/>
    <w:rsid w:val="00EC03C5"/>
    <w:rsid w:val="00EC0424"/>
    <w:rsid w:val="00EC0801"/>
    <w:rsid w:val="00EC1329"/>
    <w:rsid w:val="00EC155B"/>
    <w:rsid w:val="00EC1581"/>
    <w:rsid w:val="00EC18B3"/>
    <w:rsid w:val="00EC2052"/>
    <w:rsid w:val="00EC2280"/>
    <w:rsid w:val="00EC2D92"/>
    <w:rsid w:val="00EC3FAE"/>
    <w:rsid w:val="00EC48D7"/>
    <w:rsid w:val="00EC4A78"/>
    <w:rsid w:val="00EC4E44"/>
    <w:rsid w:val="00EC54C6"/>
    <w:rsid w:val="00EC579F"/>
    <w:rsid w:val="00EC58EF"/>
    <w:rsid w:val="00EC5A29"/>
    <w:rsid w:val="00EC5FEA"/>
    <w:rsid w:val="00EC65E7"/>
    <w:rsid w:val="00EC677F"/>
    <w:rsid w:val="00EC69B1"/>
    <w:rsid w:val="00EC6C62"/>
    <w:rsid w:val="00EC754E"/>
    <w:rsid w:val="00EC7878"/>
    <w:rsid w:val="00EC7CF0"/>
    <w:rsid w:val="00ED0718"/>
    <w:rsid w:val="00ED08AA"/>
    <w:rsid w:val="00ED0958"/>
    <w:rsid w:val="00ED09F6"/>
    <w:rsid w:val="00ED0B38"/>
    <w:rsid w:val="00ED0D90"/>
    <w:rsid w:val="00ED166F"/>
    <w:rsid w:val="00ED1966"/>
    <w:rsid w:val="00ED220C"/>
    <w:rsid w:val="00ED2263"/>
    <w:rsid w:val="00ED2854"/>
    <w:rsid w:val="00ED2EE5"/>
    <w:rsid w:val="00ED376A"/>
    <w:rsid w:val="00ED37D7"/>
    <w:rsid w:val="00ED4949"/>
    <w:rsid w:val="00ED57C3"/>
    <w:rsid w:val="00ED587F"/>
    <w:rsid w:val="00ED5AF6"/>
    <w:rsid w:val="00ED5C10"/>
    <w:rsid w:val="00ED5DD1"/>
    <w:rsid w:val="00ED65FE"/>
    <w:rsid w:val="00ED7333"/>
    <w:rsid w:val="00ED748D"/>
    <w:rsid w:val="00ED775B"/>
    <w:rsid w:val="00ED7A25"/>
    <w:rsid w:val="00ED7BC8"/>
    <w:rsid w:val="00ED7FF1"/>
    <w:rsid w:val="00EE03C5"/>
    <w:rsid w:val="00EE0E79"/>
    <w:rsid w:val="00EE1047"/>
    <w:rsid w:val="00EE1092"/>
    <w:rsid w:val="00EE1866"/>
    <w:rsid w:val="00EE1D9A"/>
    <w:rsid w:val="00EE2723"/>
    <w:rsid w:val="00EE294D"/>
    <w:rsid w:val="00EE30C6"/>
    <w:rsid w:val="00EE34B5"/>
    <w:rsid w:val="00EE38DF"/>
    <w:rsid w:val="00EE39E6"/>
    <w:rsid w:val="00EE3B3B"/>
    <w:rsid w:val="00EE4164"/>
    <w:rsid w:val="00EE46CA"/>
    <w:rsid w:val="00EE4FF4"/>
    <w:rsid w:val="00EE579A"/>
    <w:rsid w:val="00EE5B4B"/>
    <w:rsid w:val="00EE643D"/>
    <w:rsid w:val="00EE69D2"/>
    <w:rsid w:val="00EE6B60"/>
    <w:rsid w:val="00EE6E77"/>
    <w:rsid w:val="00EE6F91"/>
    <w:rsid w:val="00EE77E9"/>
    <w:rsid w:val="00EF026F"/>
    <w:rsid w:val="00EF1033"/>
    <w:rsid w:val="00EF10F0"/>
    <w:rsid w:val="00EF1B3B"/>
    <w:rsid w:val="00EF1C10"/>
    <w:rsid w:val="00EF1E5F"/>
    <w:rsid w:val="00EF24E9"/>
    <w:rsid w:val="00EF2CAC"/>
    <w:rsid w:val="00EF325F"/>
    <w:rsid w:val="00EF38B8"/>
    <w:rsid w:val="00EF3A91"/>
    <w:rsid w:val="00EF4124"/>
    <w:rsid w:val="00EF4269"/>
    <w:rsid w:val="00EF44CC"/>
    <w:rsid w:val="00EF4534"/>
    <w:rsid w:val="00EF4775"/>
    <w:rsid w:val="00EF4798"/>
    <w:rsid w:val="00EF4A2E"/>
    <w:rsid w:val="00EF506D"/>
    <w:rsid w:val="00EF51B9"/>
    <w:rsid w:val="00EF57CD"/>
    <w:rsid w:val="00EF580D"/>
    <w:rsid w:val="00EF5BFB"/>
    <w:rsid w:val="00EF5C63"/>
    <w:rsid w:val="00EF6056"/>
    <w:rsid w:val="00EF609D"/>
    <w:rsid w:val="00EF6526"/>
    <w:rsid w:val="00EF66B3"/>
    <w:rsid w:val="00EF6EA6"/>
    <w:rsid w:val="00EF70E1"/>
    <w:rsid w:val="00EF71C1"/>
    <w:rsid w:val="00EF7AAA"/>
    <w:rsid w:val="00F00635"/>
    <w:rsid w:val="00F009C9"/>
    <w:rsid w:val="00F00CAB"/>
    <w:rsid w:val="00F00D69"/>
    <w:rsid w:val="00F01326"/>
    <w:rsid w:val="00F01CDC"/>
    <w:rsid w:val="00F01E8A"/>
    <w:rsid w:val="00F01EF4"/>
    <w:rsid w:val="00F020CA"/>
    <w:rsid w:val="00F0254C"/>
    <w:rsid w:val="00F028EE"/>
    <w:rsid w:val="00F02A7A"/>
    <w:rsid w:val="00F02BD2"/>
    <w:rsid w:val="00F0319A"/>
    <w:rsid w:val="00F03A7C"/>
    <w:rsid w:val="00F03D99"/>
    <w:rsid w:val="00F04174"/>
    <w:rsid w:val="00F042FB"/>
    <w:rsid w:val="00F0434E"/>
    <w:rsid w:val="00F0470B"/>
    <w:rsid w:val="00F05937"/>
    <w:rsid w:val="00F05BA8"/>
    <w:rsid w:val="00F062BF"/>
    <w:rsid w:val="00F06AF4"/>
    <w:rsid w:val="00F06DF8"/>
    <w:rsid w:val="00F06EB9"/>
    <w:rsid w:val="00F07133"/>
    <w:rsid w:val="00F07CD6"/>
    <w:rsid w:val="00F10492"/>
    <w:rsid w:val="00F109CF"/>
    <w:rsid w:val="00F10D28"/>
    <w:rsid w:val="00F11643"/>
    <w:rsid w:val="00F11742"/>
    <w:rsid w:val="00F117E4"/>
    <w:rsid w:val="00F11A2A"/>
    <w:rsid w:val="00F11A67"/>
    <w:rsid w:val="00F11AF4"/>
    <w:rsid w:val="00F11C46"/>
    <w:rsid w:val="00F11D7F"/>
    <w:rsid w:val="00F11E91"/>
    <w:rsid w:val="00F12387"/>
    <w:rsid w:val="00F1292E"/>
    <w:rsid w:val="00F13128"/>
    <w:rsid w:val="00F131DD"/>
    <w:rsid w:val="00F13268"/>
    <w:rsid w:val="00F133C0"/>
    <w:rsid w:val="00F13F5A"/>
    <w:rsid w:val="00F14108"/>
    <w:rsid w:val="00F1411E"/>
    <w:rsid w:val="00F14432"/>
    <w:rsid w:val="00F14450"/>
    <w:rsid w:val="00F144EA"/>
    <w:rsid w:val="00F1453A"/>
    <w:rsid w:val="00F147F0"/>
    <w:rsid w:val="00F14D19"/>
    <w:rsid w:val="00F14D60"/>
    <w:rsid w:val="00F156E2"/>
    <w:rsid w:val="00F157DC"/>
    <w:rsid w:val="00F16104"/>
    <w:rsid w:val="00F161BA"/>
    <w:rsid w:val="00F161FE"/>
    <w:rsid w:val="00F162D8"/>
    <w:rsid w:val="00F1642E"/>
    <w:rsid w:val="00F16451"/>
    <w:rsid w:val="00F16723"/>
    <w:rsid w:val="00F16A73"/>
    <w:rsid w:val="00F16B58"/>
    <w:rsid w:val="00F17765"/>
    <w:rsid w:val="00F17783"/>
    <w:rsid w:val="00F17B8A"/>
    <w:rsid w:val="00F17F83"/>
    <w:rsid w:val="00F2025D"/>
    <w:rsid w:val="00F20844"/>
    <w:rsid w:val="00F2108F"/>
    <w:rsid w:val="00F215E1"/>
    <w:rsid w:val="00F218E7"/>
    <w:rsid w:val="00F21A63"/>
    <w:rsid w:val="00F21B7B"/>
    <w:rsid w:val="00F21C47"/>
    <w:rsid w:val="00F21CFB"/>
    <w:rsid w:val="00F21ED2"/>
    <w:rsid w:val="00F21ED8"/>
    <w:rsid w:val="00F2215E"/>
    <w:rsid w:val="00F22CF0"/>
    <w:rsid w:val="00F22F9A"/>
    <w:rsid w:val="00F2444C"/>
    <w:rsid w:val="00F24595"/>
    <w:rsid w:val="00F247D8"/>
    <w:rsid w:val="00F24903"/>
    <w:rsid w:val="00F24A9B"/>
    <w:rsid w:val="00F2570A"/>
    <w:rsid w:val="00F258B6"/>
    <w:rsid w:val="00F25A89"/>
    <w:rsid w:val="00F25FBF"/>
    <w:rsid w:val="00F26028"/>
    <w:rsid w:val="00F26087"/>
    <w:rsid w:val="00F26459"/>
    <w:rsid w:val="00F2670E"/>
    <w:rsid w:val="00F267EF"/>
    <w:rsid w:val="00F27AE9"/>
    <w:rsid w:val="00F3046C"/>
    <w:rsid w:val="00F30638"/>
    <w:rsid w:val="00F308ED"/>
    <w:rsid w:val="00F30A57"/>
    <w:rsid w:val="00F3174F"/>
    <w:rsid w:val="00F31AEF"/>
    <w:rsid w:val="00F31FC6"/>
    <w:rsid w:val="00F320CC"/>
    <w:rsid w:val="00F32D87"/>
    <w:rsid w:val="00F338BE"/>
    <w:rsid w:val="00F33E0A"/>
    <w:rsid w:val="00F340C7"/>
    <w:rsid w:val="00F34325"/>
    <w:rsid w:val="00F349EB"/>
    <w:rsid w:val="00F34EB7"/>
    <w:rsid w:val="00F356A3"/>
    <w:rsid w:val="00F357CC"/>
    <w:rsid w:val="00F363C3"/>
    <w:rsid w:val="00F364BF"/>
    <w:rsid w:val="00F365DE"/>
    <w:rsid w:val="00F36706"/>
    <w:rsid w:val="00F36786"/>
    <w:rsid w:val="00F369C3"/>
    <w:rsid w:val="00F36AD0"/>
    <w:rsid w:val="00F36D18"/>
    <w:rsid w:val="00F36D33"/>
    <w:rsid w:val="00F36E39"/>
    <w:rsid w:val="00F36E5B"/>
    <w:rsid w:val="00F3701B"/>
    <w:rsid w:val="00F371A2"/>
    <w:rsid w:val="00F3798F"/>
    <w:rsid w:val="00F37E5C"/>
    <w:rsid w:val="00F40265"/>
    <w:rsid w:val="00F4040F"/>
    <w:rsid w:val="00F406D7"/>
    <w:rsid w:val="00F40F57"/>
    <w:rsid w:val="00F4160D"/>
    <w:rsid w:val="00F417A0"/>
    <w:rsid w:val="00F41B40"/>
    <w:rsid w:val="00F41C96"/>
    <w:rsid w:val="00F41CED"/>
    <w:rsid w:val="00F41EAE"/>
    <w:rsid w:val="00F42389"/>
    <w:rsid w:val="00F42406"/>
    <w:rsid w:val="00F4287C"/>
    <w:rsid w:val="00F442D4"/>
    <w:rsid w:val="00F44571"/>
    <w:rsid w:val="00F4477B"/>
    <w:rsid w:val="00F44A9B"/>
    <w:rsid w:val="00F44D8B"/>
    <w:rsid w:val="00F44DB9"/>
    <w:rsid w:val="00F453EC"/>
    <w:rsid w:val="00F456C9"/>
    <w:rsid w:val="00F45C89"/>
    <w:rsid w:val="00F45D7A"/>
    <w:rsid w:val="00F45FA4"/>
    <w:rsid w:val="00F460AB"/>
    <w:rsid w:val="00F46169"/>
    <w:rsid w:val="00F466AB"/>
    <w:rsid w:val="00F4674B"/>
    <w:rsid w:val="00F4676D"/>
    <w:rsid w:val="00F46A01"/>
    <w:rsid w:val="00F46C8E"/>
    <w:rsid w:val="00F46E8F"/>
    <w:rsid w:val="00F474C1"/>
    <w:rsid w:val="00F47B3A"/>
    <w:rsid w:val="00F47C00"/>
    <w:rsid w:val="00F50083"/>
    <w:rsid w:val="00F50249"/>
    <w:rsid w:val="00F50F6A"/>
    <w:rsid w:val="00F518B7"/>
    <w:rsid w:val="00F51B04"/>
    <w:rsid w:val="00F51B68"/>
    <w:rsid w:val="00F51BE1"/>
    <w:rsid w:val="00F51FF4"/>
    <w:rsid w:val="00F524BC"/>
    <w:rsid w:val="00F529A8"/>
    <w:rsid w:val="00F52E41"/>
    <w:rsid w:val="00F53140"/>
    <w:rsid w:val="00F53E70"/>
    <w:rsid w:val="00F54196"/>
    <w:rsid w:val="00F54BDF"/>
    <w:rsid w:val="00F54C8B"/>
    <w:rsid w:val="00F54EBA"/>
    <w:rsid w:val="00F55051"/>
    <w:rsid w:val="00F55E4E"/>
    <w:rsid w:val="00F56439"/>
    <w:rsid w:val="00F568DF"/>
    <w:rsid w:val="00F56BFF"/>
    <w:rsid w:val="00F56F45"/>
    <w:rsid w:val="00F571AB"/>
    <w:rsid w:val="00F571E9"/>
    <w:rsid w:val="00F573A6"/>
    <w:rsid w:val="00F57491"/>
    <w:rsid w:val="00F57E2D"/>
    <w:rsid w:val="00F61550"/>
    <w:rsid w:val="00F623E8"/>
    <w:rsid w:val="00F62A5F"/>
    <w:rsid w:val="00F631D5"/>
    <w:rsid w:val="00F63265"/>
    <w:rsid w:val="00F63BF5"/>
    <w:rsid w:val="00F640C8"/>
    <w:rsid w:val="00F64172"/>
    <w:rsid w:val="00F6452C"/>
    <w:rsid w:val="00F648C5"/>
    <w:rsid w:val="00F64A98"/>
    <w:rsid w:val="00F64C20"/>
    <w:rsid w:val="00F64EAD"/>
    <w:rsid w:val="00F64EDE"/>
    <w:rsid w:val="00F650A8"/>
    <w:rsid w:val="00F650B3"/>
    <w:rsid w:val="00F66007"/>
    <w:rsid w:val="00F660D8"/>
    <w:rsid w:val="00F66526"/>
    <w:rsid w:val="00F66FE3"/>
    <w:rsid w:val="00F67B18"/>
    <w:rsid w:val="00F67CDE"/>
    <w:rsid w:val="00F67D7B"/>
    <w:rsid w:val="00F702FD"/>
    <w:rsid w:val="00F70FDE"/>
    <w:rsid w:val="00F71235"/>
    <w:rsid w:val="00F71348"/>
    <w:rsid w:val="00F71E59"/>
    <w:rsid w:val="00F7211C"/>
    <w:rsid w:val="00F724A0"/>
    <w:rsid w:val="00F72AED"/>
    <w:rsid w:val="00F73614"/>
    <w:rsid w:val="00F737AF"/>
    <w:rsid w:val="00F745EE"/>
    <w:rsid w:val="00F74606"/>
    <w:rsid w:val="00F74635"/>
    <w:rsid w:val="00F748C7"/>
    <w:rsid w:val="00F74B4F"/>
    <w:rsid w:val="00F74C32"/>
    <w:rsid w:val="00F756C1"/>
    <w:rsid w:val="00F75A6F"/>
    <w:rsid w:val="00F76306"/>
    <w:rsid w:val="00F76823"/>
    <w:rsid w:val="00F76934"/>
    <w:rsid w:val="00F77199"/>
    <w:rsid w:val="00F771CC"/>
    <w:rsid w:val="00F773CB"/>
    <w:rsid w:val="00F7743E"/>
    <w:rsid w:val="00F77588"/>
    <w:rsid w:val="00F77616"/>
    <w:rsid w:val="00F77748"/>
    <w:rsid w:val="00F77B0E"/>
    <w:rsid w:val="00F77B45"/>
    <w:rsid w:val="00F80080"/>
    <w:rsid w:val="00F809A8"/>
    <w:rsid w:val="00F80A1C"/>
    <w:rsid w:val="00F80E95"/>
    <w:rsid w:val="00F8147F"/>
    <w:rsid w:val="00F814E6"/>
    <w:rsid w:val="00F81CA6"/>
    <w:rsid w:val="00F82AA6"/>
    <w:rsid w:val="00F82C18"/>
    <w:rsid w:val="00F8314A"/>
    <w:rsid w:val="00F83421"/>
    <w:rsid w:val="00F83EBC"/>
    <w:rsid w:val="00F84252"/>
    <w:rsid w:val="00F84419"/>
    <w:rsid w:val="00F84654"/>
    <w:rsid w:val="00F851D8"/>
    <w:rsid w:val="00F8537F"/>
    <w:rsid w:val="00F856F7"/>
    <w:rsid w:val="00F85874"/>
    <w:rsid w:val="00F8587B"/>
    <w:rsid w:val="00F85C9E"/>
    <w:rsid w:val="00F8626D"/>
    <w:rsid w:val="00F86FF4"/>
    <w:rsid w:val="00F87039"/>
    <w:rsid w:val="00F874A1"/>
    <w:rsid w:val="00F87657"/>
    <w:rsid w:val="00F87747"/>
    <w:rsid w:val="00F87926"/>
    <w:rsid w:val="00F87BC0"/>
    <w:rsid w:val="00F87E32"/>
    <w:rsid w:val="00F87F28"/>
    <w:rsid w:val="00F900D4"/>
    <w:rsid w:val="00F9054C"/>
    <w:rsid w:val="00F91048"/>
    <w:rsid w:val="00F9132D"/>
    <w:rsid w:val="00F915C5"/>
    <w:rsid w:val="00F919D2"/>
    <w:rsid w:val="00F91B4B"/>
    <w:rsid w:val="00F921E2"/>
    <w:rsid w:val="00F922E9"/>
    <w:rsid w:val="00F927C0"/>
    <w:rsid w:val="00F92D19"/>
    <w:rsid w:val="00F92EAF"/>
    <w:rsid w:val="00F93604"/>
    <w:rsid w:val="00F93BE4"/>
    <w:rsid w:val="00F93CE0"/>
    <w:rsid w:val="00F9425D"/>
    <w:rsid w:val="00F94F0A"/>
    <w:rsid w:val="00F9529E"/>
    <w:rsid w:val="00F95A3E"/>
    <w:rsid w:val="00F95CED"/>
    <w:rsid w:val="00F9602E"/>
    <w:rsid w:val="00F961CC"/>
    <w:rsid w:val="00F96550"/>
    <w:rsid w:val="00F965A8"/>
    <w:rsid w:val="00F96928"/>
    <w:rsid w:val="00F96C3E"/>
    <w:rsid w:val="00F96D1A"/>
    <w:rsid w:val="00F9708D"/>
    <w:rsid w:val="00F974B3"/>
    <w:rsid w:val="00F976C6"/>
    <w:rsid w:val="00F97741"/>
    <w:rsid w:val="00F97981"/>
    <w:rsid w:val="00FA012C"/>
    <w:rsid w:val="00FA037D"/>
    <w:rsid w:val="00FA0869"/>
    <w:rsid w:val="00FA0994"/>
    <w:rsid w:val="00FA1874"/>
    <w:rsid w:val="00FA1F48"/>
    <w:rsid w:val="00FA21A5"/>
    <w:rsid w:val="00FA2519"/>
    <w:rsid w:val="00FA25A1"/>
    <w:rsid w:val="00FA2A5F"/>
    <w:rsid w:val="00FA2AFE"/>
    <w:rsid w:val="00FA2E82"/>
    <w:rsid w:val="00FA3500"/>
    <w:rsid w:val="00FA3760"/>
    <w:rsid w:val="00FA47D3"/>
    <w:rsid w:val="00FA4FCB"/>
    <w:rsid w:val="00FA597E"/>
    <w:rsid w:val="00FA5A44"/>
    <w:rsid w:val="00FA64B2"/>
    <w:rsid w:val="00FA65BD"/>
    <w:rsid w:val="00FA6D9C"/>
    <w:rsid w:val="00FA70C1"/>
    <w:rsid w:val="00FA70E7"/>
    <w:rsid w:val="00FA7E26"/>
    <w:rsid w:val="00FB02AD"/>
    <w:rsid w:val="00FB090D"/>
    <w:rsid w:val="00FB0FBE"/>
    <w:rsid w:val="00FB10D9"/>
    <w:rsid w:val="00FB10E4"/>
    <w:rsid w:val="00FB1245"/>
    <w:rsid w:val="00FB178D"/>
    <w:rsid w:val="00FB225F"/>
    <w:rsid w:val="00FB279B"/>
    <w:rsid w:val="00FB27C7"/>
    <w:rsid w:val="00FB29E6"/>
    <w:rsid w:val="00FB2C5B"/>
    <w:rsid w:val="00FB2C75"/>
    <w:rsid w:val="00FB2E79"/>
    <w:rsid w:val="00FB3043"/>
    <w:rsid w:val="00FB364D"/>
    <w:rsid w:val="00FB3678"/>
    <w:rsid w:val="00FB402A"/>
    <w:rsid w:val="00FB4110"/>
    <w:rsid w:val="00FB441B"/>
    <w:rsid w:val="00FB4CD1"/>
    <w:rsid w:val="00FB4E6D"/>
    <w:rsid w:val="00FB51A7"/>
    <w:rsid w:val="00FB562D"/>
    <w:rsid w:val="00FB5B40"/>
    <w:rsid w:val="00FB5BD5"/>
    <w:rsid w:val="00FB60AA"/>
    <w:rsid w:val="00FB6548"/>
    <w:rsid w:val="00FB65F1"/>
    <w:rsid w:val="00FB6B6F"/>
    <w:rsid w:val="00FB6CCD"/>
    <w:rsid w:val="00FB6D20"/>
    <w:rsid w:val="00FB6EFE"/>
    <w:rsid w:val="00FB7022"/>
    <w:rsid w:val="00FB777A"/>
    <w:rsid w:val="00FC0403"/>
    <w:rsid w:val="00FC0952"/>
    <w:rsid w:val="00FC0C58"/>
    <w:rsid w:val="00FC141A"/>
    <w:rsid w:val="00FC1C95"/>
    <w:rsid w:val="00FC2046"/>
    <w:rsid w:val="00FC25DB"/>
    <w:rsid w:val="00FC2D96"/>
    <w:rsid w:val="00FC302D"/>
    <w:rsid w:val="00FC307F"/>
    <w:rsid w:val="00FC31A4"/>
    <w:rsid w:val="00FC3BC6"/>
    <w:rsid w:val="00FC3EFB"/>
    <w:rsid w:val="00FC438C"/>
    <w:rsid w:val="00FC441B"/>
    <w:rsid w:val="00FC45BE"/>
    <w:rsid w:val="00FC4822"/>
    <w:rsid w:val="00FC4BFA"/>
    <w:rsid w:val="00FC4CD2"/>
    <w:rsid w:val="00FC4E05"/>
    <w:rsid w:val="00FC4E9C"/>
    <w:rsid w:val="00FC504E"/>
    <w:rsid w:val="00FC540B"/>
    <w:rsid w:val="00FC6334"/>
    <w:rsid w:val="00FC63C2"/>
    <w:rsid w:val="00FC697A"/>
    <w:rsid w:val="00FC71D4"/>
    <w:rsid w:val="00FC71DA"/>
    <w:rsid w:val="00FC7479"/>
    <w:rsid w:val="00FC76F2"/>
    <w:rsid w:val="00FD0D00"/>
    <w:rsid w:val="00FD0E1A"/>
    <w:rsid w:val="00FD0EBB"/>
    <w:rsid w:val="00FD0ED3"/>
    <w:rsid w:val="00FD0EDC"/>
    <w:rsid w:val="00FD14C3"/>
    <w:rsid w:val="00FD1A55"/>
    <w:rsid w:val="00FD1EBA"/>
    <w:rsid w:val="00FD206C"/>
    <w:rsid w:val="00FD2131"/>
    <w:rsid w:val="00FD22A6"/>
    <w:rsid w:val="00FD2889"/>
    <w:rsid w:val="00FD28F6"/>
    <w:rsid w:val="00FD2A57"/>
    <w:rsid w:val="00FD2B74"/>
    <w:rsid w:val="00FD2B81"/>
    <w:rsid w:val="00FD2EC3"/>
    <w:rsid w:val="00FD2FC0"/>
    <w:rsid w:val="00FD349B"/>
    <w:rsid w:val="00FD3670"/>
    <w:rsid w:val="00FD374C"/>
    <w:rsid w:val="00FD448E"/>
    <w:rsid w:val="00FD44B7"/>
    <w:rsid w:val="00FD4A5C"/>
    <w:rsid w:val="00FD5672"/>
    <w:rsid w:val="00FD571E"/>
    <w:rsid w:val="00FD5939"/>
    <w:rsid w:val="00FD5EDA"/>
    <w:rsid w:val="00FD5F51"/>
    <w:rsid w:val="00FD60AE"/>
    <w:rsid w:val="00FD645B"/>
    <w:rsid w:val="00FD6549"/>
    <w:rsid w:val="00FD6670"/>
    <w:rsid w:val="00FD70D2"/>
    <w:rsid w:val="00FD72F1"/>
    <w:rsid w:val="00FD75A4"/>
    <w:rsid w:val="00FD7650"/>
    <w:rsid w:val="00FD781A"/>
    <w:rsid w:val="00FD7C5A"/>
    <w:rsid w:val="00FE04ED"/>
    <w:rsid w:val="00FE05C8"/>
    <w:rsid w:val="00FE0AD3"/>
    <w:rsid w:val="00FE0B42"/>
    <w:rsid w:val="00FE0BCA"/>
    <w:rsid w:val="00FE0DFD"/>
    <w:rsid w:val="00FE11ED"/>
    <w:rsid w:val="00FE1B12"/>
    <w:rsid w:val="00FE2041"/>
    <w:rsid w:val="00FE2193"/>
    <w:rsid w:val="00FE28E4"/>
    <w:rsid w:val="00FE2A1D"/>
    <w:rsid w:val="00FE38C3"/>
    <w:rsid w:val="00FE3B30"/>
    <w:rsid w:val="00FE3B50"/>
    <w:rsid w:val="00FE3B92"/>
    <w:rsid w:val="00FE3C1A"/>
    <w:rsid w:val="00FE3F04"/>
    <w:rsid w:val="00FE4586"/>
    <w:rsid w:val="00FE4B98"/>
    <w:rsid w:val="00FE5039"/>
    <w:rsid w:val="00FE534B"/>
    <w:rsid w:val="00FE5428"/>
    <w:rsid w:val="00FE580F"/>
    <w:rsid w:val="00FE6892"/>
    <w:rsid w:val="00FE6AD6"/>
    <w:rsid w:val="00FE7EEA"/>
    <w:rsid w:val="00FF0572"/>
    <w:rsid w:val="00FF0DF6"/>
    <w:rsid w:val="00FF13FC"/>
    <w:rsid w:val="00FF171B"/>
    <w:rsid w:val="00FF1795"/>
    <w:rsid w:val="00FF227E"/>
    <w:rsid w:val="00FF2906"/>
    <w:rsid w:val="00FF2A58"/>
    <w:rsid w:val="00FF3B04"/>
    <w:rsid w:val="00FF3B20"/>
    <w:rsid w:val="00FF3E20"/>
    <w:rsid w:val="00FF3FE7"/>
    <w:rsid w:val="00FF425A"/>
    <w:rsid w:val="00FF4467"/>
    <w:rsid w:val="00FF4631"/>
    <w:rsid w:val="00FF4809"/>
    <w:rsid w:val="00FF48AA"/>
    <w:rsid w:val="00FF4F74"/>
    <w:rsid w:val="00FF5620"/>
    <w:rsid w:val="00FF57B7"/>
    <w:rsid w:val="00FF5A7F"/>
    <w:rsid w:val="00FF6696"/>
    <w:rsid w:val="00FF6B7D"/>
    <w:rsid w:val="00FF6CED"/>
    <w:rsid w:val="00FF6D0B"/>
    <w:rsid w:val="00FF6FB9"/>
    <w:rsid w:val="00FF7023"/>
    <w:rsid w:val="00FF7394"/>
    <w:rsid w:val="00FF7D65"/>
    <w:rsid w:val="07D66E29"/>
    <w:rsid w:val="08C20D6E"/>
    <w:rsid w:val="0E080BE8"/>
    <w:rsid w:val="0E08EA0F"/>
    <w:rsid w:val="0E5D2791"/>
    <w:rsid w:val="0EFB935B"/>
    <w:rsid w:val="1150B4B0"/>
    <w:rsid w:val="120C5321"/>
    <w:rsid w:val="127555EC"/>
    <w:rsid w:val="12F5D35D"/>
    <w:rsid w:val="14EEAB5F"/>
    <w:rsid w:val="1567BFA6"/>
    <w:rsid w:val="15D2A71E"/>
    <w:rsid w:val="1716B222"/>
    <w:rsid w:val="17859097"/>
    <w:rsid w:val="183ACB9B"/>
    <w:rsid w:val="189E4303"/>
    <w:rsid w:val="1A8BFF21"/>
    <w:rsid w:val="1E34B417"/>
    <w:rsid w:val="1EC0E32F"/>
    <w:rsid w:val="1F25D20B"/>
    <w:rsid w:val="1F6EF921"/>
    <w:rsid w:val="1FBF5DD3"/>
    <w:rsid w:val="1FE59EB8"/>
    <w:rsid w:val="205884E0"/>
    <w:rsid w:val="20D961AB"/>
    <w:rsid w:val="220D4A33"/>
    <w:rsid w:val="22239815"/>
    <w:rsid w:val="24A31704"/>
    <w:rsid w:val="24DFED9C"/>
    <w:rsid w:val="2550125F"/>
    <w:rsid w:val="25E34E89"/>
    <w:rsid w:val="28FBB4A9"/>
    <w:rsid w:val="2D6DF596"/>
    <w:rsid w:val="2DC5F578"/>
    <w:rsid w:val="307B50C5"/>
    <w:rsid w:val="33B9C54D"/>
    <w:rsid w:val="34711554"/>
    <w:rsid w:val="34C5E654"/>
    <w:rsid w:val="357AF0AB"/>
    <w:rsid w:val="35ED56E8"/>
    <w:rsid w:val="36F8B7E7"/>
    <w:rsid w:val="387B6BD5"/>
    <w:rsid w:val="39F84261"/>
    <w:rsid w:val="3A242B49"/>
    <w:rsid w:val="3A2A17F5"/>
    <w:rsid w:val="3A770693"/>
    <w:rsid w:val="3C6DDD84"/>
    <w:rsid w:val="3DF9151E"/>
    <w:rsid w:val="40397C4B"/>
    <w:rsid w:val="4211F06C"/>
    <w:rsid w:val="42B0C6D1"/>
    <w:rsid w:val="449FD065"/>
    <w:rsid w:val="45ABA20E"/>
    <w:rsid w:val="46D07C71"/>
    <w:rsid w:val="4A2C57F7"/>
    <w:rsid w:val="4EB17A99"/>
    <w:rsid w:val="51167034"/>
    <w:rsid w:val="518E42C7"/>
    <w:rsid w:val="5195342E"/>
    <w:rsid w:val="51C43486"/>
    <w:rsid w:val="528CFBE2"/>
    <w:rsid w:val="5524ECE6"/>
    <w:rsid w:val="568CD4EE"/>
    <w:rsid w:val="57BC9F96"/>
    <w:rsid w:val="57F15D27"/>
    <w:rsid w:val="58E7DA63"/>
    <w:rsid w:val="59654A18"/>
    <w:rsid w:val="5A8A0440"/>
    <w:rsid w:val="5A91FBD6"/>
    <w:rsid w:val="5B7F31B2"/>
    <w:rsid w:val="5BD5DD68"/>
    <w:rsid w:val="5DD25E6D"/>
    <w:rsid w:val="5F077494"/>
    <w:rsid w:val="60EA718B"/>
    <w:rsid w:val="619C28A6"/>
    <w:rsid w:val="639BEABD"/>
    <w:rsid w:val="66AEE31A"/>
    <w:rsid w:val="67031545"/>
    <w:rsid w:val="67FD699F"/>
    <w:rsid w:val="69146465"/>
    <w:rsid w:val="6D83C18D"/>
    <w:rsid w:val="6DCECC53"/>
    <w:rsid w:val="6F5993B3"/>
    <w:rsid w:val="7266E76C"/>
    <w:rsid w:val="72D1B8A0"/>
    <w:rsid w:val="74D7B541"/>
    <w:rsid w:val="752A33F4"/>
    <w:rsid w:val="756D29F6"/>
    <w:rsid w:val="75B4173B"/>
    <w:rsid w:val="7669FAE8"/>
    <w:rsid w:val="76C497FC"/>
    <w:rsid w:val="77A45C3F"/>
    <w:rsid w:val="784BE879"/>
    <w:rsid w:val="78FE5399"/>
    <w:rsid w:val="7A5F5221"/>
    <w:rsid w:val="7BA85CB0"/>
    <w:rsid w:val="7CC96CF3"/>
    <w:rsid w:val="7E2489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83A2E6"/>
  <w15:docId w15:val="{CC81C460-E902-4A28-91D8-BEDE52B6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5" w:unhideWhenUsed="1"/>
    <w:lsdException w:name="annotation text" w:uiPriority="49"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5" w:unhideWhenUsed="1"/>
    <w:lsdException w:name="annotation reference"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2D49"/>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14"/>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Id w:val="5"/>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remove 5,-25.,DO NOT USE 5,Further Points,Further Points1,Further Points2,Further Points3,Further Points4,Further Points5,Further Points6,Appendix"/>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Main,DO NOT USE 6,Points in Text,Points in Text1,Points in Text2,Points in Text3,Points in Text4,Points in Text5,Points in Text6,Points in Text7,not Kinhill,I"/>
    <w:basedOn w:val="Heading1"/>
    <w:next w:val="BodyText"/>
    <w:link w:val="Heading6Char"/>
    <w:qFormat/>
    <w:rsid w:val="00F4477B"/>
    <w:pPr>
      <w:numPr>
        <w:ilvl w:val="5"/>
      </w:numPr>
      <w:outlineLvl w:val="5"/>
    </w:pPr>
    <w:rPr>
      <w:bCs/>
    </w:rPr>
  </w:style>
  <w:style w:type="paragraph" w:styleId="Heading7">
    <w:name w:val="heading 7"/>
    <w:aliases w:val="Indented hyphen,L2 PIP,H7,Heading 7(unused),Heading 7(unused)1,DO NOT USE 7,Legal Level 1.1.,not Kinhill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DO NOT USE,DO NOT USE 8,Legal Level 1.1.1."/>
    <w:basedOn w:val="Heading3"/>
    <w:next w:val="BodyText"/>
    <w:link w:val="Heading8Char"/>
    <w:qFormat/>
    <w:rsid w:val="00160C29"/>
    <w:pPr>
      <w:numPr>
        <w:ilvl w:val="7"/>
      </w:numPr>
      <w:outlineLvl w:val="7"/>
    </w:pPr>
  </w:style>
  <w:style w:type="paragraph" w:styleId="Heading9">
    <w:name w:val="heading 9"/>
    <w:aliases w:val="Spare5,H9,Heading 9(unused),Heading 9(unused)1,DO NOT USE 9,Legal Level 1.1.1.1."/>
    <w:basedOn w:val="Heading4"/>
    <w:next w:val="BodyText"/>
    <w:link w:val="Heading9Char"/>
    <w:qFormat/>
    <w:rsid w:val="00160C29"/>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9"/>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15"/>
      </w:numPr>
      <w:spacing w:before="70"/>
    </w:pPr>
  </w:style>
  <w:style w:type="paragraph" w:styleId="ListBullet">
    <w:name w:val="List Bullet"/>
    <w:aliases w:val="Char, Char"/>
    <w:basedOn w:val="BodyText"/>
    <w:link w:val="ListBulletChar"/>
    <w:uiPriority w:val="2"/>
    <w:qFormat/>
    <w:rsid w:val="00160C29"/>
    <w:pPr>
      <w:numPr>
        <w:numId w:val="9"/>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t1,Body"/>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5"/>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t1 Char,Body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99"/>
    <w:unhideWhenUsed/>
    <w:qFormat/>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qFormat/>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link w:val="ListBullet2Char"/>
    <w:uiPriority w:val="2"/>
    <w:qFormat/>
    <w:rsid w:val="004C31EE"/>
    <w:pPr>
      <w:numPr>
        <w:ilvl w:val="1"/>
      </w:numPr>
      <w:spacing w:before="40"/>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remove 5 Char,-25. Char,DO NOT USE 5 Char,Further Points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Main Char,DO NOT USE 6 Char,Points in Text Char,Points in Text1 Char,Points in Text2 Char,Points in Text3 Char"/>
    <w:basedOn w:val="DefaultParagraphFont"/>
    <w:link w:val="Heading6"/>
    <w:rsid w:val="00F4477B"/>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DO NOT USE 7 Char,Legal Level 1.1. Char,not Kinhill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DO NOT USE Char,DO NOT USE 8 Char,Legal Level 1.1.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DO NOT USE 9 Char,Legal Level 1.1.1.1. Char"/>
    <w:basedOn w:val="DefaultParagraphFont"/>
    <w:link w:val="Heading9"/>
    <w:rsid w:val="00160C29"/>
    <w:rPr>
      <w:rFonts w:eastAsia="Times New Roman"/>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8"/>
      </w:numPr>
      <w:spacing w:before="80"/>
    </w:pPr>
    <w:rPr>
      <w:rFonts w:ascii="Franklin Gothic Book" w:eastAsia="MS Mincho" w:hAnsi="Franklin Gothic Book" w:cs="MS Mincho"/>
    </w:rPr>
  </w:style>
  <w:style w:type="paragraph" w:customStyle="1" w:styleId="Reference">
    <w:name w:val="Reference"/>
    <w:basedOn w:val="BodyText"/>
    <w:uiPriority w:val="3"/>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7"/>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B4609"/>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0"/>
      </w:numPr>
    </w:pPr>
  </w:style>
  <w:style w:type="paragraph" w:customStyle="1" w:styleId="PartNumber">
    <w:name w:val="Part Number"/>
    <w:basedOn w:val="Reporttype"/>
    <w:uiPriority w:val="34"/>
    <w:semiHidden/>
    <w:rsid w:val="006E03FF"/>
  </w:style>
  <w:style w:type="paragraph" w:customStyle="1" w:styleId="PartTitle">
    <w:name w:val="Part Title"/>
    <w:basedOn w:val="Title"/>
    <w:link w:val="PartTitleChar"/>
    <w:uiPriority w:val="34"/>
    <w:semiHidden/>
    <w:rsid w:val="00145444"/>
    <w:pPr>
      <w:spacing w:line="440" w:lineRule="atLeast"/>
    </w:pPr>
    <w:rPr>
      <w:sz w:val="36"/>
    </w:rPr>
  </w:style>
  <w:style w:type="character" w:customStyle="1" w:styleId="PartTitleChar">
    <w:name w:val="Part Title Char"/>
    <w:basedOn w:val="TitleChar"/>
    <w:link w:val="PartTitle"/>
    <w:uiPriority w:val="34"/>
    <w:semiHidden/>
    <w:rsid w:val="007B3F04"/>
    <w:rPr>
      <w:rFonts w:asciiTheme="majorHAnsi" w:eastAsia="Times New Roman" w:hAnsiTheme="majorHAnsi"/>
      <w:spacing w:val="-2"/>
      <w:kern w:val="28"/>
      <w:sz w:val="36"/>
      <w:szCs w:val="48"/>
    </w:rPr>
  </w:style>
  <w:style w:type="character" w:customStyle="1" w:styleId="ListBulletChar">
    <w:name w:val="List Bullet Char"/>
    <w:aliases w:val="Char Char, Char Char"/>
    <w:link w:val="ListBullet"/>
    <w:uiPriority w:val="2"/>
    <w:locked/>
    <w:rsid w:val="00160C29"/>
    <w:rPr>
      <w:rFonts w:asciiTheme="minorHAnsi" w:eastAsia="Times New Roman" w:hAnsiTheme="minorHAnsi"/>
    </w:rPr>
  </w:style>
  <w:style w:type="paragraph" w:styleId="TOC4">
    <w:name w:val="toc 4"/>
    <w:basedOn w:val="TOC1"/>
    <w:next w:val="TOC1"/>
    <w:uiPriority w:val="39"/>
    <w:semiHidden/>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160C29"/>
    <w:pPr>
      <w:ind w:left="720"/>
      <w:contextualSpacing/>
    </w:pPr>
  </w:style>
  <w:style w:type="character" w:customStyle="1" w:styleId="CaptionChar">
    <w:name w:val="Caption Char"/>
    <w:basedOn w:val="BodyTextChar"/>
    <w:link w:val="Caption"/>
    <w:uiPriority w:val="99"/>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1"/>
      </w:numPr>
    </w:pPr>
  </w:style>
  <w:style w:type="numbering" w:customStyle="1" w:styleId="NoteListNumber">
    <w:name w:val="NoteListNumber"/>
    <w:uiPriority w:val="99"/>
    <w:rsid w:val="00E864C1"/>
    <w:pPr>
      <w:numPr>
        <w:numId w:val="12"/>
      </w:numPr>
    </w:pPr>
  </w:style>
  <w:style w:type="paragraph" w:styleId="NormalWeb">
    <w:name w:val="Normal (Web)"/>
    <w:basedOn w:val="Normal"/>
    <w:uiPriority w:val="99"/>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3"/>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D36422"/>
    <w:pPr>
      <w:spacing w:before="284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TableTextEntriesChar">
    <w:name w:val="Table Text Entries Char"/>
    <w:basedOn w:val="DefaultParagraphFont"/>
    <w:link w:val="TableTextEntries"/>
    <w:uiPriority w:val="13"/>
    <w:locked/>
    <w:rsid w:val="00E4023A"/>
    <w:rPr>
      <w:rFonts w:ascii="Franklin Gothic Book" w:eastAsia="Times New Roman" w:hAnsi="Franklin Gothic Book"/>
      <w:sz w:val="16"/>
      <w:szCs w:val="18"/>
      <w:lang w:eastAsia="en-US"/>
    </w:rPr>
  </w:style>
  <w:style w:type="character" w:customStyle="1" w:styleId="SourceChar">
    <w:name w:val="Source Char"/>
    <w:basedOn w:val="DefaultParagraphFont"/>
    <w:link w:val="Source"/>
    <w:uiPriority w:val="16"/>
    <w:locked/>
    <w:rsid w:val="00E4023A"/>
    <w:rPr>
      <w:rFonts w:ascii="Franklin Gothic Book" w:eastAsia="Times New Roman" w:hAnsi="Franklin Gothic Book"/>
      <w:sz w:val="14"/>
      <w:szCs w:val="16"/>
      <w:lang w:eastAsia="en-US"/>
    </w:rPr>
  </w:style>
  <w:style w:type="character" w:customStyle="1" w:styleId="ListBullet2Char">
    <w:name w:val="List Bullet 2 Char"/>
    <w:basedOn w:val="DefaultParagraphFont"/>
    <w:link w:val="ListBullet2"/>
    <w:uiPriority w:val="2"/>
    <w:locked/>
    <w:rsid w:val="00E4023A"/>
    <w:rPr>
      <w:rFonts w:asciiTheme="minorHAnsi" w:eastAsia="Times New Roman" w:hAnsiTheme="minorHAnsi"/>
    </w:rPr>
  </w:style>
  <w:style w:type="paragraph" w:styleId="PlainText">
    <w:name w:val="Plain Text"/>
    <w:basedOn w:val="Normal"/>
    <w:link w:val="PlainTextChar"/>
    <w:uiPriority w:val="99"/>
    <w:semiHidden/>
    <w:unhideWhenUsed/>
    <w:rsid w:val="00E4023A"/>
    <w:pPr>
      <w:spacing w:line="240" w:lineRule="auto"/>
    </w:pPr>
    <w:rPr>
      <w:rFonts w:ascii="Calibri" w:eastAsiaTheme="minorHAnsi" w:hAnsi="Calibri" w:cstheme="minorBidi"/>
      <w:sz w:val="22"/>
      <w:lang w:eastAsia="en-US"/>
    </w:rPr>
  </w:style>
  <w:style w:type="character" w:customStyle="1" w:styleId="PlainTextChar">
    <w:name w:val="Plain Text Char"/>
    <w:basedOn w:val="DefaultParagraphFont"/>
    <w:link w:val="PlainText"/>
    <w:uiPriority w:val="99"/>
    <w:semiHidden/>
    <w:rsid w:val="00E4023A"/>
    <w:rPr>
      <w:rFonts w:ascii="Calibri" w:eastAsiaTheme="minorHAnsi" w:hAnsi="Calibri" w:cstheme="minorBidi"/>
      <w:sz w:val="22"/>
      <w:lang w:eastAsia="en-US"/>
    </w:rPr>
  </w:style>
  <w:style w:type="character" w:styleId="Emphasis">
    <w:name w:val="Emphasis"/>
    <w:basedOn w:val="DefaultParagraphFont"/>
    <w:uiPriority w:val="20"/>
    <w:qFormat/>
    <w:rsid w:val="00E4023A"/>
    <w:rPr>
      <w:i/>
      <w:iCs/>
    </w:rPr>
  </w:style>
  <w:style w:type="character" w:customStyle="1" w:styleId="UnresolvedMention1">
    <w:name w:val="Unresolved Mention1"/>
    <w:basedOn w:val="DefaultParagraphFont"/>
    <w:uiPriority w:val="99"/>
    <w:semiHidden/>
    <w:unhideWhenUsed/>
    <w:rsid w:val="00E4023A"/>
    <w:rPr>
      <w:color w:val="605E5C"/>
      <w:shd w:val="clear" w:color="auto" w:fill="E1DFDD"/>
    </w:rPr>
  </w:style>
  <w:style w:type="paragraph" w:customStyle="1" w:styleId="SingleTxtG">
    <w:name w:val="_ Single Txt_G"/>
    <w:basedOn w:val="Normal"/>
    <w:link w:val="SingleTxtGChar"/>
    <w:qFormat/>
    <w:rsid w:val="00E4023A"/>
    <w:pPr>
      <w:suppressAutoHyphens/>
      <w:kinsoku w:val="0"/>
      <w:overflowPunct w:val="0"/>
      <w:autoSpaceDE w:val="0"/>
      <w:autoSpaceDN w:val="0"/>
      <w:adjustRightInd w:val="0"/>
      <w:snapToGrid w:val="0"/>
      <w:spacing w:after="120" w:line="240" w:lineRule="atLeast"/>
      <w:ind w:left="1134" w:right="1134"/>
      <w:jc w:val="both"/>
    </w:pPr>
    <w:rPr>
      <w:rFonts w:ascii="Times New Roman" w:eastAsiaTheme="minorHAnsi" w:hAnsi="Times New Roman"/>
      <w:sz w:val="20"/>
      <w:szCs w:val="20"/>
      <w:lang w:val="en-GB" w:eastAsia="en-US"/>
    </w:rPr>
  </w:style>
  <w:style w:type="character" w:customStyle="1" w:styleId="SingleTxtGChar">
    <w:name w:val="_ Single Txt_G Char"/>
    <w:link w:val="SingleTxtG"/>
    <w:locked/>
    <w:rsid w:val="00E4023A"/>
    <w:rPr>
      <w:rFonts w:ascii="Times New Roman" w:eastAsiaTheme="minorHAnsi" w:hAnsi="Times New Roman"/>
      <w:sz w:val="20"/>
      <w:szCs w:val="20"/>
      <w:lang w:val="en-GB" w:eastAsia="en-US"/>
    </w:rPr>
  </w:style>
  <w:style w:type="character" w:customStyle="1" w:styleId="UnresolvedMention11">
    <w:name w:val="Unresolved Mention11"/>
    <w:basedOn w:val="DefaultParagraphFont"/>
    <w:uiPriority w:val="99"/>
    <w:semiHidden/>
    <w:unhideWhenUsed/>
    <w:rsid w:val="00E4023A"/>
    <w:rPr>
      <w:color w:val="605E5C"/>
      <w:shd w:val="clear" w:color="auto" w:fill="E1DFDD"/>
    </w:rPr>
  </w:style>
  <w:style w:type="paragraph" w:customStyle="1" w:styleId="BoardText">
    <w:name w:val="Board_Text"/>
    <w:basedOn w:val="Normal"/>
    <w:link w:val="BoardTextChar"/>
    <w:rsid w:val="00E4023A"/>
    <w:pPr>
      <w:spacing w:after="120" w:line="240" w:lineRule="auto"/>
    </w:pPr>
    <w:rPr>
      <w:rFonts w:ascii="Arial" w:eastAsia="Times New Roman" w:hAnsi="Arial"/>
      <w:sz w:val="24"/>
      <w:szCs w:val="20"/>
      <w:lang w:eastAsia="en-US"/>
    </w:rPr>
  </w:style>
  <w:style w:type="character" w:customStyle="1" w:styleId="BoardTextChar">
    <w:name w:val="Board_Text Char"/>
    <w:link w:val="BoardText"/>
    <w:rsid w:val="00E4023A"/>
    <w:rPr>
      <w:rFonts w:ascii="Arial" w:eastAsia="Times New Roman" w:hAnsi="Arial"/>
      <w:sz w:val="24"/>
      <w:szCs w:val="20"/>
      <w:lang w:eastAsia="en-US"/>
    </w:rPr>
  </w:style>
  <w:style w:type="character" w:customStyle="1" w:styleId="UnresolvedMention2">
    <w:name w:val="Unresolved Mention2"/>
    <w:basedOn w:val="DefaultParagraphFont"/>
    <w:uiPriority w:val="99"/>
    <w:semiHidden/>
    <w:unhideWhenUsed/>
    <w:rsid w:val="00E4023A"/>
    <w:rPr>
      <w:color w:val="605E5C"/>
      <w:shd w:val="clear" w:color="auto" w:fill="E1DFDD"/>
    </w:rPr>
  </w:style>
  <w:style w:type="character" w:customStyle="1" w:styleId="the-question">
    <w:name w:val="the-question"/>
    <w:basedOn w:val="DefaultParagraphFont"/>
    <w:rsid w:val="00E4023A"/>
  </w:style>
  <w:style w:type="paragraph" w:customStyle="1" w:styleId="Default">
    <w:name w:val="Default"/>
    <w:rsid w:val="00E4023A"/>
    <w:pPr>
      <w:autoSpaceDE w:val="0"/>
      <w:autoSpaceDN w:val="0"/>
      <w:adjustRightInd w:val="0"/>
      <w:spacing w:before="0" w:line="240" w:lineRule="auto"/>
    </w:pPr>
    <w:rPr>
      <w:rFonts w:ascii="Times New Roman" w:hAnsi="Times New Roman"/>
      <w:color w:val="000000"/>
      <w:sz w:val="24"/>
      <w:szCs w:val="24"/>
      <w:lang w:val="en-GB"/>
    </w:rPr>
  </w:style>
  <w:style w:type="character" w:customStyle="1" w:styleId="UnresolvedMention3">
    <w:name w:val="Unresolved Mention3"/>
    <w:basedOn w:val="DefaultParagraphFont"/>
    <w:uiPriority w:val="99"/>
    <w:semiHidden/>
    <w:unhideWhenUsed/>
    <w:rsid w:val="00E4023A"/>
    <w:rPr>
      <w:color w:val="605E5C"/>
      <w:shd w:val="clear" w:color="auto" w:fill="E1DFDD"/>
    </w:rPr>
  </w:style>
  <w:style w:type="character" w:customStyle="1" w:styleId="UnresolvedMention4">
    <w:name w:val="Unresolved Mention4"/>
    <w:basedOn w:val="DefaultParagraphFont"/>
    <w:uiPriority w:val="99"/>
    <w:semiHidden/>
    <w:unhideWhenUsed/>
    <w:rsid w:val="00E4023A"/>
    <w:rPr>
      <w:color w:val="605E5C"/>
      <w:shd w:val="clear" w:color="auto" w:fill="E1DFDD"/>
    </w:rPr>
  </w:style>
  <w:style w:type="table" w:styleId="TableGridLight">
    <w:name w:val="Grid Table Light"/>
    <w:basedOn w:val="TableNormal"/>
    <w:uiPriority w:val="40"/>
    <w:rsid w:val="00F30A5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
    <w:name w:val="_"/>
    <w:basedOn w:val="DefaultParagraphFont"/>
    <w:rsid w:val="00CC68EA"/>
  </w:style>
  <w:style w:type="character" w:customStyle="1" w:styleId="lsa6">
    <w:name w:val="lsa6"/>
    <w:basedOn w:val="DefaultParagraphFont"/>
    <w:rsid w:val="00CC68EA"/>
  </w:style>
  <w:style w:type="character" w:customStyle="1" w:styleId="ls4a">
    <w:name w:val="ls4a"/>
    <w:basedOn w:val="DefaultParagraphFont"/>
    <w:rsid w:val="00CC68EA"/>
  </w:style>
  <w:style w:type="character" w:customStyle="1" w:styleId="ls25">
    <w:name w:val="ls25"/>
    <w:basedOn w:val="DefaultParagraphFont"/>
    <w:rsid w:val="00CC68EA"/>
  </w:style>
  <w:style w:type="character" w:customStyle="1" w:styleId="ls28">
    <w:name w:val="ls28"/>
    <w:basedOn w:val="DefaultParagraphFont"/>
    <w:rsid w:val="00CC68EA"/>
  </w:style>
  <w:style w:type="character" w:customStyle="1" w:styleId="ls3d">
    <w:name w:val="ls3d"/>
    <w:basedOn w:val="DefaultParagraphFont"/>
    <w:rsid w:val="00CC68EA"/>
  </w:style>
  <w:style w:type="character" w:customStyle="1" w:styleId="lsa7">
    <w:name w:val="lsa7"/>
    <w:basedOn w:val="DefaultParagraphFont"/>
    <w:rsid w:val="00CC68EA"/>
  </w:style>
  <w:style w:type="character" w:customStyle="1" w:styleId="ls3c">
    <w:name w:val="ls3c"/>
    <w:basedOn w:val="DefaultParagraphFont"/>
    <w:rsid w:val="00CC68EA"/>
  </w:style>
  <w:style w:type="character" w:customStyle="1" w:styleId="ls5e">
    <w:name w:val="ls5e"/>
    <w:basedOn w:val="DefaultParagraphFont"/>
    <w:rsid w:val="00CC68EA"/>
  </w:style>
  <w:style w:type="character" w:customStyle="1" w:styleId="ls60">
    <w:name w:val="ls60"/>
    <w:basedOn w:val="DefaultParagraphFont"/>
    <w:rsid w:val="00CC68EA"/>
  </w:style>
  <w:style w:type="character" w:customStyle="1" w:styleId="lsa8">
    <w:name w:val="lsa8"/>
    <w:basedOn w:val="DefaultParagraphFont"/>
    <w:rsid w:val="00CC68EA"/>
  </w:style>
  <w:style w:type="character" w:customStyle="1" w:styleId="lsa9">
    <w:name w:val="lsa9"/>
    <w:basedOn w:val="DefaultParagraphFont"/>
    <w:rsid w:val="00CC68EA"/>
  </w:style>
  <w:style w:type="character" w:customStyle="1" w:styleId="lsaa">
    <w:name w:val="lsaa"/>
    <w:basedOn w:val="DefaultParagraphFont"/>
    <w:rsid w:val="00CC68EA"/>
  </w:style>
  <w:style w:type="character" w:customStyle="1" w:styleId="UnresolvedMention5">
    <w:name w:val="Unresolved Mention5"/>
    <w:basedOn w:val="DefaultParagraphFont"/>
    <w:uiPriority w:val="99"/>
    <w:semiHidden/>
    <w:unhideWhenUsed/>
    <w:rsid w:val="00E56783"/>
    <w:rPr>
      <w:color w:val="605E5C"/>
      <w:shd w:val="clear" w:color="auto" w:fill="E1DFDD"/>
    </w:rPr>
  </w:style>
  <w:style w:type="character" w:customStyle="1" w:styleId="UnresolvedMention6">
    <w:name w:val="Unresolved Mention6"/>
    <w:basedOn w:val="DefaultParagraphFont"/>
    <w:uiPriority w:val="99"/>
    <w:semiHidden/>
    <w:unhideWhenUsed/>
    <w:rsid w:val="00F11742"/>
    <w:rPr>
      <w:color w:val="605E5C"/>
      <w:shd w:val="clear" w:color="auto" w:fill="E1DFDD"/>
    </w:rPr>
  </w:style>
  <w:style w:type="character" w:customStyle="1" w:styleId="UnresolvedMention7">
    <w:name w:val="Unresolved Mention7"/>
    <w:basedOn w:val="DefaultParagraphFont"/>
    <w:uiPriority w:val="99"/>
    <w:semiHidden/>
    <w:unhideWhenUsed/>
    <w:rsid w:val="00822345"/>
    <w:rPr>
      <w:color w:val="605E5C"/>
      <w:shd w:val="clear" w:color="auto" w:fill="E1DFDD"/>
    </w:rPr>
  </w:style>
  <w:style w:type="character" w:customStyle="1" w:styleId="UnresolvedMention8">
    <w:name w:val="Unresolved Mention8"/>
    <w:basedOn w:val="DefaultParagraphFont"/>
    <w:uiPriority w:val="99"/>
    <w:semiHidden/>
    <w:unhideWhenUsed/>
    <w:rsid w:val="009F01AA"/>
    <w:rPr>
      <w:color w:val="605E5C"/>
      <w:shd w:val="clear" w:color="auto" w:fill="E1DFDD"/>
    </w:rPr>
  </w:style>
  <w:style w:type="character" w:customStyle="1" w:styleId="UnresolvedMention80">
    <w:name w:val="Unresolved Mention8"/>
    <w:basedOn w:val="DefaultParagraphFont"/>
    <w:uiPriority w:val="99"/>
    <w:semiHidden/>
    <w:unhideWhenUsed/>
    <w:rsid w:val="00D82CF8"/>
    <w:rPr>
      <w:color w:val="605E5C"/>
      <w:shd w:val="clear" w:color="auto" w:fill="E1DFDD"/>
    </w:rPr>
  </w:style>
  <w:style w:type="character" w:customStyle="1" w:styleId="UnresolvedMention9">
    <w:name w:val="Unresolved Mention9"/>
    <w:basedOn w:val="DefaultParagraphFont"/>
    <w:uiPriority w:val="99"/>
    <w:semiHidden/>
    <w:unhideWhenUsed/>
    <w:rsid w:val="00F36D18"/>
    <w:rPr>
      <w:color w:val="605E5C"/>
      <w:shd w:val="clear" w:color="auto" w:fill="E1DFDD"/>
    </w:rPr>
  </w:style>
  <w:style w:type="character" w:customStyle="1" w:styleId="UnresolvedMention81">
    <w:name w:val="Unresolved Mention81"/>
    <w:basedOn w:val="DefaultParagraphFont"/>
    <w:uiPriority w:val="99"/>
    <w:semiHidden/>
    <w:unhideWhenUsed/>
    <w:rsid w:val="000360BE"/>
    <w:rPr>
      <w:color w:val="605E5C"/>
      <w:shd w:val="clear" w:color="auto" w:fill="E1DFDD"/>
    </w:rPr>
  </w:style>
  <w:style w:type="paragraph" w:customStyle="1" w:styleId="Heading1-Appendix">
    <w:name w:val="Heading 1 - Appendix"/>
    <w:basedOn w:val="Heading6"/>
    <w:rsid w:val="00551D79"/>
    <w:pPr>
      <w:outlineLvl w:val="0"/>
    </w:pPr>
  </w:style>
  <w:style w:type="paragraph" w:customStyle="1" w:styleId="Heading2-Appendix">
    <w:name w:val="Heading 2 - Appendix"/>
    <w:basedOn w:val="Heading7"/>
    <w:rsid w:val="00551D79"/>
    <w:pPr>
      <w:outlineLvl w:val="1"/>
    </w:pPr>
    <w:rPr>
      <w:lang w:bidi="fa-IR"/>
    </w:rPr>
  </w:style>
  <w:style w:type="paragraph" w:customStyle="1" w:styleId="Heading3-Appendix">
    <w:name w:val="Heading 3 - Appendix"/>
    <w:basedOn w:val="Heading8"/>
    <w:rsid w:val="00551D79"/>
    <w:pPr>
      <w:outlineLvl w:val="2"/>
    </w:pPr>
  </w:style>
  <w:style w:type="paragraph" w:customStyle="1" w:styleId="Heading4-Appendix">
    <w:name w:val="Heading 4 - Appendix"/>
    <w:basedOn w:val="Heading9"/>
    <w:rsid w:val="00551D79"/>
    <w:pPr>
      <w:outlineLvl w:val="3"/>
    </w:pPr>
    <w:rPr>
      <w:lang w:bidi="fa-IR"/>
    </w:rPr>
  </w:style>
  <w:style w:type="paragraph" w:customStyle="1" w:styleId="Heading7-Appendix">
    <w:name w:val="Heading 7 - Appendix"/>
    <w:basedOn w:val="Heading9"/>
    <w:rsid w:val="00F4477B"/>
    <w:p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3853">
      <w:bodyDiv w:val="1"/>
      <w:marLeft w:val="0"/>
      <w:marRight w:val="0"/>
      <w:marTop w:val="0"/>
      <w:marBottom w:val="0"/>
      <w:divBdr>
        <w:top w:val="none" w:sz="0" w:space="0" w:color="auto"/>
        <w:left w:val="none" w:sz="0" w:space="0" w:color="auto"/>
        <w:bottom w:val="none" w:sz="0" w:space="0" w:color="auto"/>
        <w:right w:val="none" w:sz="0" w:space="0" w:color="auto"/>
      </w:divBdr>
    </w:div>
    <w:div w:id="77293602">
      <w:bodyDiv w:val="1"/>
      <w:marLeft w:val="0"/>
      <w:marRight w:val="0"/>
      <w:marTop w:val="0"/>
      <w:marBottom w:val="0"/>
      <w:divBdr>
        <w:top w:val="none" w:sz="0" w:space="0" w:color="auto"/>
        <w:left w:val="none" w:sz="0" w:space="0" w:color="auto"/>
        <w:bottom w:val="none" w:sz="0" w:space="0" w:color="auto"/>
        <w:right w:val="none" w:sz="0" w:space="0" w:color="auto"/>
      </w:divBdr>
    </w:div>
    <w:div w:id="136268027">
      <w:bodyDiv w:val="1"/>
      <w:marLeft w:val="0"/>
      <w:marRight w:val="0"/>
      <w:marTop w:val="0"/>
      <w:marBottom w:val="0"/>
      <w:divBdr>
        <w:top w:val="none" w:sz="0" w:space="0" w:color="auto"/>
        <w:left w:val="none" w:sz="0" w:space="0" w:color="auto"/>
        <w:bottom w:val="none" w:sz="0" w:space="0" w:color="auto"/>
        <w:right w:val="none" w:sz="0" w:space="0" w:color="auto"/>
      </w:divBdr>
    </w:div>
    <w:div w:id="142964159">
      <w:bodyDiv w:val="1"/>
      <w:marLeft w:val="0"/>
      <w:marRight w:val="0"/>
      <w:marTop w:val="0"/>
      <w:marBottom w:val="0"/>
      <w:divBdr>
        <w:top w:val="none" w:sz="0" w:space="0" w:color="auto"/>
        <w:left w:val="none" w:sz="0" w:space="0" w:color="auto"/>
        <w:bottom w:val="none" w:sz="0" w:space="0" w:color="auto"/>
        <w:right w:val="none" w:sz="0" w:space="0" w:color="auto"/>
      </w:divBdr>
    </w:div>
    <w:div w:id="220941740">
      <w:bodyDiv w:val="1"/>
      <w:marLeft w:val="0"/>
      <w:marRight w:val="0"/>
      <w:marTop w:val="0"/>
      <w:marBottom w:val="0"/>
      <w:divBdr>
        <w:top w:val="none" w:sz="0" w:space="0" w:color="auto"/>
        <w:left w:val="none" w:sz="0" w:space="0" w:color="auto"/>
        <w:bottom w:val="none" w:sz="0" w:space="0" w:color="auto"/>
        <w:right w:val="none" w:sz="0" w:space="0" w:color="auto"/>
      </w:divBdr>
    </w:div>
    <w:div w:id="225263033">
      <w:bodyDiv w:val="1"/>
      <w:marLeft w:val="0"/>
      <w:marRight w:val="0"/>
      <w:marTop w:val="0"/>
      <w:marBottom w:val="0"/>
      <w:divBdr>
        <w:top w:val="none" w:sz="0" w:space="0" w:color="auto"/>
        <w:left w:val="none" w:sz="0" w:space="0" w:color="auto"/>
        <w:bottom w:val="none" w:sz="0" w:space="0" w:color="auto"/>
        <w:right w:val="none" w:sz="0" w:space="0" w:color="auto"/>
      </w:divBdr>
    </w:div>
    <w:div w:id="228158053">
      <w:bodyDiv w:val="1"/>
      <w:marLeft w:val="0"/>
      <w:marRight w:val="0"/>
      <w:marTop w:val="0"/>
      <w:marBottom w:val="0"/>
      <w:divBdr>
        <w:top w:val="none" w:sz="0" w:space="0" w:color="auto"/>
        <w:left w:val="none" w:sz="0" w:space="0" w:color="auto"/>
        <w:bottom w:val="none" w:sz="0" w:space="0" w:color="auto"/>
        <w:right w:val="none" w:sz="0" w:space="0" w:color="auto"/>
      </w:divBdr>
    </w:div>
    <w:div w:id="268583927">
      <w:bodyDiv w:val="1"/>
      <w:marLeft w:val="0"/>
      <w:marRight w:val="0"/>
      <w:marTop w:val="0"/>
      <w:marBottom w:val="0"/>
      <w:divBdr>
        <w:top w:val="none" w:sz="0" w:space="0" w:color="auto"/>
        <w:left w:val="none" w:sz="0" w:space="0" w:color="auto"/>
        <w:bottom w:val="none" w:sz="0" w:space="0" w:color="auto"/>
        <w:right w:val="none" w:sz="0" w:space="0" w:color="auto"/>
      </w:divBdr>
    </w:div>
    <w:div w:id="282003642">
      <w:bodyDiv w:val="1"/>
      <w:marLeft w:val="0"/>
      <w:marRight w:val="0"/>
      <w:marTop w:val="0"/>
      <w:marBottom w:val="0"/>
      <w:divBdr>
        <w:top w:val="none" w:sz="0" w:space="0" w:color="auto"/>
        <w:left w:val="none" w:sz="0" w:space="0" w:color="auto"/>
        <w:bottom w:val="none" w:sz="0" w:space="0" w:color="auto"/>
        <w:right w:val="none" w:sz="0" w:space="0" w:color="auto"/>
      </w:divBdr>
    </w:div>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329722496">
      <w:bodyDiv w:val="1"/>
      <w:marLeft w:val="0"/>
      <w:marRight w:val="0"/>
      <w:marTop w:val="0"/>
      <w:marBottom w:val="0"/>
      <w:divBdr>
        <w:top w:val="none" w:sz="0" w:space="0" w:color="auto"/>
        <w:left w:val="none" w:sz="0" w:space="0" w:color="auto"/>
        <w:bottom w:val="none" w:sz="0" w:space="0" w:color="auto"/>
        <w:right w:val="none" w:sz="0" w:space="0" w:color="auto"/>
      </w:divBdr>
    </w:div>
    <w:div w:id="330760873">
      <w:bodyDiv w:val="1"/>
      <w:marLeft w:val="0"/>
      <w:marRight w:val="0"/>
      <w:marTop w:val="0"/>
      <w:marBottom w:val="0"/>
      <w:divBdr>
        <w:top w:val="none" w:sz="0" w:space="0" w:color="auto"/>
        <w:left w:val="none" w:sz="0" w:space="0" w:color="auto"/>
        <w:bottom w:val="none" w:sz="0" w:space="0" w:color="auto"/>
        <w:right w:val="none" w:sz="0" w:space="0" w:color="auto"/>
      </w:divBdr>
    </w:div>
    <w:div w:id="345252627">
      <w:bodyDiv w:val="1"/>
      <w:marLeft w:val="0"/>
      <w:marRight w:val="0"/>
      <w:marTop w:val="0"/>
      <w:marBottom w:val="0"/>
      <w:divBdr>
        <w:top w:val="none" w:sz="0" w:space="0" w:color="auto"/>
        <w:left w:val="none" w:sz="0" w:space="0" w:color="auto"/>
        <w:bottom w:val="none" w:sz="0" w:space="0" w:color="auto"/>
        <w:right w:val="none" w:sz="0" w:space="0" w:color="auto"/>
      </w:divBdr>
    </w:div>
    <w:div w:id="370807698">
      <w:bodyDiv w:val="1"/>
      <w:marLeft w:val="0"/>
      <w:marRight w:val="0"/>
      <w:marTop w:val="0"/>
      <w:marBottom w:val="0"/>
      <w:divBdr>
        <w:top w:val="none" w:sz="0" w:space="0" w:color="auto"/>
        <w:left w:val="none" w:sz="0" w:space="0" w:color="auto"/>
        <w:bottom w:val="none" w:sz="0" w:space="0" w:color="auto"/>
        <w:right w:val="none" w:sz="0" w:space="0" w:color="auto"/>
      </w:divBdr>
    </w:div>
    <w:div w:id="412749761">
      <w:bodyDiv w:val="1"/>
      <w:marLeft w:val="0"/>
      <w:marRight w:val="0"/>
      <w:marTop w:val="0"/>
      <w:marBottom w:val="0"/>
      <w:divBdr>
        <w:top w:val="none" w:sz="0" w:space="0" w:color="auto"/>
        <w:left w:val="none" w:sz="0" w:space="0" w:color="auto"/>
        <w:bottom w:val="none" w:sz="0" w:space="0" w:color="auto"/>
        <w:right w:val="none" w:sz="0" w:space="0" w:color="auto"/>
      </w:divBdr>
    </w:div>
    <w:div w:id="600646894">
      <w:bodyDiv w:val="1"/>
      <w:marLeft w:val="0"/>
      <w:marRight w:val="0"/>
      <w:marTop w:val="0"/>
      <w:marBottom w:val="0"/>
      <w:divBdr>
        <w:top w:val="none" w:sz="0" w:space="0" w:color="auto"/>
        <w:left w:val="none" w:sz="0" w:space="0" w:color="auto"/>
        <w:bottom w:val="none" w:sz="0" w:space="0" w:color="auto"/>
        <w:right w:val="none" w:sz="0" w:space="0" w:color="auto"/>
      </w:divBdr>
    </w:div>
    <w:div w:id="621957080">
      <w:bodyDiv w:val="1"/>
      <w:marLeft w:val="0"/>
      <w:marRight w:val="0"/>
      <w:marTop w:val="0"/>
      <w:marBottom w:val="0"/>
      <w:divBdr>
        <w:top w:val="none" w:sz="0" w:space="0" w:color="auto"/>
        <w:left w:val="none" w:sz="0" w:space="0" w:color="auto"/>
        <w:bottom w:val="none" w:sz="0" w:space="0" w:color="auto"/>
        <w:right w:val="none" w:sz="0" w:space="0" w:color="auto"/>
      </w:divBdr>
    </w:div>
    <w:div w:id="648555547">
      <w:bodyDiv w:val="1"/>
      <w:marLeft w:val="0"/>
      <w:marRight w:val="0"/>
      <w:marTop w:val="0"/>
      <w:marBottom w:val="0"/>
      <w:divBdr>
        <w:top w:val="none" w:sz="0" w:space="0" w:color="auto"/>
        <w:left w:val="none" w:sz="0" w:space="0" w:color="auto"/>
        <w:bottom w:val="none" w:sz="0" w:space="0" w:color="auto"/>
        <w:right w:val="none" w:sz="0" w:space="0" w:color="auto"/>
      </w:divBdr>
    </w:div>
    <w:div w:id="659846447">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725300815">
      <w:bodyDiv w:val="1"/>
      <w:marLeft w:val="0"/>
      <w:marRight w:val="0"/>
      <w:marTop w:val="0"/>
      <w:marBottom w:val="0"/>
      <w:divBdr>
        <w:top w:val="none" w:sz="0" w:space="0" w:color="auto"/>
        <w:left w:val="none" w:sz="0" w:space="0" w:color="auto"/>
        <w:bottom w:val="none" w:sz="0" w:space="0" w:color="auto"/>
        <w:right w:val="none" w:sz="0" w:space="0" w:color="auto"/>
      </w:divBdr>
    </w:div>
    <w:div w:id="740374472">
      <w:bodyDiv w:val="1"/>
      <w:marLeft w:val="0"/>
      <w:marRight w:val="0"/>
      <w:marTop w:val="0"/>
      <w:marBottom w:val="0"/>
      <w:divBdr>
        <w:top w:val="none" w:sz="0" w:space="0" w:color="auto"/>
        <w:left w:val="none" w:sz="0" w:space="0" w:color="auto"/>
        <w:bottom w:val="none" w:sz="0" w:space="0" w:color="auto"/>
        <w:right w:val="none" w:sz="0" w:space="0" w:color="auto"/>
      </w:divBdr>
    </w:div>
    <w:div w:id="820735219">
      <w:bodyDiv w:val="1"/>
      <w:marLeft w:val="0"/>
      <w:marRight w:val="0"/>
      <w:marTop w:val="0"/>
      <w:marBottom w:val="0"/>
      <w:divBdr>
        <w:top w:val="none" w:sz="0" w:space="0" w:color="auto"/>
        <w:left w:val="none" w:sz="0" w:space="0" w:color="auto"/>
        <w:bottom w:val="none" w:sz="0" w:space="0" w:color="auto"/>
        <w:right w:val="none" w:sz="0" w:space="0" w:color="auto"/>
      </w:divBdr>
    </w:div>
    <w:div w:id="901598695">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967466492">
      <w:bodyDiv w:val="1"/>
      <w:marLeft w:val="0"/>
      <w:marRight w:val="0"/>
      <w:marTop w:val="0"/>
      <w:marBottom w:val="0"/>
      <w:divBdr>
        <w:top w:val="none" w:sz="0" w:space="0" w:color="auto"/>
        <w:left w:val="none" w:sz="0" w:space="0" w:color="auto"/>
        <w:bottom w:val="none" w:sz="0" w:space="0" w:color="auto"/>
        <w:right w:val="none" w:sz="0" w:space="0" w:color="auto"/>
      </w:divBdr>
    </w:div>
    <w:div w:id="1000306320">
      <w:bodyDiv w:val="1"/>
      <w:marLeft w:val="0"/>
      <w:marRight w:val="0"/>
      <w:marTop w:val="0"/>
      <w:marBottom w:val="0"/>
      <w:divBdr>
        <w:top w:val="none" w:sz="0" w:space="0" w:color="auto"/>
        <w:left w:val="none" w:sz="0" w:space="0" w:color="auto"/>
        <w:bottom w:val="none" w:sz="0" w:space="0" w:color="auto"/>
        <w:right w:val="none" w:sz="0" w:space="0" w:color="auto"/>
      </w:divBdr>
    </w:div>
    <w:div w:id="1161772821">
      <w:bodyDiv w:val="1"/>
      <w:marLeft w:val="0"/>
      <w:marRight w:val="0"/>
      <w:marTop w:val="0"/>
      <w:marBottom w:val="0"/>
      <w:divBdr>
        <w:top w:val="none" w:sz="0" w:space="0" w:color="auto"/>
        <w:left w:val="none" w:sz="0" w:space="0" w:color="auto"/>
        <w:bottom w:val="none" w:sz="0" w:space="0" w:color="auto"/>
        <w:right w:val="none" w:sz="0" w:space="0" w:color="auto"/>
      </w:divBdr>
    </w:div>
    <w:div w:id="1215695713">
      <w:bodyDiv w:val="1"/>
      <w:marLeft w:val="0"/>
      <w:marRight w:val="0"/>
      <w:marTop w:val="0"/>
      <w:marBottom w:val="0"/>
      <w:divBdr>
        <w:top w:val="none" w:sz="0" w:space="0" w:color="auto"/>
        <w:left w:val="none" w:sz="0" w:space="0" w:color="auto"/>
        <w:bottom w:val="none" w:sz="0" w:space="0" w:color="auto"/>
        <w:right w:val="none" w:sz="0" w:space="0" w:color="auto"/>
      </w:divBdr>
    </w:div>
    <w:div w:id="1222593121">
      <w:bodyDiv w:val="1"/>
      <w:marLeft w:val="0"/>
      <w:marRight w:val="0"/>
      <w:marTop w:val="0"/>
      <w:marBottom w:val="0"/>
      <w:divBdr>
        <w:top w:val="none" w:sz="0" w:space="0" w:color="auto"/>
        <w:left w:val="none" w:sz="0" w:space="0" w:color="auto"/>
        <w:bottom w:val="none" w:sz="0" w:space="0" w:color="auto"/>
        <w:right w:val="none" w:sz="0" w:space="0" w:color="auto"/>
      </w:divBdr>
    </w:div>
    <w:div w:id="1278029306">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347907749">
      <w:bodyDiv w:val="1"/>
      <w:marLeft w:val="0"/>
      <w:marRight w:val="0"/>
      <w:marTop w:val="0"/>
      <w:marBottom w:val="0"/>
      <w:divBdr>
        <w:top w:val="none" w:sz="0" w:space="0" w:color="auto"/>
        <w:left w:val="none" w:sz="0" w:space="0" w:color="auto"/>
        <w:bottom w:val="none" w:sz="0" w:space="0" w:color="auto"/>
        <w:right w:val="none" w:sz="0" w:space="0" w:color="auto"/>
      </w:divBdr>
    </w:div>
    <w:div w:id="1386636507">
      <w:bodyDiv w:val="1"/>
      <w:marLeft w:val="0"/>
      <w:marRight w:val="0"/>
      <w:marTop w:val="0"/>
      <w:marBottom w:val="0"/>
      <w:divBdr>
        <w:top w:val="none" w:sz="0" w:space="0" w:color="auto"/>
        <w:left w:val="none" w:sz="0" w:space="0" w:color="auto"/>
        <w:bottom w:val="none" w:sz="0" w:space="0" w:color="auto"/>
        <w:right w:val="none" w:sz="0" w:space="0" w:color="auto"/>
      </w:divBdr>
    </w:div>
    <w:div w:id="1435828413">
      <w:bodyDiv w:val="1"/>
      <w:marLeft w:val="0"/>
      <w:marRight w:val="0"/>
      <w:marTop w:val="0"/>
      <w:marBottom w:val="0"/>
      <w:divBdr>
        <w:top w:val="none" w:sz="0" w:space="0" w:color="auto"/>
        <w:left w:val="none" w:sz="0" w:space="0" w:color="auto"/>
        <w:bottom w:val="none" w:sz="0" w:space="0" w:color="auto"/>
        <w:right w:val="none" w:sz="0" w:space="0" w:color="auto"/>
      </w:divBdr>
    </w:div>
    <w:div w:id="1442070913">
      <w:bodyDiv w:val="1"/>
      <w:marLeft w:val="0"/>
      <w:marRight w:val="0"/>
      <w:marTop w:val="0"/>
      <w:marBottom w:val="0"/>
      <w:divBdr>
        <w:top w:val="none" w:sz="0" w:space="0" w:color="auto"/>
        <w:left w:val="none" w:sz="0" w:space="0" w:color="auto"/>
        <w:bottom w:val="none" w:sz="0" w:space="0" w:color="auto"/>
        <w:right w:val="none" w:sz="0" w:space="0" w:color="auto"/>
      </w:divBdr>
    </w:div>
    <w:div w:id="1481389100">
      <w:bodyDiv w:val="1"/>
      <w:marLeft w:val="0"/>
      <w:marRight w:val="0"/>
      <w:marTop w:val="0"/>
      <w:marBottom w:val="0"/>
      <w:divBdr>
        <w:top w:val="none" w:sz="0" w:space="0" w:color="auto"/>
        <w:left w:val="none" w:sz="0" w:space="0" w:color="auto"/>
        <w:bottom w:val="none" w:sz="0" w:space="0" w:color="auto"/>
        <w:right w:val="none" w:sz="0" w:space="0" w:color="auto"/>
      </w:divBdr>
    </w:div>
    <w:div w:id="1533496120">
      <w:bodyDiv w:val="1"/>
      <w:marLeft w:val="0"/>
      <w:marRight w:val="0"/>
      <w:marTop w:val="0"/>
      <w:marBottom w:val="0"/>
      <w:divBdr>
        <w:top w:val="none" w:sz="0" w:space="0" w:color="auto"/>
        <w:left w:val="none" w:sz="0" w:space="0" w:color="auto"/>
        <w:bottom w:val="none" w:sz="0" w:space="0" w:color="auto"/>
        <w:right w:val="none" w:sz="0" w:space="0" w:color="auto"/>
      </w:divBdr>
    </w:div>
    <w:div w:id="1580401533">
      <w:bodyDiv w:val="1"/>
      <w:marLeft w:val="0"/>
      <w:marRight w:val="0"/>
      <w:marTop w:val="0"/>
      <w:marBottom w:val="0"/>
      <w:divBdr>
        <w:top w:val="none" w:sz="0" w:space="0" w:color="auto"/>
        <w:left w:val="none" w:sz="0" w:space="0" w:color="auto"/>
        <w:bottom w:val="none" w:sz="0" w:space="0" w:color="auto"/>
        <w:right w:val="none" w:sz="0" w:space="0" w:color="auto"/>
      </w:divBdr>
    </w:div>
    <w:div w:id="1637106080">
      <w:bodyDiv w:val="1"/>
      <w:marLeft w:val="0"/>
      <w:marRight w:val="0"/>
      <w:marTop w:val="0"/>
      <w:marBottom w:val="0"/>
      <w:divBdr>
        <w:top w:val="none" w:sz="0" w:space="0" w:color="auto"/>
        <w:left w:val="none" w:sz="0" w:space="0" w:color="auto"/>
        <w:bottom w:val="none" w:sz="0" w:space="0" w:color="auto"/>
        <w:right w:val="none" w:sz="0" w:space="0" w:color="auto"/>
      </w:divBdr>
    </w:div>
    <w:div w:id="1751078611">
      <w:bodyDiv w:val="1"/>
      <w:marLeft w:val="0"/>
      <w:marRight w:val="0"/>
      <w:marTop w:val="0"/>
      <w:marBottom w:val="0"/>
      <w:divBdr>
        <w:top w:val="none" w:sz="0" w:space="0" w:color="auto"/>
        <w:left w:val="none" w:sz="0" w:space="0" w:color="auto"/>
        <w:bottom w:val="none" w:sz="0" w:space="0" w:color="auto"/>
        <w:right w:val="none" w:sz="0" w:space="0" w:color="auto"/>
      </w:divBdr>
    </w:div>
    <w:div w:id="1774933931">
      <w:bodyDiv w:val="1"/>
      <w:marLeft w:val="0"/>
      <w:marRight w:val="0"/>
      <w:marTop w:val="0"/>
      <w:marBottom w:val="0"/>
      <w:divBdr>
        <w:top w:val="none" w:sz="0" w:space="0" w:color="auto"/>
        <w:left w:val="none" w:sz="0" w:space="0" w:color="auto"/>
        <w:bottom w:val="none" w:sz="0" w:space="0" w:color="auto"/>
        <w:right w:val="none" w:sz="0" w:space="0" w:color="auto"/>
      </w:divBdr>
    </w:div>
    <w:div w:id="1779331023">
      <w:bodyDiv w:val="1"/>
      <w:marLeft w:val="0"/>
      <w:marRight w:val="0"/>
      <w:marTop w:val="0"/>
      <w:marBottom w:val="0"/>
      <w:divBdr>
        <w:top w:val="none" w:sz="0" w:space="0" w:color="auto"/>
        <w:left w:val="none" w:sz="0" w:space="0" w:color="auto"/>
        <w:bottom w:val="none" w:sz="0" w:space="0" w:color="auto"/>
        <w:right w:val="none" w:sz="0" w:space="0" w:color="auto"/>
      </w:divBdr>
    </w:div>
    <w:div w:id="186852360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 w:id="2017224266">
      <w:bodyDiv w:val="1"/>
      <w:marLeft w:val="0"/>
      <w:marRight w:val="0"/>
      <w:marTop w:val="0"/>
      <w:marBottom w:val="0"/>
      <w:divBdr>
        <w:top w:val="none" w:sz="0" w:space="0" w:color="auto"/>
        <w:left w:val="none" w:sz="0" w:space="0" w:color="auto"/>
        <w:bottom w:val="none" w:sz="0" w:space="0" w:color="auto"/>
        <w:right w:val="none" w:sz="0" w:space="0" w:color="auto"/>
      </w:divBdr>
    </w:div>
    <w:div w:id="211015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nzcp.org/Files/Publications/RANZCP-Serious-Mental-Illness.aspx" TargetMode="External"/><Relationship Id="rId21" Type="http://schemas.openxmlformats.org/officeDocument/2006/relationships/hyperlink" Target="https://www.monash.edu/business/che/research-areas/measurement-of-health-and-quality-of-life" TargetMode="External"/><Relationship Id="rId42" Type="http://schemas.openxmlformats.org/officeDocument/2006/relationships/hyperlink" Target="https://www.safeworkaustralia.gov.au/doc/australian-workers-compensation-statistics-2017-18" TargetMode="External"/><Relationship Id="rId47" Type="http://schemas.openxmlformats.org/officeDocument/2006/relationships/image" Target="media/image14.emf"/><Relationship Id="rId63" Type="http://schemas.openxmlformats.org/officeDocument/2006/relationships/hyperlink" Target="https://www.commsec.com.au/content/dam/EN/ResearchNews/ECOReport.20.11.17_Biggest%20homes_size-fall.pdf" TargetMode="External"/><Relationship Id="rId68" Type="http://schemas.openxmlformats.org/officeDocument/2006/relationships/image" Target="media/image32.emf"/><Relationship Id="rId84" Type="http://schemas.openxmlformats.org/officeDocument/2006/relationships/hyperlink" Target="https://www.ndis.gov.au/providers/price-guides-and-pricing" TargetMode="External"/><Relationship Id="rId89"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emf"/><Relationship Id="rId107"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image" Target="media/image10.emf"/><Relationship Id="rId40" Type="http://schemas.openxmlformats.org/officeDocument/2006/relationships/hyperlink" Target="https://www.aihw.gov.au/getmedia/6cef34e2-2422-4f11-a9f3-06e336edac3f/aihw-injcat-204.pdf.aspx?inline=true" TargetMode="External"/><Relationship Id="rId45" Type="http://schemas.openxmlformats.org/officeDocument/2006/relationships/hyperlink" Target="https://www.aihw.gov.au/getmedia/6cef34e2-2422-4f11-a9f3-06e336edac3f/aihw-injcat-204.pdf.aspx?inline=true" TargetMode="External"/><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hyperlink" Target="https://www.ncbi.nlm.nih.gov/pubmed/23579066" TargetMode="External"/><Relationship Id="rId87" Type="http://schemas.openxmlformats.org/officeDocument/2006/relationships/hyperlink" Target="https://www.gen-agedcaredata.gov.au/Resources/Access-data/2019/September/Aged-care-data-snapshot%E2%80%942019" TargetMode="External"/><Relationship Id="rId102" Type="http://schemas.openxmlformats.org/officeDocument/2006/relationships/image" Target="media/image53.jpeg"/><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omain.com.au/research/house-price-report/december-2019/" TargetMode="External"/><Relationship Id="rId82" Type="http://schemas.openxmlformats.org/officeDocument/2006/relationships/hyperlink" Target="https://www.abs.gov.au/AUSSTATS/abs@.nsf/Lookup/3302.0.55.001Main+Features12016-2018?OpenDocument" TargetMode="External"/><Relationship Id="rId90" Type="http://schemas.openxmlformats.org/officeDocument/2006/relationships/hyperlink" Target="https://www.abs.gov.au/statistics/economy/finance/household-expenditure-survey-australia-summary-results/latest-release" TargetMode="External"/><Relationship Id="rId95" Type="http://schemas.openxmlformats.org/officeDocument/2006/relationships/hyperlink" Target="https://www.dss.gov.au/sites/default/files/documents/08_2018/online_rates_-_20_september_-_pdf_version.pdf" TargetMode="External"/><Relationship Id="rId19" Type="http://schemas.openxmlformats.org/officeDocument/2006/relationships/hyperlink" Target="mailto:ciesyd@TheCIE.com.au" TargetMode="External"/><Relationship Id="rId14" Type="http://schemas.openxmlformats.org/officeDocument/2006/relationships/header" Target="header2.xml"/><Relationship Id="rId22" Type="http://schemas.openxmlformats.org/officeDocument/2006/relationships/hyperlink" Target="https://www.aihw.gov.au/reports/australias-welfare/social-isolation-and-loneliness" TargetMode="External"/><Relationship Id="rId27" Type="http://schemas.openxmlformats.org/officeDocument/2006/relationships/hyperlink" Target="http://www.mentalhealthcommission.gov.au/media-centre/news/economics-of-mental-health-in-australia.aspx" TargetMode="External"/><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hyperlink" Target="https://www.nhs.uk/conditions/dislocated-kneecap/" TargetMode="External"/><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28.png"/><Relationship Id="rId69" Type="http://schemas.openxmlformats.org/officeDocument/2006/relationships/image" Target="media/image33.emf"/><Relationship Id="rId77" Type="http://schemas.openxmlformats.org/officeDocument/2006/relationships/image" Target="media/image41.emf"/><Relationship Id="rId100" Type="http://schemas.openxmlformats.org/officeDocument/2006/relationships/image" Target="media/image51.png"/><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image" Target="media/image36.emf"/><Relationship Id="rId80" Type="http://schemas.openxmlformats.org/officeDocument/2006/relationships/hyperlink" Target="https://www.ncbi.nlm.nih.gov/pubmed/12588572" TargetMode="External"/><Relationship Id="rId85" Type="http://schemas.openxmlformats.org/officeDocument/2006/relationships/hyperlink" Target="https://www.payscale.com/research/AU/Job=Aged_Care_Worker/Hourly_Rate/999a3db7/Sydney" TargetMode="External"/><Relationship Id="rId93" Type="http://schemas.openxmlformats.org/officeDocument/2006/relationships/hyperlink" Target="https://mhaustralia.org/publication/investing-save-kpmg-and-mental-health-australia-report-may-2018" TargetMode="External"/><Relationship Id="rId98"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hyperlink" Target="https://www.facs.nsw.gov.au/housing/policies/acquiring-new-public-housing-policy" TargetMode="External"/><Relationship Id="rId38" Type="http://schemas.openxmlformats.org/officeDocument/2006/relationships/image" Target="media/image11.emf"/><Relationship Id="rId46" Type="http://schemas.openxmlformats.org/officeDocument/2006/relationships/image" Target="media/image13.emf"/><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header" Target="header5.xml"/><Relationship Id="rId108" Type="http://schemas.openxmlformats.org/officeDocument/2006/relationships/image" Target="media/image54.png"/><Relationship Id="rId20" Type="http://schemas.openxmlformats.org/officeDocument/2006/relationships/hyperlink" Target="http://www.thecie.com.au/" TargetMode="External"/><Relationship Id="rId41" Type="http://schemas.openxmlformats.org/officeDocument/2006/relationships/hyperlink" Target="https://www.nhs.uk/conditions/broken-leg/" TargetMode="External"/><Relationship Id="rId54" Type="http://schemas.openxmlformats.org/officeDocument/2006/relationships/image" Target="media/image21.emf"/><Relationship Id="rId62" Type="http://schemas.openxmlformats.org/officeDocument/2006/relationships/hyperlink" Target="https://www.domain.com.au/research/house-price-report/december-2019/" TargetMode="External"/><Relationship Id="rId70" Type="http://schemas.openxmlformats.org/officeDocument/2006/relationships/image" Target="media/image34.emf"/><Relationship Id="rId75" Type="http://schemas.openxmlformats.org/officeDocument/2006/relationships/image" Target="media/image39.emf"/><Relationship Id="rId83" Type="http://schemas.openxmlformats.org/officeDocument/2006/relationships/hyperlink" Target="https://www.abs.gov.au/AUSSTATS/abs@.nsf/Lookup/3302.0.55.001Main+Features12016-2018?OpenDocument" TargetMode="External"/><Relationship Id="rId88" Type="http://schemas.openxmlformats.org/officeDocument/2006/relationships/image" Target="media/image44.emf"/><Relationship Id="rId91" Type="http://schemas.openxmlformats.org/officeDocument/2006/relationships/hyperlink" Target="https://www.ranzcp.org/Files/Publications/RANZCP-Serious-Mental-Illness.aspx" TargetMode="External"/><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abcb.gov.au/" TargetMode="External"/><Relationship Id="rId28" Type="http://schemas.openxmlformats.org/officeDocument/2006/relationships/hyperlink" Target="https://mhaustralia.org/publication/investing-save-kpmg-and-mental-health-australia-report-may-2018" TargetMode="External"/><Relationship Id="rId36" Type="http://schemas.openxmlformats.org/officeDocument/2006/relationships/image" Target="media/image9.emf"/><Relationship Id="rId49" Type="http://schemas.openxmlformats.org/officeDocument/2006/relationships/image" Target="media/image16.emf"/><Relationship Id="rId57" Type="http://schemas.openxmlformats.org/officeDocument/2006/relationships/image" Target="media/image24.emf"/><Relationship Id="rId106"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hyperlink" Target="https://www.ouh.nhs.uk/patient-guide/leaflets/files/10879Psofttissue.pdf" TargetMode="External"/><Relationship Id="rId52" Type="http://schemas.openxmlformats.org/officeDocument/2006/relationships/image" Target="media/image19.emf"/><Relationship Id="rId60" Type="http://schemas.openxmlformats.org/officeDocument/2006/relationships/image" Target="media/image27.tmp"/><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hyperlink" Target="https://www.ncbi.nlm.nih.gov/pubmed/21226674" TargetMode="External"/><Relationship Id="rId86" Type="http://schemas.openxmlformats.org/officeDocument/2006/relationships/image" Target="media/image43.emf"/><Relationship Id="rId94" Type="http://schemas.openxmlformats.org/officeDocument/2006/relationships/image" Target="media/image46.emf"/><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2.emf"/><Relationship Id="rId109" Type="http://schemas.openxmlformats.org/officeDocument/2006/relationships/fontTable" Target="fontTable.xml"/><Relationship Id="rId34" Type="http://schemas.openxmlformats.org/officeDocument/2006/relationships/hyperlink" Target="https://scia.org.au/accessible-housing/" TargetMode="External"/><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40.emf"/><Relationship Id="rId97" Type="http://schemas.openxmlformats.org/officeDocument/2006/relationships/image" Target="media/image48.emf"/><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35.emf"/><Relationship Id="rId92" Type="http://schemas.openxmlformats.org/officeDocument/2006/relationships/hyperlink" Target="http://www.mentalhealthcommission.gov.au/media-centre/news/economics-of-mental-health-in-australia.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ecie.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thecie.com.a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ndis.gov.au/providers/housing-and-living-supports-and-services/housing/specialist-disability-accommodation" TargetMode="External"/><Relationship Id="rId117" Type="http://schemas.openxmlformats.org/officeDocument/2006/relationships/hyperlink" Target="https://consultation.abcb.gov.au/engagement/consult-ris-accessible-housing/consultation/published_select_respondent" TargetMode="External"/><Relationship Id="rId21" Type="http://schemas.openxmlformats.org/officeDocument/2006/relationships/hyperlink" Target="https://mhaustralia.org/publication/investing-save-kpmg-and-mental-health-australia-report-may-2018" TargetMode="External"/><Relationship Id="rId42" Type="http://schemas.openxmlformats.org/officeDocument/2006/relationships/hyperlink" Target="https://www.abs.gov.au/AUSSTATS/abs@.nsf/Latestproducts/4430.0Main%20Features52018?opendocument&amp;tabname=Summary&amp;prodno=4430.0&amp;issue=2018&amp;num=&amp;view=" TargetMode="External"/><Relationship Id="rId47" Type="http://schemas.openxmlformats.org/officeDocument/2006/relationships/hyperlink" Target="https://www.abs.gov.au/statistics/people/population/births-australia/latest-release" TargetMode="External"/><Relationship Id="rId63" Type="http://schemas.openxmlformats.org/officeDocument/2006/relationships/hyperlink" Target="https://consultation.abcb.gov.au/engagement/consult-ris-accessible-housing/consultation/published_select_respondent" TargetMode="External"/><Relationship Id="rId68" Type="http://schemas.openxmlformats.org/officeDocument/2006/relationships/hyperlink" Target="https://consultation.abcb.gov.au/engagement/consult-ris-accessible-housing/consultation/published_select_respondent" TargetMode="External"/><Relationship Id="rId84" Type="http://schemas.openxmlformats.org/officeDocument/2006/relationships/hyperlink" Target="https://consultation.abcb.gov.au/engagement/consult-ris-accessible-housing/consultation/published_select_respondent" TargetMode="External"/><Relationship Id="rId89" Type="http://schemas.openxmlformats.org/officeDocument/2006/relationships/hyperlink" Target="https://consultation.abcb.gov.au/engagement/consult-ris-accessible-housing/consultation/published_select_respondent" TargetMode="External"/><Relationship Id="rId112" Type="http://schemas.openxmlformats.org/officeDocument/2006/relationships/hyperlink" Target="https://consultation.abcb.gov.au/engagement/consult-ris-accessible-housing/consultation/published_select_respondent" TargetMode="External"/><Relationship Id="rId133" Type="http://schemas.openxmlformats.org/officeDocument/2006/relationships/hyperlink" Target="https://consultation.abcb.gov.au/engagement/consult-ris-accessible-housing/consultation/published_select_respondent" TargetMode="External"/><Relationship Id="rId138" Type="http://schemas.openxmlformats.org/officeDocument/2006/relationships/hyperlink" Target="https://consultation.abcb.gov.au/engagement/consult-ris-accessible-housing/consultation/published_select_respondent" TargetMode="External"/><Relationship Id="rId154" Type="http://schemas.openxmlformats.org/officeDocument/2006/relationships/hyperlink" Target="https://shriver.umassmed.edu/news/2015-07-08-130000/shriver-center-studying-falls-prevention-people-intellectual-and-developmental-disabilities" TargetMode="External"/><Relationship Id="rId159" Type="http://schemas.openxmlformats.org/officeDocument/2006/relationships/hyperlink" Target="https://www.realestate.com.au/advice/how-much-does-it-cost-to-sell-a-house/" TargetMode="External"/><Relationship Id="rId175" Type="http://schemas.openxmlformats.org/officeDocument/2006/relationships/hyperlink" Target="https://www.mentalhealthcommission.gov.au/news/2016/december/economics-of-mental-health-in-australia" TargetMode="External"/><Relationship Id="rId170" Type="http://schemas.openxmlformats.org/officeDocument/2006/relationships/hyperlink" Target="https://www.abs.gov.au/statistics/economy/finance/household-expenditure-survey-australia-summary-results/latest-release" TargetMode="External"/><Relationship Id="rId16" Type="http://schemas.openxmlformats.org/officeDocument/2006/relationships/hyperlink" Target="https://www.safeworkaustralia.gov.au/doc/australian-workers-compensation-statistics-2017-18" TargetMode="External"/><Relationship Id="rId107" Type="http://schemas.openxmlformats.org/officeDocument/2006/relationships/hyperlink" Target="https://consultation.abcb.gov.au/engagement/consult-ris-accessible-housing/consultation/published_select_respondent" TargetMode="External"/><Relationship Id="rId11" Type="http://schemas.openxmlformats.org/officeDocument/2006/relationships/hyperlink" Target="https://www.pmc.gov.au/resource-centre/regulation/cost-benefit-analysis-guidance-note" TargetMode="External"/><Relationship Id="rId32" Type="http://schemas.openxmlformats.org/officeDocument/2006/relationships/hyperlink" Target="https://consultation.abcb.gov.au/engagement/consult-ris-accessible-housing/consultation/published_select_respondent" TargetMode="External"/><Relationship Id="rId37" Type="http://schemas.openxmlformats.org/officeDocument/2006/relationships/hyperlink" Target="https://www.aihw.gov.au/reports/australias-welfare/social-isolation-and-loneliness" TargetMode="External"/><Relationship Id="rId53" Type="http://schemas.openxmlformats.org/officeDocument/2006/relationships/hyperlink" Target="http://livablehousingaustralia.org.au/library/help/03-Applicant-Information.pdf" TargetMode="External"/><Relationship Id="rId58" Type="http://schemas.openxmlformats.org/officeDocument/2006/relationships/hyperlink" Target="https://www.dplh.wa.gov.au/getmedia/5dce3eb2-abe9-4fc3-bbab-92cc89f0b5cf/State_Planning_Policy_3-1-Residential_Design_Codes-for-mobile" TargetMode="External"/><Relationship Id="rId74" Type="http://schemas.openxmlformats.org/officeDocument/2006/relationships/hyperlink" Target="https://consultation.abcb.gov.au/engagement/consult-ris-accessible-housing/consultation/published_select_respondent" TargetMode="External"/><Relationship Id="rId79" Type="http://schemas.openxmlformats.org/officeDocument/2006/relationships/hyperlink" Target="https://consultation.abcb.gov.au/engagement/consult-ris-accessible-housing/consultation/published_select_respondent" TargetMode="External"/><Relationship Id="rId102" Type="http://schemas.openxmlformats.org/officeDocument/2006/relationships/hyperlink" Target="https://consultation.abcb.gov.au/engagement/consult-ris-accessible-housing/consultation/published_select_respondent" TargetMode="External"/><Relationship Id="rId123" Type="http://schemas.openxmlformats.org/officeDocument/2006/relationships/hyperlink" Target="https://consultation.abcb.gov.au/engagement/consult-ris-accessible-housing/consultation/published_select_respondent" TargetMode="External"/><Relationship Id="rId128" Type="http://schemas.openxmlformats.org/officeDocument/2006/relationships/hyperlink" Target="https://consultation.abcb.gov.au/engagement/consult-ris-accessible-housing/consultation/published_select_respondent" TargetMode="External"/><Relationship Id="rId144" Type="http://schemas.openxmlformats.org/officeDocument/2006/relationships/hyperlink" Target="https://consultation.abcb.gov.au/engagement/consult-ris-accessible-housing/consultation/published_select_respondent" TargetMode="External"/><Relationship Id="rId149" Type="http://schemas.openxmlformats.org/officeDocument/2006/relationships/hyperlink" Target="https://consultation.abcb.gov.au/engagement/consult-ris-accessible-housing/consultation/published_select_respondent" TargetMode="External"/><Relationship Id="rId5" Type="http://schemas.openxmlformats.org/officeDocument/2006/relationships/hyperlink" Target="https://consultation.abcb.gov.au/engagement/consult-ris-accessible-housing/" TargetMode="External"/><Relationship Id="rId90" Type="http://schemas.openxmlformats.org/officeDocument/2006/relationships/hyperlink" Target="https://consultation.abcb.gov.au/engagement/consult-ris-accessible-housing/consultation/published_select_respondent" TargetMode="External"/><Relationship Id="rId95" Type="http://schemas.openxmlformats.org/officeDocument/2006/relationships/hyperlink" Target="https://consultation.abcb.gov.au/engagement/consult-ris-accessible-housing/consultation/published_select_respondent" TargetMode="External"/><Relationship Id="rId160" Type="http://schemas.openxmlformats.org/officeDocument/2006/relationships/hyperlink" Target="https://www.realestate.com.au/advice/hidden-costs-buying-home/" TargetMode="External"/><Relationship Id="rId165" Type="http://schemas.openxmlformats.org/officeDocument/2006/relationships/hyperlink" Target="https://www.myagedcare.gov.au/short-term-care/transition-care" TargetMode="External"/><Relationship Id="rId22" Type="http://schemas.openxmlformats.org/officeDocument/2006/relationships/hyperlink" Target="https://www.aihw.gov.au/reports/australias-welfare/social-isolation-and-loneliness" TargetMode="External"/><Relationship Id="rId27" Type="http://schemas.openxmlformats.org/officeDocument/2006/relationships/hyperlink" Target="https://www.myagedcare.gov.au/help-at-home/commonwealth-home-support-programme" TargetMode="External"/><Relationship Id="rId43" Type="http://schemas.openxmlformats.org/officeDocument/2006/relationships/hyperlink" Target="https://www.aihw.gov.au/getmedia/6cef34e2-2422-4f11-a9f3-06e336edac3f/aihw-injcat-204.pdf.aspx?inline=true" TargetMode="External"/><Relationship Id="rId48" Type="http://schemas.openxmlformats.org/officeDocument/2006/relationships/hyperlink" Target="https://consultation.abcb.gov.au/engagement/consult-ris-accessible-housing/consultation/published_select_respondent" TargetMode="External"/><Relationship Id="rId64" Type="http://schemas.openxmlformats.org/officeDocument/2006/relationships/hyperlink" Target="https://consultation.abcb.gov.au/engagement/consult-ris-accessible-housing/consultation/published_select_respondent" TargetMode="External"/><Relationship Id="rId69" Type="http://schemas.openxmlformats.org/officeDocument/2006/relationships/hyperlink" Target="https://consultation.abcb.gov.au/engagement/consult-ris-accessible-housing/consultation/published_select_respondent" TargetMode="External"/><Relationship Id="rId113" Type="http://schemas.openxmlformats.org/officeDocument/2006/relationships/hyperlink" Target="https://consultation.abcb.gov.au/engagement/consult-ris-accessible-housing/consultation/published_select_respondent" TargetMode="External"/><Relationship Id="rId118" Type="http://schemas.openxmlformats.org/officeDocument/2006/relationships/hyperlink" Target="https://consultation.abcb.gov.au/engagement/consult-ris-accessible-housing/consultation/published_select_respondent" TargetMode="External"/><Relationship Id="rId134" Type="http://schemas.openxmlformats.org/officeDocument/2006/relationships/hyperlink" Target="https://consultation.abcb.gov.au/engagement/consult-ris-accessible-housing/consultation/published_select_respondent" TargetMode="External"/><Relationship Id="rId139" Type="http://schemas.openxmlformats.org/officeDocument/2006/relationships/hyperlink" Target="https://consultation.abcb.gov.au/engagement/consult-ris-accessible-housing/consultation/published_select_respondent" TargetMode="External"/><Relationship Id="rId80" Type="http://schemas.openxmlformats.org/officeDocument/2006/relationships/hyperlink" Target="https://consultation.abcb.gov.au/engagement/consult-ris-accessible-housing/consultation/published_select_respondent" TargetMode="External"/><Relationship Id="rId85" Type="http://schemas.openxmlformats.org/officeDocument/2006/relationships/hyperlink" Target="https://consultation.abcb.gov.au/engagement/consult-ris-accessible-housing/consultation/published_select_respondent" TargetMode="External"/><Relationship Id="rId150" Type="http://schemas.openxmlformats.org/officeDocument/2006/relationships/hyperlink" Target="https://consultation.abcb.gov.au/engagement/consult-ris-accessible-housing/consultation/published_select_respondent" TargetMode="External"/><Relationship Id="rId155" Type="http://schemas.openxmlformats.org/officeDocument/2006/relationships/hyperlink" Target="https://www.abs.gov.au/AUSSTATS/abs@.nsf/Lookup/3302.0.55.001Main+Features12016-2018?OpenDocument" TargetMode="External"/><Relationship Id="rId171" Type="http://schemas.openxmlformats.org/officeDocument/2006/relationships/hyperlink" Target="https://www.aqol.com.au/index.php/allfaqs" TargetMode="External"/><Relationship Id="rId176" Type="http://schemas.openxmlformats.org/officeDocument/2006/relationships/hyperlink" Target="https://mhaustralia.org/publication/investing-save-kpmg-and-mental-health-australia-report-may-2018" TargetMode="External"/><Relationship Id="rId12" Type="http://schemas.openxmlformats.org/officeDocument/2006/relationships/hyperlink" Target="https://udia.com.au/research/udia-state-of-the-land-2020/" TargetMode="External"/><Relationship Id="rId17" Type="http://schemas.openxmlformats.org/officeDocument/2006/relationships/hyperlink" Target="https://www.nhs.uk/conditions/dislocated-kneecap/" TargetMode="External"/><Relationship Id="rId33" Type="http://schemas.openxmlformats.org/officeDocument/2006/relationships/hyperlink" Target="https://www.aqol.com.au/index.php/allfaqs" TargetMode="External"/><Relationship Id="rId38" Type="http://schemas.openxmlformats.org/officeDocument/2006/relationships/hyperlink" Target="https://www.aihw.gov.au/reports/australias-welfare/social-isolation-and-loneliness" TargetMode="External"/><Relationship Id="rId59" Type="http://schemas.openxmlformats.org/officeDocument/2006/relationships/hyperlink" Target="https://maps.six.nsw.gov.au/clipnship.html" TargetMode="External"/><Relationship Id="rId103" Type="http://schemas.openxmlformats.org/officeDocument/2006/relationships/hyperlink" Target="https://consultation.abcb.gov.au/engagement/consult-ris-accessible-housing/consultation/published_select_respondent" TargetMode="External"/><Relationship Id="rId108" Type="http://schemas.openxmlformats.org/officeDocument/2006/relationships/hyperlink" Target="https://consultation.abcb.gov.au/engagement/consult-ris-accessible-housing/consultation/published_select_respondent" TargetMode="External"/><Relationship Id="rId124" Type="http://schemas.openxmlformats.org/officeDocument/2006/relationships/hyperlink" Target="https://consultation.abcb.gov.au/engagement/consult-ris-accessible-housing/consultation/published_select_respondent" TargetMode="External"/><Relationship Id="rId129" Type="http://schemas.openxmlformats.org/officeDocument/2006/relationships/hyperlink" Target="https://consultation.abcb.gov.au/engagement/consult-ris-accessible-housing/consultation/published_select_respondent" TargetMode="External"/><Relationship Id="rId54" Type="http://schemas.openxmlformats.org/officeDocument/2006/relationships/hyperlink" Target="https://consultation.abcb.gov.au/engagement/consult-ris-accessible-housing/consultation/published_select_respondent" TargetMode="External"/><Relationship Id="rId70" Type="http://schemas.openxmlformats.org/officeDocument/2006/relationships/hyperlink" Target="https://consultation.abcb.gov.au/engagement/consult-ris-accessible-housing/consultation/published_select_respondent" TargetMode="External"/><Relationship Id="rId75" Type="http://schemas.openxmlformats.org/officeDocument/2006/relationships/hyperlink" Target="https://consultation.abcb.gov.au/engagement/consult-ris-accessible-housing/consultation/published_select_respondent" TargetMode="External"/><Relationship Id="rId91" Type="http://schemas.openxmlformats.org/officeDocument/2006/relationships/hyperlink" Target="https://www.homemods.info/" TargetMode="External"/><Relationship Id="rId96" Type="http://schemas.openxmlformats.org/officeDocument/2006/relationships/hyperlink" Target="https://consultation.abcb.gov.au/engagement/consult-ris-accessible-housing/consultation/published_select_respondent" TargetMode="External"/><Relationship Id="rId140" Type="http://schemas.openxmlformats.org/officeDocument/2006/relationships/hyperlink" Target="https://consultation.abcb.gov.au/engagement/consult-ris-accessible-housing/consultation/published_select_respondent" TargetMode="External"/><Relationship Id="rId145" Type="http://schemas.openxmlformats.org/officeDocument/2006/relationships/hyperlink" Target="https://consultation.abcb.gov.au/engagement/consult-ris-accessible-housing/consultation/published_select_respondent" TargetMode="External"/><Relationship Id="rId161" Type="http://schemas.openxmlformats.org/officeDocument/2006/relationships/hyperlink" Target="https://www.openagent.com.au/blog/how-much-moving-cost?at=v5&amp;utm_expid=.6ZprDALXQh2rpM05ZARdBA.1&amp;utm_referrer=https%3A%2F%2Fwww.google.com%2F" TargetMode="External"/><Relationship Id="rId166" Type="http://schemas.openxmlformats.org/officeDocument/2006/relationships/hyperlink" Target="https://www.gen-agedcaredata.gov.au/Resources/Access-data/2019/September/Aged-care-data-snapshot%E2%80%942019" TargetMode="External"/><Relationship Id="rId1" Type="http://schemas.openxmlformats.org/officeDocument/2006/relationships/hyperlink" Target="https://consultation.abcb.gov.au/engagement/consult-ris-accessible-housing/consultation/view_respondent?uuId=90458024" TargetMode="External"/><Relationship Id="rId6" Type="http://schemas.openxmlformats.org/officeDocument/2006/relationships/hyperlink" Target="https://consultation.abcb.gov.au/engagement/consult-ris-accessible-housing/supporting_documents/Consultation_RIS_Proposal_to_include_minimum_accessibility_standards_for_housing_in_the_NCC.pdf" TargetMode="External"/><Relationship Id="rId23" Type="http://schemas.openxmlformats.org/officeDocument/2006/relationships/hyperlink" Target="https://www.abs.gov.au/ausstats/abs@.nsf/Latestproducts/4431.0.55.002Main%20Features72012%20-%202016?opendocument&amp;tabname=Summary&amp;prodno=4431.0.55.002&amp;issue=2012%20-%202016&amp;num=&amp;view=" TargetMode="External"/><Relationship Id="rId28" Type="http://schemas.openxmlformats.org/officeDocument/2006/relationships/hyperlink" Target="https://www.dss.gov.au/housing-support/programmes-services/commonwealth-rent-assistance" TargetMode="External"/><Relationship Id="rId49" Type="http://schemas.openxmlformats.org/officeDocument/2006/relationships/hyperlink" Target="https://consultation.abcb.gov.au/engagement/consult-ris-accessible-housing/consultation/published_select_respondent" TargetMode="External"/><Relationship Id="rId114" Type="http://schemas.openxmlformats.org/officeDocument/2006/relationships/hyperlink" Target="https://consultation.abcb.gov.au/engagement/consult-ris-accessible-housing/consultation/published_select_respondent" TargetMode="External"/><Relationship Id="rId119" Type="http://schemas.openxmlformats.org/officeDocument/2006/relationships/hyperlink" Target="https://consultation.abcb.gov.au/engagement/consult-ris-accessible-housing/consultation/published_select_respondent" TargetMode="External"/><Relationship Id="rId10" Type="http://schemas.openxmlformats.org/officeDocument/2006/relationships/hyperlink" Target="https://www.pmc.gov.au/resource-centre/regulation/cost-benefit-analysis-guidance-note" TargetMode="External"/><Relationship Id="rId31" Type="http://schemas.openxmlformats.org/officeDocument/2006/relationships/hyperlink" Target="https://www.ndis.gov.au/about-us/publications/quarterly-reports" TargetMode="External"/><Relationship Id="rId44" Type="http://schemas.openxmlformats.org/officeDocument/2006/relationships/hyperlink" Target="https://consultation.abcb.gov.au/engagement/consult-ris-accessible-housing/consultation/published_select_respondent" TargetMode="External"/><Relationship Id="rId52" Type="http://schemas.openxmlformats.org/officeDocument/2006/relationships/hyperlink" Target="https://www.commsec.com.au/content/dam/EN/ResearchNews/2018Reports/November/ECO_Insights_191118_CommSec-Home-Size.pdf" TargetMode="External"/><Relationship Id="rId60" Type="http://schemas.openxmlformats.org/officeDocument/2006/relationships/hyperlink" Target="https://udia.com.au/research/udia-state-of-the-land-2020/" TargetMode="External"/><Relationship Id="rId65" Type="http://schemas.openxmlformats.org/officeDocument/2006/relationships/hyperlink" Target="https://consultation.abcb.gov.au/engagement/consult-ris-accessible-housing/consultation/published_select_respondent" TargetMode="External"/><Relationship Id="rId73" Type="http://schemas.openxmlformats.org/officeDocument/2006/relationships/hyperlink" Target="https://consultation.abcb.gov.au/engagement/consult-ris-accessible-housing/consultation/published_select_respondent" TargetMode="External"/><Relationship Id="rId78" Type="http://schemas.openxmlformats.org/officeDocument/2006/relationships/hyperlink" Target="https://consultation.abcb.gov.au/engagement/consult-ris-accessible-housing/consultation/published_select_respondent" TargetMode="External"/><Relationship Id="rId81" Type="http://schemas.openxmlformats.org/officeDocument/2006/relationships/hyperlink" Target="https://consultation.abcb.gov.au/engagement/consult-ris-accessible-housing/consultation/published_select_respondent" TargetMode="External"/><Relationship Id="rId86" Type="http://schemas.openxmlformats.org/officeDocument/2006/relationships/hyperlink" Target="https://consultation.abcb.gov.au/engagement/consult-ris-accessible-housing/consultation/published_select_respondent" TargetMode="External"/><Relationship Id="rId94" Type="http://schemas.openxmlformats.org/officeDocument/2006/relationships/hyperlink" Target="https://consultation.abcb.gov.au/engagement/consult-ris-accessible-housing/consultation/published_select_respondent" TargetMode="External"/><Relationship Id="rId99" Type="http://schemas.openxmlformats.org/officeDocument/2006/relationships/hyperlink" Target="https://consultation.abcb.gov.au/engagement/consult-ris-accessible-housing/consultation/published_select_respondent" TargetMode="External"/><Relationship Id="rId101" Type="http://schemas.openxmlformats.org/officeDocument/2006/relationships/hyperlink" Target="https://consultation.abcb.gov.au/engagement/consult-ris-accessible-housing/consultation/published_select_respondent" TargetMode="External"/><Relationship Id="rId122" Type="http://schemas.openxmlformats.org/officeDocument/2006/relationships/hyperlink" Target="https://consultation.abcb.gov.au/engagement/consult-ris-accessible-housing/consultation/published_select_respondent" TargetMode="External"/><Relationship Id="rId130" Type="http://schemas.openxmlformats.org/officeDocument/2006/relationships/hyperlink" Target="https://consultation.abcb.gov.au/engagement/consult-ris-accessible-housing/consultation/published_select_respondent" TargetMode="External"/><Relationship Id="rId135" Type="http://schemas.openxmlformats.org/officeDocument/2006/relationships/hyperlink" Target="https://consultation.abcb.gov.au/engagement/consult-ris-accessible-housing/consultation/published_select_respondent" TargetMode="External"/><Relationship Id="rId143" Type="http://schemas.openxmlformats.org/officeDocument/2006/relationships/hyperlink" Target="https://consultation.abcb.gov.au/engagement/consult-ris-accessible-housing/consultation/published_select_respondent" TargetMode="External"/><Relationship Id="rId148" Type="http://schemas.openxmlformats.org/officeDocument/2006/relationships/hyperlink" Target="https://consultation.abcb.gov.au/engagement/consult-ris-accessible-housing/consultation/published_select_respondent" TargetMode="External"/><Relationship Id="rId151" Type="http://schemas.openxmlformats.org/officeDocument/2006/relationships/hyperlink" Target="https://consultation.abcb.gov.au/engagement/consult-ris-accessible-housing/consultation/published_select_respondent" TargetMode="External"/><Relationship Id="rId156" Type="http://schemas.openxmlformats.org/officeDocument/2006/relationships/hyperlink" Target="https://www.aihw.gov.au/reports/injury/trends-in-hospitalised-injury-due-to-falls/data" TargetMode="External"/><Relationship Id="rId164" Type="http://schemas.openxmlformats.org/officeDocument/2006/relationships/hyperlink" Target="https://www.ihpa.gov.au/what-we-do/subacute-and-non-acute-care" TargetMode="External"/><Relationship Id="rId169" Type="http://schemas.openxmlformats.org/officeDocument/2006/relationships/hyperlink" Target="https://agedcare.royalcommission.gov.au/Pages/default.aspx" TargetMode="External"/><Relationship Id="rId177" Type="http://schemas.openxmlformats.org/officeDocument/2006/relationships/hyperlink" Target="https://humanrights.gov.au/our-work/9-barriers-employment" TargetMode="External"/><Relationship Id="rId4" Type="http://schemas.openxmlformats.org/officeDocument/2006/relationships/hyperlink" Target="https://www.ag.gov.au/rights-and-protections/human-rights-and-anti-discrimination/united-nations-human-rights-reporting" TargetMode="External"/><Relationship Id="rId9" Type="http://schemas.openxmlformats.org/officeDocument/2006/relationships/hyperlink" Target="https://www.pmc.gov.au/sites/default/files/publications/Value_of_Statistical_Life_guidance_note.pdf" TargetMode="External"/><Relationship Id="rId172" Type="http://schemas.openxmlformats.org/officeDocument/2006/relationships/hyperlink" Target="https://www.aqol.com.au/documents/charts/equation-aqol-4d-structures.pdf" TargetMode="External"/><Relationship Id="rId13" Type="http://schemas.openxmlformats.org/officeDocument/2006/relationships/hyperlink" Target="https://www.abs.gov.au/AUSSTATS/abs@.nsf/Latestproducts/4430.0Main%20Features52018?opendocument&amp;tabname=Summary&amp;prodno=4430.0&amp;issue=2018&amp;num=&amp;view=" TargetMode="External"/><Relationship Id="rId18" Type="http://schemas.openxmlformats.org/officeDocument/2006/relationships/hyperlink" Target="https://www.aihw.gov.au/reports/mental-health-services/mental-health-services-in-australia/report-contents/expenditure-on-mental-health-related-services?request=smoothstate" TargetMode="External"/><Relationship Id="rId39" Type="http://schemas.openxmlformats.org/officeDocument/2006/relationships/hyperlink" Target="https://www.ahuri.edu.au/research/ahuri-briefs/whats-needed-to-make-ageing-in-place-work-for-older-australians" TargetMode="External"/><Relationship Id="rId109" Type="http://schemas.openxmlformats.org/officeDocument/2006/relationships/hyperlink" Target="https://consultation.abcb.gov.au/engagement/consult-ris-accessible-housing/consultation/published_select_respondent" TargetMode="External"/><Relationship Id="rId34" Type="http://schemas.openxmlformats.org/officeDocument/2006/relationships/hyperlink" Target="https://www.aqol.com.au/index.php/allfaqs" TargetMode="External"/><Relationship Id="rId50" Type="http://schemas.openxmlformats.org/officeDocument/2006/relationships/hyperlink" Target="https://consultation.abcb.gov.au/engagement/consult-ris-accessible-housing/consultation/published_select_respondent" TargetMode="External"/><Relationship Id="rId55" Type="http://schemas.openxmlformats.org/officeDocument/2006/relationships/hyperlink" Target="https://www.homes.com.au/news/length-of-home-ownership-in-australia-reaches-10-year-peak/" TargetMode="External"/><Relationship Id="rId76" Type="http://schemas.openxmlformats.org/officeDocument/2006/relationships/hyperlink" Target="https://consultation.abcb.gov.au/engagement/consult-ris-accessible-housing/consultation/published_select_respondent" TargetMode="External"/><Relationship Id="rId97" Type="http://schemas.openxmlformats.org/officeDocument/2006/relationships/hyperlink" Target="https://consultation.abcb.gov.au/engagement/consult-ris-accessible-housing/consultation/published_select_respondent" TargetMode="External"/><Relationship Id="rId104" Type="http://schemas.openxmlformats.org/officeDocument/2006/relationships/hyperlink" Target="https://consultation.abcb.gov.au/engagement/consult-ris-accessible-housing/consultation/published_select_respondent" TargetMode="External"/><Relationship Id="rId120" Type="http://schemas.openxmlformats.org/officeDocument/2006/relationships/hyperlink" Target="https://consultation.abcb.gov.au/engagement/consult-ris-accessible-housing/consultation/published_select_respondent" TargetMode="External"/><Relationship Id="rId125" Type="http://schemas.openxmlformats.org/officeDocument/2006/relationships/hyperlink" Target="https://consultation.abcb.gov.au/engagement/consult-ris-accessible-housing/consultation/published_select_respondent" TargetMode="External"/><Relationship Id="rId141" Type="http://schemas.openxmlformats.org/officeDocument/2006/relationships/hyperlink" Target="https://consultation.abcb.gov.au/engagement/consult-ris-accessible-housing/consultation/published_select_respondent" TargetMode="External"/><Relationship Id="rId146" Type="http://schemas.openxmlformats.org/officeDocument/2006/relationships/hyperlink" Target="https://consultation.abcb.gov.au/engagement/consult-ris-accessible-housing/consultation/published_select_respondent" TargetMode="External"/><Relationship Id="rId167" Type="http://schemas.openxmlformats.org/officeDocument/2006/relationships/hyperlink" Target="https://www.gen-agedcaredata.gov.au/Resources/Access-data/2019/September/Aged-care-data-snapshot%E2%80%942019" TargetMode="External"/><Relationship Id="rId7" Type="http://schemas.openxmlformats.org/officeDocument/2006/relationships/hyperlink" Target="https://consultation.abcb.gov.au/engagement/consult-ris-accessible-housing/" TargetMode="External"/><Relationship Id="rId71" Type="http://schemas.openxmlformats.org/officeDocument/2006/relationships/hyperlink" Target="https://consultation.abcb.gov.au/engagement/consult-ris-accessible-housing/consultation/published_select_respondent" TargetMode="External"/><Relationship Id="rId92" Type="http://schemas.openxmlformats.org/officeDocument/2006/relationships/hyperlink" Target="https://consultation.abcb.gov.au/engagement/consult-ris-accessible-housing/consultation/published_select_respondent" TargetMode="External"/><Relationship Id="rId162" Type="http://schemas.openxmlformats.org/officeDocument/2006/relationships/hyperlink" Target="https://www.realestate.com.au/advice/how-much-does-it-cost-to-sell-a-house/" TargetMode="External"/><Relationship Id="rId2" Type="http://schemas.openxmlformats.org/officeDocument/2006/relationships/hyperlink" Target="https://consultation.abcb.gov.au/engagement/consult-ris-accessible-housing/consultation/view_respondent?show_all_questions=0&amp;sort=submitted&amp;order=ascending&amp;_q__text=hayley+stone&amp;uuId=686843897" TargetMode="External"/><Relationship Id="rId29" Type="http://schemas.openxmlformats.org/officeDocument/2006/relationships/hyperlink" Target="https://www.gen-agedcaredata.gov.au/Resources/Access-data/2019/September/Aged-care-data-snapshot%E2%80%942019" TargetMode="External"/><Relationship Id="rId24" Type="http://schemas.openxmlformats.org/officeDocument/2006/relationships/hyperlink" Target="https://consultation.abcb.gov.au/engagement/consult-ris-accessible-housing/consultation/published_select_respondent" TargetMode="External"/><Relationship Id="rId40" Type="http://schemas.openxmlformats.org/officeDocument/2006/relationships/hyperlink" Target="https://www.verywellhealth.com/stair-climbing-basics-2696293" TargetMode="External"/><Relationship Id="rId45" Type="http://schemas.openxmlformats.org/officeDocument/2006/relationships/hyperlink" Target="https://www.babycenter.com.au/thread/3637820/adding-a-ramp-to-stairs-for-pram" TargetMode="External"/><Relationship Id="rId66" Type="http://schemas.openxmlformats.org/officeDocument/2006/relationships/hyperlink" Target="https://consultation.abcb.gov.au/engagement/consult-ris-accessible-housing/consultation/published_select_respondent" TargetMode="External"/><Relationship Id="rId87" Type="http://schemas.openxmlformats.org/officeDocument/2006/relationships/hyperlink" Target="https://consultation.abcb.gov.au/engagement/consult-ris-accessible-housing/consultation/published_select_respondent" TargetMode="External"/><Relationship Id="rId110" Type="http://schemas.openxmlformats.org/officeDocument/2006/relationships/hyperlink" Target="https://consultation.abcb.gov.au/engagement/consult-ris-accessible-housing/consultation/published_select_respondent" TargetMode="External"/><Relationship Id="rId115" Type="http://schemas.openxmlformats.org/officeDocument/2006/relationships/hyperlink" Target="https://consultation.abcb.gov.au/engagement/consult-ris-accessible-housing/consultation/published_select_respondent" TargetMode="External"/><Relationship Id="rId131" Type="http://schemas.openxmlformats.org/officeDocument/2006/relationships/hyperlink" Target="https://consultation.abcb.gov.au/engagement/consult-ris-accessible-housing/consultation/published_select_respondent" TargetMode="External"/><Relationship Id="rId136" Type="http://schemas.openxmlformats.org/officeDocument/2006/relationships/hyperlink" Target="https://consultation.abcb.gov.au/engagement/consult-ris-accessible-housing/consultation/published_select_respondent" TargetMode="External"/><Relationship Id="rId157" Type="http://schemas.openxmlformats.org/officeDocument/2006/relationships/hyperlink" Target="https://www.ndis.gov.au/providers/price-guides-and-pricing" TargetMode="External"/><Relationship Id="rId178" Type="http://schemas.openxmlformats.org/officeDocument/2006/relationships/hyperlink" Target="https://www.abs.gov.au/statistics/industry/industry-overview/estimates-industry-multifactor-productivity/latest-release" TargetMode="External"/><Relationship Id="rId61" Type="http://schemas.openxmlformats.org/officeDocument/2006/relationships/hyperlink" Target="https://consultation.abcb.gov.au/engagement/consult-ris-accessible-housing/supporting_documents/Consultation_RIS_Proposal_to_include_minimum_accessibility_standards_for_housing_in_the_NCC.pdf" TargetMode="External"/><Relationship Id="rId82" Type="http://schemas.openxmlformats.org/officeDocument/2006/relationships/hyperlink" Target="https://consultation.abcb.gov.au/engagement/consult-ris-accessible-housing/consultation/published_select_respondent" TargetMode="External"/><Relationship Id="rId152" Type="http://schemas.openxmlformats.org/officeDocument/2006/relationships/hyperlink" Target="https://consultation.abcb.gov.au/engagement/consult-ris-accessible-housing/consultation/published_select_respondent" TargetMode="External"/><Relationship Id="rId173" Type="http://schemas.openxmlformats.org/officeDocument/2006/relationships/hyperlink" Target="https://www.aqol.com.au/index.php/allfaqs" TargetMode="External"/><Relationship Id="rId19" Type="http://schemas.openxmlformats.org/officeDocument/2006/relationships/hyperlink" Target="https://www.ranzcp.org/files/resources/reports/ranzcp-serious-mental-illness.aspx" TargetMode="External"/><Relationship Id="rId14" Type="http://schemas.openxmlformats.org/officeDocument/2006/relationships/hyperlink" Target="https://www.aihw.gov.au/getmedia/6cef34e2-2422-4f11-a9f3-06e336edac3f/aihw-injcat-204.pdf.aspx?inline=true" TargetMode="External"/><Relationship Id="rId30" Type="http://schemas.openxmlformats.org/officeDocument/2006/relationships/hyperlink" Target="https://www.gen-agedcaredata.gov.au/Resources/Access-data/2019/September/Aged-care-data-snapshot%E2%80%942019" TargetMode="External"/><Relationship Id="rId35" Type="http://schemas.openxmlformats.org/officeDocument/2006/relationships/hyperlink" Target="https://www.service.com.au/articles/bathroom/how-long-does-a-bathroom-renovation-take" TargetMode="External"/><Relationship Id="rId56" Type="http://schemas.openxmlformats.org/officeDocument/2006/relationships/hyperlink" Target="https://vpa-web.s3.amazonaws.com/wp-content/uploads/2020/06/Small-Lot-Housing-Code-November-2019.pdf" TargetMode="External"/><Relationship Id="rId77" Type="http://schemas.openxmlformats.org/officeDocument/2006/relationships/hyperlink" Target="https://consultation.abcb.gov.au/engagement/consult-ris-accessible-housing/consultation/published_select_respondent" TargetMode="External"/><Relationship Id="rId100" Type="http://schemas.openxmlformats.org/officeDocument/2006/relationships/hyperlink" Target="https://consultation.abcb.gov.au/engagement/consult-ris-accessible-housing/consultation/published_select_respondent" TargetMode="External"/><Relationship Id="rId105" Type="http://schemas.openxmlformats.org/officeDocument/2006/relationships/hyperlink" Target="https://consultation.abcb.gov.au/engagement/consult-ris-accessible-housing/consultation/published_select_respondent" TargetMode="External"/><Relationship Id="rId126" Type="http://schemas.openxmlformats.org/officeDocument/2006/relationships/hyperlink" Target="https://consultation.abcb.gov.au/engagement/consult-ris-accessible-housing/consultation/published_select_respondent" TargetMode="External"/><Relationship Id="rId147" Type="http://schemas.openxmlformats.org/officeDocument/2006/relationships/hyperlink" Target="https://consultation.abcb.gov.au/engagement/consult-ris-accessible-housing/consultation/published_select_respondent" TargetMode="External"/><Relationship Id="rId168" Type="http://schemas.openxmlformats.org/officeDocument/2006/relationships/hyperlink" Target="https://www.dss.gov.au/disability-and-carers/programmes-services/for-people-with-disability/younger-people-with-disability-in-residential-aged-care-initiative" TargetMode="External"/><Relationship Id="rId8" Type="http://schemas.openxmlformats.org/officeDocument/2006/relationships/hyperlink" Target="https://pmc.gov.au/sites/default/files/publications/COAG_best_practice_guide_2007.pdf" TargetMode="External"/><Relationship Id="rId51" Type="http://schemas.openxmlformats.org/officeDocument/2006/relationships/hyperlink" Target="https://consultation.abcb.gov.au/engagement/consult-ris-accessible-housing/consultation/published_select_respondent" TargetMode="External"/><Relationship Id="rId72" Type="http://schemas.openxmlformats.org/officeDocument/2006/relationships/hyperlink" Target="https://consultation.abcb.gov.au/engagement/consult-ris-accessible-housing/consultation/published_select_respondent" TargetMode="External"/><Relationship Id="rId93" Type="http://schemas.openxmlformats.org/officeDocument/2006/relationships/hyperlink" Target="https://consultation.abcb.gov.au/engagement/consult-ris-accessible-housing/consultation/published_select_respondent" TargetMode="External"/><Relationship Id="rId98" Type="http://schemas.openxmlformats.org/officeDocument/2006/relationships/hyperlink" Target="https://consultation.abcb.gov.au/engagement/consult-ris-accessible-housing/consultation/published_select_respondent" TargetMode="External"/><Relationship Id="rId121" Type="http://schemas.openxmlformats.org/officeDocument/2006/relationships/hyperlink" Target="https://consultation.abcb.gov.au/engagement/consult-ris-accessible-housing/consultation/published_select_respondent" TargetMode="External"/><Relationship Id="rId142" Type="http://schemas.openxmlformats.org/officeDocument/2006/relationships/hyperlink" Target="https://consultation.abcb.gov.au/engagement/consult-ris-accessible-housing/consultation/published_select_respondent" TargetMode="External"/><Relationship Id="rId163" Type="http://schemas.openxmlformats.org/officeDocument/2006/relationships/hyperlink" Target="https://www.aihw.gov.au/reports-data/myhospitals/content/glossary" TargetMode="External"/><Relationship Id="rId3" Type="http://schemas.openxmlformats.org/officeDocument/2006/relationships/hyperlink" Target="https://www.un.org/development/desa/disabilities/convention-on-the-rights-of-persons-with-disabilities/article-9-accessibility.html" TargetMode="External"/><Relationship Id="rId25" Type="http://schemas.openxmlformats.org/officeDocument/2006/relationships/hyperlink" Target="https://www.ndis.gov.au/providers/essentials-providers-working-ndia/specialist-disability-accommodation" TargetMode="External"/><Relationship Id="rId46" Type="http://schemas.openxmlformats.org/officeDocument/2006/relationships/hyperlink" Target="https://www.safetyxpress.com.au/other-products/ramps/plastic-kerb-ramp/?gclid=CjwKCAjw_Y_8BRBiEiwA5MCBJrLjTEhIXAwrVDJEt8JP0a453n2NRR2x8nSAqYq5HlJ8MpdKIsyt9BoCXE4QAvD_BwE,a" TargetMode="External"/><Relationship Id="rId67" Type="http://schemas.openxmlformats.org/officeDocument/2006/relationships/hyperlink" Target="https://consultation.abcb.gov.au/engagement/consult-ris-accessible-housing/consultation/published_select_respondent" TargetMode="External"/><Relationship Id="rId116" Type="http://schemas.openxmlformats.org/officeDocument/2006/relationships/hyperlink" Target="https://consultation.abcb.gov.au/engagement/consult-ris-accessible-housing/consultation/published_select_respondent" TargetMode="External"/><Relationship Id="rId137" Type="http://schemas.openxmlformats.org/officeDocument/2006/relationships/hyperlink" Target="https://consultation.abcb.gov.au/engagement/consult-ris-accessible-housing/consultation/published_select_respondent" TargetMode="External"/><Relationship Id="rId158" Type="http://schemas.openxmlformats.org/officeDocument/2006/relationships/hyperlink" Target="https://www.payscale.com/research/AU/Job=Aged_Care_Worker/Hourly_Rate/999a3db7/Sydney" TargetMode="External"/><Relationship Id="rId20" Type="http://schemas.openxmlformats.org/officeDocument/2006/relationships/hyperlink" Target="https://www.mentalhealthcommission.gov.au/news/2016/december/economics-of-mental-health-in-australia" TargetMode="External"/><Relationship Id="rId41" Type="http://schemas.openxmlformats.org/officeDocument/2006/relationships/hyperlink" Target="https://www.access-board.gov/guidelines-and-standards/buildings-and-sites/about-the-ada-standards/background/ada-aba-accessibility-guidelines-2004/chapter-six-plumbing-elements-and-facilities" TargetMode="External"/><Relationship Id="rId62" Type="http://schemas.openxmlformats.org/officeDocument/2006/relationships/hyperlink" Target="https://consultation.abcb.gov.au/engagement/consult-ris-accessible-housing/" TargetMode="External"/><Relationship Id="rId83" Type="http://schemas.openxmlformats.org/officeDocument/2006/relationships/hyperlink" Target="https://consultation.abcb.gov.au/engagement/consult-ris-accessible-housing/consultation/published_select_respondent" TargetMode="External"/><Relationship Id="rId88" Type="http://schemas.openxmlformats.org/officeDocument/2006/relationships/hyperlink" Target="https://consultation.abcb.gov.au/engagement/consult-ris-accessible-housing/consultation/published_select_respondent" TargetMode="External"/><Relationship Id="rId111" Type="http://schemas.openxmlformats.org/officeDocument/2006/relationships/hyperlink" Target="https://consultation.abcb.gov.au/engagement/consult-ris-accessible-housing/consultation/published_select_respondent" TargetMode="External"/><Relationship Id="rId132" Type="http://schemas.openxmlformats.org/officeDocument/2006/relationships/hyperlink" Target="https://consultation.abcb.gov.au/engagement/consult-ris-accessible-housing/consultation/published_select_respondent" TargetMode="External"/><Relationship Id="rId153" Type="http://schemas.openxmlformats.org/officeDocument/2006/relationships/hyperlink" Target="https://www.bmj.com/content/325/7356/128" TargetMode="External"/><Relationship Id="rId174" Type="http://schemas.openxmlformats.org/officeDocument/2006/relationships/hyperlink" Target="https://www.ranzcp.org/files/resources/reports/ranzcp-serious-mental-illness.aspx" TargetMode="External"/><Relationship Id="rId15" Type="http://schemas.openxmlformats.org/officeDocument/2006/relationships/hyperlink" Target="https://www.nhs.uk/conditions/broken-leg/" TargetMode="External"/><Relationship Id="rId36" Type="http://schemas.openxmlformats.org/officeDocument/2006/relationships/hyperlink" Target="https://www.openagent.com.au/blog/how-much-moving-cost?at=v5&amp;utm_expid=.6ZprDALXQh2rpM05ZARdBA.1&amp;utm_referrer=https%3A%2F%2Fwww.google.com%2F" TargetMode="External"/><Relationship Id="rId57" Type="http://schemas.openxmlformats.org/officeDocument/2006/relationships/hyperlink" Target="https://www.brisbane.qld.gov.au/planning-and-building/do-i-need-approval/residential-projects/dwellings/small-lot-projects" TargetMode="External"/><Relationship Id="rId106" Type="http://schemas.openxmlformats.org/officeDocument/2006/relationships/hyperlink" Target="https://consultation.abcb.gov.au/engagement/consult-ris-accessible-housing/consultation/published_select_respondent" TargetMode="External"/><Relationship Id="rId127" Type="http://schemas.openxmlformats.org/officeDocument/2006/relationships/hyperlink" Target="https://consultation.abcb.gov.au/engagement/consult-ris-accessible-housing/consultation/published_select_respond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ittain\AppData\Roaming\Microsoft\Templates\2016%20Templates\Report%20CIE%202016.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6541c0-0594-4e6a-9105-c24d4b6de6f7">
      <Value>33</Value>
      <Value>29</Value>
      <Value>46</Value>
      <Value>62</Value>
      <Value>57</Value>
      <Value>39</Value>
      <Value>18</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DOC21-122614</ShareHubID>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4672189-3D96-418A-B190-774BAD6E080E}">
  <ds:schemaRefs>
    <ds:schemaRef ds:uri="http://schemas.microsoft.com/sharepoint/v3/contenttype/forms"/>
  </ds:schemaRefs>
</ds:datastoreItem>
</file>

<file path=customXml/itemProps2.xml><?xml version="1.0" encoding="utf-8"?>
<ds:datastoreItem xmlns:ds="http://schemas.openxmlformats.org/officeDocument/2006/customXml" ds:itemID="{044988C6-DFC1-4248-A7DF-95B346AAD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FFF80B-9AB7-4AB8-B781-CC0497E63510}">
  <ds:schemaRefs>
    <ds:schemaRef ds:uri="166541c0-0594-4e6a-9105-c24d4b6de6f7"/>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685f9fda-bd71-4433-b331-92feb9553089"/>
    <ds:schemaRef ds:uri="http://www.w3.org/XML/1998/namespace"/>
  </ds:schemaRefs>
</ds:datastoreItem>
</file>

<file path=customXml/itemProps4.xml><?xml version="1.0" encoding="utf-8"?>
<ds:datastoreItem xmlns:ds="http://schemas.openxmlformats.org/officeDocument/2006/customXml" ds:itemID="{1DF3D786-3609-4408-91AE-D7643DDC9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CIE 2016</Template>
  <TotalTime>24</TotalTime>
  <Pages>296</Pages>
  <Words>125684</Words>
  <Characters>716400</Characters>
  <Application>Microsoft Office Word</Application>
  <DocSecurity>0</DocSecurity>
  <Lines>5970</Lines>
  <Paragraphs>1680</Paragraphs>
  <ScaleCrop>false</ScaleCrop>
  <HeadingPairs>
    <vt:vector size="2" baseType="variant">
      <vt:variant>
        <vt:lpstr>Title</vt:lpstr>
      </vt:variant>
      <vt:variant>
        <vt:i4>1</vt:i4>
      </vt:variant>
    </vt:vector>
  </HeadingPairs>
  <TitlesOfParts>
    <vt:vector size="1" baseType="lpstr">
      <vt:lpstr>DRIS Accessible Housing</vt:lpstr>
    </vt:vector>
  </TitlesOfParts>
  <Company/>
  <LinksUpToDate>false</LinksUpToDate>
  <CharactersWithSpaces>840404</CharactersWithSpaces>
  <SharedDoc>false</SharedDoc>
  <HLinks>
    <vt:vector size="1266" baseType="variant">
      <vt:variant>
        <vt:i4>6357049</vt:i4>
      </vt:variant>
      <vt:variant>
        <vt:i4>8096</vt:i4>
      </vt:variant>
      <vt:variant>
        <vt:i4>0</vt:i4>
      </vt:variant>
      <vt:variant>
        <vt:i4>5</vt:i4>
      </vt:variant>
      <vt:variant>
        <vt:lpwstr>https://www.dss.gov.au/sites/default/files/documents/08_2018/online_rates_-_20_september_-_pdf_version.pdf</vt:lpwstr>
      </vt:variant>
      <vt:variant>
        <vt:lpwstr/>
      </vt:variant>
      <vt:variant>
        <vt:i4>8192111</vt:i4>
      </vt:variant>
      <vt:variant>
        <vt:i4>7938</vt:i4>
      </vt:variant>
      <vt:variant>
        <vt:i4>0</vt:i4>
      </vt:variant>
      <vt:variant>
        <vt:i4>5</vt:i4>
      </vt:variant>
      <vt:variant>
        <vt:lpwstr>https://mhaustralia.org/publication/investing-save-kpmg-and-mental-health-australia-report-may-2018</vt:lpwstr>
      </vt:variant>
      <vt:variant>
        <vt:lpwstr/>
      </vt:variant>
      <vt:variant>
        <vt:i4>7929968</vt:i4>
      </vt:variant>
      <vt:variant>
        <vt:i4>7935</vt:i4>
      </vt:variant>
      <vt:variant>
        <vt:i4>0</vt:i4>
      </vt:variant>
      <vt:variant>
        <vt:i4>5</vt:i4>
      </vt:variant>
      <vt:variant>
        <vt:lpwstr>http://www.mentalhealthcommission.gov.au/media-centre/news/economics-of-mental-health-in-australia.aspx</vt:lpwstr>
      </vt:variant>
      <vt:variant>
        <vt:lpwstr/>
      </vt:variant>
      <vt:variant>
        <vt:i4>851972</vt:i4>
      </vt:variant>
      <vt:variant>
        <vt:i4>7932</vt:i4>
      </vt:variant>
      <vt:variant>
        <vt:i4>0</vt:i4>
      </vt:variant>
      <vt:variant>
        <vt:i4>5</vt:i4>
      </vt:variant>
      <vt:variant>
        <vt:lpwstr>https://www.ranzcp.org/Files/Publications/RANZCP-Serious-Mental-Illness.aspx</vt:lpwstr>
      </vt:variant>
      <vt:variant>
        <vt:lpwstr/>
      </vt:variant>
      <vt:variant>
        <vt:i4>3866679</vt:i4>
      </vt:variant>
      <vt:variant>
        <vt:i4>7699</vt:i4>
      </vt:variant>
      <vt:variant>
        <vt:i4>0</vt:i4>
      </vt:variant>
      <vt:variant>
        <vt:i4>5</vt:i4>
      </vt:variant>
      <vt:variant>
        <vt:lpwstr>https://www.abs.gov.au/statistics/economy/finance/household-expenditure-survey-australia-summary-results/latest-release</vt:lpwstr>
      </vt:variant>
      <vt:variant>
        <vt:lpwstr>data-download</vt:lpwstr>
      </vt:variant>
      <vt:variant>
        <vt:i4>458827</vt:i4>
      </vt:variant>
      <vt:variant>
        <vt:i4>7370</vt:i4>
      </vt:variant>
      <vt:variant>
        <vt:i4>0</vt:i4>
      </vt:variant>
      <vt:variant>
        <vt:i4>5</vt:i4>
      </vt:variant>
      <vt:variant>
        <vt:lpwstr>https://www.gen-agedcaredata.gov.au/Resources/Access-data/2019/September/Aged-care-data-snapshot%E2%80%942019</vt:lpwstr>
      </vt:variant>
      <vt:variant>
        <vt:lpwstr/>
      </vt:variant>
      <vt:variant>
        <vt:i4>2424918</vt:i4>
      </vt:variant>
      <vt:variant>
        <vt:i4>6651</vt:i4>
      </vt:variant>
      <vt:variant>
        <vt:i4>0</vt:i4>
      </vt:variant>
      <vt:variant>
        <vt:i4>5</vt:i4>
      </vt:variant>
      <vt:variant>
        <vt:lpwstr>https://www.payscale.com/research/AU/Job=Aged_Care_Worker/Hourly_Rate/999a3db7/Sydney</vt:lpwstr>
      </vt:variant>
      <vt:variant>
        <vt:lpwstr/>
      </vt:variant>
      <vt:variant>
        <vt:i4>7405627</vt:i4>
      </vt:variant>
      <vt:variant>
        <vt:i4>6605</vt:i4>
      </vt:variant>
      <vt:variant>
        <vt:i4>0</vt:i4>
      </vt:variant>
      <vt:variant>
        <vt:i4>5</vt:i4>
      </vt:variant>
      <vt:variant>
        <vt:lpwstr>https://www.ndis.gov.au/providers/price-guides-and-pricing</vt:lpwstr>
      </vt:variant>
      <vt:variant>
        <vt:lpwstr/>
      </vt:variant>
      <vt:variant>
        <vt:i4>7536712</vt:i4>
      </vt:variant>
      <vt:variant>
        <vt:i4>6494</vt:i4>
      </vt:variant>
      <vt:variant>
        <vt:i4>0</vt:i4>
      </vt:variant>
      <vt:variant>
        <vt:i4>5</vt:i4>
      </vt:variant>
      <vt:variant>
        <vt:lpwstr>https://www.abs.gov.au/AUSSTATS/abs@.nsf/Lookup/3302.0.55.001Main+Features12016-2018?OpenDocument</vt:lpwstr>
      </vt:variant>
      <vt:variant>
        <vt:lpwstr/>
      </vt:variant>
      <vt:variant>
        <vt:i4>7536712</vt:i4>
      </vt:variant>
      <vt:variant>
        <vt:i4>6185</vt:i4>
      </vt:variant>
      <vt:variant>
        <vt:i4>0</vt:i4>
      </vt:variant>
      <vt:variant>
        <vt:i4>5</vt:i4>
      </vt:variant>
      <vt:variant>
        <vt:lpwstr>https://www.abs.gov.au/AUSSTATS/abs@.nsf/Lookup/3302.0.55.001Main+Features12016-2018?OpenDocument</vt:lpwstr>
      </vt:variant>
      <vt:variant>
        <vt:lpwstr/>
      </vt:variant>
      <vt:variant>
        <vt:i4>983130</vt:i4>
      </vt:variant>
      <vt:variant>
        <vt:i4>6042</vt:i4>
      </vt:variant>
      <vt:variant>
        <vt:i4>0</vt:i4>
      </vt:variant>
      <vt:variant>
        <vt:i4>5</vt:i4>
      </vt:variant>
      <vt:variant>
        <vt:lpwstr>https://www.ncbi.nlm.nih.gov/pubmed/21226674</vt:lpwstr>
      </vt:variant>
      <vt:variant>
        <vt:lpwstr/>
      </vt:variant>
      <vt:variant>
        <vt:i4>196688</vt:i4>
      </vt:variant>
      <vt:variant>
        <vt:i4>6039</vt:i4>
      </vt:variant>
      <vt:variant>
        <vt:i4>0</vt:i4>
      </vt:variant>
      <vt:variant>
        <vt:i4>5</vt:i4>
      </vt:variant>
      <vt:variant>
        <vt:lpwstr>https://www.ncbi.nlm.nih.gov/pubmed/12588572</vt:lpwstr>
      </vt:variant>
      <vt:variant>
        <vt:lpwstr/>
      </vt:variant>
      <vt:variant>
        <vt:i4>786515</vt:i4>
      </vt:variant>
      <vt:variant>
        <vt:i4>6036</vt:i4>
      </vt:variant>
      <vt:variant>
        <vt:i4>0</vt:i4>
      </vt:variant>
      <vt:variant>
        <vt:i4>5</vt:i4>
      </vt:variant>
      <vt:variant>
        <vt:lpwstr>https://www.ncbi.nlm.nih.gov/pubmed/23579066</vt:lpwstr>
      </vt:variant>
      <vt:variant>
        <vt:lpwstr/>
      </vt:variant>
      <vt:variant>
        <vt:i4>1376335</vt:i4>
      </vt:variant>
      <vt:variant>
        <vt:i4>4352</vt:i4>
      </vt:variant>
      <vt:variant>
        <vt:i4>0</vt:i4>
      </vt:variant>
      <vt:variant>
        <vt:i4>5</vt:i4>
      </vt:variant>
      <vt:variant>
        <vt:lpwstr>https://www.commsec.com.au/content/dam/EN/ResearchNews/ECOReport.20.11.17_Biggest homes_size-fall.pdf</vt:lpwstr>
      </vt:variant>
      <vt:variant>
        <vt:lpwstr/>
      </vt:variant>
      <vt:variant>
        <vt:i4>8060988</vt:i4>
      </vt:variant>
      <vt:variant>
        <vt:i4>4349</vt:i4>
      </vt:variant>
      <vt:variant>
        <vt:i4>0</vt:i4>
      </vt:variant>
      <vt:variant>
        <vt:i4>5</vt:i4>
      </vt:variant>
      <vt:variant>
        <vt:lpwstr>https://www.domain.com.au/research/house-price-report/december-2019/</vt:lpwstr>
      </vt:variant>
      <vt:variant>
        <vt:lpwstr>sydney</vt:lpwstr>
      </vt:variant>
      <vt:variant>
        <vt:i4>8060988</vt:i4>
      </vt:variant>
      <vt:variant>
        <vt:i4>4310</vt:i4>
      </vt:variant>
      <vt:variant>
        <vt:i4>0</vt:i4>
      </vt:variant>
      <vt:variant>
        <vt:i4>5</vt:i4>
      </vt:variant>
      <vt:variant>
        <vt:lpwstr>https://www.domain.com.au/research/house-price-report/december-2019/</vt:lpwstr>
      </vt:variant>
      <vt:variant>
        <vt:lpwstr>sydney</vt:lpwstr>
      </vt:variant>
      <vt:variant>
        <vt:i4>3735650</vt:i4>
      </vt:variant>
      <vt:variant>
        <vt:i4>3317</vt:i4>
      </vt:variant>
      <vt:variant>
        <vt:i4>0</vt:i4>
      </vt:variant>
      <vt:variant>
        <vt:i4>5</vt:i4>
      </vt:variant>
      <vt:variant>
        <vt:lpwstr>https://www.aihw.gov.au/getmedia/6cef34e2-2422-4f11-a9f3-06e336edac3f/aihw-injcat-204.pdf.aspx?inline=true</vt:lpwstr>
      </vt:variant>
      <vt:variant>
        <vt:lpwstr/>
      </vt:variant>
      <vt:variant>
        <vt:i4>6029316</vt:i4>
      </vt:variant>
      <vt:variant>
        <vt:i4>3269</vt:i4>
      </vt:variant>
      <vt:variant>
        <vt:i4>0</vt:i4>
      </vt:variant>
      <vt:variant>
        <vt:i4>5</vt:i4>
      </vt:variant>
      <vt:variant>
        <vt:lpwstr>https://www.ouh.nhs.uk/patient-guide/leaflets/files/10879Psofttissue.pdf</vt:lpwstr>
      </vt:variant>
      <vt:variant>
        <vt:lpwstr/>
      </vt:variant>
      <vt:variant>
        <vt:i4>3014702</vt:i4>
      </vt:variant>
      <vt:variant>
        <vt:i4>3266</vt:i4>
      </vt:variant>
      <vt:variant>
        <vt:i4>0</vt:i4>
      </vt:variant>
      <vt:variant>
        <vt:i4>5</vt:i4>
      </vt:variant>
      <vt:variant>
        <vt:lpwstr>https://www.nhs.uk/conditions/dislocated-kneecap/</vt:lpwstr>
      </vt:variant>
      <vt:variant>
        <vt:lpwstr>:~:text=A%20dislocated%20kneecap%20is%20a,the%20front%20of%20the%20knee</vt:lpwstr>
      </vt:variant>
      <vt:variant>
        <vt:i4>2555967</vt:i4>
      </vt:variant>
      <vt:variant>
        <vt:i4>3263</vt:i4>
      </vt:variant>
      <vt:variant>
        <vt:i4>0</vt:i4>
      </vt:variant>
      <vt:variant>
        <vt:i4>5</vt:i4>
      </vt:variant>
      <vt:variant>
        <vt:lpwstr>https://www.safeworkaustralia.gov.au/doc/australian-workers-compensation-statistics-2017-18</vt:lpwstr>
      </vt:variant>
      <vt:variant>
        <vt:lpwstr/>
      </vt:variant>
      <vt:variant>
        <vt:i4>4587528</vt:i4>
      </vt:variant>
      <vt:variant>
        <vt:i4>3260</vt:i4>
      </vt:variant>
      <vt:variant>
        <vt:i4>0</vt:i4>
      </vt:variant>
      <vt:variant>
        <vt:i4>5</vt:i4>
      </vt:variant>
      <vt:variant>
        <vt:lpwstr>https://www.nhs.uk/conditions/broken-leg/</vt:lpwstr>
      </vt:variant>
      <vt:variant>
        <vt:lpwstr>:~:text=It%20takes%20around%206%20to,weight%20on%20the%20leg%20again</vt:lpwstr>
      </vt:variant>
      <vt:variant>
        <vt:i4>3735650</vt:i4>
      </vt:variant>
      <vt:variant>
        <vt:i4>3221</vt:i4>
      </vt:variant>
      <vt:variant>
        <vt:i4>0</vt:i4>
      </vt:variant>
      <vt:variant>
        <vt:i4>5</vt:i4>
      </vt:variant>
      <vt:variant>
        <vt:lpwstr>https://www.aihw.gov.au/getmedia/6cef34e2-2422-4f11-a9f3-06e336edac3f/aihw-injcat-204.pdf.aspx?inline=true</vt:lpwstr>
      </vt:variant>
      <vt:variant>
        <vt:lpwstr/>
      </vt:variant>
      <vt:variant>
        <vt:i4>3407990</vt:i4>
      </vt:variant>
      <vt:variant>
        <vt:i4>1997</vt:i4>
      </vt:variant>
      <vt:variant>
        <vt:i4>0</vt:i4>
      </vt:variant>
      <vt:variant>
        <vt:i4>5</vt:i4>
      </vt:variant>
      <vt:variant>
        <vt:lpwstr>https://scia.org.au/accessible-housing/</vt:lpwstr>
      </vt:variant>
      <vt:variant>
        <vt:lpwstr/>
      </vt:variant>
      <vt:variant>
        <vt:i4>4522077</vt:i4>
      </vt:variant>
      <vt:variant>
        <vt:i4>1955</vt:i4>
      </vt:variant>
      <vt:variant>
        <vt:i4>0</vt:i4>
      </vt:variant>
      <vt:variant>
        <vt:i4>5</vt:i4>
      </vt:variant>
      <vt:variant>
        <vt:lpwstr>https://www.facs.nsw.gov.au/housing/policies/acquiring-new-public-housing-policy</vt:lpwstr>
      </vt:variant>
      <vt:variant>
        <vt:lpwstr/>
      </vt:variant>
      <vt:variant>
        <vt:i4>8192111</vt:i4>
      </vt:variant>
      <vt:variant>
        <vt:i4>1439</vt:i4>
      </vt:variant>
      <vt:variant>
        <vt:i4>0</vt:i4>
      </vt:variant>
      <vt:variant>
        <vt:i4>5</vt:i4>
      </vt:variant>
      <vt:variant>
        <vt:lpwstr>https://mhaustralia.org/publication/investing-save-kpmg-and-mental-health-australia-report-may-2018</vt:lpwstr>
      </vt:variant>
      <vt:variant>
        <vt:lpwstr/>
      </vt:variant>
      <vt:variant>
        <vt:i4>7929968</vt:i4>
      </vt:variant>
      <vt:variant>
        <vt:i4>1436</vt:i4>
      </vt:variant>
      <vt:variant>
        <vt:i4>0</vt:i4>
      </vt:variant>
      <vt:variant>
        <vt:i4>5</vt:i4>
      </vt:variant>
      <vt:variant>
        <vt:lpwstr>http://www.mentalhealthcommission.gov.au/media-centre/news/economics-of-mental-health-in-australia.aspx</vt:lpwstr>
      </vt:variant>
      <vt:variant>
        <vt:lpwstr/>
      </vt:variant>
      <vt:variant>
        <vt:i4>851972</vt:i4>
      </vt:variant>
      <vt:variant>
        <vt:i4>1433</vt:i4>
      </vt:variant>
      <vt:variant>
        <vt:i4>0</vt:i4>
      </vt:variant>
      <vt:variant>
        <vt:i4>5</vt:i4>
      </vt:variant>
      <vt:variant>
        <vt:lpwstr>https://www.ranzcp.org/Files/Publications/RANZCP-Serious-Mental-Illness.aspx</vt:lpwstr>
      </vt:variant>
      <vt:variant>
        <vt:lpwstr/>
      </vt:variant>
      <vt:variant>
        <vt:i4>3342368</vt:i4>
      </vt:variant>
      <vt:variant>
        <vt:i4>1139</vt:i4>
      </vt:variant>
      <vt:variant>
        <vt:i4>0</vt:i4>
      </vt:variant>
      <vt:variant>
        <vt:i4>5</vt:i4>
      </vt:variant>
      <vt:variant>
        <vt:lpwstr>http://www.abcb.gov.au/</vt:lpwstr>
      </vt:variant>
      <vt:variant>
        <vt:lpwstr/>
      </vt:variant>
      <vt:variant>
        <vt:i4>8257586</vt:i4>
      </vt:variant>
      <vt:variant>
        <vt:i4>894</vt:i4>
      </vt:variant>
      <vt:variant>
        <vt:i4>0</vt:i4>
      </vt:variant>
      <vt:variant>
        <vt:i4>5</vt:i4>
      </vt:variant>
      <vt:variant>
        <vt:lpwstr>https://www.aihw.gov.au/reports/australias-welfare/social-isolation-and-loneliness</vt:lpwstr>
      </vt:variant>
      <vt:variant>
        <vt:lpwstr/>
      </vt:variant>
      <vt:variant>
        <vt:i4>5374040</vt:i4>
      </vt:variant>
      <vt:variant>
        <vt:i4>891</vt:i4>
      </vt:variant>
      <vt:variant>
        <vt:i4>0</vt:i4>
      </vt:variant>
      <vt:variant>
        <vt:i4>5</vt:i4>
      </vt:variant>
      <vt:variant>
        <vt:lpwstr>https://www.monash.edu/business/che/research-areas/measurement-of-health-and-quality-of-life</vt:lpwstr>
      </vt:variant>
      <vt:variant>
        <vt:lpwstr/>
      </vt:variant>
      <vt:variant>
        <vt:i4>4784209</vt:i4>
      </vt:variant>
      <vt:variant>
        <vt:i4>21</vt:i4>
      </vt:variant>
      <vt:variant>
        <vt:i4>0</vt:i4>
      </vt:variant>
      <vt:variant>
        <vt:i4>5</vt:i4>
      </vt:variant>
      <vt:variant>
        <vt:lpwstr>http://www.thecie.com.au/</vt:lpwstr>
      </vt:variant>
      <vt:variant>
        <vt:lpwstr/>
      </vt:variant>
      <vt:variant>
        <vt:i4>6029347</vt:i4>
      </vt:variant>
      <vt:variant>
        <vt:i4>18</vt:i4>
      </vt:variant>
      <vt:variant>
        <vt:i4>0</vt:i4>
      </vt:variant>
      <vt:variant>
        <vt:i4>5</vt:i4>
      </vt:variant>
      <vt:variant>
        <vt:lpwstr>mailto:ciesyd@TheCIE.com.au</vt:lpwstr>
      </vt:variant>
      <vt:variant>
        <vt:lpwstr/>
      </vt:variant>
      <vt:variant>
        <vt:i4>8061041</vt:i4>
      </vt:variant>
      <vt:variant>
        <vt:i4>528</vt:i4>
      </vt:variant>
      <vt:variant>
        <vt:i4>0</vt:i4>
      </vt:variant>
      <vt:variant>
        <vt:i4>5</vt:i4>
      </vt:variant>
      <vt:variant>
        <vt:lpwstr>https://www.abs.gov.au/statistics/industry/industry-overview/estimates-industry-multifactor-productivity/latest-release</vt:lpwstr>
      </vt:variant>
      <vt:variant>
        <vt:lpwstr/>
      </vt:variant>
      <vt:variant>
        <vt:i4>1572952</vt:i4>
      </vt:variant>
      <vt:variant>
        <vt:i4>525</vt:i4>
      </vt:variant>
      <vt:variant>
        <vt:i4>0</vt:i4>
      </vt:variant>
      <vt:variant>
        <vt:i4>5</vt:i4>
      </vt:variant>
      <vt:variant>
        <vt:lpwstr>https://humanrights.gov.au/our-work/9-barriers-employment</vt:lpwstr>
      </vt:variant>
      <vt:variant>
        <vt:lpwstr/>
      </vt:variant>
      <vt:variant>
        <vt:i4>8192111</vt:i4>
      </vt:variant>
      <vt:variant>
        <vt:i4>522</vt:i4>
      </vt:variant>
      <vt:variant>
        <vt:i4>0</vt:i4>
      </vt:variant>
      <vt:variant>
        <vt:i4>5</vt:i4>
      </vt:variant>
      <vt:variant>
        <vt:lpwstr>https://mhaustralia.org/publication/investing-save-kpmg-and-mental-health-australia-report-may-2018</vt:lpwstr>
      </vt:variant>
      <vt:variant>
        <vt:lpwstr/>
      </vt:variant>
      <vt:variant>
        <vt:i4>4456453</vt:i4>
      </vt:variant>
      <vt:variant>
        <vt:i4>519</vt:i4>
      </vt:variant>
      <vt:variant>
        <vt:i4>0</vt:i4>
      </vt:variant>
      <vt:variant>
        <vt:i4>5</vt:i4>
      </vt:variant>
      <vt:variant>
        <vt:lpwstr>https://www.mentalhealthcommission.gov.au/news/2016/december/economics-of-mental-health-in-australia</vt:lpwstr>
      </vt:variant>
      <vt:variant>
        <vt:lpwstr/>
      </vt:variant>
      <vt:variant>
        <vt:i4>4980761</vt:i4>
      </vt:variant>
      <vt:variant>
        <vt:i4>516</vt:i4>
      </vt:variant>
      <vt:variant>
        <vt:i4>0</vt:i4>
      </vt:variant>
      <vt:variant>
        <vt:i4>5</vt:i4>
      </vt:variant>
      <vt:variant>
        <vt:lpwstr>https://www.ranzcp.org/files/resources/reports/ranzcp-serious-mental-illness.aspx</vt:lpwstr>
      </vt:variant>
      <vt:variant>
        <vt:lpwstr/>
      </vt:variant>
      <vt:variant>
        <vt:i4>786509</vt:i4>
      </vt:variant>
      <vt:variant>
        <vt:i4>513</vt:i4>
      </vt:variant>
      <vt:variant>
        <vt:i4>0</vt:i4>
      </vt:variant>
      <vt:variant>
        <vt:i4>5</vt:i4>
      </vt:variant>
      <vt:variant>
        <vt:lpwstr>https://www.aqol.com.au/index.php/allfaqs</vt:lpwstr>
      </vt:variant>
      <vt:variant>
        <vt:lpwstr/>
      </vt:variant>
      <vt:variant>
        <vt:i4>1572882</vt:i4>
      </vt:variant>
      <vt:variant>
        <vt:i4>510</vt:i4>
      </vt:variant>
      <vt:variant>
        <vt:i4>0</vt:i4>
      </vt:variant>
      <vt:variant>
        <vt:i4>5</vt:i4>
      </vt:variant>
      <vt:variant>
        <vt:lpwstr>https://www.aqol.com.au/documents/charts/equation-aqol-4d-structures.pdf</vt:lpwstr>
      </vt:variant>
      <vt:variant>
        <vt:lpwstr/>
      </vt:variant>
      <vt:variant>
        <vt:i4>786509</vt:i4>
      </vt:variant>
      <vt:variant>
        <vt:i4>507</vt:i4>
      </vt:variant>
      <vt:variant>
        <vt:i4>0</vt:i4>
      </vt:variant>
      <vt:variant>
        <vt:i4>5</vt:i4>
      </vt:variant>
      <vt:variant>
        <vt:lpwstr>https://www.aqol.com.au/index.php/allfaqs</vt:lpwstr>
      </vt:variant>
      <vt:variant>
        <vt:lpwstr/>
      </vt:variant>
      <vt:variant>
        <vt:i4>3866679</vt:i4>
      </vt:variant>
      <vt:variant>
        <vt:i4>504</vt:i4>
      </vt:variant>
      <vt:variant>
        <vt:i4>0</vt:i4>
      </vt:variant>
      <vt:variant>
        <vt:i4>5</vt:i4>
      </vt:variant>
      <vt:variant>
        <vt:lpwstr>https://www.abs.gov.au/statistics/economy/finance/household-expenditure-survey-australia-summary-results/latest-release</vt:lpwstr>
      </vt:variant>
      <vt:variant>
        <vt:lpwstr>data-download</vt:lpwstr>
      </vt:variant>
      <vt:variant>
        <vt:i4>4063330</vt:i4>
      </vt:variant>
      <vt:variant>
        <vt:i4>501</vt:i4>
      </vt:variant>
      <vt:variant>
        <vt:i4>0</vt:i4>
      </vt:variant>
      <vt:variant>
        <vt:i4>5</vt:i4>
      </vt:variant>
      <vt:variant>
        <vt:lpwstr>https://agedcare.royalcommission.gov.au/Pages/default.aspx</vt:lpwstr>
      </vt:variant>
      <vt:variant>
        <vt:lpwstr/>
      </vt:variant>
      <vt:variant>
        <vt:i4>2883637</vt:i4>
      </vt:variant>
      <vt:variant>
        <vt:i4>498</vt:i4>
      </vt:variant>
      <vt:variant>
        <vt:i4>0</vt:i4>
      </vt:variant>
      <vt:variant>
        <vt:i4>5</vt:i4>
      </vt:variant>
      <vt:variant>
        <vt:lpwstr>https://www.dss.gov.au/disability-and-carers/programmes-services/for-people-with-disability/younger-people-with-disability-in-residential-aged-care-initiative</vt:lpwstr>
      </vt:variant>
      <vt:variant>
        <vt:lpwstr/>
      </vt:variant>
      <vt:variant>
        <vt:i4>458827</vt:i4>
      </vt:variant>
      <vt:variant>
        <vt:i4>495</vt:i4>
      </vt:variant>
      <vt:variant>
        <vt:i4>0</vt:i4>
      </vt:variant>
      <vt:variant>
        <vt:i4>5</vt:i4>
      </vt:variant>
      <vt:variant>
        <vt:lpwstr>https://www.gen-agedcaredata.gov.au/Resources/Access-data/2019/September/Aged-care-data-snapshot%E2%80%942019</vt:lpwstr>
      </vt:variant>
      <vt:variant>
        <vt:lpwstr/>
      </vt:variant>
      <vt:variant>
        <vt:i4>458827</vt:i4>
      </vt:variant>
      <vt:variant>
        <vt:i4>492</vt:i4>
      </vt:variant>
      <vt:variant>
        <vt:i4>0</vt:i4>
      </vt:variant>
      <vt:variant>
        <vt:i4>5</vt:i4>
      </vt:variant>
      <vt:variant>
        <vt:lpwstr>https://www.gen-agedcaredata.gov.au/Resources/Access-data/2019/September/Aged-care-data-snapshot%E2%80%942019</vt:lpwstr>
      </vt:variant>
      <vt:variant>
        <vt:lpwstr/>
      </vt:variant>
      <vt:variant>
        <vt:i4>720980</vt:i4>
      </vt:variant>
      <vt:variant>
        <vt:i4>489</vt:i4>
      </vt:variant>
      <vt:variant>
        <vt:i4>0</vt:i4>
      </vt:variant>
      <vt:variant>
        <vt:i4>5</vt:i4>
      </vt:variant>
      <vt:variant>
        <vt:lpwstr>https://www.myagedcare.gov.au/short-term-care/transition-care</vt:lpwstr>
      </vt:variant>
      <vt:variant>
        <vt:lpwstr/>
      </vt:variant>
      <vt:variant>
        <vt:i4>2293815</vt:i4>
      </vt:variant>
      <vt:variant>
        <vt:i4>486</vt:i4>
      </vt:variant>
      <vt:variant>
        <vt:i4>0</vt:i4>
      </vt:variant>
      <vt:variant>
        <vt:i4>5</vt:i4>
      </vt:variant>
      <vt:variant>
        <vt:lpwstr>https://www.ihpa.gov.au/what-we-do/subacute-and-non-acute-care</vt:lpwstr>
      </vt:variant>
      <vt:variant>
        <vt:lpwstr/>
      </vt:variant>
      <vt:variant>
        <vt:i4>4325402</vt:i4>
      </vt:variant>
      <vt:variant>
        <vt:i4>483</vt:i4>
      </vt:variant>
      <vt:variant>
        <vt:i4>0</vt:i4>
      </vt:variant>
      <vt:variant>
        <vt:i4>5</vt:i4>
      </vt:variant>
      <vt:variant>
        <vt:lpwstr>https://www.aihw.gov.au/reports-data/myhospitals/content/glossary</vt:lpwstr>
      </vt:variant>
      <vt:variant>
        <vt:lpwstr/>
      </vt:variant>
      <vt:variant>
        <vt:i4>2621473</vt:i4>
      </vt:variant>
      <vt:variant>
        <vt:i4>480</vt:i4>
      </vt:variant>
      <vt:variant>
        <vt:i4>0</vt:i4>
      </vt:variant>
      <vt:variant>
        <vt:i4>5</vt:i4>
      </vt:variant>
      <vt:variant>
        <vt:lpwstr>https://www.realestate.com.au/advice/how-much-does-it-cost-to-sell-a-house/</vt:lpwstr>
      </vt:variant>
      <vt:variant>
        <vt:lpwstr/>
      </vt:variant>
      <vt:variant>
        <vt:i4>4980745</vt:i4>
      </vt:variant>
      <vt:variant>
        <vt:i4>477</vt:i4>
      </vt:variant>
      <vt:variant>
        <vt:i4>0</vt:i4>
      </vt:variant>
      <vt:variant>
        <vt:i4>5</vt:i4>
      </vt:variant>
      <vt:variant>
        <vt:lpwstr>https://www.openagent.com.au/blog/how-much-moving-cost?at=v5&amp;utm_expid=.6ZprDALXQh2rpM05ZARdBA.1&amp;utm_referrer=https%3A%2F%2Fwww.google.com%2F</vt:lpwstr>
      </vt:variant>
      <vt:variant>
        <vt:lpwstr/>
      </vt:variant>
      <vt:variant>
        <vt:i4>3997733</vt:i4>
      </vt:variant>
      <vt:variant>
        <vt:i4>474</vt:i4>
      </vt:variant>
      <vt:variant>
        <vt:i4>0</vt:i4>
      </vt:variant>
      <vt:variant>
        <vt:i4>5</vt:i4>
      </vt:variant>
      <vt:variant>
        <vt:lpwstr>https://www.realestate.com.au/advice/hidden-costs-buying-home/</vt:lpwstr>
      </vt:variant>
      <vt:variant>
        <vt:lpwstr/>
      </vt:variant>
      <vt:variant>
        <vt:i4>2621473</vt:i4>
      </vt:variant>
      <vt:variant>
        <vt:i4>471</vt:i4>
      </vt:variant>
      <vt:variant>
        <vt:i4>0</vt:i4>
      </vt:variant>
      <vt:variant>
        <vt:i4>5</vt:i4>
      </vt:variant>
      <vt:variant>
        <vt:lpwstr>https://www.realestate.com.au/advice/how-much-does-it-cost-to-sell-a-house/</vt:lpwstr>
      </vt:variant>
      <vt:variant>
        <vt:lpwstr/>
      </vt:variant>
      <vt:variant>
        <vt:i4>2424918</vt:i4>
      </vt:variant>
      <vt:variant>
        <vt:i4>468</vt:i4>
      </vt:variant>
      <vt:variant>
        <vt:i4>0</vt:i4>
      </vt:variant>
      <vt:variant>
        <vt:i4>5</vt:i4>
      </vt:variant>
      <vt:variant>
        <vt:lpwstr>https://www.payscale.com/research/AU/Job=Aged_Care_Worker/Hourly_Rate/999a3db7/Sydney</vt:lpwstr>
      </vt:variant>
      <vt:variant>
        <vt:lpwstr/>
      </vt:variant>
      <vt:variant>
        <vt:i4>7405627</vt:i4>
      </vt:variant>
      <vt:variant>
        <vt:i4>465</vt:i4>
      </vt:variant>
      <vt:variant>
        <vt:i4>0</vt:i4>
      </vt:variant>
      <vt:variant>
        <vt:i4>5</vt:i4>
      </vt:variant>
      <vt:variant>
        <vt:lpwstr>https://www.ndis.gov.au/providers/price-guides-and-pricing</vt:lpwstr>
      </vt:variant>
      <vt:variant>
        <vt:lpwstr/>
      </vt:variant>
      <vt:variant>
        <vt:i4>2490423</vt:i4>
      </vt:variant>
      <vt:variant>
        <vt:i4>462</vt:i4>
      </vt:variant>
      <vt:variant>
        <vt:i4>0</vt:i4>
      </vt:variant>
      <vt:variant>
        <vt:i4>5</vt:i4>
      </vt:variant>
      <vt:variant>
        <vt:lpwstr>https://www.aihw.gov.au/reports/injury/trends-in-hospitalised-injury-due-to-falls/data</vt:lpwstr>
      </vt:variant>
      <vt:variant>
        <vt:lpwstr/>
      </vt:variant>
      <vt:variant>
        <vt:i4>7536712</vt:i4>
      </vt:variant>
      <vt:variant>
        <vt:i4>459</vt:i4>
      </vt:variant>
      <vt:variant>
        <vt:i4>0</vt:i4>
      </vt:variant>
      <vt:variant>
        <vt:i4>5</vt:i4>
      </vt:variant>
      <vt:variant>
        <vt:lpwstr>https://www.abs.gov.au/AUSSTATS/abs@.nsf/Lookup/3302.0.55.001Main+Features12016-2018?OpenDocument</vt:lpwstr>
      </vt:variant>
      <vt:variant>
        <vt:lpwstr/>
      </vt:variant>
      <vt:variant>
        <vt:i4>3276860</vt:i4>
      </vt:variant>
      <vt:variant>
        <vt:i4>456</vt:i4>
      </vt:variant>
      <vt:variant>
        <vt:i4>0</vt:i4>
      </vt:variant>
      <vt:variant>
        <vt:i4>5</vt:i4>
      </vt:variant>
      <vt:variant>
        <vt:lpwstr>https://shriver.umassmed.edu/news/2015-07-08-130000/shriver-center-studying-falls-prevention-people-intellectual-and-developmental-disabilities</vt:lpwstr>
      </vt:variant>
      <vt:variant>
        <vt:lpwstr/>
      </vt:variant>
      <vt:variant>
        <vt:i4>67</vt:i4>
      </vt:variant>
      <vt:variant>
        <vt:i4>453</vt:i4>
      </vt:variant>
      <vt:variant>
        <vt:i4>0</vt:i4>
      </vt:variant>
      <vt:variant>
        <vt:i4>5</vt:i4>
      </vt:variant>
      <vt:variant>
        <vt:lpwstr>https://www.bmj.com/content/325/7356/128</vt:lpwstr>
      </vt:variant>
      <vt:variant>
        <vt:lpwstr/>
      </vt:variant>
      <vt:variant>
        <vt:i4>5636104</vt:i4>
      </vt:variant>
      <vt:variant>
        <vt:i4>450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447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444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441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438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435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432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429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426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423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420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417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414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411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408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405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402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399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396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393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390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387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384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381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378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375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372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369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366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363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360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357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354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351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348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345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342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339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336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333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330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327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324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321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318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315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312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309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306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303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300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297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294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291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288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285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282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279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276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273</vt:i4>
      </vt:variant>
      <vt:variant>
        <vt:i4>0</vt:i4>
      </vt:variant>
      <vt:variant>
        <vt:i4>5</vt:i4>
      </vt:variant>
      <vt:variant>
        <vt:lpwstr>https://consultation.abcb.gov.au/engagement/consult-ris-accessible-housing/consultation/published_select_respondent</vt:lpwstr>
      </vt:variant>
      <vt:variant>
        <vt:lpwstr/>
      </vt:variant>
      <vt:variant>
        <vt:i4>8257635</vt:i4>
      </vt:variant>
      <vt:variant>
        <vt:i4>270</vt:i4>
      </vt:variant>
      <vt:variant>
        <vt:i4>0</vt:i4>
      </vt:variant>
      <vt:variant>
        <vt:i4>5</vt:i4>
      </vt:variant>
      <vt:variant>
        <vt:lpwstr>https://www.homemods.info/</vt:lpwstr>
      </vt:variant>
      <vt:variant>
        <vt:lpwstr/>
      </vt:variant>
      <vt:variant>
        <vt:i4>5636104</vt:i4>
      </vt:variant>
      <vt:variant>
        <vt:i4>267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264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261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258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255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252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249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246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243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240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237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234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231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228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225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222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219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216</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213</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210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207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204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201</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198</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195</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192</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189</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186</vt:i4>
      </vt:variant>
      <vt:variant>
        <vt:i4>0</vt:i4>
      </vt:variant>
      <vt:variant>
        <vt:i4>5</vt:i4>
      </vt:variant>
      <vt:variant>
        <vt:lpwstr>https://consultation.abcb.gov.au/engagement/consult-ris-accessible-housing/consultation/published_select_respondent</vt:lpwstr>
      </vt:variant>
      <vt:variant>
        <vt:lpwstr/>
      </vt:variant>
      <vt:variant>
        <vt:i4>3014779</vt:i4>
      </vt:variant>
      <vt:variant>
        <vt:i4>183</vt:i4>
      </vt:variant>
      <vt:variant>
        <vt:i4>0</vt:i4>
      </vt:variant>
      <vt:variant>
        <vt:i4>5</vt:i4>
      </vt:variant>
      <vt:variant>
        <vt:lpwstr>https://consultation.abcb.gov.au/engagement/consult-ris-accessible-housing/</vt:lpwstr>
      </vt:variant>
      <vt:variant>
        <vt:lpwstr/>
      </vt:variant>
      <vt:variant>
        <vt:i4>3473422</vt:i4>
      </vt:variant>
      <vt:variant>
        <vt:i4>180</vt:i4>
      </vt:variant>
      <vt:variant>
        <vt:i4>0</vt:i4>
      </vt:variant>
      <vt:variant>
        <vt:i4>5</vt:i4>
      </vt:variant>
      <vt:variant>
        <vt:lpwstr>https://consultation.abcb.gov.au/engagement/consult-ris-accessible-housing/supporting_documents/Consultation_RIS_Proposal_to_include_minimum_accessibility_standards_for_housing_in_the_NCC.pdf</vt:lpwstr>
      </vt:variant>
      <vt:variant>
        <vt:lpwstr/>
      </vt:variant>
      <vt:variant>
        <vt:i4>655386</vt:i4>
      </vt:variant>
      <vt:variant>
        <vt:i4>177</vt:i4>
      </vt:variant>
      <vt:variant>
        <vt:i4>0</vt:i4>
      </vt:variant>
      <vt:variant>
        <vt:i4>5</vt:i4>
      </vt:variant>
      <vt:variant>
        <vt:lpwstr>https://udia.com.au/research/udia-state-of-the-land-2020/</vt:lpwstr>
      </vt:variant>
      <vt:variant>
        <vt:lpwstr/>
      </vt:variant>
      <vt:variant>
        <vt:i4>8257572</vt:i4>
      </vt:variant>
      <vt:variant>
        <vt:i4>174</vt:i4>
      </vt:variant>
      <vt:variant>
        <vt:i4>0</vt:i4>
      </vt:variant>
      <vt:variant>
        <vt:i4>5</vt:i4>
      </vt:variant>
      <vt:variant>
        <vt:lpwstr>https://maps.six.nsw.gov.au/clipnship.html</vt:lpwstr>
      </vt:variant>
      <vt:variant>
        <vt:lpwstr/>
      </vt:variant>
      <vt:variant>
        <vt:i4>6357061</vt:i4>
      </vt:variant>
      <vt:variant>
        <vt:i4>171</vt:i4>
      </vt:variant>
      <vt:variant>
        <vt:i4>0</vt:i4>
      </vt:variant>
      <vt:variant>
        <vt:i4>5</vt:i4>
      </vt:variant>
      <vt:variant>
        <vt:lpwstr>https://www.dplh.wa.gov.au/getmedia/5dce3eb2-abe9-4fc3-bbab-92cc89f0b5cf/State_Planning_Policy_3-1-Residential_Design_Codes-for-mobile</vt:lpwstr>
      </vt:variant>
      <vt:variant>
        <vt:lpwstr/>
      </vt:variant>
      <vt:variant>
        <vt:i4>7012451</vt:i4>
      </vt:variant>
      <vt:variant>
        <vt:i4>168</vt:i4>
      </vt:variant>
      <vt:variant>
        <vt:i4>0</vt:i4>
      </vt:variant>
      <vt:variant>
        <vt:i4>5</vt:i4>
      </vt:variant>
      <vt:variant>
        <vt:lpwstr>https://www.brisbane.qld.gov.au/planning-and-building/do-i-need-approval/residential-projects/dwellings/small-lot-projects</vt:lpwstr>
      </vt:variant>
      <vt:variant>
        <vt:lpwstr/>
      </vt:variant>
      <vt:variant>
        <vt:i4>1376269</vt:i4>
      </vt:variant>
      <vt:variant>
        <vt:i4>165</vt:i4>
      </vt:variant>
      <vt:variant>
        <vt:i4>0</vt:i4>
      </vt:variant>
      <vt:variant>
        <vt:i4>5</vt:i4>
      </vt:variant>
      <vt:variant>
        <vt:lpwstr>https://vpa-web.s3.amazonaws.com/wp-content/uploads/2020/06/Small-Lot-Housing-Code-November-2019.pdf</vt:lpwstr>
      </vt:variant>
      <vt:variant>
        <vt:lpwstr/>
      </vt:variant>
      <vt:variant>
        <vt:i4>1572875</vt:i4>
      </vt:variant>
      <vt:variant>
        <vt:i4>162</vt:i4>
      </vt:variant>
      <vt:variant>
        <vt:i4>0</vt:i4>
      </vt:variant>
      <vt:variant>
        <vt:i4>5</vt:i4>
      </vt:variant>
      <vt:variant>
        <vt:lpwstr>https://www.homes.com.au/news/length-of-home-ownership-in-australia-reaches-10-year-peak/</vt:lpwstr>
      </vt:variant>
      <vt:variant>
        <vt:lpwstr>:~:text=Facts%3A%20Average%20Home%20Ownership%20Length,while%20apartments%20average%209.6%20years</vt:lpwstr>
      </vt:variant>
      <vt:variant>
        <vt:i4>5636104</vt:i4>
      </vt:variant>
      <vt:variant>
        <vt:i4>159</vt:i4>
      </vt:variant>
      <vt:variant>
        <vt:i4>0</vt:i4>
      </vt:variant>
      <vt:variant>
        <vt:i4>5</vt:i4>
      </vt:variant>
      <vt:variant>
        <vt:lpwstr>https://consultation.abcb.gov.au/engagement/consult-ris-accessible-housing/consultation/published_select_respondent</vt:lpwstr>
      </vt:variant>
      <vt:variant>
        <vt:lpwstr/>
      </vt:variant>
      <vt:variant>
        <vt:i4>2097272</vt:i4>
      </vt:variant>
      <vt:variant>
        <vt:i4>156</vt:i4>
      </vt:variant>
      <vt:variant>
        <vt:i4>0</vt:i4>
      </vt:variant>
      <vt:variant>
        <vt:i4>5</vt:i4>
      </vt:variant>
      <vt:variant>
        <vt:lpwstr>http://livablehousingaustralia.org.au/library/help/03-Applicant-Information.pdf</vt:lpwstr>
      </vt:variant>
      <vt:variant>
        <vt:lpwstr/>
      </vt:variant>
      <vt:variant>
        <vt:i4>1310772</vt:i4>
      </vt:variant>
      <vt:variant>
        <vt:i4>153</vt:i4>
      </vt:variant>
      <vt:variant>
        <vt:i4>0</vt:i4>
      </vt:variant>
      <vt:variant>
        <vt:i4>5</vt:i4>
      </vt:variant>
      <vt:variant>
        <vt:lpwstr>https://www.commsec.com.au/content/dam/EN/ResearchNews/2018Reports/November/ECO_Insights_191118_CommSec-Home-Size.pdf</vt:lpwstr>
      </vt:variant>
      <vt:variant>
        <vt:lpwstr/>
      </vt:variant>
      <vt:variant>
        <vt:i4>5636104</vt:i4>
      </vt:variant>
      <vt:variant>
        <vt:i4>150</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147</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144</vt:i4>
      </vt:variant>
      <vt:variant>
        <vt:i4>0</vt:i4>
      </vt:variant>
      <vt:variant>
        <vt:i4>5</vt:i4>
      </vt:variant>
      <vt:variant>
        <vt:lpwstr>https://consultation.abcb.gov.au/engagement/consult-ris-accessible-housing/consultation/published_select_respondent</vt:lpwstr>
      </vt:variant>
      <vt:variant>
        <vt:lpwstr/>
      </vt:variant>
      <vt:variant>
        <vt:i4>5636104</vt:i4>
      </vt:variant>
      <vt:variant>
        <vt:i4>141</vt:i4>
      </vt:variant>
      <vt:variant>
        <vt:i4>0</vt:i4>
      </vt:variant>
      <vt:variant>
        <vt:i4>5</vt:i4>
      </vt:variant>
      <vt:variant>
        <vt:lpwstr>https://consultation.abcb.gov.au/engagement/consult-ris-accessible-housing/consultation/published_select_respondent</vt:lpwstr>
      </vt:variant>
      <vt:variant>
        <vt:lpwstr/>
      </vt:variant>
      <vt:variant>
        <vt:i4>7143480</vt:i4>
      </vt:variant>
      <vt:variant>
        <vt:i4>138</vt:i4>
      </vt:variant>
      <vt:variant>
        <vt:i4>0</vt:i4>
      </vt:variant>
      <vt:variant>
        <vt:i4>5</vt:i4>
      </vt:variant>
      <vt:variant>
        <vt:lpwstr>https://www.abs.gov.au/statistics/people/population/births-australia/latest-release</vt:lpwstr>
      </vt:variant>
      <vt:variant>
        <vt:lpwstr/>
      </vt:variant>
      <vt:variant>
        <vt:i4>5767288</vt:i4>
      </vt:variant>
      <vt:variant>
        <vt:i4>135</vt:i4>
      </vt:variant>
      <vt:variant>
        <vt:i4>0</vt:i4>
      </vt:variant>
      <vt:variant>
        <vt:i4>5</vt:i4>
      </vt:variant>
      <vt:variant>
        <vt:lpwstr>https://www.safetyxpress.com.au/other-products/ramps/plastic-kerb-ramp/?gclid=CjwKCAjw_Y_8BRBiEiwA5MCBJrLjTEhIXAwrVDJEt8JP0a453n2NRR2x8nSAqYq5HlJ8MpdKIsyt9BoCXE4QAvD_BwE,a</vt:lpwstr>
      </vt:variant>
      <vt:variant>
        <vt:lpwstr/>
      </vt:variant>
      <vt:variant>
        <vt:i4>5898317</vt:i4>
      </vt:variant>
      <vt:variant>
        <vt:i4>132</vt:i4>
      </vt:variant>
      <vt:variant>
        <vt:i4>0</vt:i4>
      </vt:variant>
      <vt:variant>
        <vt:i4>5</vt:i4>
      </vt:variant>
      <vt:variant>
        <vt:lpwstr>https://www.babycenter.com.au/thread/3637820/adding-a-ramp-to-stairs-for-pram</vt:lpwstr>
      </vt:variant>
      <vt:variant>
        <vt:lpwstr/>
      </vt:variant>
      <vt:variant>
        <vt:i4>5636104</vt:i4>
      </vt:variant>
      <vt:variant>
        <vt:i4>129</vt:i4>
      </vt:variant>
      <vt:variant>
        <vt:i4>0</vt:i4>
      </vt:variant>
      <vt:variant>
        <vt:i4>5</vt:i4>
      </vt:variant>
      <vt:variant>
        <vt:lpwstr>https://consultation.abcb.gov.au/engagement/consult-ris-accessible-housing/consultation/published_select_respondent</vt:lpwstr>
      </vt:variant>
      <vt:variant>
        <vt:lpwstr/>
      </vt:variant>
      <vt:variant>
        <vt:i4>3735650</vt:i4>
      </vt:variant>
      <vt:variant>
        <vt:i4>126</vt:i4>
      </vt:variant>
      <vt:variant>
        <vt:i4>0</vt:i4>
      </vt:variant>
      <vt:variant>
        <vt:i4>5</vt:i4>
      </vt:variant>
      <vt:variant>
        <vt:lpwstr>https://www.aihw.gov.au/getmedia/6cef34e2-2422-4f11-a9f3-06e336edac3f/aihw-injcat-204.pdf.aspx?inline=true</vt:lpwstr>
      </vt:variant>
      <vt:variant>
        <vt:lpwstr/>
      </vt:variant>
      <vt:variant>
        <vt:i4>2687062</vt:i4>
      </vt:variant>
      <vt:variant>
        <vt:i4>123</vt:i4>
      </vt:variant>
      <vt:variant>
        <vt:i4>0</vt:i4>
      </vt:variant>
      <vt:variant>
        <vt:i4>5</vt:i4>
      </vt:variant>
      <vt:variant>
        <vt:lpwstr>https://www.abs.gov.au/AUSSTATS/abs@.nsf/Latestproducts/4430.0Main Features52018?opendocument&amp;tabname=Summary&amp;prodno=4430.0&amp;issue=2018&amp;num=&amp;view=</vt:lpwstr>
      </vt:variant>
      <vt:variant>
        <vt:lpwstr/>
      </vt:variant>
      <vt:variant>
        <vt:i4>3604533</vt:i4>
      </vt:variant>
      <vt:variant>
        <vt:i4>120</vt:i4>
      </vt:variant>
      <vt:variant>
        <vt:i4>0</vt:i4>
      </vt:variant>
      <vt:variant>
        <vt:i4>5</vt:i4>
      </vt:variant>
      <vt:variant>
        <vt:lpwstr>https://www.access-board.gov/guidelines-and-standards/buildings-and-sites/about-the-ada-standards/background/ada-aba-accessibility-guidelines-2004/chapter-six-plumbing-elements-and-facilities</vt:lpwstr>
      </vt:variant>
      <vt:variant>
        <vt:lpwstr>:~:text=The%20rear%20wall%20grab%20bar,minimum%20on%20the%20other%20side</vt:lpwstr>
      </vt:variant>
      <vt:variant>
        <vt:i4>524309</vt:i4>
      </vt:variant>
      <vt:variant>
        <vt:i4>117</vt:i4>
      </vt:variant>
      <vt:variant>
        <vt:i4>0</vt:i4>
      </vt:variant>
      <vt:variant>
        <vt:i4>5</vt:i4>
      </vt:variant>
      <vt:variant>
        <vt:lpwstr>https://www.verywellhealth.com/stair-climbing-basics-2696293</vt:lpwstr>
      </vt:variant>
      <vt:variant>
        <vt:lpwstr/>
      </vt:variant>
      <vt:variant>
        <vt:i4>2490427</vt:i4>
      </vt:variant>
      <vt:variant>
        <vt:i4>114</vt:i4>
      </vt:variant>
      <vt:variant>
        <vt:i4>0</vt:i4>
      </vt:variant>
      <vt:variant>
        <vt:i4>5</vt:i4>
      </vt:variant>
      <vt:variant>
        <vt:lpwstr>https://www.ahuri.edu.au/research/ahuri-briefs/whats-needed-to-make-ageing-in-place-work-for-older-australians</vt:lpwstr>
      </vt:variant>
      <vt:variant>
        <vt:lpwstr/>
      </vt:variant>
      <vt:variant>
        <vt:i4>8257586</vt:i4>
      </vt:variant>
      <vt:variant>
        <vt:i4>111</vt:i4>
      </vt:variant>
      <vt:variant>
        <vt:i4>0</vt:i4>
      </vt:variant>
      <vt:variant>
        <vt:i4>5</vt:i4>
      </vt:variant>
      <vt:variant>
        <vt:lpwstr>https://www.aihw.gov.au/reports/australias-welfare/social-isolation-and-loneliness</vt:lpwstr>
      </vt:variant>
      <vt:variant>
        <vt:lpwstr/>
      </vt:variant>
      <vt:variant>
        <vt:i4>8257586</vt:i4>
      </vt:variant>
      <vt:variant>
        <vt:i4>108</vt:i4>
      </vt:variant>
      <vt:variant>
        <vt:i4>0</vt:i4>
      </vt:variant>
      <vt:variant>
        <vt:i4>5</vt:i4>
      </vt:variant>
      <vt:variant>
        <vt:lpwstr>https://www.aihw.gov.au/reports/australias-welfare/social-isolation-and-loneliness</vt:lpwstr>
      </vt:variant>
      <vt:variant>
        <vt:lpwstr/>
      </vt:variant>
      <vt:variant>
        <vt:i4>4980745</vt:i4>
      </vt:variant>
      <vt:variant>
        <vt:i4>105</vt:i4>
      </vt:variant>
      <vt:variant>
        <vt:i4>0</vt:i4>
      </vt:variant>
      <vt:variant>
        <vt:i4>5</vt:i4>
      </vt:variant>
      <vt:variant>
        <vt:lpwstr>https://www.openagent.com.au/blog/how-much-moving-cost?at=v5&amp;utm_expid=.6ZprDALXQh2rpM05ZARdBA.1&amp;utm_referrer=https%3A%2F%2Fwww.google.com%2F</vt:lpwstr>
      </vt:variant>
      <vt:variant>
        <vt:lpwstr/>
      </vt:variant>
      <vt:variant>
        <vt:i4>852048</vt:i4>
      </vt:variant>
      <vt:variant>
        <vt:i4>102</vt:i4>
      </vt:variant>
      <vt:variant>
        <vt:i4>0</vt:i4>
      </vt:variant>
      <vt:variant>
        <vt:i4>5</vt:i4>
      </vt:variant>
      <vt:variant>
        <vt:lpwstr>https://www.service.com.au/articles/bathroom/how-long-does-a-bathroom-renovation-take</vt:lpwstr>
      </vt:variant>
      <vt:variant>
        <vt:lpwstr/>
      </vt:variant>
      <vt:variant>
        <vt:i4>786509</vt:i4>
      </vt:variant>
      <vt:variant>
        <vt:i4>99</vt:i4>
      </vt:variant>
      <vt:variant>
        <vt:i4>0</vt:i4>
      </vt:variant>
      <vt:variant>
        <vt:i4>5</vt:i4>
      </vt:variant>
      <vt:variant>
        <vt:lpwstr>https://www.aqol.com.au/index.php/allfaqs</vt:lpwstr>
      </vt:variant>
      <vt:variant>
        <vt:lpwstr/>
      </vt:variant>
      <vt:variant>
        <vt:i4>786509</vt:i4>
      </vt:variant>
      <vt:variant>
        <vt:i4>96</vt:i4>
      </vt:variant>
      <vt:variant>
        <vt:i4>0</vt:i4>
      </vt:variant>
      <vt:variant>
        <vt:i4>5</vt:i4>
      </vt:variant>
      <vt:variant>
        <vt:lpwstr>https://www.aqol.com.au/index.php/allfaqs</vt:lpwstr>
      </vt:variant>
      <vt:variant>
        <vt:lpwstr/>
      </vt:variant>
      <vt:variant>
        <vt:i4>5636104</vt:i4>
      </vt:variant>
      <vt:variant>
        <vt:i4>93</vt:i4>
      </vt:variant>
      <vt:variant>
        <vt:i4>0</vt:i4>
      </vt:variant>
      <vt:variant>
        <vt:i4>5</vt:i4>
      </vt:variant>
      <vt:variant>
        <vt:lpwstr>https://consultation.abcb.gov.au/engagement/consult-ris-accessible-housing/consultation/published_select_respondent</vt:lpwstr>
      </vt:variant>
      <vt:variant>
        <vt:lpwstr/>
      </vt:variant>
      <vt:variant>
        <vt:i4>2490480</vt:i4>
      </vt:variant>
      <vt:variant>
        <vt:i4>90</vt:i4>
      </vt:variant>
      <vt:variant>
        <vt:i4>0</vt:i4>
      </vt:variant>
      <vt:variant>
        <vt:i4>5</vt:i4>
      </vt:variant>
      <vt:variant>
        <vt:lpwstr>https://www.ndis.gov.au/about-us/publications/quarterly-reports</vt:lpwstr>
      </vt:variant>
      <vt:variant>
        <vt:lpwstr/>
      </vt:variant>
      <vt:variant>
        <vt:i4>458827</vt:i4>
      </vt:variant>
      <vt:variant>
        <vt:i4>87</vt:i4>
      </vt:variant>
      <vt:variant>
        <vt:i4>0</vt:i4>
      </vt:variant>
      <vt:variant>
        <vt:i4>5</vt:i4>
      </vt:variant>
      <vt:variant>
        <vt:lpwstr>https://www.gen-agedcaredata.gov.au/Resources/Access-data/2019/September/Aged-care-data-snapshot%E2%80%942019</vt:lpwstr>
      </vt:variant>
      <vt:variant>
        <vt:lpwstr/>
      </vt:variant>
      <vt:variant>
        <vt:i4>458827</vt:i4>
      </vt:variant>
      <vt:variant>
        <vt:i4>84</vt:i4>
      </vt:variant>
      <vt:variant>
        <vt:i4>0</vt:i4>
      </vt:variant>
      <vt:variant>
        <vt:i4>5</vt:i4>
      </vt:variant>
      <vt:variant>
        <vt:lpwstr>https://www.gen-agedcaredata.gov.au/Resources/Access-data/2019/September/Aged-care-data-snapshot%E2%80%942019</vt:lpwstr>
      </vt:variant>
      <vt:variant>
        <vt:lpwstr/>
      </vt:variant>
      <vt:variant>
        <vt:i4>3997819</vt:i4>
      </vt:variant>
      <vt:variant>
        <vt:i4>81</vt:i4>
      </vt:variant>
      <vt:variant>
        <vt:i4>0</vt:i4>
      </vt:variant>
      <vt:variant>
        <vt:i4>5</vt:i4>
      </vt:variant>
      <vt:variant>
        <vt:lpwstr>https://www.dss.gov.au/housing-support/programmes-services/commonwealth-rent-assistance</vt:lpwstr>
      </vt:variant>
      <vt:variant>
        <vt:lpwstr/>
      </vt:variant>
      <vt:variant>
        <vt:i4>6488115</vt:i4>
      </vt:variant>
      <vt:variant>
        <vt:i4>78</vt:i4>
      </vt:variant>
      <vt:variant>
        <vt:i4>0</vt:i4>
      </vt:variant>
      <vt:variant>
        <vt:i4>5</vt:i4>
      </vt:variant>
      <vt:variant>
        <vt:lpwstr>https://www.myagedcare.gov.au/help-at-home/commonwealth-home-support-programme</vt:lpwstr>
      </vt:variant>
      <vt:variant>
        <vt:lpwstr/>
      </vt:variant>
      <vt:variant>
        <vt:i4>7995453</vt:i4>
      </vt:variant>
      <vt:variant>
        <vt:i4>75</vt:i4>
      </vt:variant>
      <vt:variant>
        <vt:i4>0</vt:i4>
      </vt:variant>
      <vt:variant>
        <vt:i4>5</vt:i4>
      </vt:variant>
      <vt:variant>
        <vt:lpwstr>https://www.ndis.gov.au/providers/housing-and-living-supports-and-services/housing/specialist-disability-accommodation</vt:lpwstr>
      </vt:variant>
      <vt:variant>
        <vt:lpwstr/>
      </vt:variant>
      <vt:variant>
        <vt:i4>4128804</vt:i4>
      </vt:variant>
      <vt:variant>
        <vt:i4>72</vt:i4>
      </vt:variant>
      <vt:variant>
        <vt:i4>0</vt:i4>
      </vt:variant>
      <vt:variant>
        <vt:i4>5</vt:i4>
      </vt:variant>
      <vt:variant>
        <vt:lpwstr>https://www.ndis.gov.au/providers/essentials-providers-working-ndia/specialist-disability-accommodation</vt:lpwstr>
      </vt:variant>
      <vt:variant>
        <vt:lpwstr/>
      </vt:variant>
      <vt:variant>
        <vt:i4>5636104</vt:i4>
      </vt:variant>
      <vt:variant>
        <vt:i4>69</vt:i4>
      </vt:variant>
      <vt:variant>
        <vt:i4>0</vt:i4>
      </vt:variant>
      <vt:variant>
        <vt:i4>5</vt:i4>
      </vt:variant>
      <vt:variant>
        <vt:lpwstr>https://consultation.abcb.gov.au/engagement/consult-ris-accessible-housing/consultation/published_select_respondent</vt:lpwstr>
      </vt:variant>
      <vt:variant>
        <vt:lpwstr/>
      </vt:variant>
      <vt:variant>
        <vt:i4>6357020</vt:i4>
      </vt:variant>
      <vt:variant>
        <vt:i4>66</vt:i4>
      </vt:variant>
      <vt:variant>
        <vt:i4>0</vt:i4>
      </vt:variant>
      <vt:variant>
        <vt:i4>5</vt:i4>
      </vt:variant>
      <vt:variant>
        <vt:lpwstr>https://www.abs.gov.au/ausstats/abs@.nsf/Latestproducts/4431.0.55.002Main Features72012 - 2016?opendocument&amp;tabname=Summary&amp;prodno=4431.0.55.002&amp;issue=2012%20-%202016&amp;num=&amp;view=</vt:lpwstr>
      </vt:variant>
      <vt:variant>
        <vt:lpwstr/>
      </vt:variant>
      <vt:variant>
        <vt:i4>8257586</vt:i4>
      </vt:variant>
      <vt:variant>
        <vt:i4>63</vt:i4>
      </vt:variant>
      <vt:variant>
        <vt:i4>0</vt:i4>
      </vt:variant>
      <vt:variant>
        <vt:i4>5</vt:i4>
      </vt:variant>
      <vt:variant>
        <vt:lpwstr>https://www.aihw.gov.au/reports/australias-welfare/social-isolation-and-loneliness</vt:lpwstr>
      </vt:variant>
      <vt:variant>
        <vt:lpwstr/>
      </vt:variant>
      <vt:variant>
        <vt:i4>8192111</vt:i4>
      </vt:variant>
      <vt:variant>
        <vt:i4>60</vt:i4>
      </vt:variant>
      <vt:variant>
        <vt:i4>0</vt:i4>
      </vt:variant>
      <vt:variant>
        <vt:i4>5</vt:i4>
      </vt:variant>
      <vt:variant>
        <vt:lpwstr>https://mhaustralia.org/publication/investing-save-kpmg-and-mental-health-australia-report-may-2018</vt:lpwstr>
      </vt:variant>
      <vt:variant>
        <vt:lpwstr/>
      </vt:variant>
      <vt:variant>
        <vt:i4>4456453</vt:i4>
      </vt:variant>
      <vt:variant>
        <vt:i4>57</vt:i4>
      </vt:variant>
      <vt:variant>
        <vt:i4>0</vt:i4>
      </vt:variant>
      <vt:variant>
        <vt:i4>5</vt:i4>
      </vt:variant>
      <vt:variant>
        <vt:lpwstr>https://www.mentalhealthcommission.gov.au/news/2016/december/economics-of-mental-health-in-australia</vt:lpwstr>
      </vt:variant>
      <vt:variant>
        <vt:lpwstr/>
      </vt:variant>
      <vt:variant>
        <vt:i4>4980761</vt:i4>
      </vt:variant>
      <vt:variant>
        <vt:i4>54</vt:i4>
      </vt:variant>
      <vt:variant>
        <vt:i4>0</vt:i4>
      </vt:variant>
      <vt:variant>
        <vt:i4>5</vt:i4>
      </vt:variant>
      <vt:variant>
        <vt:lpwstr>https://www.ranzcp.org/files/resources/reports/ranzcp-serious-mental-illness.aspx</vt:lpwstr>
      </vt:variant>
      <vt:variant>
        <vt:lpwstr/>
      </vt:variant>
      <vt:variant>
        <vt:i4>983111</vt:i4>
      </vt:variant>
      <vt:variant>
        <vt:i4>51</vt:i4>
      </vt:variant>
      <vt:variant>
        <vt:i4>0</vt:i4>
      </vt:variant>
      <vt:variant>
        <vt:i4>5</vt:i4>
      </vt:variant>
      <vt:variant>
        <vt:lpwstr>https://www.aihw.gov.au/reports/mental-health-services/mental-health-services-in-australia/report-contents/expenditure-on-mental-health-related-services?request=smoothstate</vt:lpwstr>
      </vt:variant>
      <vt:variant>
        <vt:lpwstr/>
      </vt:variant>
      <vt:variant>
        <vt:i4>3014702</vt:i4>
      </vt:variant>
      <vt:variant>
        <vt:i4>48</vt:i4>
      </vt:variant>
      <vt:variant>
        <vt:i4>0</vt:i4>
      </vt:variant>
      <vt:variant>
        <vt:i4>5</vt:i4>
      </vt:variant>
      <vt:variant>
        <vt:lpwstr>https://www.nhs.uk/conditions/dislocated-kneecap/</vt:lpwstr>
      </vt:variant>
      <vt:variant>
        <vt:lpwstr>:~:text=A%20dislocated%20kneecap%20is%20a,the%20front%20of%20the%20knee</vt:lpwstr>
      </vt:variant>
      <vt:variant>
        <vt:i4>2555967</vt:i4>
      </vt:variant>
      <vt:variant>
        <vt:i4>45</vt:i4>
      </vt:variant>
      <vt:variant>
        <vt:i4>0</vt:i4>
      </vt:variant>
      <vt:variant>
        <vt:i4>5</vt:i4>
      </vt:variant>
      <vt:variant>
        <vt:lpwstr>https://www.safeworkaustralia.gov.au/doc/australian-workers-compensation-statistics-2017-18</vt:lpwstr>
      </vt:variant>
      <vt:variant>
        <vt:lpwstr/>
      </vt:variant>
      <vt:variant>
        <vt:i4>4587528</vt:i4>
      </vt:variant>
      <vt:variant>
        <vt:i4>42</vt:i4>
      </vt:variant>
      <vt:variant>
        <vt:i4>0</vt:i4>
      </vt:variant>
      <vt:variant>
        <vt:i4>5</vt:i4>
      </vt:variant>
      <vt:variant>
        <vt:lpwstr>https://www.nhs.uk/conditions/broken-leg/</vt:lpwstr>
      </vt:variant>
      <vt:variant>
        <vt:lpwstr>:~:text=It%20takes%20around%206%20to,weight%20on%20the%20leg%20again</vt:lpwstr>
      </vt:variant>
      <vt:variant>
        <vt:i4>3735650</vt:i4>
      </vt:variant>
      <vt:variant>
        <vt:i4>39</vt:i4>
      </vt:variant>
      <vt:variant>
        <vt:i4>0</vt:i4>
      </vt:variant>
      <vt:variant>
        <vt:i4>5</vt:i4>
      </vt:variant>
      <vt:variant>
        <vt:lpwstr>https://www.aihw.gov.au/getmedia/6cef34e2-2422-4f11-a9f3-06e336edac3f/aihw-injcat-204.pdf.aspx?inline=true</vt:lpwstr>
      </vt:variant>
      <vt:variant>
        <vt:lpwstr/>
      </vt:variant>
      <vt:variant>
        <vt:i4>2687062</vt:i4>
      </vt:variant>
      <vt:variant>
        <vt:i4>36</vt:i4>
      </vt:variant>
      <vt:variant>
        <vt:i4>0</vt:i4>
      </vt:variant>
      <vt:variant>
        <vt:i4>5</vt:i4>
      </vt:variant>
      <vt:variant>
        <vt:lpwstr>https://www.abs.gov.au/AUSSTATS/abs@.nsf/Latestproducts/4430.0Main Features52018?opendocument&amp;tabname=Summary&amp;prodno=4430.0&amp;issue=2018&amp;num=&amp;view=</vt:lpwstr>
      </vt:variant>
      <vt:variant>
        <vt:lpwstr/>
      </vt:variant>
      <vt:variant>
        <vt:i4>655386</vt:i4>
      </vt:variant>
      <vt:variant>
        <vt:i4>33</vt:i4>
      </vt:variant>
      <vt:variant>
        <vt:i4>0</vt:i4>
      </vt:variant>
      <vt:variant>
        <vt:i4>5</vt:i4>
      </vt:variant>
      <vt:variant>
        <vt:lpwstr>https://udia.com.au/research/udia-state-of-the-land-2020/</vt:lpwstr>
      </vt:variant>
      <vt:variant>
        <vt:lpwstr/>
      </vt:variant>
      <vt:variant>
        <vt:i4>6946917</vt:i4>
      </vt:variant>
      <vt:variant>
        <vt:i4>30</vt:i4>
      </vt:variant>
      <vt:variant>
        <vt:i4>0</vt:i4>
      </vt:variant>
      <vt:variant>
        <vt:i4>5</vt:i4>
      </vt:variant>
      <vt:variant>
        <vt:lpwstr>https://www.pmc.gov.au/resource-centre/regulation/cost-benefit-analysis-guidance-note</vt:lpwstr>
      </vt:variant>
      <vt:variant>
        <vt:lpwstr>:~:text=A%20CBA%20involves%20a%20systematic,or%20effects%20on%20one%20group</vt:lpwstr>
      </vt:variant>
      <vt:variant>
        <vt:i4>6946917</vt:i4>
      </vt:variant>
      <vt:variant>
        <vt:i4>27</vt:i4>
      </vt:variant>
      <vt:variant>
        <vt:i4>0</vt:i4>
      </vt:variant>
      <vt:variant>
        <vt:i4>5</vt:i4>
      </vt:variant>
      <vt:variant>
        <vt:lpwstr>https://www.pmc.gov.au/resource-centre/regulation/cost-benefit-analysis-guidance-note</vt:lpwstr>
      </vt:variant>
      <vt:variant>
        <vt:lpwstr>:~:text=A%20CBA%20involves%20a%20systematic,or%20effects%20on%20one%20group</vt:lpwstr>
      </vt:variant>
      <vt:variant>
        <vt:i4>3211287</vt:i4>
      </vt:variant>
      <vt:variant>
        <vt:i4>24</vt:i4>
      </vt:variant>
      <vt:variant>
        <vt:i4>0</vt:i4>
      </vt:variant>
      <vt:variant>
        <vt:i4>5</vt:i4>
      </vt:variant>
      <vt:variant>
        <vt:lpwstr>https://www.pmc.gov.au/sites/default/files/publications/Value_of_Statistical_Life_guidance_note.pdf</vt:lpwstr>
      </vt:variant>
      <vt:variant>
        <vt:lpwstr/>
      </vt:variant>
      <vt:variant>
        <vt:i4>2228341</vt:i4>
      </vt:variant>
      <vt:variant>
        <vt:i4>21</vt:i4>
      </vt:variant>
      <vt:variant>
        <vt:i4>0</vt:i4>
      </vt:variant>
      <vt:variant>
        <vt:i4>5</vt:i4>
      </vt:variant>
      <vt:variant>
        <vt:lpwstr>https://pmc.gov.au/sites/default/files/publications/COAG_best_practice_guide_2007.pdf</vt:lpwstr>
      </vt:variant>
      <vt:variant>
        <vt:lpwstr/>
      </vt:variant>
      <vt:variant>
        <vt:i4>3014779</vt:i4>
      </vt:variant>
      <vt:variant>
        <vt:i4>18</vt:i4>
      </vt:variant>
      <vt:variant>
        <vt:i4>0</vt:i4>
      </vt:variant>
      <vt:variant>
        <vt:i4>5</vt:i4>
      </vt:variant>
      <vt:variant>
        <vt:lpwstr>https://consultation.abcb.gov.au/engagement/consult-ris-accessible-housing/</vt:lpwstr>
      </vt:variant>
      <vt:variant>
        <vt:lpwstr/>
      </vt:variant>
      <vt:variant>
        <vt:i4>3473422</vt:i4>
      </vt:variant>
      <vt:variant>
        <vt:i4>15</vt:i4>
      </vt:variant>
      <vt:variant>
        <vt:i4>0</vt:i4>
      </vt:variant>
      <vt:variant>
        <vt:i4>5</vt:i4>
      </vt:variant>
      <vt:variant>
        <vt:lpwstr>https://consultation.abcb.gov.au/engagement/consult-ris-accessible-housing/supporting_documents/Consultation_RIS_Proposal_to_include_minimum_accessibility_standards_for_housing_in_the_NCC.pdf</vt:lpwstr>
      </vt:variant>
      <vt:variant>
        <vt:lpwstr/>
      </vt:variant>
      <vt:variant>
        <vt:i4>3014779</vt:i4>
      </vt:variant>
      <vt:variant>
        <vt:i4>12</vt:i4>
      </vt:variant>
      <vt:variant>
        <vt:i4>0</vt:i4>
      </vt:variant>
      <vt:variant>
        <vt:i4>5</vt:i4>
      </vt:variant>
      <vt:variant>
        <vt:lpwstr>https://consultation.abcb.gov.au/engagement/consult-ris-accessible-housing/</vt:lpwstr>
      </vt:variant>
      <vt:variant>
        <vt:lpwstr/>
      </vt:variant>
      <vt:variant>
        <vt:i4>7012398</vt:i4>
      </vt:variant>
      <vt:variant>
        <vt:i4>9</vt:i4>
      </vt:variant>
      <vt:variant>
        <vt:i4>0</vt:i4>
      </vt:variant>
      <vt:variant>
        <vt:i4>5</vt:i4>
      </vt:variant>
      <vt:variant>
        <vt:lpwstr>https://www.ag.gov.au/rights-and-protections/human-rights-and-anti-discrimination/united-nations-human-rights-reporting</vt:lpwstr>
      </vt:variant>
      <vt:variant>
        <vt:lpwstr/>
      </vt:variant>
      <vt:variant>
        <vt:i4>8126512</vt:i4>
      </vt:variant>
      <vt:variant>
        <vt:i4>6</vt:i4>
      </vt:variant>
      <vt:variant>
        <vt:i4>0</vt:i4>
      </vt:variant>
      <vt:variant>
        <vt:i4>5</vt:i4>
      </vt:variant>
      <vt:variant>
        <vt:lpwstr>https://www.un.org/development/desa/disabilities/convention-on-the-rights-of-persons-with-disabilities/article-9-accessibility.html</vt:lpwstr>
      </vt:variant>
      <vt:variant>
        <vt:lpwstr/>
      </vt:variant>
      <vt:variant>
        <vt:i4>7864433</vt:i4>
      </vt:variant>
      <vt:variant>
        <vt:i4>3</vt:i4>
      </vt:variant>
      <vt:variant>
        <vt:i4>0</vt:i4>
      </vt:variant>
      <vt:variant>
        <vt:i4>5</vt:i4>
      </vt:variant>
      <vt:variant>
        <vt:lpwstr>https://consultation.abcb.gov.au/engagement/consult-ris-accessible-housing/consultation/view_respondent?show_all_questions=0&amp;sort=submitted&amp;order=ascending&amp;_q__text=hayley+stone&amp;uuId=686843897</vt:lpwstr>
      </vt:variant>
      <vt:variant>
        <vt:lpwstr/>
      </vt:variant>
      <vt:variant>
        <vt:i4>4522096</vt:i4>
      </vt:variant>
      <vt:variant>
        <vt:i4>0</vt:i4>
      </vt:variant>
      <vt:variant>
        <vt:i4>0</vt:i4>
      </vt:variant>
      <vt:variant>
        <vt:i4>5</vt:i4>
      </vt:variant>
      <vt:variant>
        <vt:lpwstr>https://consultation.abcb.gov.au/engagement/consult-ris-accessible-housing/consultation/view_respondent?uuId=90458024</vt:lpwstr>
      </vt:variant>
      <vt:variant>
        <vt:lpwstr/>
      </vt:variant>
      <vt:variant>
        <vt:i4>4784209</vt:i4>
      </vt:variant>
      <vt:variant>
        <vt:i4>27</vt:i4>
      </vt:variant>
      <vt:variant>
        <vt:i4>0</vt:i4>
      </vt:variant>
      <vt:variant>
        <vt:i4>5</vt:i4>
      </vt:variant>
      <vt:variant>
        <vt:lpwstr>http://www.thecie.com.au/</vt:lpwstr>
      </vt:variant>
      <vt:variant>
        <vt:lpwstr/>
      </vt:variant>
      <vt:variant>
        <vt:i4>4784209</vt:i4>
      </vt:variant>
      <vt:variant>
        <vt:i4>12</vt:i4>
      </vt:variant>
      <vt:variant>
        <vt:i4>0</vt:i4>
      </vt:variant>
      <vt:variant>
        <vt:i4>5</vt:i4>
      </vt:variant>
      <vt:variant>
        <vt:lpwstr>http://www.thecie.com.au/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DRIS Accessible Housing</dc:title>
  <dc:subject>RIS</dc:subject>
  <dc:creator>Karen Silsby</dc:creator>
  <cp:keywords>RIS</cp:keywords>
  <dc:description/>
  <cp:lastModifiedBy>Cameron, Suzana</cp:lastModifiedBy>
  <cp:revision>5</cp:revision>
  <cp:lastPrinted>2021-04-28T03:33:00Z</cp:lastPrinted>
  <dcterms:created xsi:type="dcterms:W3CDTF">2021-04-28T04:14:00Z</dcterms:created>
  <dcterms:modified xsi:type="dcterms:W3CDTF">2021-05-05T01:57:00Z</dcterms:modified>
  <cp:category>RIS</cp:category>
  <cp:contentStatus>Drafting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ype">
    <vt:lpwstr>draft report</vt:lpwstr>
  </property>
  <property fmtid="{D5CDD505-2E9C-101B-9397-08002B2CF9AE}" pid="3" name="ReportTitle">
    <vt:lpwstr>Proposal to include minimum accessibility standards for housing in the National Construction Code</vt:lpwstr>
  </property>
  <property fmtid="{D5CDD505-2E9C-101B-9397-08002B2CF9AE}" pid="4" name="ReportSubtitle">
    <vt:lpwstr>Decision Regulation Impact Statement</vt:lpwstr>
  </property>
  <property fmtid="{D5CDD505-2E9C-101B-9397-08002B2CF9AE}" pid="5" name="ReportDate">
    <vt:lpwstr>November 2020</vt:lpwstr>
  </property>
  <property fmtid="{D5CDD505-2E9C-101B-9397-08002B2CF9AE}" pid="6" name="PreparedFor">
    <vt:lpwstr>The Australian Building Codes Board</vt:lpwstr>
  </property>
  <property fmtid="{D5CDD505-2E9C-101B-9397-08002B2CF9AE}" pid="7" name="ShortReport">
    <vt:lpwstr>No</vt:lpwstr>
  </property>
  <property fmtid="{D5CDD505-2E9C-101B-9397-08002B2CF9AE}" pid="8" name="ContentTypeId">
    <vt:lpwstr>0x0101002825A64A6E1845A99A9D8EE8A5686ECB009B58D7D72C3ED54C851955501673F8AC</vt:lpwstr>
  </property>
  <property fmtid="{D5CDD505-2E9C-101B-9397-08002B2CF9AE}" pid="9" name="DocHub_Year">
    <vt:lpwstr>1094;#2020|6a3660c5-15bd-4052-a0a1-6237663b7600</vt:lpwstr>
  </property>
  <property fmtid="{D5CDD505-2E9C-101B-9397-08002B2CF9AE}" pid="10" name="DocHub_Project">
    <vt:lpwstr>785;#Accessible Housing|09c32c66-585f-4773-9fd6-0fdfb1a25cec</vt:lpwstr>
  </property>
  <property fmtid="{D5CDD505-2E9C-101B-9397-08002B2CF9AE}" pid="11" name="DocHub_DocumentType">
    <vt:lpwstr>128;#Regulatory Impact Statement|b67cf5e3-3946-4a1a-b234-9cb1fda6ff32</vt:lpwstr>
  </property>
  <property fmtid="{D5CDD505-2E9C-101B-9397-08002B2CF9AE}" pid="12" name="DocHub_SecurityClassification">
    <vt:lpwstr>3;#OFFICIAL|6106d03b-a1a0-4e30-9d91-d5e9fb4314f9</vt:lpwstr>
  </property>
  <property fmtid="{D5CDD505-2E9C-101B-9397-08002B2CF9AE}" pid="13" name="DocHub_Keywords">
    <vt:lpwstr>371;#accessible housing|c9121eaa-4cb8-4f55-a6a0-0ce5f1f37cb3;#890;#RIS|7592cbbc-adec-4319-b9b8-cf1480160f12</vt:lpwstr>
  </property>
  <property fmtid="{D5CDD505-2E9C-101B-9397-08002B2CF9AE}" pid="14" name="DocHub_DocumentLifecycle">
    <vt:lpwstr>259;#Drafting|50bced8c-0567-49ab-81a0-bb019ce4ad1f</vt:lpwstr>
  </property>
  <property fmtid="{D5CDD505-2E9C-101B-9397-08002B2CF9AE}" pid="15" name="DocHub_WorkActivity">
    <vt:lpwstr>16;#Analysis|f03549ca-48e3-445d-9616-5df11514ff56</vt:lpwstr>
  </property>
  <property fmtid="{D5CDD505-2E9C-101B-9397-08002B2CF9AE}" pid="16" name="HPRMSecurityLevel">
    <vt:lpwstr>57;#OFFICIAL|11463c70-78df-4e3b-b0ff-f66cd3cb26ec</vt:lpwstr>
  </property>
  <property fmtid="{D5CDD505-2E9C-101B-9397-08002B2CF9AE}" pid="17" name="ESearchTags">
    <vt:lpwstr>29;#Training|2f396fb6-baad-479d-8254-1550153bbe31;#33;#Royal Commission|1b5ec731-3e16-44b1-86f4-0c46c4cdd7b2;#39;#Election|4090d51f-fccc-4f41-80dd-86270166a8a3;#46;#Flood|6285b0d0-e7e3-4bfe-8359-36404de1c171;#62;#COVID-19|c1da604a-829f-435b-844b-fd97e09d1455;#18;#Cabinet|84cba657-17c1-4642-9e59-a0df180c2be5</vt:lpwstr>
  </property>
  <property fmtid="{D5CDD505-2E9C-101B-9397-08002B2CF9AE}" pid="18" name="HPRMSecurityCaveat">
    <vt:lpwstr/>
  </property>
  <property fmtid="{D5CDD505-2E9C-101B-9397-08002B2CF9AE}" pid="19" name="PMC.ESearch.TagGeneratedTime">
    <vt:lpwstr>2021-05-05T12:06:55</vt:lpwstr>
  </property>
</Properties>
</file>